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6483B" w14:textId="7162F2B3" w:rsidR="0062067C" w:rsidRPr="00C705F0" w:rsidRDefault="00EF1785" w:rsidP="00EF1785">
      <w:pPr>
        <w:jc w:val="right"/>
        <w:rPr>
          <w:szCs w:val="24"/>
        </w:rPr>
      </w:pPr>
      <w:r w:rsidRPr="00C705F0">
        <w:rPr>
          <w:szCs w:val="24"/>
          <w:lang w:val="en-US"/>
        </w:rPr>
        <w:t>S/</w:t>
      </w:r>
      <w:r w:rsidR="003F194D" w:rsidRPr="00C705F0">
        <w:rPr>
          <w:szCs w:val="24"/>
          <w:lang w:val="en-US"/>
        </w:rPr>
        <w:t>10-038-T-0</w:t>
      </w:r>
      <w:r w:rsidR="009F2515">
        <w:rPr>
          <w:szCs w:val="24"/>
          <w:lang w:val="en-US"/>
        </w:rPr>
        <w:t>162</w:t>
      </w:r>
    </w:p>
    <w:p w14:paraId="478214AA" w14:textId="77777777" w:rsidR="00AB27A0" w:rsidRPr="00C705F0" w:rsidRDefault="00AB27A0" w:rsidP="00AB27A0">
      <w:pPr>
        <w:jc w:val="center"/>
        <w:rPr>
          <w:szCs w:val="24"/>
        </w:rPr>
      </w:pPr>
    </w:p>
    <w:p w14:paraId="645FA994" w14:textId="55E6FBEF" w:rsidR="00AB27A0" w:rsidRPr="00C705F0" w:rsidRDefault="00AB27A0" w:rsidP="00AB27A0">
      <w:pPr>
        <w:jc w:val="center"/>
        <w:rPr>
          <w:szCs w:val="24"/>
        </w:rPr>
      </w:pPr>
    </w:p>
    <w:p w14:paraId="44F97B37" w14:textId="77777777" w:rsidR="00AB27A0" w:rsidRPr="00C705F0" w:rsidRDefault="00AB27A0" w:rsidP="00AB27A0">
      <w:pPr>
        <w:jc w:val="center"/>
        <w:rPr>
          <w:szCs w:val="24"/>
        </w:rPr>
      </w:pPr>
    </w:p>
    <w:p w14:paraId="31F8CEC3" w14:textId="77777777" w:rsidR="00AB27A0" w:rsidRPr="00C705F0" w:rsidRDefault="00AB27A0" w:rsidP="00AB27A0">
      <w:pPr>
        <w:pStyle w:val="a"/>
        <w:rPr>
          <w:sz w:val="24"/>
          <w:szCs w:val="24"/>
        </w:rPr>
      </w:pPr>
    </w:p>
    <w:p w14:paraId="2FDE83E5" w14:textId="77777777" w:rsidR="00AB27A0" w:rsidRPr="00C705F0" w:rsidRDefault="00AB27A0" w:rsidP="00AB27A0">
      <w:pPr>
        <w:jc w:val="center"/>
        <w:rPr>
          <w:caps/>
          <w:szCs w:val="24"/>
        </w:rPr>
      </w:pPr>
    </w:p>
    <w:p w14:paraId="126F1C11" w14:textId="4B947E15" w:rsidR="00AB27A0" w:rsidRPr="00C705F0" w:rsidRDefault="00AB27A0" w:rsidP="00AB27A0">
      <w:pPr>
        <w:jc w:val="center"/>
        <w:rPr>
          <w:caps/>
          <w:szCs w:val="24"/>
        </w:rPr>
      </w:pPr>
    </w:p>
    <w:p w14:paraId="111A3731" w14:textId="35C4047B" w:rsidR="00AB27A0" w:rsidRPr="00C705F0" w:rsidRDefault="00AB27A0" w:rsidP="00AB27A0">
      <w:pPr>
        <w:jc w:val="center"/>
        <w:rPr>
          <w:bCs/>
          <w:caps/>
          <w:szCs w:val="24"/>
        </w:rPr>
      </w:pPr>
    </w:p>
    <w:p w14:paraId="3BECA692" w14:textId="77777777" w:rsidR="00AB27A0" w:rsidRPr="00C705F0" w:rsidRDefault="00AB27A0" w:rsidP="00AB27A0">
      <w:pPr>
        <w:jc w:val="center"/>
        <w:rPr>
          <w:bCs/>
          <w:caps/>
          <w:szCs w:val="24"/>
        </w:rPr>
      </w:pPr>
    </w:p>
    <w:p w14:paraId="400C6332" w14:textId="50B804F5" w:rsidR="00AB27A0" w:rsidRPr="00C705F0" w:rsidRDefault="003F194D" w:rsidP="00AB27A0">
      <w:pPr>
        <w:spacing w:after="60"/>
        <w:jc w:val="center"/>
        <w:rPr>
          <w:b/>
          <w:caps/>
          <w:sz w:val="28"/>
        </w:rPr>
      </w:pPr>
      <w:r w:rsidRPr="00C705F0">
        <w:rPr>
          <w:b/>
          <w:caps/>
          <w:sz w:val="28"/>
        </w:rPr>
        <w:t xml:space="preserve">Projekto „MTEP idėjos tikrinimas </w:t>
      </w:r>
      <w:r w:rsidR="00923957">
        <w:rPr>
          <w:b/>
          <w:caps/>
          <w:sz w:val="28"/>
        </w:rPr>
        <w:t xml:space="preserve">– </w:t>
      </w:r>
      <w:r w:rsidR="0007650F" w:rsidRPr="0007650F">
        <w:rPr>
          <w:b/>
          <w:caps/>
          <w:sz w:val="28"/>
        </w:rPr>
        <w:t>energijos ir išteklių taupymas apjungiant augalinių ir gyvūninių bio-atliekų perdirbimą į naudingus produktus</w:t>
      </w:r>
      <w:r w:rsidRPr="00C705F0">
        <w:rPr>
          <w:b/>
          <w:caps/>
          <w:sz w:val="28"/>
        </w:rPr>
        <w:t>“</w:t>
      </w:r>
    </w:p>
    <w:p w14:paraId="36464B42" w14:textId="77777777" w:rsidR="00AB27A0" w:rsidRPr="00C705F0" w:rsidRDefault="00AB27A0" w:rsidP="00AB27A0">
      <w:pPr>
        <w:jc w:val="center"/>
        <w:rPr>
          <w:sz w:val="28"/>
        </w:rPr>
      </w:pPr>
    </w:p>
    <w:p w14:paraId="41C1F180" w14:textId="119D6E68" w:rsidR="00AB27A0" w:rsidRPr="00C705F0" w:rsidRDefault="003F194D" w:rsidP="00AB27A0">
      <w:pPr>
        <w:jc w:val="center"/>
        <w:rPr>
          <w:i/>
          <w:iCs/>
          <w:sz w:val="28"/>
        </w:rPr>
      </w:pPr>
      <w:r w:rsidRPr="00C705F0">
        <w:rPr>
          <w:i/>
          <w:iCs/>
          <w:sz w:val="28"/>
        </w:rPr>
        <w:t>Veiklos</w:t>
      </w:r>
      <w:r w:rsidR="00AB27A0" w:rsidRPr="00C705F0">
        <w:rPr>
          <w:i/>
          <w:iCs/>
          <w:sz w:val="28"/>
        </w:rPr>
        <w:t xml:space="preserve"> ataskaita</w:t>
      </w:r>
    </w:p>
    <w:p w14:paraId="121BDD6D" w14:textId="77777777" w:rsidR="008360A7" w:rsidRPr="00C705F0" w:rsidRDefault="008360A7" w:rsidP="00AB27A0">
      <w:pPr>
        <w:jc w:val="center"/>
        <w:rPr>
          <w:sz w:val="28"/>
          <w:lang w:val="de-DE"/>
        </w:rPr>
        <w:sectPr w:rsidR="008360A7" w:rsidRPr="00C705F0"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C705F0" w:rsidRDefault="00AB27A0" w:rsidP="00AB27A0">
      <w:pPr>
        <w:jc w:val="center"/>
        <w:rPr>
          <w:szCs w:val="24"/>
        </w:rPr>
      </w:pPr>
    </w:p>
    <w:p w14:paraId="72521B1B" w14:textId="0FACFC41" w:rsidR="008360A7" w:rsidRPr="00C705F0" w:rsidRDefault="008360A7" w:rsidP="008360A7">
      <w:pPr>
        <w:widowControl w:val="0"/>
        <w:rPr>
          <w:szCs w:val="24"/>
        </w:rPr>
      </w:pPr>
      <w:r w:rsidRPr="00C705F0">
        <w:rPr>
          <w:b/>
          <w:bCs/>
          <w:szCs w:val="24"/>
        </w:rPr>
        <w:t xml:space="preserve">Projekto įgyvendinimo laikotarpis: </w:t>
      </w:r>
      <w:r w:rsidRPr="00C705F0">
        <w:rPr>
          <w:szCs w:val="24"/>
        </w:rPr>
        <w:t>2024-</w:t>
      </w:r>
      <w:r w:rsidR="00EE125F">
        <w:rPr>
          <w:szCs w:val="24"/>
        </w:rPr>
        <w:t>10</w:t>
      </w:r>
      <w:r w:rsidRPr="00C705F0">
        <w:rPr>
          <w:szCs w:val="24"/>
        </w:rPr>
        <w:t>-0</w:t>
      </w:r>
      <w:r w:rsidR="0007650F">
        <w:rPr>
          <w:szCs w:val="24"/>
        </w:rPr>
        <w:t>7</w:t>
      </w:r>
      <w:r w:rsidRPr="00C705F0">
        <w:rPr>
          <w:b/>
          <w:bCs/>
          <w:szCs w:val="24"/>
        </w:rPr>
        <w:t xml:space="preserve"> </w:t>
      </w:r>
      <w:r w:rsidRPr="00C705F0">
        <w:rPr>
          <w:szCs w:val="24"/>
        </w:rPr>
        <w:t>– 2025-0</w:t>
      </w:r>
      <w:r w:rsidR="00EE125F">
        <w:rPr>
          <w:szCs w:val="24"/>
        </w:rPr>
        <w:t>9</w:t>
      </w:r>
      <w:r w:rsidRPr="00C705F0">
        <w:rPr>
          <w:szCs w:val="24"/>
        </w:rPr>
        <w:t>-3</w:t>
      </w:r>
      <w:r w:rsidR="00EE125F">
        <w:rPr>
          <w:szCs w:val="24"/>
        </w:rPr>
        <w:t>0</w:t>
      </w:r>
    </w:p>
    <w:p w14:paraId="52E6CDBF" w14:textId="77777777" w:rsidR="008360A7" w:rsidRPr="00C705F0" w:rsidRDefault="008360A7" w:rsidP="008360A7">
      <w:pPr>
        <w:widowControl w:val="0"/>
        <w:rPr>
          <w:b/>
          <w:bCs/>
          <w:szCs w:val="24"/>
        </w:rPr>
      </w:pPr>
    </w:p>
    <w:p w14:paraId="7B700ACD" w14:textId="77777777" w:rsidR="008360A7" w:rsidRPr="00C705F0" w:rsidRDefault="008360A7" w:rsidP="008360A7">
      <w:pPr>
        <w:widowControl w:val="0"/>
        <w:rPr>
          <w:b/>
          <w:bCs/>
          <w:szCs w:val="24"/>
        </w:rPr>
      </w:pPr>
      <w:r w:rsidRPr="00C705F0">
        <w:rPr>
          <w:b/>
          <w:bCs/>
          <w:szCs w:val="24"/>
        </w:rPr>
        <w:t>Projekto tikslas:</w:t>
      </w:r>
    </w:p>
    <w:p w14:paraId="0C0C3AB4" w14:textId="32D3B5E2" w:rsidR="008360A7" w:rsidRDefault="00EE125F" w:rsidP="008360A7">
      <w:pPr>
        <w:jc w:val="both"/>
        <w:rPr>
          <w:bCs/>
          <w:szCs w:val="24"/>
        </w:rPr>
      </w:pPr>
      <w:r w:rsidRPr="00EE125F">
        <w:rPr>
          <w:bCs/>
          <w:szCs w:val="24"/>
        </w:rPr>
        <w:t>Pasiruošti teikti paraišką pagal programos „Europos horizontas“ kvietimus vykdant tarpdisciplininį projektą</w:t>
      </w:r>
    </w:p>
    <w:p w14:paraId="7EF55BF1" w14:textId="77777777" w:rsidR="00EE125F" w:rsidRPr="00C705F0" w:rsidRDefault="00EE125F" w:rsidP="008360A7">
      <w:pPr>
        <w:jc w:val="both"/>
        <w:rPr>
          <w:b/>
          <w:bCs/>
          <w:szCs w:val="24"/>
        </w:rPr>
      </w:pPr>
    </w:p>
    <w:p w14:paraId="35E595A8" w14:textId="3A585905" w:rsidR="00AD6CBA" w:rsidRPr="00AD6CBA" w:rsidRDefault="00AD6CBA" w:rsidP="00AD6CBA">
      <w:pPr>
        <w:jc w:val="both"/>
        <w:rPr>
          <w:bCs/>
          <w:szCs w:val="24"/>
        </w:rPr>
      </w:pPr>
      <w:r w:rsidRPr="00AD6CBA">
        <w:rPr>
          <w:b/>
          <w:bCs/>
          <w:szCs w:val="24"/>
        </w:rPr>
        <w:t xml:space="preserve">Projekto įgyvendinimo metu vykdyta veikla: </w:t>
      </w:r>
      <w:r w:rsidRPr="00AD6CBA">
        <w:rPr>
          <w:bCs/>
          <w:szCs w:val="24"/>
        </w:rPr>
        <w:t xml:space="preserve">projekto įgyvendinimo metu buvo atliekami pasirengimo darbai, padėsiantys parengti paraišką ir gauti paraiškos parengimui būtinas žinias pagal programos </w:t>
      </w:r>
      <w:r w:rsidR="001D4976" w:rsidRPr="00381F9C">
        <w:rPr>
          <w:sz w:val="22"/>
          <w:szCs w:val="22"/>
        </w:rPr>
        <w:t xml:space="preserve">„Europos horizontas“ </w:t>
      </w:r>
      <w:r w:rsidRPr="00AD6CBA">
        <w:rPr>
          <w:bCs/>
          <w:szCs w:val="24"/>
        </w:rPr>
        <w:t>būsimą kvietimą: „</w:t>
      </w:r>
      <w:r w:rsidR="0007650F">
        <w:t>Naujos bendradarbiavimo formos žemės ūkyje ir miškininkystėje</w:t>
      </w:r>
      <w:r w:rsidR="001D4976" w:rsidRPr="001D4976">
        <w:rPr>
          <w:bCs/>
          <w:szCs w:val="24"/>
        </w:rPr>
        <w:t xml:space="preserve"> (</w:t>
      </w:r>
      <w:r w:rsidR="0007650F" w:rsidRPr="0007650F">
        <w:rPr>
          <w:bCs/>
          <w:szCs w:val="24"/>
        </w:rPr>
        <w:t>New forms of cooperation in agriculture and the forest-based sector</w:t>
      </w:r>
      <w:r w:rsidR="001D4976" w:rsidRPr="001D4976">
        <w:rPr>
          <w:bCs/>
          <w:szCs w:val="24"/>
        </w:rPr>
        <w:t>)</w:t>
      </w:r>
      <w:r w:rsidR="0007650F">
        <w:rPr>
          <w:bCs/>
          <w:szCs w:val="24"/>
        </w:rPr>
        <w:t>“</w:t>
      </w:r>
      <w:r w:rsidR="001D4976" w:rsidRPr="001D4976">
        <w:rPr>
          <w:bCs/>
          <w:szCs w:val="24"/>
        </w:rPr>
        <w:t xml:space="preserve"> </w:t>
      </w:r>
      <w:r w:rsidRPr="00AD6CBA">
        <w:rPr>
          <w:bCs/>
          <w:szCs w:val="24"/>
        </w:rPr>
        <w:t>vykdant tarpdisciplininį projektą.</w:t>
      </w:r>
    </w:p>
    <w:p w14:paraId="43AB2FD0" w14:textId="67E4226C" w:rsidR="00AD6CBA" w:rsidRPr="00AD6CBA" w:rsidRDefault="00AD6CBA" w:rsidP="00AD6CBA">
      <w:pPr>
        <w:jc w:val="both"/>
        <w:rPr>
          <w:bCs/>
          <w:szCs w:val="24"/>
        </w:rPr>
      </w:pPr>
      <w:r w:rsidRPr="00AD6CBA">
        <w:rPr>
          <w:bCs/>
          <w:szCs w:val="24"/>
        </w:rPr>
        <w:t xml:space="preserve">Kadangi bendras planuojamo </w:t>
      </w:r>
      <w:r w:rsidRPr="00551A3A">
        <w:rPr>
          <w:bCs/>
          <w:szCs w:val="24"/>
        </w:rPr>
        <w:t xml:space="preserve">teikti pagal </w:t>
      </w:r>
      <w:r w:rsidR="001D4976" w:rsidRPr="00551A3A">
        <w:rPr>
          <w:szCs w:val="24"/>
        </w:rPr>
        <w:t xml:space="preserve">„Europos horizontas“ </w:t>
      </w:r>
      <w:r w:rsidRPr="00551A3A">
        <w:rPr>
          <w:bCs/>
          <w:szCs w:val="24"/>
        </w:rPr>
        <w:t>būsimą</w:t>
      </w:r>
      <w:r w:rsidRPr="00AD6CBA">
        <w:rPr>
          <w:bCs/>
          <w:szCs w:val="24"/>
        </w:rPr>
        <w:t xml:space="preserve"> kvietimą projekto tikslas –</w:t>
      </w:r>
      <w:r w:rsidR="00BF255E">
        <w:rPr>
          <w:bCs/>
          <w:szCs w:val="24"/>
        </w:rPr>
        <w:t xml:space="preserve"> </w:t>
      </w:r>
      <w:r w:rsidR="0007650F" w:rsidRPr="0007650F">
        <w:rPr>
          <w:bCs/>
          <w:szCs w:val="24"/>
        </w:rPr>
        <w:t>geresn</w:t>
      </w:r>
      <w:r w:rsidR="0007650F">
        <w:rPr>
          <w:bCs/>
          <w:szCs w:val="24"/>
        </w:rPr>
        <w:t>ė</w:t>
      </w:r>
      <w:r w:rsidR="0007650F" w:rsidRPr="0007650F">
        <w:rPr>
          <w:bCs/>
          <w:szCs w:val="24"/>
        </w:rPr>
        <w:t xml:space="preserve"> ūkininkų, miškininkų ir šiems sektoriams specializuotų mašinų gamintojų sąveika, pasitelkiant termoinžineriją</w:t>
      </w:r>
      <w:r w:rsidRPr="00AD6CBA">
        <w:rPr>
          <w:bCs/>
          <w:szCs w:val="24"/>
        </w:rPr>
        <w:t>, projekto metu:</w:t>
      </w:r>
    </w:p>
    <w:p w14:paraId="195619FA" w14:textId="206E8C2E" w:rsidR="00AD6CBA" w:rsidRPr="00AD6CBA" w:rsidRDefault="00551A3A" w:rsidP="00551A3A">
      <w:pPr>
        <w:pStyle w:val="ListParagraph"/>
        <w:numPr>
          <w:ilvl w:val="0"/>
          <w:numId w:val="1"/>
        </w:numPr>
        <w:jc w:val="both"/>
        <w:rPr>
          <w:rFonts w:ascii="Times New Roman" w:hAnsi="Times New Roman"/>
          <w:bCs/>
          <w:sz w:val="24"/>
        </w:rPr>
      </w:pPr>
      <w:r w:rsidRPr="00551A3A">
        <w:rPr>
          <w:rFonts w:ascii="Times New Roman" w:hAnsi="Times New Roman"/>
          <w:b/>
          <w:bCs/>
          <w:sz w:val="24"/>
        </w:rPr>
        <w:t>Atlikta techninių sprendimų analizė</w:t>
      </w:r>
      <w:r w:rsidRPr="00551A3A">
        <w:rPr>
          <w:rFonts w:ascii="Times New Roman" w:hAnsi="Times New Roman"/>
          <w:bCs/>
          <w:sz w:val="24"/>
        </w:rPr>
        <w:t xml:space="preserve">: Išnagrinėta </w:t>
      </w:r>
      <w:r>
        <w:rPr>
          <w:rFonts w:ascii="Times New Roman" w:hAnsi="Times New Roman"/>
          <w:bCs/>
          <w:sz w:val="24"/>
        </w:rPr>
        <w:t>atviruose šaltiniuose prieinama</w:t>
      </w:r>
      <w:r w:rsidR="00B864BA">
        <w:rPr>
          <w:rFonts w:ascii="Times New Roman" w:hAnsi="Times New Roman"/>
          <w:bCs/>
          <w:sz w:val="24"/>
        </w:rPr>
        <w:t xml:space="preserve"> informacija apie šiluminių procesų </w:t>
      </w:r>
      <w:r w:rsidRPr="00551A3A">
        <w:rPr>
          <w:rFonts w:ascii="Times New Roman" w:hAnsi="Times New Roman"/>
          <w:bCs/>
          <w:sz w:val="24"/>
        </w:rPr>
        <w:t xml:space="preserve">valdymą </w:t>
      </w:r>
      <w:r w:rsidR="00B864BA">
        <w:rPr>
          <w:rFonts w:ascii="Times New Roman" w:hAnsi="Times New Roman"/>
          <w:bCs/>
          <w:sz w:val="24"/>
        </w:rPr>
        <w:t>bioatliekų perdirbimo įrenginiuose</w:t>
      </w:r>
      <w:r w:rsidRPr="00551A3A">
        <w:rPr>
          <w:rFonts w:ascii="Times New Roman" w:hAnsi="Times New Roman"/>
          <w:bCs/>
          <w:sz w:val="24"/>
        </w:rPr>
        <w:t xml:space="preserve">, įskaitant </w:t>
      </w:r>
      <w:r w:rsidR="00B864BA">
        <w:rPr>
          <w:rFonts w:ascii="Times New Roman" w:hAnsi="Times New Roman"/>
          <w:bCs/>
          <w:sz w:val="24"/>
        </w:rPr>
        <w:t>produktų gamybą ir jų surinkimą</w:t>
      </w:r>
      <w:r w:rsidR="00AD6CBA" w:rsidRPr="00AD6CBA">
        <w:rPr>
          <w:rFonts w:ascii="Times New Roman" w:hAnsi="Times New Roman"/>
          <w:bCs/>
          <w:sz w:val="24"/>
        </w:rPr>
        <w:t>;</w:t>
      </w:r>
    </w:p>
    <w:p w14:paraId="72722235" w14:textId="1B34003A" w:rsidR="00551A3A" w:rsidRPr="00551A3A" w:rsidRDefault="00551A3A" w:rsidP="00551A3A">
      <w:pPr>
        <w:pStyle w:val="ListParagraph"/>
        <w:numPr>
          <w:ilvl w:val="0"/>
          <w:numId w:val="1"/>
        </w:numPr>
        <w:jc w:val="both"/>
        <w:rPr>
          <w:bCs/>
        </w:rPr>
      </w:pPr>
      <w:r w:rsidRPr="00551A3A">
        <w:rPr>
          <w:rFonts w:ascii="Times New Roman" w:hAnsi="Times New Roman"/>
          <w:b/>
          <w:bCs/>
          <w:sz w:val="24"/>
        </w:rPr>
        <w:t>Atlikta mokslinės literatūros analizė:</w:t>
      </w:r>
      <w:r w:rsidRPr="00551A3A">
        <w:rPr>
          <w:rFonts w:ascii="Times New Roman" w:hAnsi="Times New Roman"/>
          <w:bCs/>
          <w:sz w:val="24"/>
        </w:rPr>
        <w:t xml:space="preserve"> Išnagrinėti atviruose šaltiniuose prieinami moksliniai tyrimai apie </w:t>
      </w:r>
      <w:r w:rsidR="00B864BA">
        <w:rPr>
          <w:rFonts w:ascii="Times New Roman" w:hAnsi="Times New Roman"/>
          <w:bCs/>
          <w:sz w:val="24"/>
        </w:rPr>
        <w:t>biologinio skaidymo ypatumus priklausomai nuo temperatūrinio</w:t>
      </w:r>
      <w:r>
        <w:rPr>
          <w:rFonts w:ascii="Times New Roman" w:hAnsi="Times New Roman"/>
          <w:bCs/>
          <w:sz w:val="24"/>
        </w:rPr>
        <w:t xml:space="preserve"> </w:t>
      </w:r>
      <w:r w:rsidR="00B864BA">
        <w:rPr>
          <w:rFonts w:ascii="Times New Roman" w:hAnsi="Times New Roman"/>
          <w:bCs/>
          <w:sz w:val="24"/>
        </w:rPr>
        <w:t xml:space="preserve">režimo bei procesų </w:t>
      </w:r>
      <w:r>
        <w:rPr>
          <w:rFonts w:ascii="Times New Roman" w:hAnsi="Times New Roman"/>
          <w:bCs/>
          <w:sz w:val="24"/>
        </w:rPr>
        <w:t>efektyvumo didinimo galimybes</w:t>
      </w:r>
      <w:r w:rsidR="00AD6CBA" w:rsidRPr="00551A3A">
        <w:rPr>
          <w:rFonts w:ascii="Times New Roman" w:hAnsi="Times New Roman"/>
          <w:bCs/>
          <w:sz w:val="24"/>
        </w:rPr>
        <w:t>;</w:t>
      </w:r>
    </w:p>
    <w:p w14:paraId="4E13C1DF" w14:textId="73A09BED" w:rsidR="00AD6CBA" w:rsidRDefault="00551A3A" w:rsidP="00AD6CBA">
      <w:pPr>
        <w:pStyle w:val="ListParagraph"/>
        <w:numPr>
          <w:ilvl w:val="0"/>
          <w:numId w:val="1"/>
        </w:numPr>
        <w:jc w:val="both"/>
        <w:rPr>
          <w:rFonts w:ascii="Times New Roman" w:hAnsi="Times New Roman"/>
          <w:bCs/>
          <w:sz w:val="24"/>
        </w:rPr>
      </w:pPr>
      <w:r w:rsidRPr="00551A3A">
        <w:rPr>
          <w:rFonts w:ascii="Times New Roman" w:hAnsi="Times New Roman"/>
          <w:b/>
          <w:bCs/>
          <w:sz w:val="24"/>
        </w:rPr>
        <w:t>Atlikti moksliniai tyrimai:</w:t>
      </w:r>
      <w:r w:rsidRPr="00551A3A">
        <w:rPr>
          <w:rFonts w:ascii="Times New Roman" w:hAnsi="Times New Roman"/>
          <w:bCs/>
          <w:sz w:val="24"/>
        </w:rPr>
        <w:t xml:space="preserve"> </w:t>
      </w:r>
      <w:r w:rsidR="00B864BA">
        <w:rPr>
          <w:rFonts w:ascii="Times New Roman" w:hAnsi="Times New Roman"/>
          <w:bCs/>
          <w:sz w:val="24"/>
        </w:rPr>
        <w:t>I</w:t>
      </w:r>
      <w:r w:rsidRPr="00551A3A">
        <w:rPr>
          <w:rFonts w:ascii="Times New Roman" w:hAnsi="Times New Roman"/>
          <w:bCs/>
          <w:sz w:val="24"/>
        </w:rPr>
        <w:t xml:space="preserve">štirta </w:t>
      </w:r>
      <w:r w:rsidR="00B71FC5">
        <w:rPr>
          <w:rFonts w:ascii="Times New Roman" w:hAnsi="Times New Roman"/>
          <w:bCs/>
          <w:sz w:val="24"/>
        </w:rPr>
        <w:t xml:space="preserve">natūralios cirkuliacijos varomos </w:t>
      </w:r>
      <w:r w:rsidR="00B864BA">
        <w:rPr>
          <w:rFonts w:ascii="Times New Roman" w:hAnsi="Times New Roman"/>
          <w:bCs/>
          <w:sz w:val="24"/>
        </w:rPr>
        <w:t xml:space="preserve">dujų apytakos tarp reaktorių membranų </w:t>
      </w:r>
      <w:r w:rsidRPr="00551A3A">
        <w:rPr>
          <w:rFonts w:ascii="Times New Roman" w:hAnsi="Times New Roman"/>
          <w:bCs/>
          <w:sz w:val="24"/>
        </w:rPr>
        <w:t>struktūra</w:t>
      </w:r>
      <w:r w:rsidR="00B864BA">
        <w:rPr>
          <w:rFonts w:ascii="Times New Roman" w:hAnsi="Times New Roman"/>
          <w:bCs/>
          <w:sz w:val="24"/>
        </w:rPr>
        <w:t xml:space="preserve"> priklausomai nuo produktą kaupiančios membranos išsipūtimo </w:t>
      </w:r>
      <w:r w:rsidR="00B71FC5">
        <w:rPr>
          <w:rFonts w:ascii="Times New Roman" w:hAnsi="Times New Roman"/>
          <w:bCs/>
          <w:sz w:val="24"/>
        </w:rPr>
        <w:t xml:space="preserve">ir jos padėties išorinės membranos atžvilgiu. Taip pat ištirta tarpvamzdžio intarpų formos įtaka klampios biomasės tekėjimo režimui </w:t>
      </w:r>
      <w:r w:rsidR="00811240">
        <w:rPr>
          <w:rFonts w:ascii="Times New Roman" w:hAnsi="Times New Roman"/>
          <w:bCs/>
          <w:sz w:val="24"/>
        </w:rPr>
        <w:t xml:space="preserve">vamzdiniuose šilumokaičiuose šildant </w:t>
      </w:r>
      <w:r w:rsidR="00B71FC5">
        <w:rPr>
          <w:rFonts w:ascii="Times New Roman" w:hAnsi="Times New Roman"/>
          <w:bCs/>
          <w:sz w:val="24"/>
        </w:rPr>
        <w:t>substrat</w:t>
      </w:r>
      <w:r w:rsidR="00811240">
        <w:rPr>
          <w:rFonts w:ascii="Times New Roman" w:hAnsi="Times New Roman"/>
          <w:bCs/>
          <w:sz w:val="24"/>
        </w:rPr>
        <w:t>ą</w:t>
      </w:r>
      <w:r>
        <w:rPr>
          <w:rFonts w:ascii="Times New Roman" w:hAnsi="Times New Roman"/>
          <w:bCs/>
          <w:sz w:val="24"/>
        </w:rPr>
        <w:t>.</w:t>
      </w:r>
    </w:p>
    <w:p w14:paraId="738AC37D" w14:textId="77777777" w:rsidR="00811240" w:rsidRPr="00551A3A" w:rsidRDefault="00811240" w:rsidP="00811240">
      <w:pPr>
        <w:pStyle w:val="ListParagraph"/>
        <w:jc w:val="both"/>
        <w:rPr>
          <w:rFonts w:ascii="Times New Roman" w:hAnsi="Times New Roman"/>
          <w:bCs/>
          <w:sz w:val="24"/>
        </w:rPr>
      </w:pPr>
    </w:p>
    <w:p w14:paraId="4BE04DE7" w14:textId="44F7F035" w:rsidR="00CA3FB8" w:rsidRDefault="00AD6CBA" w:rsidP="008B0F83">
      <w:pPr>
        <w:jc w:val="both"/>
        <w:rPr>
          <w:bCs/>
          <w:szCs w:val="24"/>
        </w:rPr>
      </w:pPr>
      <w:r w:rsidRPr="00AD6CBA">
        <w:rPr>
          <w:bCs/>
          <w:szCs w:val="24"/>
        </w:rPr>
        <w:t>Ryši</w:t>
      </w:r>
      <w:r w:rsidR="00E6546F">
        <w:rPr>
          <w:bCs/>
          <w:szCs w:val="24"/>
        </w:rPr>
        <w:t>ų</w:t>
      </w:r>
      <w:r w:rsidRPr="00AD6CBA">
        <w:rPr>
          <w:bCs/>
          <w:szCs w:val="24"/>
        </w:rPr>
        <w:t xml:space="preserve"> su galimais planuojamos rengti paraiškos par</w:t>
      </w:r>
      <w:r w:rsidR="005F4552">
        <w:rPr>
          <w:bCs/>
          <w:szCs w:val="24"/>
        </w:rPr>
        <w:t xml:space="preserve">tneriais buvo </w:t>
      </w:r>
      <w:r w:rsidR="00E6546F">
        <w:rPr>
          <w:bCs/>
          <w:szCs w:val="24"/>
        </w:rPr>
        <w:t>ieškoma</w:t>
      </w:r>
      <w:r w:rsidR="005F4552">
        <w:rPr>
          <w:bCs/>
          <w:szCs w:val="24"/>
        </w:rPr>
        <w:t xml:space="preserve"> užsienio</w:t>
      </w:r>
      <w:r w:rsidRPr="00AD6CBA">
        <w:rPr>
          <w:bCs/>
          <w:szCs w:val="24"/>
        </w:rPr>
        <w:t xml:space="preserve"> komandiruo</w:t>
      </w:r>
      <w:r w:rsidR="005F4552">
        <w:rPr>
          <w:bCs/>
          <w:szCs w:val="24"/>
        </w:rPr>
        <w:t>tės</w:t>
      </w:r>
      <w:r w:rsidRPr="00AD6CBA">
        <w:rPr>
          <w:bCs/>
          <w:szCs w:val="24"/>
        </w:rPr>
        <w:t xml:space="preserve"> metu. Projekto vykdymo laikotarp</w:t>
      </w:r>
      <w:r w:rsidR="008B0F83">
        <w:rPr>
          <w:bCs/>
          <w:szCs w:val="24"/>
        </w:rPr>
        <w:t xml:space="preserve">iu buvo nuvykta į </w:t>
      </w:r>
      <w:r w:rsidR="00CA3FB8" w:rsidRPr="008B0F83">
        <w:rPr>
          <w:bCs/>
          <w:szCs w:val="24"/>
        </w:rPr>
        <w:t>ETA – Energia, Trasporti, Agricoltura S.r.l. (ET</w:t>
      </w:r>
      <w:r w:rsidR="00CA3FB8">
        <w:rPr>
          <w:bCs/>
          <w:szCs w:val="24"/>
        </w:rPr>
        <w:t>A Florence Renewable Energies)</w:t>
      </w:r>
      <w:r w:rsidR="00CA3FB8" w:rsidRPr="008B0F83">
        <w:rPr>
          <w:bCs/>
          <w:szCs w:val="24"/>
        </w:rPr>
        <w:t>, veikian</w:t>
      </w:r>
      <w:r w:rsidR="00CA3FB8">
        <w:rPr>
          <w:bCs/>
          <w:szCs w:val="24"/>
        </w:rPr>
        <w:t>čių</w:t>
      </w:r>
      <w:r w:rsidR="00CA3FB8" w:rsidRPr="008B0F83">
        <w:rPr>
          <w:bCs/>
          <w:szCs w:val="24"/>
        </w:rPr>
        <w:t xml:space="preserve"> kartu su Europos Komisijos Jungtiniu tyrimų centru (JRC)</w:t>
      </w:r>
      <w:r w:rsidR="00CA3FB8">
        <w:rPr>
          <w:bCs/>
          <w:szCs w:val="24"/>
        </w:rPr>
        <w:t xml:space="preserve"> </w:t>
      </w:r>
      <w:r w:rsidR="008B0F83">
        <w:rPr>
          <w:bCs/>
          <w:szCs w:val="24"/>
        </w:rPr>
        <w:t>r</w:t>
      </w:r>
      <w:r w:rsidR="008B0F83" w:rsidRPr="008B0F83">
        <w:rPr>
          <w:bCs/>
          <w:szCs w:val="24"/>
        </w:rPr>
        <w:t>enginį</w:t>
      </w:r>
      <w:r w:rsidR="00CA3FB8">
        <w:rPr>
          <w:bCs/>
          <w:szCs w:val="24"/>
        </w:rPr>
        <w:t>:</w:t>
      </w:r>
    </w:p>
    <w:p w14:paraId="67015689" w14:textId="4BCCF2F7" w:rsidR="00AD6CBA" w:rsidRDefault="008B0F83" w:rsidP="008B0F83">
      <w:pPr>
        <w:jc w:val="both"/>
        <w:rPr>
          <w:bCs/>
          <w:szCs w:val="24"/>
        </w:rPr>
      </w:pPr>
      <w:r w:rsidRPr="008B0F83">
        <w:rPr>
          <w:bCs/>
          <w:szCs w:val="24"/>
        </w:rPr>
        <w:t>„2025 EUBCE European Biomass Conference &amp; Exhibition“ (Europos biomasės konferencija ir paroda)</w:t>
      </w:r>
      <w:r w:rsidR="00CA3FB8">
        <w:rPr>
          <w:bCs/>
          <w:szCs w:val="24"/>
        </w:rPr>
        <w:t>.</w:t>
      </w:r>
      <w:r w:rsidRPr="008B0F83">
        <w:rPr>
          <w:bCs/>
          <w:szCs w:val="24"/>
        </w:rPr>
        <w:t xml:space="preserve"> </w:t>
      </w:r>
      <w:r w:rsidR="00CA3FB8" w:rsidRPr="00CA3FB8">
        <w:rPr>
          <w:bCs/>
          <w:szCs w:val="24"/>
        </w:rPr>
        <w:t>Tai viena svarbiausių tarptautinių konferencijų, skirtų biomasės, bioenergijos ir su ja susijusių technologijų tyrimams, plėtrai bei tvarumo politikai</w:t>
      </w:r>
      <w:r w:rsidR="00CA3FB8">
        <w:rPr>
          <w:bCs/>
          <w:szCs w:val="24"/>
        </w:rPr>
        <w:t>.</w:t>
      </w:r>
    </w:p>
    <w:p w14:paraId="20F4591C" w14:textId="77777777" w:rsidR="009F2515" w:rsidRDefault="009F2515" w:rsidP="009F2515">
      <w:pPr>
        <w:jc w:val="both"/>
        <w:rPr>
          <w:bCs/>
        </w:rPr>
      </w:pPr>
    </w:p>
    <w:p w14:paraId="4186B29C" w14:textId="46F6E34A" w:rsidR="009F2515" w:rsidRDefault="002D4345" w:rsidP="009F2515">
      <w:pPr>
        <w:jc w:val="both"/>
        <w:rPr>
          <w:bCs/>
        </w:rPr>
      </w:pPr>
      <w:r>
        <w:rPr>
          <w:bCs/>
        </w:rPr>
        <w:t>"</w:t>
      </w:r>
      <w:r w:rsidR="009F2515">
        <w:rPr>
          <w:bCs/>
        </w:rPr>
        <w:t xml:space="preserve">2025 </w:t>
      </w:r>
      <w:r w:rsidR="00CA3FB8" w:rsidRPr="008B0F83">
        <w:rPr>
          <w:bCs/>
          <w:szCs w:val="24"/>
        </w:rPr>
        <w:t>EUBCE</w:t>
      </w:r>
      <w:r>
        <w:rPr>
          <w:bCs/>
        </w:rPr>
        <w:t xml:space="preserve">" renginys pritraukė </w:t>
      </w:r>
      <w:r w:rsidR="00CA3FB8">
        <w:rPr>
          <w:bCs/>
        </w:rPr>
        <w:t>apie</w:t>
      </w:r>
      <w:r>
        <w:rPr>
          <w:bCs/>
        </w:rPr>
        <w:t xml:space="preserve"> 1</w:t>
      </w:r>
      <w:r w:rsidR="00CA3FB8">
        <w:rPr>
          <w:bCs/>
        </w:rPr>
        <w:t>0</w:t>
      </w:r>
      <w:r>
        <w:rPr>
          <w:bCs/>
        </w:rPr>
        <w:t xml:space="preserve">00 dalyvių iš </w:t>
      </w:r>
      <w:r w:rsidR="00CA3FB8">
        <w:rPr>
          <w:bCs/>
        </w:rPr>
        <w:t xml:space="preserve">62 </w:t>
      </w:r>
      <w:r>
        <w:rPr>
          <w:bCs/>
        </w:rPr>
        <w:t>pasaulio šalių</w:t>
      </w:r>
      <w:r w:rsidR="00CA3FB8">
        <w:rPr>
          <w:bCs/>
        </w:rPr>
        <w:t>.</w:t>
      </w:r>
      <w:r>
        <w:rPr>
          <w:bCs/>
        </w:rPr>
        <w:t xml:space="preserve"> </w:t>
      </w:r>
      <w:r w:rsidR="00CA3FB8" w:rsidRPr="00B8037E">
        <w:t>Konferencijos atidarymo metu buvo a</w:t>
      </w:r>
      <w:r w:rsidR="009F2515">
        <w:t>pi</w:t>
      </w:r>
      <w:r w:rsidR="00CA3FB8" w:rsidRPr="00B8037E">
        <w:t xml:space="preserve">brėžtas bioenergijos vaidmuo sprendžiant klimato kaitos, pramonės dekarbonizacijos ir energetinio saugumo iššūkius. </w:t>
      </w:r>
      <w:r w:rsidR="009F2515">
        <w:t>A</w:t>
      </w:r>
      <w:r w:rsidR="00CA3FB8" w:rsidRPr="00B8037E">
        <w:t>kcent</w:t>
      </w:r>
      <w:r w:rsidR="009F2515">
        <w:t>uota būtinybė</w:t>
      </w:r>
      <w:r w:rsidR="00CA3FB8" w:rsidRPr="00B8037E">
        <w:t xml:space="preserve"> spartinti pažangių biodegalų diegimą, ypač sunkiai dekarbonizuojamuose sektoriuose, tokiuose kaip aviacija ir pramonė</w:t>
      </w:r>
      <w:r w:rsidR="00CA3FB8">
        <w:t>.</w:t>
      </w:r>
      <w:r w:rsidR="009F2515">
        <w:t xml:space="preserve"> </w:t>
      </w:r>
      <w:r w:rsidR="009F2515" w:rsidRPr="00CA3FB8">
        <w:rPr>
          <w:bCs/>
        </w:rPr>
        <w:t>Konferencijos metu taip pat veikė inovacijų paroda, kurioje buvo pristatytos pažangios biomasės perdirbimo technologijos, pilotinės sistemos, nauji medžiagų srautų valdymo sprendimai bei skaitmeninės analizės įrankiai.</w:t>
      </w:r>
    </w:p>
    <w:p w14:paraId="46A36522" w14:textId="77777777" w:rsidR="009F2515" w:rsidRDefault="009F2515" w:rsidP="00CA3FB8">
      <w:pPr>
        <w:jc w:val="both"/>
        <w:rPr>
          <w:bCs/>
          <w:szCs w:val="24"/>
        </w:rPr>
      </w:pPr>
    </w:p>
    <w:p w14:paraId="2E07F7D1" w14:textId="1FE68026" w:rsidR="00CA3FB8" w:rsidRDefault="009F2515" w:rsidP="00CA3FB8">
      <w:pPr>
        <w:jc w:val="both"/>
        <w:rPr>
          <w:bCs/>
        </w:rPr>
      </w:pPr>
      <w:r w:rsidRPr="00AD6CBA">
        <w:rPr>
          <w:bCs/>
          <w:szCs w:val="24"/>
        </w:rPr>
        <w:t>Konferencijo</w:t>
      </w:r>
      <w:r>
        <w:rPr>
          <w:bCs/>
          <w:szCs w:val="24"/>
        </w:rPr>
        <w:t>jos</w:t>
      </w:r>
      <w:r w:rsidRPr="00AD6CBA">
        <w:rPr>
          <w:bCs/>
          <w:szCs w:val="24"/>
        </w:rPr>
        <w:t xml:space="preserve"> </w:t>
      </w:r>
      <w:r w:rsidR="00CA3FB8" w:rsidRPr="00CA3FB8">
        <w:rPr>
          <w:bCs/>
        </w:rPr>
        <w:t>„Modelling and decisi</w:t>
      </w:r>
      <w:r>
        <w:rPr>
          <w:bCs/>
        </w:rPr>
        <w:t>on making in bioenergy systems“</w:t>
      </w:r>
      <w:r w:rsidR="00CA3FB8" w:rsidRPr="00CA3FB8">
        <w:rPr>
          <w:bCs/>
        </w:rPr>
        <w:t xml:space="preserve"> </w:t>
      </w:r>
      <w:r w:rsidRPr="00CA3FB8">
        <w:rPr>
          <w:bCs/>
        </w:rPr>
        <w:t xml:space="preserve">sesijoje </w:t>
      </w:r>
      <w:r w:rsidRPr="007264FC">
        <w:rPr>
          <w:bCs/>
          <w:szCs w:val="24"/>
        </w:rPr>
        <w:t>LEI specialist</w:t>
      </w:r>
      <w:r>
        <w:rPr>
          <w:bCs/>
          <w:szCs w:val="24"/>
        </w:rPr>
        <w:t>ai</w:t>
      </w:r>
      <w:r w:rsidRPr="007264FC">
        <w:rPr>
          <w:bCs/>
          <w:szCs w:val="24"/>
        </w:rPr>
        <w:t xml:space="preserve"> </w:t>
      </w:r>
      <w:r w:rsidRPr="00CA3FB8">
        <w:rPr>
          <w:bCs/>
        </w:rPr>
        <w:t>prista</w:t>
      </w:r>
      <w:r>
        <w:rPr>
          <w:bCs/>
        </w:rPr>
        <w:t>tė</w:t>
      </w:r>
      <w:r w:rsidRPr="00CA3FB8">
        <w:rPr>
          <w:bCs/>
        </w:rPr>
        <w:t xml:space="preserve"> pranešim</w:t>
      </w:r>
      <w:r>
        <w:rPr>
          <w:bCs/>
        </w:rPr>
        <w:t>us:</w:t>
      </w:r>
    </w:p>
    <w:p w14:paraId="6905AFD4" w14:textId="3049F4B0" w:rsidR="002D4345" w:rsidRDefault="002D4345" w:rsidP="002D4345">
      <w:pPr>
        <w:jc w:val="both"/>
        <w:rPr>
          <w:bCs/>
        </w:rPr>
      </w:pPr>
      <w:r>
        <w:rPr>
          <w:bCs/>
        </w:rPr>
        <w:t>„</w:t>
      </w:r>
      <w:r w:rsidR="005F4552" w:rsidRPr="005F4552">
        <w:rPr>
          <w:bCs/>
        </w:rPr>
        <w:t>CFD-</w:t>
      </w:r>
      <w:r w:rsidR="00CA3FB8" w:rsidRPr="005F4552">
        <w:rPr>
          <w:bCs/>
        </w:rPr>
        <w:t>based optimization of biomass heat exchanger performance: spacer influence on pressure loss and flow behavior in double-pipes</w:t>
      </w:r>
      <w:r w:rsidR="005F4552">
        <w:rPr>
          <w:bCs/>
        </w:rPr>
        <w:t>“;</w:t>
      </w:r>
    </w:p>
    <w:p w14:paraId="5F4D96F7" w14:textId="76C6F47F" w:rsidR="005F4552" w:rsidRDefault="005F4552" w:rsidP="002D4345">
      <w:pPr>
        <w:jc w:val="both"/>
        <w:rPr>
          <w:bCs/>
        </w:rPr>
      </w:pPr>
      <w:r>
        <w:rPr>
          <w:bCs/>
        </w:rPr>
        <w:t>„</w:t>
      </w:r>
      <w:r w:rsidRPr="005F4552">
        <w:rPr>
          <w:bCs/>
        </w:rPr>
        <w:t xml:space="preserve">CFD </w:t>
      </w:r>
      <w:r w:rsidR="00CA3FB8" w:rsidRPr="005F4552">
        <w:rPr>
          <w:bCs/>
        </w:rPr>
        <w:t xml:space="preserve">investigation of membrane geometry effects </w:t>
      </w:r>
      <w:r w:rsidR="00CA3FB8">
        <w:rPr>
          <w:bCs/>
        </w:rPr>
        <w:t>o</w:t>
      </w:r>
      <w:r w:rsidR="00CA3FB8" w:rsidRPr="005F4552">
        <w:rPr>
          <w:bCs/>
        </w:rPr>
        <w:t xml:space="preserve">n convective heat loss </w:t>
      </w:r>
      <w:r w:rsidR="00CA3FB8">
        <w:rPr>
          <w:bCs/>
        </w:rPr>
        <w:t>a</w:t>
      </w:r>
      <w:r w:rsidR="00CA3FB8" w:rsidRPr="005F4552">
        <w:rPr>
          <w:bCs/>
        </w:rPr>
        <w:t xml:space="preserve">nd thermal efficiency </w:t>
      </w:r>
      <w:r w:rsidR="00CA3FB8">
        <w:rPr>
          <w:bCs/>
        </w:rPr>
        <w:t>i</w:t>
      </w:r>
      <w:r w:rsidR="00CA3FB8" w:rsidRPr="005F4552">
        <w:rPr>
          <w:bCs/>
        </w:rPr>
        <w:t>n double-membrane biogas digesters</w:t>
      </w:r>
      <w:r>
        <w:rPr>
          <w:bCs/>
        </w:rPr>
        <w:t>“</w:t>
      </w:r>
      <w:r w:rsidR="00E6546F">
        <w:rPr>
          <w:bCs/>
        </w:rPr>
        <w:t>.</w:t>
      </w:r>
    </w:p>
    <w:p w14:paraId="558948AD" w14:textId="77777777" w:rsidR="002D4345" w:rsidRPr="002D4345" w:rsidRDefault="002D4345" w:rsidP="002D4345">
      <w:pPr>
        <w:jc w:val="both"/>
        <w:rPr>
          <w:bCs/>
        </w:rPr>
      </w:pPr>
    </w:p>
    <w:p w14:paraId="2D3412F7" w14:textId="6B14F199" w:rsidR="00152CA1" w:rsidRPr="007264FC" w:rsidRDefault="00AD6CBA" w:rsidP="00AD6CBA">
      <w:pPr>
        <w:widowControl w:val="0"/>
        <w:jc w:val="both"/>
        <w:rPr>
          <w:bCs/>
          <w:szCs w:val="24"/>
        </w:rPr>
      </w:pPr>
      <w:r w:rsidRPr="007264FC">
        <w:rPr>
          <w:bCs/>
          <w:szCs w:val="24"/>
        </w:rPr>
        <w:lastRenderedPageBreak/>
        <w:t xml:space="preserve">LEI specialistų </w:t>
      </w:r>
      <w:r w:rsidR="000212E9">
        <w:rPr>
          <w:bCs/>
          <w:szCs w:val="24"/>
        </w:rPr>
        <w:t xml:space="preserve">projekte </w:t>
      </w:r>
      <w:r w:rsidRPr="007264FC">
        <w:rPr>
          <w:bCs/>
          <w:szCs w:val="24"/>
        </w:rPr>
        <w:t xml:space="preserve">sukauptos patirties pagrindu </w:t>
      </w:r>
      <w:r w:rsidR="000212E9">
        <w:rPr>
          <w:bCs/>
          <w:szCs w:val="24"/>
        </w:rPr>
        <w:t xml:space="preserve">atlikti tyrimai ir </w:t>
      </w:r>
      <w:r w:rsidR="00152CA1" w:rsidRPr="007264FC">
        <w:rPr>
          <w:bCs/>
          <w:szCs w:val="24"/>
        </w:rPr>
        <w:t xml:space="preserve">išleistos </w:t>
      </w:r>
      <w:r w:rsidR="000212E9">
        <w:rPr>
          <w:bCs/>
          <w:szCs w:val="24"/>
        </w:rPr>
        <w:t>mokslinės publikacijos:</w:t>
      </w:r>
    </w:p>
    <w:p w14:paraId="3E03D730" w14:textId="1A9F21ED" w:rsidR="00152CA1" w:rsidRPr="007264FC" w:rsidRDefault="007264FC" w:rsidP="007264FC">
      <w:pPr>
        <w:pStyle w:val="ListParagraph"/>
        <w:widowControl w:val="0"/>
        <w:numPr>
          <w:ilvl w:val="0"/>
          <w:numId w:val="4"/>
        </w:numPr>
        <w:ind w:left="360"/>
        <w:jc w:val="both"/>
        <w:rPr>
          <w:rFonts w:ascii="Times New Roman" w:hAnsi="Times New Roman"/>
          <w:bCs/>
          <w:sz w:val="24"/>
        </w:rPr>
      </w:pPr>
      <w:r w:rsidRPr="007264FC">
        <w:rPr>
          <w:rFonts w:ascii="Times New Roman" w:hAnsi="Times New Roman"/>
          <w:bCs/>
          <w:sz w:val="24"/>
        </w:rPr>
        <w:t>„</w:t>
      </w:r>
      <w:r w:rsidR="00152CA1" w:rsidRPr="007264FC">
        <w:rPr>
          <w:rFonts w:ascii="Times New Roman" w:hAnsi="Times New Roman"/>
          <w:bCs/>
          <w:sz w:val="24"/>
        </w:rPr>
        <w:t>Extensive computational fluid dynamics analysis of microchannel flow topology and friction factor in arrays of conical pin-fins</w:t>
      </w:r>
      <w:r w:rsidRPr="007264FC">
        <w:rPr>
          <w:rFonts w:ascii="Times New Roman" w:hAnsi="Times New Roman"/>
          <w:bCs/>
          <w:sz w:val="24"/>
        </w:rPr>
        <w:t>“</w:t>
      </w:r>
      <w:r>
        <w:rPr>
          <w:rFonts w:ascii="Times New Roman" w:hAnsi="Times New Roman"/>
          <w:bCs/>
          <w:sz w:val="24"/>
        </w:rPr>
        <w:t>,</w:t>
      </w:r>
      <w:r w:rsidR="00152CA1" w:rsidRPr="007264FC">
        <w:rPr>
          <w:rFonts w:ascii="Times New Roman" w:hAnsi="Times New Roman"/>
          <w:bCs/>
          <w:sz w:val="24"/>
        </w:rPr>
        <w:t xml:space="preserve"> 2024</w:t>
      </w:r>
      <w:r w:rsidRPr="007264FC">
        <w:rPr>
          <w:rFonts w:ascii="Times New Roman" w:hAnsi="Times New Roman"/>
          <w:bCs/>
          <w:sz w:val="24"/>
        </w:rPr>
        <w:t>;</w:t>
      </w:r>
    </w:p>
    <w:p w14:paraId="32B08724" w14:textId="12E74CD8"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Comparative Assessment of Flow Patterns and Hydrodynamics in Cylindrical and Hourglass-Shaped Pin-Fin Configurations</w:t>
      </w:r>
      <w:r>
        <w:rPr>
          <w:rFonts w:ascii="Times New Roman" w:hAnsi="Times New Roman"/>
          <w:bCs/>
          <w:sz w:val="24"/>
        </w:rPr>
        <w:t>“,</w:t>
      </w:r>
      <w:r w:rsidR="00152CA1" w:rsidRPr="007264FC">
        <w:rPr>
          <w:rFonts w:ascii="Times New Roman" w:hAnsi="Times New Roman"/>
          <w:bCs/>
          <w:sz w:val="24"/>
        </w:rPr>
        <w:t xml:space="preserve"> 2024</w:t>
      </w:r>
      <w:r>
        <w:rPr>
          <w:rFonts w:ascii="Times New Roman" w:hAnsi="Times New Roman"/>
          <w:bCs/>
          <w:sz w:val="24"/>
        </w:rPr>
        <w:t>;</w:t>
      </w:r>
    </w:p>
    <w:p w14:paraId="4BBA2FA6" w14:textId="4E7BB510"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Shear Number as a Practical Tool for Flow Regime Evaluation and Education</w:t>
      </w:r>
      <w:r>
        <w:rPr>
          <w:rFonts w:ascii="Times New Roman" w:hAnsi="Times New Roman"/>
          <w:bCs/>
          <w:sz w:val="24"/>
        </w:rPr>
        <w:t>“</w:t>
      </w:r>
      <w:r w:rsidR="00152CA1" w:rsidRPr="007264FC">
        <w:rPr>
          <w:rFonts w:ascii="Times New Roman" w:hAnsi="Times New Roman"/>
          <w:bCs/>
          <w:sz w:val="24"/>
        </w:rPr>
        <w:t>, 2025</w:t>
      </w:r>
      <w:r>
        <w:rPr>
          <w:rFonts w:ascii="Times New Roman" w:hAnsi="Times New Roman"/>
          <w:bCs/>
          <w:sz w:val="24"/>
        </w:rPr>
        <w:t>;</w:t>
      </w:r>
    </w:p>
    <w:p w14:paraId="49F42D70" w14:textId="30833D55"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CFD and experimental insights into natural convection in symmetrically heated vertical cylinders for renewable energy accumulation</w:t>
      </w:r>
      <w:r>
        <w:rPr>
          <w:rFonts w:ascii="Times New Roman" w:hAnsi="Times New Roman"/>
          <w:bCs/>
          <w:sz w:val="24"/>
        </w:rPr>
        <w:t>“</w:t>
      </w:r>
      <w:r w:rsidR="00152CA1" w:rsidRPr="007264FC">
        <w:rPr>
          <w:rFonts w:ascii="Times New Roman" w:hAnsi="Times New Roman"/>
          <w:bCs/>
          <w:sz w:val="24"/>
        </w:rPr>
        <w:t>, 2025</w:t>
      </w:r>
      <w:r w:rsidR="000212E9">
        <w:rPr>
          <w:rFonts w:ascii="Times New Roman" w:hAnsi="Times New Roman"/>
          <w:bCs/>
          <w:sz w:val="24"/>
        </w:rPr>
        <w:t>.</w:t>
      </w:r>
    </w:p>
    <w:p w14:paraId="6442F4BC" w14:textId="77777777" w:rsidR="00152CA1" w:rsidRDefault="00152CA1" w:rsidP="00152CA1">
      <w:pPr>
        <w:widowControl w:val="0"/>
        <w:jc w:val="both"/>
        <w:rPr>
          <w:bCs/>
          <w:szCs w:val="24"/>
        </w:rPr>
      </w:pPr>
    </w:p>
    <w:p w14:paraId="6BE3CC52" w14:textId="43609F6A" w:rsidR="00AD6CBA" w:rsidRPr="00AD6CBA" w:rsidRDefault="00AD6CBA" w:rsidP="00AD6CBA">
      <w:pPr>
        <w:widowControl w:val="0"/>
        <w:jc w:val="both"/>
        <w:rPr>
          <w:szCs w:val="24"/>
        </w:rPr>
      </w:pPr>
      <w:r w:rsidRPr="00AD6CBA">
        <w:rPr>
          <w:bCs/>
          <w:szCs w:val="24"/>
        </w:rPr>
        <w:t xml:space="preserve">Projektas įgyvendintas pagal Sutartyje </w:t>
      </w:r>
      <w:r w:rsidRPr="00AD6CBA">
        <w:rPr>
          <w:b/>
          <w:bCs/>
          <w:szCs w:val="24"/>
        </w:rPr>
        <w:t>NR.</w:t>
      </w:r>
      <w:r w:rsidRPr="00AD6CBA">
        <w:rPr>
          <w:bCs/>
          <w:szCs w:val="24"/>
        </w:rPr>
        <w:t xml:space="preserve"> </w:t>
      </w:r>
      <w:r w:rsidRPr="00AD6CBA">
        <w:rPr>
          <w:b/>
          <w:bCs/>
          <w:iCs/>
          <w:szCs w:val="24"/>
        </w:rPr>
        <w:t>10-038-T-01</w:t>
      </w:r>
      <w:r w:rsidR="00272078">
        <w:rPr>
          <w:b/>
          <w:bCs/>
          <w:iCs/>
          <w:szCs w:val="24"/>
        </w:rPr>
        <w:t>62</w:t>
      </w:r>
      <w:r w:rsidRPr="00AD6CBA">
        <w:rPr>
          <w:b/>
          <w:bCs/>
          <w:iCs/>
          <w:szCs w:val="24"/>
        </w:rPr>
        <w:t xml:space="preserve">, </w:t>
      </w:r>
      <w:r w:rsidRPr="00AD6CBA">
        <w:rPr>
          <w:bCs/>
          <w:szCs w:val="24"/>
        </w:rPr>
        <w:t>2022-2030 metų plėtros programos valdytojos Lietuvos Respublikos švietimo, mokslo ir sporto ministerijos plėtros programos pažangos priemonės Nr. 12-001-01-02-01 „Stiprinti inovacijų ekosistemas mokslo centruose</w:t>
      </w:r>
      <w:r w:rsidRPr="00AD6CBA">
        <w:rPr>
          <w:szCs w:val="24"/>
        </w:rPr>
        <w:t>“ aprašo, patvirtinto</w:t>
      </w:r>
      <w:r w:rsidRPr="00AD6CBA">
        <w:rPr>
          <w:i/>
          <w:szCs w:val="24"/>
        </w:rPr>
        <w:t xml:space="preserve"> </w:t>
      </w:r>
      <w:r w:rsidRPr="00AD6CBA">
        <w:rPr>
          <w:szCs w:val="24"/>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AD6CBA">
        <w:rPr>
          <w:szCs w:val="24"/>
          <w:shd w:val="clear" w:color="auto" w:fill="FFFFFF"/>
        </w:rPr>
        <w:t xml:space="preserve">2022–2030 m. plėtros programos valdytojos Lietuvos Respublikos švietimo, mokslo ir sporto ministerijos mokslo plėtros programos </w:t>
      </w:r>
      <w:r w:rsidRPr="00AD6CBA">
        <w:rPr>
          <w:szCs w:val="24"/>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AD6CBA">
        <w:rPr>
          <w:iCs/>
          <w:szCs w:val="24"/>
        </w:rPr>
        <w:t xml:space="preserve"> (toliau – Taisyklės) </w:t>
      </w:r>
      <w:r w:rsidRPr="00AD6CBA">
        <w:rPr>
          <w:szCs w:val="24"/>
        </w:rPr>
        <w:t xml:space="preserve">ir (arba) Finansinių priemonių įgyvendinimo taisyklėse, </w:t>
      </w:r>
      <w:r w:rsidRPr="00AD6CB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AD6CBA">
        <w:rPr>
          <w:szCs w:val="24"/>
        </w:rPr>
        <w:t>,</w:t>
      </w:r>
      <w:r w:rsidRPr="00AD6CBA">
        <w:rPr>
          <w:i/>
          <w:iCs/>
          <w:szCs w:val="24"/>
        </w:rPr>
        <w:t xml:space="preserve"> </w:t>
      </w:r>
      <w:r w:rsidRPr="00AD6CBA">
        <w:rPr>
          <w:szCs w:val="24"/>
        </w:rPr>
        <w:t>ir juose nurodytuose E</w:t>
      </w:r>
      <w:bookmarkStart w:id="4" w:name="_GoBack"/>
      <w:bookmarkEnd w:id="4"/>
      <w:r w:rsidRPr="00AD6CBA">
        <w:rPr>
          <w:szCs w:val="24"/>
        </w:rPr>
        <w:t xml:space="preserve">S ir Lietuvos Respublikos teisės aktuose nustatytas sąlygas ir tvarką. </w:t>
      </w:r>
    </w:p>
    <w:p w14:paraId="1D224A6C" w14:textId="77777777" w:rsidR="00AD6CBA" w:rsidRDefault="00AD6CBA" w:rsidP="00AD6CBA">
      <w:pPr>
        <w:jc w:val="both"/>
        <w:rPr>
          <w:bCs/>
          <w:szCs w:val="24"/>
        </w:rPr>
      </w:pPr>
      <w:r w:rsidRPr="00AD6CBA">
        <w:rPr>
          <w:bCs/>
          <w:szCs w:val="24"/>
        </w:rPr>
        <w:t>Projekto viešinimo sąlygos įgyvendintos pagal sutartyje nurodytus reikalavimus.</w:t>
      </w:r>
    </w:p>
    <w:p w14:paraId="529ABCEC" w14:textId="77777777" w:rsidR="00361FFB" w:rsidRDefault="00361FFB" w:rsidP="00AD6CBA">
      <w:pPr>
        <w:jc w:val="both"/>
        <w:rPr>
          <w:bCs/>
          <w:szCs w:val="24"/>
        </w:rPr>
      </w:pPr>
    </w:p>
    <w:p w14:paraId="4785982E" w14:textId="77777777" w:rsidR="00361FFB" w:rsidRPr="00361FFB" w:rsidRDefault="00361FFB" w:rsidP="00361FFB">
      <w:pPr>
        <w:rPr>
          <w:bCs/>
          <w:szCs w:val="24"/>
        </w:rPr>
      </w:pPr>
      <w:r w:rsidRPr="00361FFB">
        <w:rPr>
          <w:bCs/>
          <w:szCs w:val="24"/>
        </w:rPr>
        <w:t>Projekto vadovas</w:t>
      </w:r>
    </w:p>
    <w:p w14:paraId="6B2BEBFC" w14:textId="162D3CD9" w:rsidR="00361FFB" w:rsidRPr="00361FFB" w:rsidRDefault="00457C09" w:rsidP="00361FFB">
      <w:pPr>
        <w:rPr>
          <w:bCs/>
          <w:szCs w:val="24"/>
        </w:rPr>
      </w:pPr>
      <w:r>
        <w:rPr>
          <w:bCs/>
          <w:szCs w:val="24"/>
        </w:rPr>
        <w:t>Raimondas Pabarčius</w:t>
      </w:r>
    </w:p>
    <w:p w14:paraId="66182663" w14:textId="77777777" w:rsidR="00361FFB" w:rsidRPr="00AD6CBA" w:rsidRDefault="00361FFB" w:rsidP="00AD6CBA">
      <w:pPr>
        <w:jc w:val="both"/>
        <w:rPr>
          <w:bCs/>
          <w:szCs w:val="24"/>
        </w:rPr>
      </w:pPr>
    </w:p>
    <w:p w14:paraId="7D684495" w14:textId="77777777" w:rsidR="008360A7" w:rsidRPr="00AD6CBA" w:rsidRDefault="008360A7" w:rsidP="008360A7">
      <w:pPr>
        <w:rPr>
          <w:bCs/>
          <w:szCs w:val="24"/>
        </w:rPr>
      </w:pPr>
    </w:p>
    <w:p w14:paraId="015C0938"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lang w:val="en-US"/>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27A35578" w14:textId="77777777" w:rsidR="008360A7" w:rsidRPr="00AD6CBA" w:rsidRDefault="008360A7" w:rsidP="008360A7">
      <w:pPr>
        <w:suppressAutoHyphens/>
        <w:autoSpaceDE w:val="0"/>
        <w:autoSpaceDN w:val="0"/>
        <w:adjustRightInd w:val="0"/>
        <w:textAlignment w:val="center"/>
        <w:rPr>
          <w:noProof/>
          <w:szCs w:val="24"/>
        </w:rPr>
      </w:pPr>
      <w:r w:rsidRPr="00AD6CBA">
        <w:rPr>
          <w:bCs/>
          <w:szCs w:val="24"/>
        </w:rPr>
        <w:t>Finansuoja Europos Sąjunga NextGenerationEU</w:t>
      </w:r>
    </w:p>
    <w:p w14:paraId="4012A1D5"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77777777" w:rsidR="00EF1785" w:rsidRPr="00C705F0" w:rsidRDefault="00EF1785" w:rsidP="008360A7">
      <w:pPr>
        <w:pStyle w:val="Header"/>
        <w:jc w:val="right"/>
        <w:rPr>
          <w:rFonts w:ascii="Times New Roman" w:hAnsi="Times New Roman" w:cs="Times New Roman"/>
          <w:bCs/>
          <w:sz w:val="28"/>
          <w:szCs w:val="28"/>
        </w:rPr>
      </w:pPr>
    </w:p>
    <w:sectPr w:rsidR="00EF1785" w:rsidRPr="00C705F0" w:rsidSect="007272AB">
      <w:headerReference w:type="default"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0390D" w14:textId="77777777" w:rsidR="007264FC" w:rsidRDefault="007264FC" w:rsidP="00FF1B8F">
      <w:r>
        <w:separator/>
      </w:r>
    </w:p>
  </w:endnote>
  <w:endnote w:type="continuationSeparator" w:id="0">
    <w:p w14:paraId="45A4516A" w14:textId="77777777" w:rsidR="007264FC" w:rsidRDefault="007264FC"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84AFC" w14:textId="49D9AF68" w:rsidR="007264FC" w:rsidRDefault="007264FC" w:rsidP="00B13059">
    <w:pPr>
      <w:jc w:val="center"/>
      <w:rPr>
        <w:rFonts w:asciiTheme="majorBidi" w:hAnsiTheme="majorBidi" w:cstheme="majorBidi"/>
        <w:szCs w:val="24"/>
      </w:rPr>
    </w:pPr>
    <w:bookmarkStart w:id="2" w:name="_Hlk122596552"/>
    <w:bookmarkStart w:id="3" w:name="_Hlk122596553"/>
    <w:r>
      <w:rPr>
        <w:noProof/>
        <w:lang w:val="en-US"/>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7264FC" w:rsidRDefault="007264FC" w:rsidP="00B13059">
    <w:pPr>
      <w:jc w:val="center"/>
      <w:rPr>
        <w:rFonts w:asciiTheme="majorBidi" w:hAnsiTheme="majorBidi" w:cstheme="majorBidi"/>
        <w:szCs w:val="24"/>
      </w:rPr>
    </w:pPr>
    <w:r>
      <w:rPr>
        <w:rFonts w:asciiTheme="majorBidi" w:hAnsiTheme="majorBidi" w:cstheme="majorBidi"/>
        <w:szCs w:val="24"/>
      </w:rPr>
      <w:t>Kaunas, 2025</w:t>
    </w:r>
  </w:p>
  <w:p w14:paraId="3DD195DD" w14:textId="5A8E901C" w:rsidR="007264FC" w:rsidRDefault="007264FC" w:rsidP="00EF1785">
    <w:pPr>
      <w:ind w:firstLine="426"/>
      <w:rPr>
        <w:rFonts w:asciiTheme="majorBidi" w:hAnsiTheme="majorBidi" w:cstheme="majorBidi"/>
        <w:szCs w:val="24"/>
      </w:rPr>
    </w:pPr>
    <w:r>
      <w:rPr>
        <w:noProof/>
        <w:lang w:val="en-US"/>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A2F7" w14:textId="11ED15B4" w:rsidR="007264FC" w:rsidRDefault="007264FC" w:rsidP="00B13059">
    <w:pPr>
      <w:jc w:val="center"/>
      <w:rPr>
        <w:rFonts w:asciiTheme="majorBidi" w:hAnsiTheme="majorBidi" w:cstheme="majorBidi"/>
        <w:szCs w:val="24"/>
      </w:rPr>
    </w:pPr>
  </w:p>
  <w:p w14:paraId="56D9B24F" w14:textId="2691E83F" w:rsidR="007264FC" w:rsidRDefault="007264FC" w:rsidP="00EF1785">
    <w:pPr>
      <w:ind w:firstLine="426"/>
      <w:rPr>
        <w:rFonts w:asciiTheme="majorBidi" w:hAnsiTheme="majorBidi" w:cstheme="majorBid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A311" w14:textId="77777777" w:rsidR="007264FC" w:rsidRDefault="00726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34A3" w14:textId="77777777" w:rsidR="007264FC" w:rsidRDefault="007264FC" w:rsidP="00FF1B8F">
      <w:r>
        <w:separator/>
      </w:r>
    </w:p>
  </w:footnote>
  <w:footnote w:type="continuationSeparator" w:id="0">
    <w:p w14:paraId="0E3B230D" w14:textId="77777777" w:rsidR="007264FC" w:rsidRDefault="007264FC" w:rsidP="00FF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23EF" w14:textId="33BFF31E" w:rsidR="007264FC" w:rsidRDefault="007264FC" w:rsidP="00FF1B8F">
    <w:pPr>
      <w:pStyle w:val="Header"/>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7264FC" w:rsidRDefault="007264FC" w:rsidP="00002100">
    <w:pPr>
      <w:pStyle w:val="Header"/>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7264FC" w:rsidRDefault="007264FC" w:rsidP="00B83382">
    <w:pPr>
      <w:pStyle w:val="Header"/>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D1E3" w14:textId="3D55716C" w:rsidR="007264FC" w:rsidRDefault="007264FC" w:rsidP="00FF1B8F">
    <w:pPr>
      <w:pStyle w:val="Header"/>
      <w:tabs>
        <w:tab w:val="left" w:pos="2383"/>
        <w:tab w:val="center" w:pos="4819"/>
      </w:tabs>
      <w:jc w:val="center"/>
    </w:pPr>
  </w:p>
  <w:p w14:paraId="62D8B1E4" w14:textId="4C5393AF" w:rsidR="007264FC" w:rsidRDefault="007264FC" w:rsidP="00B83382">
    <w:pPr>
      <w:pStyle w:val="Header"/>
      <w:tabs>
        <w:tab w:val="left" w:pos="2383"/>
        <w:tab w:val="center" w:pos="4819"/>
      </w:tabs>
      <w:spacing w:before="60"/>
      <w:ind w:right="56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4FF4" w14:textId="77777777" w:rsidR="007264FC" w:rsidRDefault="00726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614F8"/>
    <w:multiLevelType w:val="hybridMultilevel"/>
    <w:tmpl w:val="3EA826EA"/>
    <w:lvl w:ilvl="0" w:tplc="68E6B062">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E"/>
    <w:rsid w:val="00002100"/>
    <w:rsid w:val="000212E9"/>
    <w:rsid w:val="000262A9"/>
    <w:rsid w:val="00044DB2"/>
    <w:rsid w:val="00055856"/>
    <w:rsid w:val="00056941"/>
    <w:rsid w:val="0007650F"/>
    <w:rsid w:val="000B22D3"/>
    <w:rsid w:val="000F7EA4"/>
    <w:rsid w:val="00110211"/>
    <w:rsid w:val="00146FEE"/>
    <w:rsid w:val="00152CA1"/>
    <w:rsid w:val="001D4976"/>
    <w:rsid w:val="001E5586"/>
    <w:rsid w:val="001F7405"/>
    <w:rsid w:val="00247E15"/>
    <w:rsid w:val="00272078"/>
    <w:rsid w:val="00286CA0"/>
    <w:rsid w:val="002A097C"/>
    <w:rsid w:val="002D4345"/>
    <w:rsid w:val="00333564"/>
    <w:rsid w:val="003400FA"/>
    <w:rsid w:val="003439D9"/>
    <w:rsid w:val="00361FFB"/>
    <w:rsid w:val="003A6E76"/>
    <w:rsid w:val="003B27C2"/>
    <w:rsid w:val="003B447F"/>
    <w:rsid w:val="003D7A2F"/>
    <w:rsid w:val="003F194D"/>
    <w:rsid w:val="00457C09"/>
    <w:rsid w:val="004E4344"/>
    <w:rsid w:val="00551A3A"/>
    <w:rsid w:val="00586296"/>
    <w:rsid w:val="005C5BDF"/>
    <w:rsid w:val="005C5C8E"/>
    <w:rsid w:val="005D3585"/>
    <w:rsid w:val="005F4552"/>
    <w:rsid w:val="0062067C"/>
    <w:rsid w:val="00671C07"/>
    <w:rsid w:val="007264FC"/>
    <w:rsid w:val="007272AB"/>
    <w:rsid w:val="0073517C"/>
    <w:rsid w:val="007C482A"/>
    <w:rsid w:val="007C7E75"/>
    <w:rsid w:val="00811240"/>
    <w:rsid w:val="00813934"/>
    <w:rsid w:val="00813ADE"/>
    <w:rsid w:val="008360A7"/>
    <w:rsid w:val="00860812"/>
    <w:rsid w:val="008B0F83"/>
    <w:rsid w:val="008E5671"/>
    <w:rsid w:val="00923957"/>
    <w:rsid w:val="0093312C"/>
    <w:rsid w:val="00986F64"/>
    <w:rsid w:val="009E6628"/>
    <w:rsid w:val="009F24C9"/>
    <w:rsid w:val="009F2515"/>
    <w:rsid w:val="00A73E68"/>
    <w:rsid w:val="00AB27A0"/>
    <w:rsid w:val="00AD6CBA"/>
    <w:rsid w:val="00B13059"/>
    <w:rsid w:val="00B1412F"/>
    <w:rsid w:val="00B37047"/>
    <w:rsid w:val="00B71FC5"/>
    <w:rsid w:val="00B83382"/>
    <w:rsid w:val="00B864BA"/>
    <w:rsid w:val="00BC18C7"/>
    <w:rsid w:val="00BF255E"/>
    <w:rsid w:val="00C026CE"/>
    <w:rsid w:val="00C705F0"/>
    <w:rsid w:val="00CA3FB8"/>
    <w:rsid w:val="00CB57B4"/>
    <w:rsid w:val="00CC7346"/>
    <w:rsid w:val="00CF4935"/>
    <w:rsid w:val="00D0281D"/>
    <w:rsid w:val="00D84F96"/>
    <w:rsid w:val="00DF2B1E"/>
    <w:rsid w:val="00E2491E"/>
    <w:rsid w:val="00E6546F"/>
    <w:rsid w:val="00E9087F"/>
    <w:rsid w:val="00EA7371"/>
    <w:rsid w:val="00EE125F"/>
    <w:rsid w:val="00EF1785"/>
    <w:rsid w:val="00F45D47"/>
    <w:rsid w:val="00F64CF5"/>
    <w:rsid w:val="00F82B0F"/>
    <w:rsid w:val="00FF1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435C"/>
  <w15:chartTrackingRefBased/>
  <w15:docId w15:val="{2F841C40-5D03-447A-91CB-04704ED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F1B8F"/>
  </w:style>
  <w:style w:type="paragraph" w:styleId="Footer">
    <w:name w:val="footer"/>
    <w:basedOn w:val="Normal"/>
    <w:link w:val="Foot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1B8F"/>
  </w:style>
  <w:style w:type="paragraph" w:customStyle="1" w:styleId="a">
    <w:basedOn w:val="Normal"/>
    <w:next w:val="Subtitle"/>
    <w:qFormat/>
    <w:rsid w:val="00AB27A0"/>
    <w:pPr>
      <w:jc w:val="center"/>
    </w:pPr>
    <w:rPr>
      <w:i/>
      <w:sz w:val="28"/>
    </w:rPr>
  </w:style>
  <w:style w:type="paragraph" w:styleId="Subtitle">
    <w:name w:val="Subtitle"/>
    <w:basedOn w:val="Normal"/>
    <w:next w:val="Normal"/>
    <w:link w:val="SubtitleChar"/>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27A0"/>
    <w:rPr>
      <w:rFonts w:eastAsiaTheme="minorEastAsia"/>
      <w:color w:val="5A5A5A" w:themeColor="text1" w:themeTint="A5"/>
      <w:spacing w:val="15"/>
      <w:lang w:val="lt-LT"/>
    </w:rPr>
  </w:style>
  <w:style w:type="paragraph" w:styleId="ListParagraph">
    <w:name w:val="List Paragraph"/>
    <w:basedOn w:val="Normal"/>
    <w:uiPriority w:val="34"/>
    <w:qFormat/>
    <w:rsid w:val="008360A7"/>
    <w:pPr>
      <w:ind w:left="720"/>
      <w:contextualSpacing/>
    </w:pPr>
    <w:rPr>
      <w:rFonts w:ascii="Gotham Book" w:hAnsi="Gotham Book"/>
      <w:sz w:val="20"/>
      <w:szCs w:val="24"/>
      <w:lang w:eastAsia="lt-LT"/>
    </w:rPr>
  </w:style>
  <w:style w:type="character" w:styleId="CommentReference">
    <w:name w:val="annotation reference"/>
    <w:basedOn w:val="DefaultParagraphFont"/>
    <w:uiPriority w:val="99"/>
    <w:semiHidden/>
    <w:unhideWhenUsed/>
    <w:rsid w:val="008360A7"/>
    <w:rPr>
      <w:sz w:val="16"/>
      <w:szCs w:val="16"/>
    </w:rPr>
  </w:style>
  <w:style w:type="paragraph" w:styleId="CommentText">
    <w:name w:val="annotation text"/>
    <w:basedOn w:val="Normal"/>
    <w:link w:val="CommentTextChar"/>
    <w:uiPriority w:val="99"/>
    <w:unhideWhenUsed/>
    <w:rsid w:val="008360A7"/>
    <w:rPr>
      <w:rFonts w:ascii="Gotham Book" w:hAnsi="Gotham Book"/>
      <w:sz w:val="20"/>
      <w:lang w:eastAsia="lt-LT"/>
    </w:rPr>
  </w:style>
  <w:style w:type="character" w:customStyle="1" w:styleId="CommentTextChar">
    <w:name w:val="Comment Text Char"/>
    <w:basedOn w:val="DefaultParagraphFont"/>
    <w:link w:val="CommentText"/>
    <w:uiPriority w:val="99"/>
    <w:rsid w:val="008360A7"/>
    <w:rPr>
      <w:rFonts w:ascii="Gotham Book" w:eastAsia="Times New Roman" w:hAnsi="Gotham Book"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33475">
      <w:bodyDiv w:val="1"/>
      <w:marLeft w:val="0"/>
      <w:marRight w:val="0"/>
      <w:marTop w:val="0"/>
      <w:marBottom w:val="0"/>
      <w:divBdr>
        <w:top w:val="none" w:sz="0" w:space="0" w:color="auto"/>
        <w:left w:val="none" w:sz="0" w:space="0" w:color="auto"/>
        <w:bottom w:val="none" w:sz="0" w:space="0" w:color="auto"/>
        <w:right w:val="none" w:sz="0" w:space="0" w:color="auto"/>
      </w:divBdr>
    </w:div>
    <w:div w:id="1550679878">
      <w:bodyDiv w:val="1"/>
      <w:marLeft w:val="0"/>
      <w:marRight w:val="0"/>
      <w:marTop w:val="0"/>
      <w:marBottom w:val="0"/>
      <w:divBdr>
        <w:top w:val="none" w:sz="0" w:space="0" w:color="auto"/>
        <w:left w:val="none" w:sz="0" w:space="0" w:color="auto"/>
        <w:bottom w:val="none" w:sz="0" w:space="0" w:color="auto"/>
        <w:right w:val="none" w:sz="0" w:space="0" w:color="auto"/>
      </w:divBdr>
      <w:divsChild>
        <w:div w:id="120941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BC8E-7BB5-476B-97E9-0C38F712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864</Words>
  <Characters>4929</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Marijus Seporaitis</cp:lastModifiedBy>
  <cp:revision>8</cp:revision>
  <cp:lastPrinted>2022-12-21T11:23:00Z</cp:lastPrinted>
  <dcterms:created xsi:type="dcterms:W3CDTF">2025-11-05T09:16:00Z</dcterms:created>
  <dcterms:modified xsi:type="dcterms:W3CDTF">2025-11-07T12:00:00Z</dcterms:modified>
</cp:coreProperties>
</file>