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6DB26" w14:textId="6C7CBD93" w:rsidR="00602234" w:rsidRPr="00193A14" w:rsidRDefault="00602234" w:rsidP="00BA4F79">
      <w:pPr>
        <w:pStyle w:val="paragraph"/>
        <w:spacing w:before="120" w:beforeAutospacing="0" w:after="120" w:afterAutospacing="0"/>
        <w:ind w:left="1260" w:hanging="810"/>
        <w:jc w:val="right"/>
        <w:textAlignment w:val="baseline"/>
        <w:rPr>
          <w:rStyle w:val="normaltextrun"/>
          <w:rFonts w:asciiTheme="minorHAnsi" w:eastAsia="Arial" w:hAnsiTheme="minorHAnsi" w:cstheme="minorHAnsi"/>
          <w:b/>
          <w:bCs/>
        </w:rPr>
      </w:pPr>
      <w:r w:rsidRPr="00193A14">
        <w:rPr>
          <w:rStyle w:val="normaltextrun"/>
          <w:rFonts w:asciiTheme="minorHAnsi" w:eastAsia="Arial" w:hAnsiTheme="minorHAnsi" w:cstheme="minorHAnsi"/>
          <w:b/>
          <w:bCs/>
          <w:lang w:val="lt-LT"/>
        </w:rPr>
        <w:t>P</w:t>
      </w:r>
      <w:r w:rsidR="00BA4F79" w:rsidRPr="00193A14">
        <w:rPr>
          <w:rStyle w:val="normaltextrun"/>
          <w:rFonts w:asciiTheme="minorHAnsi" w:eastAsia="Arial" w:hAnsiTheme="minorHAnsi" w:cstheme="minorHAnsi"/>
          <w:b/>
          <w:bCs/>
          <w:lang w:val="lt-LT"/>
        </w:rPr>
        <w:t>RIEDAS</w:t>
      </w:r>
      <w:r w:rsidRPr="00193A14">
        <w:rPr>
          <w:rStyle w:val="normaltextrun"/>
          <w:rFonts w:asciiTheme="minorHAnsi" w:eastAsia="Arial" w:hAnsiTheme="minorHAnsi" w:cstheme="minorHAnsi"/>
          <w:b/>
          <w:bCs/>
          <w:lang w:val="lt-LT"/>
        </w:rPr>
        <w:t xml:space="preserve"> 2</w:t>
      </w:r>
    </w:p>
    <w:p w14:paraId="5A1204C3" w14:textId="77777777" w:rsidR="00602234" w:rsidRPr="00193A14" w:rsidRDefault="00602234" w:rsidP="00602234">
      <w:pPr>
        <w:pStyle w:val="paragraph"/>
        <w:spacing w:before="120" w:beforeAutospacing="0" w:after="120" w:afterAutospacing="0"/>
        <w:ind w:left="1260" w:hanging="810"/>
        <w:jc w:val="both"/>
        <w:textAlignment w:val="baseline"/>
        <w:rPr>
          <w:rStyle w:val="normaltextrun"/>
          <w:rFonts w:asciiTheme="minorHAnsi" w:eastAsia="Arial" w:hAnsiTheme="minorHAnsi" w:cstheme="minorHAnsi"/>
          <w:b/>
          <w:bCs/>
          <w:lang w:val="lt-LT"/>
        </w:rPr>
      </w:pPr>
    </w:p>
    <w:p w14:paraId="004DA361" w14:textId="507F62E5" w:rsidR="00602234" w:rsidRPr="00193A14" w:rsidRDefault="00602234" w:rsidP="00602234">
      <w:pPr>
        <w:pStyle w:val="paragraph"/>
        <w:spacing w:before="120" w:beforeAutospacing="0" w:after="120" w:afterAutospacing="0"/>
        <w:ind w:left="1260" w:hanging="810"/>
        <w:jc w:val="both"/>
        <w:textAlignment w:val="baseline"/>
        <w:rPr>
          <w:rStyle w:val="normaltextrun"/>
          <w:rFonts w:asciiTheme="minorHAnsi" w:eastAsiaTheme="majorEastAsia" w:hAnsiTheme="minorHAnsi" w:cstheme="minorHAnsi"/>
          <w:b/>
          <w:bCs/>
          <w:lang w:val="lt-LT"/>
        </w:rPr>
      </w:pPr>
      <w:r w:rsidRPr="00193A14">
        <w:rPr>
          <w:rStyle w:val="normaltextrun"/>
          <w:rFonts w:asciiTheme="minorHAnsi" w:eastAsiaTheme="majorEastAsia" w:hAnsiTheme="minorHAnsi" w:cstheme="minorHAnsi"/>
          <w:b/>
          <w:bCs/>
          <w:lang w:val="lt-LT"/>
        </w:rPr>
        <w:t xml:space="preserve">Gairės </w:t>
      </w:r>
      <w:r w:rsidR="00193A14" w:rsidRPr="00193A14">
        <w:rPr>
          <w:rStyle w:val="normaltextrun"/>
          <w:rFonts w:asciiTheme="minorHAnsi" w:eastAsiaTheme="majorEastAsia" w:hAnsiTheme="minorHAnsi" w:cstheme="minorHAnsi"/>
          <w:b/>
          <w:bCs/>
          <w:lang w:val="lt-LT"/>
        </w:rPr>
        <w:t>techninei specifikacijai</w:t>
      </w:r>
      <w:r w:rsidR="00193A14" w:rsidRPr="00193A14">
        <w:rPr>
          <w:rStyle w:val="normaltextrun"/>
          <w:rFonts w:asciiTheme="minorHAnsi" w:eastAsia="Arial" w:hAnsiTheme="minorHAnsi" w:cstheme="minorHAnsi"/>
          <w:b/>
          <w:bCs/>
          <w:lang w:val="lt-LT"/>
        </w:rPr>
        <w:t xml:space="preserve"> </w:t>
      </w:r>
      <w:proofErr w:type="spellStart"/>
      <w:r w:rsidRPr="00193A14">
        <w:rPr>
          <w:rStyle w:val="normaltextrun"/>
          <w:rFonts w:asciiTheme="minorHAnsi" w:eastAsia="Arial" w:hAnsiTheme="minorHAnsi" w:cstheme="minorHAnsi"/>
          <w:b/>
          <w:bCs/>
          <w:lang w:val="lt-LT"/>
        </w:rPr>
        <w:t>psichometrin</w:t>
      </w:r>
      <w:r w:rsidR="00193A14" w:rsidRPr="00193A14">
        <w:rPr>
          <w:rStyle w:val="normaltextrun"/>
          <w:rFonts w:asciiTheme="minorHAnsi" w:eastAsia="Arial" w:hAnsiTheme="minorHAnsi" w:cstheme="minorHAnsi"/>
          <w:b/>
          <w:bCs/>
          <w:lang w:val="lt-LT"/>
        </w:rPr>
        <w:t>į</w:t>
      </w:r>
      <w:proofErr w:type="spellEnd"/>
      <w:r w:rsidRPr="00193A14">
        <w:rPr>
          <w:rStyle w:val="normaltextrun"/>
          <w:rFonts w:asciiTheme="minorHAnsi" w:eastAsia="Arial" w:hAnsiTheme="minorHAnsi" w:cstheme="minorHAnsi"/>
          <w:b/>
          <w:bCs/>
          <w:lang w:val="lt-LT"/>
        </w:rPr>
        <w:t xml:space="preserve"> test</w:t>
      </w:r>
      <w:r w:rsidR="00193A14" w:rsidRPr="00193A14">
        <w:rPr>
          <w:rStyle w:val="normaltextrun"/>
          <w:rFonts w:asciiTheme="minorHAnsi" w:eastAsia="Arial" w:hAnsiTheme="minorHAnsi" w:cstheme="minorHAnsi"/>
          <w:b/>
          <w:bCs/>
          <w:lang w:val="lt-LT"/>
        </w:rPr>
        <w:t>ą</w:t>
      </w:r>
      <w:r w:rsidRPr="00193A14">
        <w:rPr>
          <w:rStyle w:val="normaltextrun"/>
          <w:rFonts w:asciiTheme="minorHAnsi" w:eastAsia="Arial" w:hAnsiTheme="minorHAnsi" w:cstheme="minorHAnsi"/>
          <w:b/>
          <w:bCs/>
          <w:lang w:val="lt-LT"/>
        </w:rPr>
        <w:t xml:space="preserve"> </w:t>
      </w:r>
      <w:r w:rsidR="00193A14" w:rsidRPr="00193A14">
        <w:rPr>
          <w:rStyle w:val="normaltextrun"/>
          <w:rFonts w:asciiTheme="minorHAnsi" w:eastAsia="Arial" w:hAnsiTheme="minorHAnsi" w:cstheme="minorHAnsi"/>
          <w:b/>
          <w:bCs/>
          <w:lang w:val="lt-LT"/>
        </w:rPr>
        <w:t>įsigyti</w:t>
      </w:r>
    </w:p>
    <w:p w14:paraId="39028239" w14:textId="77777777" w:rsidR="00602234" w:rsidRPr="00193A14" w:rsidRDefault="00602234" w:rsidP="00602234">
      <w:pPr>
        <w:spacing w:line="257" w:lineRule="auto"/>
        <w:jc w:val="both"/>
        <w:rPr>
          <w:rFonts w:asciiTheme="majorHAnsi" w:eastAsiaTheme="majorEastAsia" w:hAnsiTheme="majorHAnsi" w:cstheme="majorBidi"/>
          <w:b/>
          <w:bCs/>
          <w:sz w:val="24"/>
          <w:szCs w:val="24"/>
          <w:lang w:val="lt-LT"/>
        </w:rPr>
      </w:pPr>
    </w:p>
    <w:p w14:paraId="39BF91E3" w14:textId="77777777" w:rsidR="00602234" w:rsidRDefault="00602234" w:rsidP="00602234">
      <w:pPr>
        <w:spacing w:line="257" w:lineRule="auto"/>
        <w:jc w:val="both"/>
        <w:rPr>
          <w:rFonts w:asciiTheme="majorHAnsi" w:eastAsiaTheme="majorEastAsia" w:hAnsiTheme="majorHAnsi" w:cstheme="majorBidi"/>
          <w:b/>
          <w:bCs/>
          <w:sz w:val="24"/>
          <w:szCs w:val="24"/>
          <w:lang w:val="lt"/>
        </w:rPr>
      </w:pPr>
    </w:p>
    <w:p w14:paraId="3D756E65" w14:textId="74E62401" w:rsidR="2C13C8E2" w:rsidRDefault="2C13C8E2" w:rsidP="00602234">
      <w:pPr>
        <w:spacing w:line="257" w:lineRule="auto"/>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Techninės specifikacijos turinys: </w:t>
      </w:r>
      <w:proofErr w:type="spellStart"/>
      <w:r w:rsidRPr="0104CCCA">
        <w:rPr>
          <w:rFonts w:asciiTheme="majorHAnsi" w:eastAsiaTheme="majorEastAsia" w:hAnsiTheme="majorHAnsi" w:cstheme="majorBidi"/>
          <w:b/>
          <w:bCs/>
          <w:sz w:val="24"/>
          <w:szCs w:val="24"/>
          <w:lang w:val="lt"/>
        </w:rPr>
        <w:t>Psichometrinio</w:t>
      </w:r>
      <w:proofErr w:type="spellEnd"/>
      <w:r w:rsidRPr="0104CCCA">
        <w:rPr>
          <w:rFonts w:asciiTheme="majorHAnsi" w:eastAsiaTheme="majorEastAsia" w:hAnsiTheme="majorHAnsi" w:cstheme="majorBidi"/>
          <w:b/>
          <w:bCs/>
          <w:sz w:val="24"/>
          <w:szCs w:val="24"/>
          <w:lang w:val="lt"/>
        </w:rPr>
        <w:t xml:space="preserve"> asmenybės vertinimo testo įsigijimas ir diegimas nuotoliniam suaugusiųjų karjeros konsultavimui (NSKK)</w:t>
      </w:r>
    </w:p>
    <w:p w14:paraId="6122DB96" w14:textId="6CED3A9B" w:rsidR="2C13C8E2" w:rsidRDefault="4AF2B090" w:rsidP="00602234">
      <w:pPr>
        <w:spacing w:after="0" w:line="257" w:lineRule="auto"/>
        <w:jc w:val="both"/>
        <w:rPr>
          <w:rFonts w:asciiTheme="majorHAnsi" w:eastAsiaTheme="majorEastAsia" w:hAnsiTheme="majorHAnsi" w:cstheme="majorBidi"/>
          <w:sz w:val="24"/>
          <w:szCs w:val="24"/>
          <w:lang w:val="lt-LT"/>
        </w:rPr>
      </w:pPr>
      <w:r w:rsidRPr="0104CCCA">
        <w:rPr>
          <w:rFonts w:asciiTheme="majorHAnsi" w:eastAsiaTheme="majorEastAsia" w:hAnsiTheme="majorHAnsi" w:cstheme="majorBidi"/>
          <w:sz w:val="24"/>
          <w:szCs w:val="24"/>
          <w:lang w:val="lt-LT"/>
        </w:rPr>
        <w:t>T</w:t>
      </w:r>
      <w:r w:rsidR="2C13C8E2" w:rsidRPr="0104CCCA">
        <w:rPr>
          <w:rFonts w:asciiTheme="majorHAnsi" w:eastAsiaTheme="majorEastAsia" w:hAnsiTheme="majorHAnsi" w:cstheme="majorBidi"/>
          <w:sz w:val="24"/>
          <w:szCs w:val="24"/>
          <w:lang w:val="lt-LT"/>
        </w:rPr>
        <w:t>ikslas ir kontekstas</w:t>
      </w:r>
    </w:p>
    <w:p w14:paraId="3345BD2D" w14:textId="08F454D7" w:rsidR="2C13C8E2" w:rsidRDefault="2C13C8E2" w:rsidP="00602234">
      <w:pPr>
        <w:spacing w:after="0" w:line="257" w:lineRule="auto"/>
        <w:jc w:val="both"/>
        <w:rPr>
          <w:rFonts w:asciiTheme="majorHAnsi" w:eastAsiaTheme="majorEastAsia" w:hAnsiTheme="majorHAnsi" w:cstheme="majorBidi"/>
          <w:sz w:val="24"/>
          <w:szCs w:val="24"/>
          <w:lang w:val="lt-LT"/>
        </w:rPr>
      </w:pPr>
      <w:r w:rsidRPr="0104CCCA">
        <w:rPr>
          <w:rFonts w:asciiTheme="majorHAnsi" w:eastAsiaTheme="majorEastAsia" w:hAnsiTheme="majorHAnsi" w:cstheme="majorBidi"/>
          <w:sz w:val="24"/>
          <w:szCs w:val="24"/>
          <w:lang w:val="lt-LT"/>
        </w:rPr>
        <w:t>Testo naudotojai</w:t>
      </w:r>
    </w:p>
    <w:p w14:paraId="76F1F680" w14:textId="5A5D18A6" w:rsidR="2C13C8E2" w:rsidRDefault="2C13C8E2" w:rsidP="00602234">
      <w:pPr>
        <w:spacing w:after="0" w:line="257" w:lineRule="auto"/>
        <w:jc w:val="both"/>
        <w:rPr>
          <w:rFonts w:asciiTheme="majorHAnsi" w:eastAsiaTheme="majorEastAsia" w:hAnsiTheme="majorHAnsi" w:cstheme="majorBidi"/>
          <w:sz w:val="24"/>
          <w:szCs w:val="24"/>
          <w:lang w:val="lt-LT"/>
        </w:rPr>
      </w:pPr>
      <w:proofErr w:type="spellStart"/>
      <w:r w:rsidRPr="0104CCCA">
        <w:rPr>
          <w:rFonts w:asciiTheme="majorHAnsi" w:eastAsiaTheme="majorEastAsia" w:hAnsiTheme="majorHAnsi" w:cstheme="majorBidi"/>
          <w:sz w:val="24"/>
          <w:szCs w:val="24"/>
          <w:lang w:val="lt-LT"/>
        </w:rPr>
        <w:t>Psichometrinio</w:t>
      </w:r>
      <w:proofErr w:type="spellEnd"/>
      <w:r w:rsidRPr="0104CCCA">
        <w:rPr>
          <w:rFonts w:asciiTheme="majorHAnsi" w:eastAsiaTheme="majorEastAsia" w:hAnsiTheme="majorHAnsi" w:cstheme="majorBidi"/>
          <w:sz w:val="24"/>
          <w:szCs w:val="24"/>
          <w:lang w:val="lt-LT"/>
        </w:rPr>
        <w:t xml:space="preserve"> asmenybės vertinimo testų svarba ir vertė</w:t>
      </w:r>
    </w:p>
    <w:p w14:paraId="5D91110F" w14:textId="77C489C4" w:rsidR="2C13C8E2" w:rsidRDefault="2C13C8E2" w:rsidP="00602234">
      <w:pPr>
        <w:spacing w:after="0" w:line="257" w:lineRule="auto"/>
        <w:ind w:firstLine="720"/>
        <w:jc w:val="both"/>
        <w:rPr>
          <w:rFonts w:asciiTheme="majorHAnsi" w:eastAsiaTheme="majorEastAsia" w:hAnsiTheme="majorHAnsi" w:cstheme="majorBidi"/>
          <w:sz w:val="24"/>
          <w:szCs w:val="24"/>
          <w:lang w:val="lt-LT"/>
        </w:rPr>
      </w:pPr>
      <w:r w:rsidRPr="0104CCCA">
        <w:rPr>
          <w:rFonts w:asciiTheme="majorHAnsi" w:eastAsiaTheme="majorEastAsia" w:hAnsiTheme="majorHAnsi" w:cstheme="majorBidi"/>
          <w:sz w:val="24"/>
          <w:szCs w:val="24"/>
          <w:lang w:val="lt-LT"/>
        </w:rPr>
        <w:t xml:space="preserve"> </w:t>
      </w:r>
    </w:p>
    <w:p w14:paraId="61133339" w14:textId="22BEC9B8" w:rsidR="2C13C8E2" w:rsidRDefault="2C13C8E2">
      <w:pPr>
        <w:pStyle w:val="Paragrafoelenco"/>
        <w:numPr>
          <w:ilvl w:val="0"/>
          <w:numId w:val="4"/>
        </w:numPr>
        <w:spacing w:after="0" w:line="257" w:lineRule="auto"/>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Mokslinis pagrindimas</w:t>
      </w:r>
    </w:p>
    <w:p w14:paraId="03815D68" w14:textId="0A67401E" w:rsidR="2C13C8E2" w:rsidRDefault="2C13C8E2">
      <w:pPr>
        <w:pStyle w:val="Paragrafoelenco"/>
        <w:numPr>
          <w:ilvl w:val="1"/>
          <w:numId w:val="3"/>
        </w:numPr>
        <w:spacing w:after="0" w:line="257" w:lineRule="auto"/>
        <w:ind w:left="567" w:hanging="425"/>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Testo teorinė ir mokslinė apžvalga</w:t>
      </w:r>
    </w:p>
    <w:p w14:paraId="71610B3A" w14:textId="4AB5EA41" w:rsidR="2C13C8E2" w:rsidRDefault="2C13C8E2">
      <w:pPr>
        <w:pStyle w:val="Paragrafoelenco"/>
        <w:numPr>
          <w:ilvl w:val="1"/>
          <w:numId w:val="3"/>
        </w:numPr>
        <w:spacing w:after="0" w:line="257" w:lineRule="auto"/>
        <w:ind w:left="567" w:hanging="425"/>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Patikimumas</w:t>
      </w:r>
    </w:p>
    <w:p w14:paraId="61A187C6" w14:textId="33AF3BBA" w:rsidR="2C13C8E2" w:rsidRDefault="2C13C8E2">
      <w:pPr>
        <w:pStyle w:val="Paragrafoelenco"/>
        <w:numPr>
          <w:ilvl w:val="1"/>
          <w:numId w:val="3"/>
        </w:numPr>
        <w:spacing w:after="0" w:line="257" w:lineRule="auto"/>
        <w:ind w:left="567" w:hanging="425"/>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Standartizacija ir normos </w:t>
      </w:r>
    </w:p>
    <w:p w14:paraId="11760A4C" w14:textId="54CB7CA2" w:rsidR="2C13C8E2" w:rsidRDefault="2C13C8E2">
      <w:pPr>
        <w:pStyle w:val="Paragrafoelenco"/>
        <w:numPr>
          <w:ilvl w:val="1"/>
          <w:numId w:val="3"/>
        </w:numPr>
        <w:spacing w:after="0" w:line="257" w:lineRule="auto"/>
        <w:ind w:left="567" w:hanging="425"/>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Validumas</w:t>
      </w:r>
    </w:p>
    <w:p w14:paraId="12E13E8E" w14:textId="6332D069" w:rsidR="2C13C8E2" w:rsidRDefault="2C13C8E2">
      <w:pPr>
        <w:pStyle w:val="Paragrafoelenco"/>
        <w:numPr>
          <w:ilvl w:val="1"/>
          <w:numId w:val="3"/>
        </w:numPr>
        <w:spacing w:after="0" w:line="257" w:lineRule="auto"/>
        <w:ind w:left="567" w:hanging="425"/>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Testavimo </w:t>
      </w:r>
      <w:proofErr w:type="spellStart"/>
      <w:r w:rsidRPr="0104CCCA">
        <w:rPr>
          <w:rFonts w:asciiTheme="majorHAnsi" w:eastAsiaTheme="majorEastAsia" w:hAnsiTheme="majorHAnsi" w:cstheme="majorBidi"/>
          <w:sz w:val="24"/>
          <w:szCs w:val="24"/>
          <w:lang w:val="lt"/>
        </w:rPr>
        <w:t>indtrumento</w:t>
      </w:r>
      <w:proofErr w:type="spellEnd"/>
      <w:r w:rsidRPr="0104CCCA">
        <w:rPr>
          <w:rFonts w:asciiTheme="majorHAnsi" w:eastAsiaTheme="majorEastAsia" w:hAnsiTheme="majorHAnsi" w:cstheme="majorBidi"/>
          <w:sz w:val="24"/>
          <w:szCs w:val="24"/>
          <w:lang w:val="lt"/>
        </w:rPr>
        <w:t xml:space="preserve"> paplitimas ir ry</w:t>
      </w:r>
      <w:r w:rsidR="516BE107" w:rsidRPr="0104CCCA">
        <w:rPr>
          <w:rFonts w:asciiTheme="majorHAnsi" w:eastAsiaTheme="majorEastAsia" w:hAnsiTheme="majorHAnsi" w:cstheme="majorBidi"/>
          <w:sz w:val="24"/>
          <w:szCs w:val="24"/>
          <w:lang w:val="lt"/>
        </w:rPr>
        <w:t>š</w:t>
      </w:r>
      <w:r w:rsidRPr="0104CCCA">
        <w:rPr>
          <w:rFonts w:asciiTheme="majorHAnsi" w:eastAsiaTheme="majorEastAsia" w:hAnsiTheme="majorHAnsi" w:cstheme="majorBidi"/>
          <w:sz w:val="24"/>
          <w:szCs w:val="24"/>
          <w:lang w:val="lt"/>
        </w:rPr>
        <w:t>ys su karjeros aspektais</w:t>
      </w:r>
    </w:p>
    <w:p w14:paraId="20D33472" w14:textId="3A7FDCB7" w:rsidR="2C13C8E2" w:rsidRDefault="2C13C8E2" w:rsidP="00602234">
      <w:pPr>
        <w:spacing w:after="0" w:line="257" w:lineRule="auto"/>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 </w:t>
      </w:r>
    </w:p>
    <w:p w14:paraId="4691020F" w14:textId="63D9F488" w:rsidR="2C13C8E2" w:rsidRDefault="2C13C8E2">
      <w:pPr>
        <w:pStyle w:val="Paragrafoelenco"/>
        <w:numPr>
          <w:ilvl w:val="0"/>
          <w:numId w:val="4"/>
        </w:numPr>
        <w:spacing w:after="0" w:line="257" w:lineRule="auto"/>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Funkciniai testo reikalavimai</w:t>
      </w:r>
    </w:p>
    <w:p w14:paraId="5B2053C0" w14:textId="4021CE81" w:rsidR="2C13C8E2" w:rsidRDefault="375110CB" w:rsidP="00602234">
      <w:pPr>
        <w:pStyle w:val="Paragrafoelenco"/>
        <w:spacing w:after="0" w:line="257" w:lineRule="auto"/>
        <w:ind w:left="567" w:hanging="425"/>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2.1.</w:t>
      </w:r>
      <w:r w:rsidR="24BD0491" w:rsidRPr="0104CCCA">
        <w:rPr>
          <w:rFonts w:asciiTheme="majorHAnsi" w:eastAsiaTheme="majorEastAsia" w:hAnsiTheme="majorHAnsi" w:cstheme="majorBidi"/>
          <w:sz w:val="24"/>
          <w:szCs w:val="24"/>
          <w:lang w:val="lt"/>
        </w:rPr>
        <w:t xml:space="preserve"> </w:t>
      </w:r>
      <w:r w:rsidR="2C13C8E2" w:rsidRPr="0104CCCA">
        <w:rPr>
          <w:rFonts w:asciiTheme="majorHAnsi" w:eastAsiaTheme="majorEastAsia" w:hAnsiTheme="majorHAnsi" w:cstheme="majorBidi"/>
          <w:sz w:val="24"/>
          <w:szCs w:val="24"/>
          <w:lang w:val="lt"/>
        </w:rPr>
        <w:t>Vertinimo sritys</w:t>
      </w:r>
    </w:p>
    <w:p w14:paraId="59551636" w14:textId="4E37F8F8" w:rsidR="2C13C8E2" w:rsidRDefault="63FD7B2C" w:rsidP="00602234">
      <w:pPr>
        <w:pStyle w:val="Paragrafoelenco"/>
        <w:spacing w:after="0" w:line="257" w:lineRule="auto"/>
        <w:ind w:left="567" w:hanging="425"/>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2.2.</w:t>
      </w:r>
      <w:r w:rsidR="5E697B25" w:rsidRPr="0104CCCA">
        <w:rPr>
          <w:rFonts w:asciiTheme="majorHAnsi" w:eastAsiaTheme="majorEastAsia" w:hAnsiTheme="majorHAnsi" w:cstheme="majorBidi"/>
          <w:sz w:val="24"/>
          <w:szCs w:val="24"/>
          <w:lang w:val="lt"/>
        </w:rPr>
        <w:t xml:space="preserve"> </w:t>
      </w:r>
      <w:r w:rsidR="2C13C8E2" w:rsidRPr="0104CCCA">
        <w:rPr>
          <w:rFonts w:asciiTheme="majorHAnsi" w:eastAsiaTheme="majorEastAsia" w:hAnsiTheme="majorHAnsi" w:cstheme="majorBidi"/>
          <w:sz w:val="24"/>
          <w:szCs w:val="24"/>
          <w:lang w:val="lt"/>
        </w:rPr>
        <w:t xml:space="preserve">Ataskaitos ir </w:t>
      </w:r>
      <w:proofErr w:type="spellStart"/>
      <w:r w:rsidR="2C13C8E2" w:rsidRPr="0104CCCA">
        <w:rPr>
          <w:rFonts w:asciiTheme="majorHAnsi" w:eastAsiaTheme="majorEastAsia" w:hAnsiTheme="majorHAnsi" w:cstheme="majorBidi"/>
          <w:sz w:val="24"/>
          <w:szCs w:val="24"/>
          <w:lang w:val="lt"/>
        </w:rPr>
        <w:t>rezultataų</w:t>
      </w:r>
      <w:proofErr w:type="spellEnd"/>
      <w:r w:rsidR="2C13C8E2" w:rsidRPr="0104CCCA">
        <w:rPr>
          <w:rFonts w:asciiTheme="majorHAnsi" w:eastAsiaTheme="majorEastAsia" w:hAnsiTheme="majorHAnsi" w:cstheme="majorBidi"/>
          <w:sz w:val="24"/>
          <w:szCs w:val="24"/>
          <w:lang w:val="lt"/>
        </w:rPr>
        <w:t xml:space="preserve"> pateikimas</w:t>
      </w:r>
    </w:p>
    <w:p w14:paraId="2C282081" w14:textId="2E47B5B5" w:rsidR="2C13C8E2" w:rsidRDefault="707F35A2" w:rsidP="00602234">
      <w:pPr>
        <w:pStyle w:val="Paragrafoelenco"/>
        <w:spacing w:after="0" w:line="257" w:lineRule="auto"/>
        <w:ind w:left="567" w:hanging="425"/>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2.3. </w:t>
      </w:r>
      <w:r w:rsidR="2C13C8E2" w:rsidRPr="0104CCCA">
        <w:rPr>
          <w:rFonts w:asciiTheme="majorHAnsi" w:eastAsiaTheme="majorEastAsia" w:hAnsiTheme="majorHAnsi" w:cstheme="majorBidi"/>
          <w:sz w:val="24"/>
          <w:szCs w:val="24"/>
          <w:lang w:val="lt"/>
        </w:rPr>
        <w:t>NSKK konsultantų apmokymai, kvalifikacijos reikalavimai ir konsultacinis palaikymas</w:t>
      </w:r>
    </w:p>
    <w:p w14:paraId="112A7FBD" w14:textId="7790AD26" w:rsidR="2C13C8E2" w:rsidRDefault="2C13C8E2" w:rsidP="00602234">
      <w:pPr>
        <w:spacing w:after="0" w:line="257" w:lineRule="auto"/>
        <w:ind w:left="142"/>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p w14:paraId="5BE0A793" w14:textId="322FC93E" w:rsidR="2C13C8E2" w:rsidRDefault="2C13C8E2">
      <w:pPr>
        <w:pStyle w:val="Paragrafoelenco"/>
        <w:numPr>
          <w:ilvl w:val="0"/>
          <w:numId w:val="4"/>
        </w:numPr>
        <w:spacing w:after="0" w:line="257" w:lineRule="auto"/>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Nefunkciniai ir techniniai testo reikalavimai</w:t>
      </w:r>
    </w:p>
    <w:p w14:paraId="59F692B6" w14:textId="3C0038EB" w:rsidR="2C13C8E2" w:rsidRDefault="2C13C8E2" w:rsidP="00602234">
      <w:pPr>
        <w:spacing w:line="257" w:lineRule="auto"/>
        <w:ind w:left="567" w:hanging="425"/>
        <w:jc w:val="both"/>
        <w:rPr>
          <w:rFonts w:asciiTheme="majorHAnsi" w:eastAsiaTheme="majorEastAsia" w:hAnsiTheme="majorHAnsi" w:cstheme="majorBidi"/>
          <w:sz w:val="24"/>
          <w:szCs w:val="24"/>
          <w:lang w:val="lt"/>
        </w:rPr>
      </w:pPr>
    </w:p>
    <w:p w14:paraId="641E9F51" w14:textId="25768552" w:rsidR="39B4DEC5" w:rsidRDefault="39B4DEC5" w:rsidP="00602234">
      <w:pPr>
        <w:spacing w:line="257" w:lineRule="auto"/>
        <w:jc w:val="both"/>
        <w:rPr>
          <w:rFonts w:asciiTheme="majorHAnsi" w:eastAsiaTheme="majorEastAsia" w:hAnsiTheme="majorHAnsi" w:cstheme="majorBidi"/>
          <w:sz w:val="24"/>
          <w:szCs w:val="24"/>
        </w:rPr>
      </w:pPr>
    </w:p>
    <w:p w14:paraId="6CFBFD68" w14:textId="7C18A648" w:rsidR="2C13C8E2" w:rsidRDefault="2C13C8E2" w:rsidP="00602234">
      <w:pPr>
        <w:spacing w:line="257" w:lineRule="auto"/>
        <w:jc w:val="both"/>
        <w:rPr>
          <w:rFonts w:asciiTheme="majorHAnsi" w:eastAsiaTheme="majorEastAsia" w:hAnsiTheme="majorHAnsi" w:cstheme="majorBidi"/>
          <w:b/>
          <w:bCs/>
          <w:sz w:val="24"/>
          <w:szCs w:val="24"/>
          <w:lang w:val="pt-BR"/>
        </w:rPr>
      </w:pPr>
      <w:r w:rsidRPr="0104CCCA">
        <w:rPr>
          <w:rFonts w:asciiTheme="majorHAnsi" w:eastAsiaTheme="majorEastAsia" w:hAnsiTheme="majorHAnsi" w:cstheme="majorBidi"/>
          <w:b/>
          <w:bCs/>
          <w:sz w:val="24"/>
          <w:szCs w:val="24"/>
          <w:lang w:val="pt-BR"/>
        </w:rPr>
        <w:t xml:space="preserve"> </w:t>
      </w:r>
    </w:p>
    <w:p w14:paraId="1C6F141C" w14:textId="3D2E9B96" w:rsidR="2AC41E78" w:rsidRDefault="2AC41E78" w:rsidP="00602234">
      <w:pPr>
        <w:jc w:val="both"/>
        <w:rPr>
          <w:rFonts w:asciiTheme="majorHAnsi" w:eastAsiaTheme="majorEastAsia" w:hAnsiTheme="majorHAnsi" w:cstheme="majorBidi"/>
          <w:sz w:val="24"/>
          <w:szCs w:val="24"/>
        </w:rPr>
      </w:pPr>
      <w:r w:rsidRPr="0104CCCA">
        <w:rPr>
          <w:rFonts w:asciiTheme="majorHAnsi" w:eastAsiaTheme="majorEastAsia" w:hAnsiTheme="majorHAnsi" w:cstheme="majorBidi"/>
          <w:sz w:val="24"/>
          <w:szCs w:val="24"/>
        </w:rPr>
        <w:br w:type="page"/>
      </w:r>
    </w:p>
    <w:p w14:paraId="717C0611" w14:textId="50A60593" w:rsidR="2C13C8E2" w:rsidRDefault="2246CE3F" w:rsidP="00602234">
      <w:pPr>
        <w:spacing w:line="257" w:lineRule="auto"/>
        <w:jc w:val="both"/>
        <w:rPr>
          <w:rFonts w:asciiTheme="majorHAnsi" w:eastAsiaTheme="majorEastAsia" w:hAnsiTheme="majorHAnsi" w:cstheme="majorBidi"/>
          <w:b/>
          <w:bCs/>
          <w:sz w:val="24"/>
          <w:szCs w:val="24"/>
          <w:lang w:val="lt-LT"/>
        </w:rPr>
      </w:pPr>
      <w:r w:rsidRPr="0104CCCA">
        <w:rPr>
          <w:rFonts w:asciiTheme="majorHAnsi" w:eastAsiaTheme="majorEastAsia" w:hAnsiTheme="majorHAnsi" w:cstheme="majorBidi"/>
          <w:b/>
          <w:bCs/>
          <w:sz w:val="24"/>
          <w:szCs w:val="24"/>
          <w:lang w:val="lt-LT"/>
        </w:rPr>
        <w:lastRenderedPageBreak/>
        <w:t>T</w:t>
      </w:r>
      <w:r w:rsidR="2C13C8E2" w:rsidRPr="0104CCCA">
        <w:rPr>
          <w:rFonts w:asciiTheme="majorHAnsi" w:eastAsiaTheme="majorEastAsia" w:hAnsiTheme="majorHAnsi" w:cstheme="majorBidi"/>
          <w:b/>
          <w:bCs/>
          <w:sz w:val="24"/>
          <w:szCs w:val="24"/>
          <w:lang w:val="lt-LT"/>
        </w:rPr>
        <w:t>ikslas ir kontekstas</w:t>
      </w:r>
    </w:p>
    <w:p w14:paraId="76B11271" w14:textId="46F0117D" w:rsidR="2C13C8E2" w:rsidRDefault="6BC35E9D"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Tikslas</w:t>
      </w:r>
      <w:r w:rsidR="2C13C8E2" w:rsidRPr="0104CCCA">
        <w:rPr>
          <w:rFonts w:asciiTheme="majorHAnsi" w:eastAsiaTheme="majorEastAsia" w:hAnsiTheme="majorHAnsi" w:cstheme="majorBidi"/>
          <w:sz w:val="24"/>
          <w:szCs w:val="24"/>
          <w:lang w:val="lt"/>
        </w:rPr>
        <w:t xml:space="preserve"> – įsigyti ir pritaikyti </w:t>
      </w:r>
      <w:proofErr w:type="spellStart"/>
      <w:r w:rsidR="2C13C8E2" w:rsidRPr="0104CCCA">
        <w:rPr>
          <w:rFonts w:asciiTheme="majorHAnsi" w:eastAsiaTheme="majorEastAsia" w:hAnsiTheme="majorHAnsi" w:cstheme="majorBidi"/>
          <w:sz w:val="24"/>
          <w:szCs w:val="24"/>
          <w:lang w:val="lt"/>
        </w:rPr>
        <w:t>psichometrinį</w:t>
      </w:r>
      <w:proofErr w:type="spellEnd"/>
      <w:r w:rsidR="2C13C8E2" w:rsidRPr="0104CCCA">
        <w:rPr>
          <w:rFonts w:asciiTheme="majorHAnsi" w:eastAsiaTheme="majorEastAsia" w:hAnsiTheme="majorHAnsi" w:cstheme="majorBidi"/>
          <w:sz w:val="24"/>
          <w:szCs w:val="24"/>
          <w:lang w:val="lt"/>
        </w:rPr>
        <w:t xml:space="preserve"> testą, kuris padėtų geriau pažinti ir įvertinti suaugusiųjų asmenybės bruožus, vertybes, motyvaciją bei gebėjimus, siekiant efektyviau juos nukreipti karjeros planavimo ir profesinio tobulėjimo keliu. Pasitelkiant šio testo rezultatus, karjeros konsultantai galės pasiūlyti klientams asmeniškai pritaikytas įžvalgas ir patarimus, parodančius jų stipriąsias puses bei galimus tobulėjimo kelius profesinėje srityje.</w:t>
      </w:r>
    </w:p>
    <w:p w14:paraId="3C0E0E9B" w14:textId="23D697F8" w:rsidR="39B4DEC5" w:rsidRPr="00602234" w:rsidRDefault="39B4DEC5" w:rsidP="00602234">
      <w:pPr>
        <w:spacing w:line="257" w:lineRule="auto"/>
        <w:jc w:val="both"/>
        <w:rPr>
          <w:rFonts w:asciiTheme="majorHAnsi" w:eastAsiaTheme="majorEastAsia" w:hAnsiTheme="majorHAnsi" w:cstheme="majorBidi"/>
          <w:sz w:val="24"/>
          <w:szCs w:val="24"/>
          <w:lang w:val="lt"/>
        </w:rPr>
      </w:pPr>
    </w:p>
    <w:p w14:paraId="15FB1026" w14:textId="697B7FAC" w:rsidR="2C13C8E2" w:rsidRDefault="2C13C8E2" w:rsidP="00602234">
      <w:pPr>
        <w:spacing w:line="257" w:lineRule="auto"/>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Testo naudotojai:</w:t>
      </w:r>
    </w:p>
    <w:p w14:paraId="35E8527A" w14:textId="1F003003" w:rsidR="2C13C8E2" w:rsidRDefault="2C13C8E2">
      <w:pPr>
        <w:pStyle w:val="Paragrafoelenco"/>
        <w:numPr>
          <w:ilvl w:val="0"/>
          <w:numId w:val="2"/>
        </w:numPr>
        <w:spacing w:after="0" w:line="257" w:lineRule="auto"/>
        <w:ind w:left="284" w:hanging="284"/>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NSK konsultantai, kurie analizuos klientų rezultatus ir tuo pagrindu teiks rekomendacijas</w:t>
      </w:r>
    </w:p>
    <w:p w14:paraId="06C64C9A" w14:textId="7EA35F30" w:rsidR="2C13C8E2" w:rsidRDefault="2C13C8E2">
      <w:pPr>
        <w:pStyle w:val="Paragrafoelenco"/>
        <w:numPr>
          <w:ilvl w:val="0"/>
          <w:numId w:val="2"/>
        </w:numPr>
        <w:spacing w:after="0" w:line="257" w:lineRule="auto"/>
        <w:ind w:left="284" w:hanging="284"/>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Suaugę klientai, ieškantys nuotolinės karjeros konsultacijos.</w:t>
      </w:r>
    </w:p>
    <w:p w14:paraId="73A5579C" w14:textId="3987FC77" w:rsidR="2C13C8E2" w:rsidRDefault="2C13C8E2" w:rsidP="00602234">
      <w:pPr>
        <w:spacing w:line="257" w:lineRule="auto"/>
        <w:jc w:val="both"/>
        <w:rPr>
          <w:rFonts w:asciiTheme="majorHAnsi" w:eastAsiaTheme="majorEastAsia" w:hAnsiTheme="majorHAnsi" w:cstheme="majorBidi"/>
          <w:b/>
          <w:bCs/>
          <w:sz w:val="24"/>
          <w:szCs w:val="24"/>
          <w:lang w:val="fi"/>
        </w:rPr>
      </w:pPr>
      <w:r w:rsidRPr="0104CCCA">
        <w:rPr>
          <w:rFonts w:asciiTheme="majorHAnsi" w:eastAsiaTheme="majorEastAsia" w:hAnsiTheme="majorHAnsi" w:cstheme="majorBidi"/>
          <w:b/>
          <w:bCs/>
          <w:sz w:val="24"/>
          <w:szCs w:val="24"/>
          <w:lang w:val="fi"/>
        </w:rPr>
        <w:t xml:space="preserve"> </w:t>
      </w:r>
    </w:p>
    <w:p w14:paraId="3F001D9C" w14:textId="56052EAF" w:rsidR="2C13C8E2" w:rsidRDefault="2C13C8E2" w:rsidP="00602234">
      <w:pPr>
        <w:spacing w:line="257" w:lineRule="auto"/>
        <w:jc w:val="both"/>
        <w:rPr>
          <w:rFonts w:asciiTheme="majorHAnsi" w:eastAsiaTheme="majorEastAsia" w:hAnsiTheme="majorHAnsi" w:cstheme="majorBidi"/>
          <w:b/>
          <w:bCs/>
          <w:sz w:val="24"/>
          <w:szCs w:val="24"/>
          <w:lang w:val="lt"/>
        </w:rPr>
      </w:pPr>
      <w:proofErr w:type="spellStart"/>
      <w:r w:rsidRPr="0104CCCA">
        <w:rPr>
          <w:rFonts w:asciiTheme="majorHAnsi" w:eastAsiaTheme="majorEastAsia" w:hAnsiTheme="majorHAnsi" w:cstheme="majorBidi"/>
          <w:b/>
          <w:bCs/>
          <w:sz w:val="24"/>
          <w:szCs w:val="24"/>
          <w:lang w:val="lt"/>
        </w:rPr>
        <w:t>Psichometrinio</w:t>
      </w:r>
      <w:proofErr w:type="spellEnd"/>
      <w:r w:rsidRPr="0104CCCA">
        <w:rPr>
          <w:rFonts w:asciiTheme="majorHAnsi" w:eastAsiaTheme="majorEastAsia" w:hAnsiTheme="majorHAnsi" w:cstheme="majorBidi"/>
          <w:b/>
          <w:bCs/>
          <w:sz w:val="24"/>
          <w:szCs w:val="24"/>
          <w:lang w:val="lt"/>
        </w:rPr>
        <w:t xml:space="preserve"> asmenybės vertinimo testų svarba ir vertė</w:t>
      </w:r>
    </w:p>
    <w:p w14:paraId="01DC49F6" w14:textId="213959D7" w:rsidR="2C13C8E2" w:rsidRDefault="2C13C8E2"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Nuotolinėse karjeros konsultacijose, siekiant geresnių rezultatų ir tiksliau atliepti individualius klientų poreikius, labai praverčia asmenybės vertinimo testai. Šie testai – tai būdas pažvelgti į žmogaus vidinį pasaulį, padedantis konsultantui geriau suprasti asmens stipriąsias savybes, o taip pat ir sritis, kurios gali būti tobulinamos. Remiantis testo rezultatais, konsultantai gali objektyviau pamatyti kliento poreikius ir pasiūlyti tinkamiausią pagalbos kryptį, skatinančią klientą drąsiau siekti savo tikslų.</w:t>
      </w:r>
    </w:p>
    <w:p w14:paraId="52CAA001" w14:textId="30DE1DC6" w:rsidR="2C13C8E2" w:rsidRDefault="2C13C8E2" w:rsidP="00602234">
      <w:pPr>
        <w:spacing w:line="257" w:lineRule="auto"/>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Kodėl asmenybės vertinimo testai yra svarbūs?</w:t>
      </w:r>
    </w:p>
    <w:tbl>
      <w:tblPr>
        <w:tblStyle w:val="Grigliatabell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910"/>
        <w:gridCol w:w="7304"/>
      </w:tblGrid>
      <w:tr w:rsidR="39B4DEC5" w:rsidRPr="00193A14" w14:paraId="0087AFDF" w14:textId="77777777" w:rsidTr="0104CCCA">
        <w:trPr>
          <w:trHeight w:val="300"/>
        </w:trPr>
        <w:tc>
          <w:tcPr>
            <w:tcW w:w="1910" w:type="dxa"/>
            <w:tcMar>
              <w:left w:w="108" w:type="dxa"/>
              <w:right w:w="108" w:type="dxa"/>
            </w:tcMar>
          </w:tcPr>
          <w:p w14:paraId="0082FA2C" w14:textId="596AEBFD"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Savęs pažinimas</w:t>
            </w:r>
          </w:p>
        </w:tc>
        <w:tc>
          <w:tcPr>
            <w:tcW w:w="7304" w:type="dxa"/>
            <w:tcMar>
              <w:left w:w="108" w:type="dxa"/>
              <w:right w:w="108" w:type="dxa"/>
            </w:tcMar>
          </w:tcPr>
          <w:p w14:paraId="168433F4" w14:textId="22EF4D38"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Testai leidžia klientui giliau pažinti ne tik savo asmenybės bruožus, bet ir kompetencijas, vertybes, įpročius bei elgesio modelius. Toks išsamus savęs supratimas padeda atskleisti stipriąsias savybes ir pastebėti galimybes tobulėti, todėl klientas turi galimybę priimti labiau pagrįstus karjeros ir gyvenimo sprendimus.</w:t>
            </w:r>
          </w:p>
          <w:p w14:paraId="4F8C2454" w14:textId="49A6CB6C"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tc>
      </w:tr>
      <w:tr w:rsidR="39B4DEC5" w:rsidRPr="00193A14" w14:paraId="3B00C717" w14:textId="77777777" w:rsidTr="0104CCCA">
        <w:trPr>
          <w:trHeight w:val="300"/>
        </w:trPr>
        <w:tc>
          <w:tcPr>
            <w:tcW w:w="1910" w:type="dxa"/>
            <w:tcMar>
              <w:left w:w="108" w:type="dxa"/>
              <w:right w:w="108" w:type="dxa"/>
            </w:tcMar>
          </w:tcPr>
          <w:p w14:paraId="17F887D9" w14:textId="0C736A38"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Konkretūs rekomendacijų pasiūlymai</w:t>
            </w:r>
          </w:p>
        </w:tc>
        <w:tc>
          <w:tcPr>
            <w:tcW w:w="7304" w:type="dxa"/>
            <w:tcMar>
              <w:left w:w="108" w:type="dxa"/>
              <w:right w:w="108" w:type="dxa"/>
            </w:tcMar>
          </w:tcPr>
          <w:p w14:paraId="3A9E6381" w14:textId="4BBB04B9"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Daugelis testų, analizuodami gautus rezultatus, pateikia konkrečias ir mokslu pagrįstas rekomendacijas, kuria kryptimi  klientas gali save realizuoti. Tokios rekomendacijos ne tik mažina subjektyvumo galimybę, bet ir užtikrina, kad kiekvienas klientas gaus tik jam </w:t>
            </w:r>
            <w:r w:rsidR="798E5E26" w:rsidRPr="0104CCCA">
              <w:rPr>
                <w:rFonts w:asciiTheme="majorHAnsi" w:eastAsiaTheme="majorEastAsia" w:hAnsiTheme="majorHAnsi" w:cstheme="majorBidi"/>
                <w:sz w:val="24"/>
                <w:szCs w:val="24"/>
                <w:lang w:val="lt"/>
              </w:rPr>
              <w:t xml:space="preserve">ir/arba labiau jam, </w:t>
            </w:r>
            <w:r w:rsidRPr="0104CCCA">
              <w:rPr>
                <w:rFonts w:asciiTheme="majorHAnsi" w:eastAsiaTheme="majorEastAsia" w:hAnsiTheme="majorHAnsi" w:cstheme="majorBidi"/>
                <w:sz w:val="24"/>
                <w:szCs w:val="24"/>
                <w:lang w:val="lt"/>
              </w:rPr>
              <w:t>pritaikytą veiksmų planą.</w:t>
            </w:r>
          </w:p>
          <w:p w14:paraId="74A2B272" w14:textId="06C14C31"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tc>
      </w:tr>
      <w:tr w:rsidR="39B4DEC5" w:rsidRPr="00193A14" w14:paraId="0B7B9162" w14:textId="77777777" w:rsidTr="0104CCCA">
        <w:trPr>
          <w:trHeight w:val="300"/>
        </w:trPr>
        <w:tc>
          <w:tcPr>
            <w:tcW w:w="1910" w:type="dxa"/>
            <w:tcMar>
              <w:left w:w="108" w:type="dxa"/>
              <w:right w:w="108" w:type="dxa"/>
            </w:tcMar>
          </w:tcPr>
          <w:p w14:paraId="670FE044" w14:textId="49B71CDB"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Efektyvumas nuotoliniuose susitikimuose</w:t>
            </w:r>
          </w:p>
        </w:tc>
        <w:tc>
          <w:tcPr>
            <w:tcW w:w="7304" w:type="dxa"/>
            <w:tcMar>
              <w:left w:w="108" w:type="dxa"/>
              <w:right w:w="108" w:type="dxa"/>
            </w:tcMar>
          </w:tcPr>
          <w:p w14:paraId="662030CB" w14:textId="676C1064"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Konsultuojant nuotoliniu būdu, asmenybės testai padeda išlaikyti struktūruotą procesą, net nesant  tiesioginiam kontaktui. Testo rezultatai suteikia konsultantui galimybę greitai ir tiksliai susipažinti su klientu ir nukreipti jį tinkama linkme, taupant abiejų laiką ir užtikrinant kokybišką pagalbą.</w:t>
            </w:r>
          </w:p>
        </w:tc>
      </w:tr>
    </w:tbl>
    <w:p w14:paraId="420D453B" w14:textId="387E609E" w:rsidR="2C13C8E2" w:rsidRDefault="2C13C8E2" w:rsidP="00602234">
      <w:pPr>
        <w:spacing w:line="257" w:lineRule="auto"/>
        <w:jc w:val="both"/>
        <w:rPr>
          <w:rFonts w:asciiTheme="majorHAnsi" w:eastAsiaTheme="majorEastAsia" w:hAnsiTheme="majorHAnsi" w:cstheme="majorBidi"/>
          <w:color w:val="2F5597"/>
          <w:sz w:val="24"/>
          <w:szCs w:val="24"/>
          <w:lang w:val="lt"/>
        </w:rPr>
      </w:pPr>
      <w:r w:rsidRPr="0104CCCA">
        <w:rPr>
          <w:rFonts w:asciiTheme="majorHAnsi" w:eastAsiaTheme="majorEastAsia" w:hAnsiTheme="majorHAnsi" w:cstheme="majorBidi"/>
          <w:sz w:val="24"/>
          <w:szCs w:val="24"/>
          <w:lang w:val="lt"/>
        </w:rPr>
        <w:t xml:space="preserve"> </w:t>
      </w:r>
      <w:r w:rsidRPr="0104CCCA">
        <w:rPr>
          <w:rFonts w:asciiTheme="majorHAnsi" w:eastAsiaTheme="majorEastAsia" w:hAnsiTheme="majorHAnsi" w:cstheme="majorBidi"/>
          <w:color w:val="2F5597"/>
          <w:sz w:val="24"/>
          <w:szCs w:val="24"/>
          <w:lang w:val="lt"/>
        </w:rPr>
        <w:t xml:space="preserve"> </w:t>
      </w:r>
    </w:p>
    <w:p w14:paraId="7CC10556" w14:textId="1A04E846" w:rsidR="2C13C8E2" w:rsidRDefault="2C13C8E2">
      <w:pPr>
        <w:pStyle w:val="Paragrafoelenco"/>
        <w:numPr>
          <w:ilvl w:val="0"/>
          <w:numId w:val="1"/>
        </w:numPr>
        <w:spacing w:after="0" w:line="257" w:lineRule="auto"/>
        <w:ind w:left="360"/>
        <w:jc w:val="both"/>
        <w:rPr>
          <w:rFonts w:asciiTheme="majorHAnsi" w:eastAsiaTheme="majorEastAsia" w:hAnsiTheme="majorHAnsi" w:cstheme="majorBidi"/>
          <w:b/>
          <w:bCs/>
          <w:color w:val="2F5597"/>
          <w:sz w:val="24"/>
          <w:szCs w:val="24"/>
          <w:lang w:val="lt"/>
        </w:rPr>
      </w:pPr>
      <w:r w:rsidRPr="0104CCCA">
        <w:rPr>
          <w:rFonts w:asciiTheme="majorHAnsi" w:eastAsiaTheme="majorEastAsia" w:hAnsiTheme="majorHAnsi" w:cstheme="majorBidi"/>
          <w:b/>
          <w:bCs/>
          <w:color w:val="2F5597"/>
          <w:sz w:val="24"/>
          <w:szCs w:val="24"/>
          <w:lang w:val="lt"/>
        </w:rPr>
        <w:lastRenderedPageBreak/>
        <w:t>Mokslinis pagrindimas</w:t>
      </w:r>
    </w:p>
    <w:p w14:paraId="2D8FB0C0" w14:textId="26EEF6A8" w:rsidR="2C13C8E2" w:rsidRDefault="2C13C8E2" w:rsidP="00602234">
      <w:pPr>
        <w:spacing w:after="0" w:line="257" w:lineRule="auto"/>
        <w:ind w:left="284" w:hanging="284"/>
        <w:jc w:val="both"/>
        <w:rPr>
          <w:rFonts w:asciiTheme="majorHAnsi" w:eastAsiaTheme="majorEastAsia" w:hAnsiTheme="majorHAnsi" w:cstheme="majorBidi"/>
          <w:b/>
          <w:bCs/>
          <w:color w:val="2F5597"/>
          <w:sz w:val="24"/>
          <w:szCs w:val="24"/>
          <w:lang w:val="lt"/>
        </w:rPr>
      </w:pPr>
      <w:r w:rsidRPr="0104CCCA">
        <w:rPr>
          <w:rFonts w:asciiTheme="majorHAnsi" w:eastAsiaTheme="majorEastAsia" w:hAnsiTheme="majorHAnsi" w:cstheme="majorBidi"/>
          <w:b/>
          <w:bCs/>
          <w:color w:val="2F5597"/>
          <w:sz w:val="24"/>
          <w:szCs w:val="24"/>
          <w:lang w:val="lt"/>
        </w:rPr>
        <w:t xml:space="preserve"> </w:t>
      </w:r>
    </w:p>
    <w:p w14:paraId="0DC1AF8A" w14:textId="4123FC7D" w:rsidR="2C13C8E2" w:rsidRDefault="2C13C8E2">
      <w:pPr>
        <w:pStyle w:val="Paragrafoelenco"/>
        <w:numPr>
          <w:ilvl w:val="1"/>
          <w:numId w:val="1"/>
        </w:numPr>
        <w:spacing w:after="0" w:line="257" w:lineRule="auto"/>
        <w:ind w:left="284"/>
        <w:jc w:val="both"/>
        <w:rPr>
          <w:rFonts w:asciiTheme="majorHAnsi" w:eastAsiaTheme="majorEastAsia" w:hAnsiTheme="majorHAnsi" w:cstheme="majorBidi"/>
          <w:color w:val="2F5597"/>
          <w:sz w:val="24"/>
          <w:szCs w:val="24"/>
          <w:lang w:val="lt"/>
        </w:rPr>
      </w:pPr>
      <w:r w:rsidRPr="75FEDFB4">
        <w:rPr>
          <w:rFonts w:asciiTheme="majorHAnsi" w:eastAsiaTheme="majorEastAsia" w:hAnsiTheme="majorHAnsi" w:cstheme="majorBidi"/>
          <w:color w:val="2F5597"/>
          <w:sz w:val="24"/>
          <w:szCs w:val="24"/>
          <w:lang w:val="lt"/>
        </w:rPr>
        <w:t xml:space="preserve">Testo </w:t>
      </w:r>
      <w:r w:rsidR="640B5010" w:rsidRPr="75FEDFB4">
        <w:rPr>
          <w:rFonts w:asciiTheme="majorHAnsi" w:eastAsiaTheme="majorEastAsia" w:hAnsiTheme="majorHAnsi" w:cstheme="majorBidi"/>
          <w:color w:val="2F5597"/>
          <w:sz w:val="24"/>
          <w:szCs w:val="24"/>
          <w:lang w:val="lt"/>
        </w:rPr>
        <w:t>kokybės rodikliai</w:t>
      </w:r>
    </w:p>
    <w:p w14:paraId="7F7B9E9C" w14:textId="1AD38C1C" w:rsidR="2AC41E78" w:rsidRDefault="2AC41E78" w:rsidP="00602234">
      <w:pPr>
        <w:pStyle w:val="Paragrafoelenco"/>
        <w:spacing w:after="0" w:line="257" w:lineRule="auto"/>
        <w:ind w:left="284"/>
        <w:jc w:val="both"/>
        <w:rPr>
          <w:rFonts w:asciiTheme="majorHAnsi" w:eastAsiaTheme="majorEastAsia" w:hAnsiTheme="majorHAnsi" w:cstheme="majorBidi"/>
          <w:color w:val="2F5597"/>
          <w:sz w:val="24"/>
          <w:szCs w:val="24"/>
          <w:lang w:val="lt"/>
        </w:rPr>
      </w:pPr>
    </w:p>
    <w:p w14:paraId="3138340A" w14:textId="68151495" w:rsidR="2C13C8E2" w:rsidRDefault="2C13C8E2" w:rsidP="00602234">
      <w:pPr>
        <w:spacing w:line="257" w:lineRule="auto"/>
        <w:jc w:val="both"/>
        <w:rPr>
          <w:rFonts w:asciiTheme="majorHAnsi" w:eastAsiaTheme="majorEastAsia" w:hAnsiTheme="majorHAnsi" w:cstheme="majorBidi"/>
          <w:sz w:val="24"/>
          <w:szCs w:val="24"/>
          <w:lang w:val="lt"/>
        </w:rPr>
      </w:pPr>
      <w:r w:rsidRPr="75FEDFB4">
        <w:rPr>
          <w:rFonts w:asciiTheme="majorHAnsi" w:eastAsiaTheme="majorEastAsia" w:hAnsiTheme="majorHAnsi" w:cstheme="majorBidi"/>
          <w:sz w:val="24"/>
          <w:szCs w:val="24"/>
          <w:lang w:val="lt"/>
        </w:rPr>
        <w:t xml:space="preserve"> „</w:t>
      </w:r>
      <w:r w:rsidRPr="75FEDFB4">
        <w:rPr>
          <w:rFonts w:asciiTheme="majorHAnsi" w:eastAsiaTheme="majorEastAsia" w:hAnsiTheme="majorHAnsi" w:cstheme="majorBidi"/>
          <w:b/>
          <w:bCs/>
          <w:i/>
          <w:iCs/>
          <w:sz w:val="24"/>
          <w:szCs w:val="24"/>
          <w:lang w:val="lt"/>
        </w:rPr>
        <w:t>Testai</w:t>
      </w:r>
      <w:r w:rsidRPr="75FEDFB4">
        <w:rPr>
          <w:rFonts w:asciiTheme="majorHAnsi" w:eastAsiaTheme="majorEastAsia" w:hAnsiTheme="majorHAnsi" w:cstheme="majorBidi"/>
          <w:i/>
          <w:iCs/>
          <w:sz w:val="24"/>
          <w:szCs w:val="24"/>
          <w:lang w:val="lt"/>
        </w:rPr>
        <w:t xml:space="preserve"> apibūdinami kaip procedūros ar metodai, kuriais tiriama ar nustatoma veiksnio ar reiškinio raiška naudojant rinkinį standar</w:t>
      </w:r>
      <w:r w:rsidR="379C30ED" w:rsidRPr="75FEDFB4">
        <w:rPr>
          <w:rFonts w:asciiTheme="majorHAnsi" w:eastAsiaTheme="majorEastAsia" w:hAnsiTheme="majorHAnsi" w:cstheme="majorBidi"/>
          <w:i/>
          <w:iCs/>
          <w:sz w:val="24"/>
          <w:szCs w:val="24"/>
          <w:lang w:val="lt"/>
        </w:rPr>
        <w:t>t</w:t>
      </w:r>
      <w:r w:rsidRPr="75FEDFB4">
        <w:rPr>
          <w:rFonts w:asciiTheme="majorHAnsi" w:eastAsiaTheme="majorEastAsia" w:hAnsiTheme="majorHAnsi" w:cstheme="majorBidi"/>
          <w:i/>
          <w:iCs/>
          <w:sz w:val="24"/>
          <w:szCs w:val="24"/>
          <w:lang w:val="lt"/>
        </w:rPr>
        <w:t>izuotų užduočių (</w:t>
      </w:r>
      <w:proofErr w:type="spellStart"/>
      <w:r w:rsidRPr="75FEDFB4">
        <w:rPr>
          <w:rFonts w:asciiTheme="majorHAnsi" w:eastAsiaTheme="majorEastAsia" w:hAnsiTheme="majorHAnsi" w:cstheme="majorBidi"/>
          <w:i/>
          <w:iCs/>
          <w:sz w:val="24"/>
          <w:szCs w:val="24"/>
          <w:lang w:val="lt"/>
        </w:rPr>
        <w:t>pvz.klausimų</w:t>
      </w:r>
      <w:proofErr w:type="spellEnd"/>
      <w:r w:rsidRPr="75FEDFB4">
        <w:rPr>
          <w:rFonts w:asciiTheme="majorHAnsi" w:eastAsiaTheme="majorEastAsia" w:hAnsiTheme="majorHAnsi" w:cstheme="majorBidi"/>
          <w:i/>
          <w:iCs/>
          <w:sz w:val="24"/>
          <w:szCs w:val="24"/>
          <w:lang w:val="lt"/>
        </w:rPr>
        <w:t>, stimulų, uždavinių), kurių atliktis vertinama standartizuotu būdu ir jie naudojami individualiems skirtumams (pvz., gebėjimų, įgūdžių, kompetencijų, nuostatų, požiūrių, emocijų) tirti ir tinkamai vertinti (</w:t>
      </w:r>
      <w:proofErr w:type="spellStart"/>
      <w:r w:rsidRPr="75FEDFB4">
        <w:rPr>
          <w:rFonts w:asciiTheme="majorHAnsi" w:eastAsiaTheme="majorEastAsia" w:hAnsiTheme="majorHAnsi" w:cstheme="majorBidi"/>
          <w:i/>
          <w:iCs/>
          <w:sz w:val="24"/>
          <w:szCs w:val="24"/>
          <w:lang w:val="lt"/>
        </w:rPr>
        <w:t>Anastasi</w:t>
      </w:r>
      <w:proofErr w:type="spellEnd"/>
      <w:r w:rsidRPr="75FEDFB4">
        <w:rPr>
          <w:rFonts w:asciiTheme="majorHAnsi" w:eastAsiaTheme="majorEastAsia" w:hAnsiTheme="majorHAnsi" w:cstheme="majorBidi"/>
          <w:i/>
          <w:iCs/>
          <w:sz w:val="24"/>
          <w:szCs w:val="24"/>
          <w:lang w:val="lt"/>
        </w:rPr>
        <w:t xml:space="preserve"> ir Urbina, 1997; American </w:t>
      </w:r>
      <w:proofErr w:type="spellStart"/>
      <w:r w:rsidRPr="75FEDFB4">
        <w:rPr>
          <w:rFonts w:asciiTheme="majorHAnsi" w:eastAsiaTheme="majorEastAsia" w:hAnsiTheme="majorHAnsi" w:cstheme="majorBidi"/>
          <w:i/>
          <w:iCs/>
          <w:sz w:val="24"/>
          <w:szCs w:val="24"/>
          <w:lang w:val="lt"/>
        </w:rPr>
        <w:t>Psychological</w:t>
      </w:r>
      <w:proofErr w:type="spellEnd"/>
      <w:r w:rsidRPr="75FEDFB4">
        <w:rPr>
          <w:rFonts w:asciiTheme="majorHAnsi" w:eastAsiaTheme="majorEastAsia" w:hAnsiTheme="majorHAnsi" w:cstheme="majorBidi"/>
          <w:i/>
          <w:iCs/>
          <w:sz w:val="24"/>
          <w:szCs w:val="24"/>
          <w:lang w:val="lt"/>
        </w:rPr>
        <w:t xml:space="preserve"> </w:t>
      </w:r>
      <w:proofErr w:type="spellStart"/>
      <w:r w:rsidRPr="75FEDFB4">
        <w:rPr>
          <w:rFonts w:asciiTheme="majorHAnsi" w:eastAsiaTheme="majorEastAsia" w:hAnsiTheme="majorHAnsi" w:cstheme="majorBidi"/>
          <w:i/>
          <w:iCs/>
          <w:sz w:val="24"/>
          <w:szCs w:val="24"/>
          <w:lang w:val="lt"/>
        </w:rPr>
        <w:t>Association</w:t>
      </w:r>
      <w:proofErr w:type="spellEnd"/>
      <w:r w:rsidRPr="75FEDFB4">
        <w:rPr>
          <w:rFonts w:asciiTheme="majorHAnsi" w:eastAsiaTheme="majorEastAsia" w:hAnsiTheme="majorHAnsi" w:cstheme="majorBidi"/>
          <w:i/>
          <w:iCs/>
          <w:sz w:val="24"/>
          <w:szCs w:val="24"/>
          <w:lang w:val="lt"/>
        </w:rPr>
        <w:t xml:space="preserve">, 2006; </w:t>
      </w:r>
      <w:proofErr w:type="spellStart"/>
      <w:r w:rsidRPr="75FEDFB4">
        <w:rPr>
          <w:rFonts w:asciiTheme="majorHAnsi" w:eastAsiaTheme="majorEastAsia" w:hAnsiTheme="majorHAnsi" w:cstheme="majorBidi"/>
          <w:i/>
          <w:iCs/>
          <w:sz w:val="24"/>
          <w:szCs w:val="24"/>
          <w:lang w:val="lt"/>
        </w:rPr>
        <w:t>Cronbach</w:t>
      </w:r>
      <w:proofErr w:type="spellEnd"/>
      <w:r w:rsidRPr="75FEDFB4">
        <w:rPr>
          <w:rFonts w:asciiTheme="majorHAnsi" w:eastAsiaTheme="majorEastAsia" w:hAnsiTheme="majorHAnsi" w:cstheme="majorBidi"/>
          <w:i/>
          <w:iCs/>
          <w:sz w:val="24"/>
          <w:szCs w:val="24"/>
          <w:lang w:val="lt"/>
        </w:rPr>
        <w:t>, 1990).</w:t>
      </w:r>
      <w:r w:rsidRPr="75FEDFB4">
        <w:rPr>
          <w:rFonts w:asciiTheme="majorHAnsi" w:eastAsiaTheme="majorEastAsia" w:hAnsiTheme="majorHAnsi" w:cstheme="majorBidi"/>
          <w:sz w:val="24"/>
          <w:szCs w:val="24"/>
          <w:lang w:val="lt"/>
        </w:rPr>
        <w:t xml:space="preserve"> </w:t>
      </w:r>
    </w:p>
    <w:p w14:paraId="4777C1FB" w14:textId="5CFE714D" w:rsidR="2C13C8E2" w:rsidRDefault="2C13C8E2"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i/>
          <w:iCs/>
          <w:sz w:val="24"/>
          <w:szCs w:val="24"/>
          <w:lang w:val="lt"/>
        </w:rPr>
        <w:t>Pateiktas apibrėžimas apima psichologinius ir edukacinius testus visomis jų naudojimo formomis (pvz., popieriaus ir pieštuko užduotys, kompiuterizuoti internetiniai testai, darbinių įgūdžių patikrinimai, vaidmenų žaidimai). Aptariamos dvi testų rūšys: testai, kuriems taikomos autorių teisės, todėl jie priklauso privačiai sričiai, ir testai, kuriems netaikomos autorių teisės, todėl jie priklauso viešosios nuosavybės sričiai.</w:t>
      </w:r>
      <w:r w:rsidRPr="0104CCCA">
        <w:rPr>
          <w:rFonts w:asciiTheme="majorHAnsi" w:eastAsiaTheme="majorEastAsia" w:hAnsiTheme="majorHAnsi" w:cstheme="majorBidi"/>
          <w:sz w:val="24"/>
          <w:szCs w:val="24"/>
          <w:lang w:val="lt"/>
        </w:rPr>
        <w:t xml:space="preserve">” (iš Tarptautinės testų komisijos „Pareiškimo dėl testų ir kitų vertinimo instrumentų naudojimo mokslinio tyrimo tikslais“) </w:t>
      </w:r>
    </w:p>
    <w:p w14:paraId="11E64BD5" w14:textId="6EC114F3" w:rsidR="2C13C8E2" w:rsidRPr="00602234" w:rsidRDefault="647D3EFF" w:rsidP="00602234">
      <w:pPr>
        <w:spacing w:line="257" w:lineRule="auto"/>
        <w:jc w:val="both"/>
        <w:rPr>
          <w:rFonts w:asciiTheme="majorHAnsi" w:eastAsiaTheme="majorEastAsia" w:hAnsiTheme="majorHAnsi" w:cstheme="majorBidi"/>
          <w:sz w:val="24"/>
          <w:szCs w:val="24"/>
          <w:lang w:val="lt"/>
        </w:rPr>
      </w:pPr>
      <w:r w:rsidRPr="00602234">
        <w:rPr>
          <w:rFonts w:asciiTheme="majorHAnsi" w:eastAsiaTheme="majorEastAsia" w:hAnsiTheme="majorHAnsi" w:cstheme="majorBidi"/>
          <w:b/>
          <w:bCs/>
          <w:sz w:val="24"/>
          <w:szCs w:val="24"/>
          <w:lang w:val="lt"/>
        </w:rPr>
        <w:t>Rekomenduojama</w:t>
      </w:r>
      <w:r w:rsidR="2C13C8E2" w:rsidRPr="00602234">
        <w:rPr>
          <w:rFonts w:asciiTheme="majorHAnsi" w:eastAsiaTheme="majorEastAsia" w:hAnsiTheme="majorHAnsi" w:cstheme="majorBidi"/>
          <w:b/>
          <w:bCs/>
          <w:sz w:val="24"/>
          <w:szCs w:val="24"/>
          <w:lang w:val="lt"/>
        </w:rPr>
        <w:t xml:space="preserve"> iš tiekėjo reikalauti</w:t>
      </w:r>
      <w:r w:rsidR="6C5E1E6A" w:rsidRPr="00602234">
        <w:rPr>
          <w:rFonts w:asciiTheme="majorHAnsi" w:eastAsiaTheme="majorEastAsia" w:hAnsiTheme="majorHAnsi" w:cstheme="majorBidi"/>
          <w:b/>
          <w:bCs/>
          <w:sz w:val="24"/>
          <w:szCs w:val="24"/>
          <w:lang w:val="lt"/>
        </w:rPr>
        <w:t>: (1)</w:t>
      </w:r>
      <w:r w:rsidR="2C13C8E2" w:rsidRPr="00602234">
        <w:rPr>
          <w:rFonts w:asciiTheme="majorHAnsi" w:eastAsiaTheme="majorEastAsia" w:hAnsiTheme="majorHAnsi" w:cstheme="majorBidi"/>
          <w:b/>
          <w:bCs/>
          <w:sz w:val="24"/>
          <w:szCs w:val="24"/>
          <w:lang w:val="lt"/>
        </w:rPr>
        <w:t xml:space="preserve"> informacijos apie testo standartizaciją,</w:t>
      </w:r>
      <w:r w:rsidR="3F919D15" w:rsidRPr="00602234">
        <w:rPr>
          <w:rFonts w:asciiTheme="majorHAnsi" w:eastAsiaTheme="majorEastAsia" w:hAnsiTheme="majorHAnsi" w:cstheme="majorBidi"/>
          <w:b/>
          <w:bCs/>
          <w:sz w:val="24"/>
          <w:szCs w:val="24"/>
          <w:lang w:val="lt"/>
        </w:rPr>
        <w:t xml:space="preserve"> (2)</w:t>
      </w:r>
      <w:r w:rsidR="2C13C8E2" w:rsidRPr="00602234">
        <w:rPr>
          <w:rFonts w:asciiTheme="majorHAnsi" w:eastAsiaTheme="majorEastAsia" w:hAnsiTheme="majorHAnsi" w:cstheme="majorBidi"/>
          <w:b/>
          <w:bCs/>
          <w:sz w:val="24"/>
          <w:szCs w:val="24"/>
          <w:lang w:val="lt"/>
        </w:rPr>
        <w:t xml:space="preserve"> patikimumo</w:t>
      </w:r>
      <w:r w:rsidR="09E2B529" w:rsidRPr="00602234">
        <w:rPr>
          <w:rFonts w:asciiTheme="majorHAnsi" w:eastAsiaTheme="majorEastAsia" w:hAnsiTheme="majorHAnsi" w:cstheme="majorBidi"/>
          <w:b/>
          <w:bCs/>
          <w:sz w:val="24"/>
          <w:szCs w:val="24"/>
          <w:lang w:val="lt"/>
        </w:rPr>
        <w:t xml:space="preserve"> ir</w:t>
      </w:r>
      <w:r w:rsidR="2C13C8E2" w:rsidRPr="00602234">
        <w:rPr>
          <w:rFonts w:asciiTheme="majorHAnsi" w:eastAsiaTheme="majorEastAsia" w:hAnsiTheme="majorHAnsi" w:cstheme="majorBidi"/>
          <w:b/>
          <w:bCs/>
          <w:sz w:val="24"/>
          <w:szCs w:val="24"/>
          <w:lang w:val="lt"/>
        </w:rPr>
        <w:t xml:space="preserve"> validumo rodikli</w:t>
      </w:r>
      <w:r w:rsidR="67B0217B" w:rsidRPr="00602234">
        <w:rPr>
          <w:rFonts w:asciiTheme="majorHAnsi" w:eastAsiaTheme="majorEastAsia" w:hAnsiTheme="majorHAnsi" w:cstheme="majorBidi"/>
          <w:b/>
          <w:bCs/>
          <w:sz w:val="24"/>
          <w:szCs w:val="24"/>
          <w:lang w:val="lt"/>
        </w:rPr>
        <w:t>ų</w:t>
      </w:r>
      <w:r w:rsidR="43BA2694" w:rsidRPr="00602234">
        <w:rPr>
          <w:rFonts w:asciiTheme="majorHAnsi" w:eastAsiaTheme="majorEastAsia" w:hAnsiTheme="majorHAnsi" w:cstheme="majorBidi"/>
          <w:b/>
          <w:bCs/>
          <w:sz w:val="24"/>
          <w:szCs w:val="24"/>
          <w:lang w:val="lt"/>
        </w:rPr>
        <w:t xml:space="preserve"> bei paaiškinimo apie juos</w:t>
      </w:r>
      <w:r w:rsidR="1AB7D61B" w:rsidRPr="00602234">
        <w:rPr>
          <w:rFonts w:asciiTheme="majorHAnsi" w:eastAsiaTheme="majorEastAsia" w:hAnsiTheme="majorHAnsi" w:cstheme="majorBidi"/>
          <w:b/>
          <w:bCs/>
          <w:sz w:val="24"/>
          <w:szCs w:val="24"/>
          <w:lang w:val="lt"/>
        </w:rPr>
        <w:t xml:space="preserve"> (3)</w:t>
      </w:r>
      <w:r w:rsidR="2C13C8E2" w:rsidRPr="00602234">
        <w:rPr>
          <w:rFonts w:asciiTheme="majorHAnsi" w:eastAsiaTheme="majorEastAsia" w:hAnsiTheme="majorHAnsi" w:cstheme="majorBidi"/>
          <w:b/>
          <w:bCs/>
          <w:sz w:val="24"/>
          <w:szCs w:val="24"/>
          <w:lang w:val="lt"/>
        </w:rPr>
        <w:t xml:space="preserve"> norm</w:t>
      </w:r>
      <w:r w:rsidR="4160BD5C" w:rsidRPr="00602234">
        <w:rPr>
          <w:rFonts w:asciiTheme="majorHAnsi" w:eastAsiaTheme="majorEastAsia" w:hAnsiTheme="majorHAnsi" w:cstheme="majorBidi"/>
          <w:b/>
          <w:bCs/>
          <w:sz w:val="24"/>
          <w:szCs w:val="24"/>
          <w:lang w:val="lt"/>
        </w:rPr>
        <w:t>ų</w:t>
      </w:r>
      <w:r w:rsidR="2C13C8E2" w:rsidRPr="00602234">
        <w:rPr>
          <w:rFonts w:asciiTheme="majorHAnsi" w:eastAsiaTheme="majorEastAsia" w:hAnsiTheme="majorHAnsi" w:cstheme="majorBidi"/>
          <w:b/>
          <w:bCs/>
          <w:sz w:val="24"/>
          <w:szCs w:val="24"/>
          <w:lang w:val="lt"/>
        </w:rPr>
        <w:t xml:space="preserve"> Lietuvai</w:t>
      </w:r>
      <w:r w:rsidR="1575AC11" w:rsidRPr="00602234">
        <w:rPr>
          <w:rFonts w:asciiTheme="majorHAnsi" w:eastAsiaTheme="majorEastAsia" w:hAnsiTheme="majorHAnsi" w:cstheme="majorBidi"/>
          <w:b/>
          <w:bCs/>
          <w:sz w:val="24"/>
          <w:szCs w:val="24"/>
          <w:lang w:val="lt"/>
        </w:rPr>
        <w:t xml:space="preserve"> </w:t>
      </w:r>
      <w:r w:rsidR="19D946A9" w:rsidRPr="00602234">
        <w:rPr>
          <w:rFonts w:asciiTheme="majorHAnsi" w:eastAsiaTheme="majorEastAsia" w:hAnsiTheme="majorHAnsi" w:cstheme="majorBidi"/>
          <w:b/>
          <w:bCs/>
          <w:sz w:val="24"/>
          <w:szCs w:val="24"/>
          <w:lang w:val="lt"/>
        </w:rPr>
        <w:t xml:space="preserve">apžvalgos </w:t>
      </w:r>
      <w:r w:rsidR="1575AC11" w:rsidRPr="00602234">
        <w:rPr>
          <w:rFonts w:asciiTheme="majorHAnsi" w:eastAsiaTheme="majorEastAsia" w:hAnsiTheme="majorHAnsi" w:cstheme="majorBidi"/>
          <w:b/>
          <w:bCs/>
          <w:sz w:val="24"/>
          <w:szCs w:val="24"/>
          <w:lang w:val="lt"/>
        </w:rPr>
        <w:t>arba pagrindimo ko</w:t>
      </w:r>
      <w:r w:rsidR="5F6C0077" w:rsidRPr="00602234">
        <w:rPr>
          <w:rFonts w:asciiTheme="majorHAnsi" w:eastAsiaTheme="majorEastAsia" w:hAnsiTheme="majorHAnsi" w:cstheme="majorBidi"/>
          <w:b/>
          <w:bCs/>
          <w:sz w:val="24"/>
          <w:szCs w:val="24"/>
          <w:lang w:val="lt"/>
        </w:rPr>
        <w:t xml:space="preserve">dėl  ir kaip </w:t>
      </w:r>
      <w:proofErr w:type="spellStart"/>
      <w:r w:rsidR="5F6C0077" w:rsidRPr="00602234">
        <w:rPr>
          <w:rFonts w:asciiTheme="majorHAnsi" w:eastAsiaTheme="majorEastAsia" w:hAnsiTheme="majorHAnsi" w:cstheme="majorBidi"/>
          <w:b/>
          <w:bCs/>
          <w:sz w:val="24"/>
          <w:szCs w:val="24"/>
          <w:lang w:val="lt"/>
        </w:rPr>
        <w:t>vadovaujamąsi</w:t>
      </w:r>
      <w:proofErr w:type="spellEnd"/>
      <w:r w:rsidR="5F6C0077" w:rsidRPr="00602234">
        <w:rPr>
          <w:rFonts w:asciiTheme="majorHAnsi" w:eastAsiaTheme="majorEastAsia" w:hAnsiTheme="majorHAnsi" w:cstheme="majorBidi"/>
          <w:b/>
          <w:bCs/>
          <w:sz w:val="24"/>
          <w:szCs w:val="24"/>
          <w:lang w:val="lt"/>
        </w:rPr>
        <w:t xml:space="preserve"> kitų šalių </w:t>
      </w:r>
      <w:r w:rsidR="1575AC11" w:rsidRPr="00602234">
        <w:rPr>
          <w:rFonts w:asciiTheme="majorHAnsi" w:eastAsiaTheme="majorEastAsia" w:hAnsiTheme="majorHAnsi" w:cstheme="majorBidi"/>
          <w:b/>
          <w:bCs/>
          <w:sz w:val="24"/>
          <w:szCs w:val="24"/>
          <w:lang w:val="lt"/>
        </w:rPr>
        <w:t>normomis</w:t>
      </w:r>
      <w:r w:rsidR="2C13C8E2" w:rsidRPr="00602234">
        <w:rPr>
          <w:rFonts w:asciiTheme="majorHAnsi" w:eastAsiaTheme="majorEastAsia" w:hAnsiTheme="majorHAnsi" w:cstheme="majorBidi"/>
          <w:sz w:val="24"/>
          <w:szCs w:val="24"/>
          <w:lang w:val="lt"/>
        </w:rPr>
        <w:t xml:space="preserve">.    </w:t>
      </w:r>
    </w:p>
    <w:p w14:paraId="16B860A9" w14:textId="15A58C70" w:rsidR="2EC24395" w:rsidRDefault="2EC24395" w:rsidP="00602234">
      <w:pPr>
        <w:spacing w:line="257" w:lineRule="auto"/>
        <w:jc w:val="both"/>
        <w:rPr>
          <w:rFonts w:asciiTheme="majorHAnsi" w:eastAsiaTheme="majorEastAsia" w:hAnsiTheme="majorHAnsi" w:cstheme="majorBidi"/>
          <w:b/>
          <w:bCs/>
          <w:sz w:val="24"/>
          <w:szCs w:val="24"/>
          <w:lang w:val="lt"/>
        </w:rPr>
      </w:pPr>
      <w:r w:rsidRPr="75FEDFB4">
        <w:rPr>
          <w:rFonts w:asciiTheme="majorHAnsi" w:eastAsiaTheme="majorEastAsia" w:hAnsiTheme="majorHAnsi" w:cstheme="majorBidi"/>
          <w:sz w:val="24"/>
          <w:szCs w:val="24"/>
          <w:lang w:val="lt"/>
        </w:rPr>
        <w:t>Asmenybės testavimą svarbu atlikti atsakingai ir profesionaliai</w:t>
      </w:r>
      <w:r w:rsidR="722169E0" w:rsidRPr="75FEDFB4">
        <w:rPr>
          <w:rFonts w:asciiTheme="majorHAnsi" w:eastAsiaTheme="majorEastAsia" w:hAnsiTheme="majorHAnsi" w:cstheme="majorBidi"/>
          <w:sz w:val="24"/>
          <w:szCs w:val="24"/>
          <w:lang w:val="lt"/>
        </w:rPr>
        <w:t>. Lietuvoje svarbu</w:t>
      </w:r>
      <w:r w:rsidRPr="75FEDFB4">
        <w:rPr>
          <w:rFonts w:asciiTheme="majorHAnsi" w:eastAsiaTheme="majorEastAsia" w:hAnsiTheme="majorHAnsi" w:cstheme="majorBidi"/>
          <w:sz w:val="24"/>
          <w:szCs w:val="24"/>
          <w:lang w:val="lt"/>
        </w:rPr>
        <w:t xml:space="preserve"> skatinti supratimą, kad </w:t>
      </w:r>
      <w:proofErr w:type="spellStart"/>
      <w:r w:rsidR="7FC4F15F" w:rsidRPr="75FEDFB4">
        <w:rPr>
          <w:rFonts w:asciiTheme="majorHAnsi" w:eastAsiaTheme="majorEastAsia" w:hAnsiTheme="majorHAnsi" w:cstheme="majorBidi"/>
          <w:sz w:val="24"/>
          <w:szCs w:val="24"/>
          <w:lang w:val="lt"/>
        </w:rPr>
        <w:t>psichometrinius</w:t>
      </w:r>
      <w:proofErr w:type="spellEnd"/>
      <w:r w:rsidR="7FC4F15F" w:rsidRPr="75FEDFB4">
        <w:rPr>
          <w:rFonts w:asciiTheme="majorHAnsi" w:eastAsiaTheme="majorEastAsia" w:hAnsiTheme="majorHAnsi" w:cstheme="majorBidi"/>
          <w:sz w:val="24"/>
          <w:szCs w:val="24"/>
          <w:lang w:val="lt"/>
        </w:rPr>
        <w:t xml:space="preserve"> </w:t>
      </w:r>
      <w:r w:rsidRPr="75FEDFB4">
        <w:rPr>
          <w:rFonts w:asciiTheme="majorHAnsi" w:eastAsiaTheme="majorEastAsia" w:hAnsiTheme="majorHAnsi" w:cstheme="majorBidi"/>
          <w:sz w:val="24"/>
          <w:szCs w:val="24"/>
          <w:lang w:val="lt"/>
        </w:rPr>
        <w:t xml:space="preserve">testus turėtų naudoti kompetentingi specialistai, kurie atsižvelgia į testuojamųjų ir kitų testavimo procese dalyvaujančių šalių teises. </w:t>
      </w:r>
      <w:r w:rsidR="63E1290A" w:rsidRPr="75FEDFB4">
        <w:rPr>
          <w:rFonts w:asciiTheme="majorHAnsi" w:eastAsiaTheme="majorEastAsia" w:hAnsiTheme="majorHAnsi" w:cstheme="majorBidi"/>
          <w:sz w:val="24"/>
          <w:szCs w:val="24"/>
          <w:lang w:val="lt"/>
        </w:rPr>
        <w:t>Š</w:t>
      </w:r>
      <w:r w:rsidRPr="75FEDFB4">
        <w:rPr>
          <w:rFonts w:asciiTheme="majorHAnsi" w:eastAsiaTheme="majorEastAsia" w:hAnsiTheme="majorHAnsi" w:cstheme="majorBidi"/>
          <w:sz w:val="24"/>
          <w:szCs w:val="24"/>
          <w:lang w:val="lt"/>
        </w:rPr>
        <w:t xml:space="preserve">ios nuostatos pabrėžiamos 2014 metų Tarptautinės testų komisijos „Pareiškime dėl testų ir kitų vertinimo instrumentų naudojimo mokslinio tyrimo tikslais“ ir jo pagrindu 2014 metais Lietuvos psichologų sąjungos parengtame „Testų naudojimo reglamente“ </w:t>
      </w:r>
      <w:r w:rsidR="7B088131" w:rsidRPr="75FEDFB4">
        <w:rPr>
          <w:rFonts w:asciiTheme="majorHAnsi" w:eastAsiaTheme="majorEastAsia" w:hAnsiTheme="majorHAnsi" w:cstheme="majorBidi"/>
          <w:sz w:val="24"/>
          <w:szCs w:val="24"/>
          <w:lang w:val="lt"/>
        </w:rPr>
        <w:t>- į šių dokumentų</w:t>
      </w:r>
      <w:r w:rsidRPr="75FEDFB4">
        <w:rPr>
          <w:rFonts w:asciiTheme="majorHAnsi" w:eastAsiaTheme="majorEastAsia" w:hAnsiTheme="majorHAnsi" w:cstheme="majorBidi"/>
          <w:sz w:val="24"/>
          <w:szCs w:val="24"/>
          <w:lang w:val="lt"/>
        </w:rPr>
        <w:t xml:space="preserve"> nuostatas </w:t>
      </w:r>
      <w:r w:rsidR="484CB9EA" w:rsidRPr="75FEDFB4">
        <w:rPr>
          <w:rFonts w:asciiTheme="majorHAnsi" w:eastAsiaTheme="majorEastAsia" w:hAnsiTheme="majorHAnsi" w:cstheme="majorBidi"/>
          <w:sz w:val="24"/>
          <w:szCs w:val="24"/>
          <w:lang w:val="lt"/>
        </w:rPr>
        <w:t xml:space="preserve">būtina atsižvelgti </w:t>
      </w:r>
      <w:r w:rsidRPr="75FEDFB4">
        <w:rPr>
          <w:rFonts w:asciiTheme="majorHAnsi" w:eastAsiaTheme="majorEastAsia" w:hAnsiTheme="majorHAnsi" w:cstheme="majorBidi"/>
          <w:sz w:val="24"/>
          <w:szCs w:val="24"/>
          <w:lang w:val="lt"/>
        </w:rPr>
        <w:t xml:space="preserve">planuojant testavimo instrumentų įsigijimus. </w:t>
      </w:r>
      <w:r w:rsidRPr="75FEDFB4">
        <w:rPr>
          <w:rFonts w:asciiTheme="majorHAnsi" w:eastAsiaTheme="majorEastAsia" w:hAnsiTheme="majorHAnsi" w:cstheme="majorBidi"/>
          <w:b/>
          <w:bCs/>
          <w:sz w:val="24"/>
          <w:szCs w:val="24"/>
          <w:lang w:val="lt"/>
        </w:rPr>
        <w:t>Atsižvelgiant į tai, kad reglamente aprašytas ir psichologo vaidmuo testavime, rekomenduojama pirkimo vykdymo procese į ekspertų komisiją įtraukti psichologą.</w:t>
      </w:r>
    </w:p>
    <w:p w14:paraId="55E889B8" w14:textId="04CA34C7" w:rsidR="2C13C8E2" w:rsidRDefault="2C13C8E2">
      <w:pPr>
        <w:pStyle w:val="Paragrafoelenco"/>
        <w:numPr>
          <w:ilvl w:val="1"/>
          <w:numId w:val="1"/>
        </w:numPr>
        <w:spacing w:after="0" w:line="257" w:lineRule="auto"/>
        <w:ind w:left="1080"/>
        <w:jc w:val="both"/>
        <w:rPr>
          <w:rFonts w:asciiTheme="majorHAnsi" w:eastAsiaTheme="majorEastAsia" w:hAnsiTheme="majorHAnsi" w:cstheme="majorBidi"/>
          <w:color w:val="2F5597"/>
          <w:sz w:val="24"/>
          <w:szCs w:val="24"/>
          <w:lang w:val="lt"/>
        </w:rPr>
      </w:pPr>
      <w:r w:rsidRPr="0104CCCA">
        <w:rPr>
          <w:rFonts w:asciiTheme="majorHAnsi" w:eastAsiaTheme="majorEastAsia" w:hAnsiTheme="majorHAnsi" w:cstheme="majorBidi"/>
          <w:color w:val="2F5597"/>
          <w:sz w:val="24"/>
          <w:szCs w:val="24"/>
          <w:lang w:val="lt"/>
        </w:rPr>
        <w:t>Patikimumas</w:t>
      </w:r>
    </w:p>
    <w:p w14:paraId="73226F41" w14:textId="28A75AE0" w:rsidR="2C13C8E2" w:rsidRDefault="2C13C8E2" w:rsidP="00602234">
      <w:pPr>
        <w:spacing w:line="257" w:lineRule="auto"/>
        <w:jc w:val="both"/>
        <w:rPr>
          <w:rFonts w:asciiTheme="majorHAnsi" w:eastAsiaTheme="majorEastAsia" w:hAnsiTheme="majorHAnsi" w:cstheme="majorBidi"/>
          <w:i/>
          <w:iCs/>
          <w:sz w:val="24"/>
          <w:szCs w:val="24"/>
          <w:lang w:val="lt"/>
        </w:rPr>
      </w:pPr>
      <w:r w:rsidRPr="75FEDFB4">
        <w:rPr>
          <w:rFonts w:asciiTheme="majorHAnsi" w:eastAsiaTheme="majorEastAsia" w:hAnsiTheme="majorHAnsi" w:cstheme="majorBidi"/>
          <w:sz w:val="24"/>
          <w:szCs w:val="24"/>
          <w:lang w:val="lt"/>
        </w:rPr>
        <w:t>Patikimumas dažniausiai įvardijamas kaip priemonių kokybės kriterijus – matavimų tikslumas, stabilumas</w:t>
      </w:r>
      <w:r w:rsidR="18C0F0D1" w:rsidRPr="75FEDFB4">
        <w:rPr>
          <w:rFonts w:asciiTheme="majorHAnsi" w:eastAsiaTheme="majorEastAsia" w:hAnsiTheme="majorHAnsi" w:cstheme="majorBidi"/>
          <w:sz w:val="24"/>
          <w:szCs w:val="24"/>
          <w:lang w:val="lt"/>
        </w:rPr>
        <w:t>,</w:t>
      </w:r>
      <w:r w:rsidRPr="75FEDFB4">
        <w:rPr>
          <w:rFonts w:asciiTheme="majorHAnsi" w:eastAsiaTheme="majorEastAsia" w:hAnsiTheme="majorHAnsi" w:cstheme="majorBidi"/>
          <w:sz w:val="24"/>
          <w:szCs w:val="24"/>
          <w:lang w:val="lt"/>
        </w:rPr>
        <w:t xml:space="preserve"> pastovumas. Dažniausiai psichologijos moksliniuose darbuose aprašomi </w:t>
      </w:r>
      <w:r w:rsidRPr="75FEDFB4">
        <w:rPr>
          <w:rFonts w:asciiTheme="majorHAnsi" w:eastAsiaTheme="majorEastAsia" w:hAnsiTheme="majorHAnsi" w:cstheme="majorBidi"/>
          <w:b/>
          <w:bCs/>
          <w:sz w:val="24"/>
          <w:szCs w:val="24"/>
          <w:lang w:val="lt"/>
        </w:rPr>
        <w:t>vidinis suderintumas</w:t>
      </w:r>
      <w:r w:rsidRPr="75FEDFB4">
        <w:rPr>
          <w:rFonts w:asciiTheme="majorHAnsi" w:eastAsiaTheme="majorEastAsia" w:hAnsiTheme="majorHAnsi" w:cstheme="majorBidi"/>
          <w:sz w:val="24"/>
          <w:szCs w:val="24"/>
          <w:lang w:val="lt"/>
        </w:rPr>
        <w:t xml:space="preserve"> (angl. </w:t>
      </w:r>
      <w:proofErr w:type="spellStart"/>
      <w:r w:rsidRPr="75FEDFB4">
        <w:rPr>
          <w:rFonts w:asciiTheme="majorHAnsi" w:eastAsiaTheme="majorEastAsia" w:hAnsiTheme="majorHAnsi" w:cstheme="majorBidi"/>
          <w:sz w:val="24"/>
          <w:szCs w:val="24"/>
          <w:lang w:val="lt"/>
        </w:rPr>
        <w:t>internal</w:t>
      </w:r>
      <w:proofErr w:type="spellEnd"/>
      <w:r w:rsidRPr="75FEDFB4">
        <w:rPr>
          <w:rFonts w:asciiTheme="majorHAnsi" w:eastAsiaTheme="majorEastAsia" w:hAnsiTheme="majorHAnsi" w:cstheme="majorBidi"/>
          <w:sz w:val="24"/>
          <w:szCs w:val="24"/>
          <w:lang w:val="lt"/>
        </w:rPr>
        <w:t xml:space="preserve"> </w:t>
      </w:r>
      <w:proofErr w:type="spellStart"/>
      <w:r w:rsidRPr="75FEDFB4">
        <w:rPr>
          <w:rFonts w:asciiTheme="majorHAnsi" w:eastAsiaTheme="majorEastAsia" w:hAnsiTheme="majorHAnsi" w:cstheme="majorBidi"/>
          <w:sz w:val="24"/>
          <w:szCs w:val="24"/>
          <w:lang w:val="lt"/>
        </w:rPr>
        <w:t>consistency</w:t>
      </w:r>
      <w:proofErr w:type="spellEnd"/>
      <w:r w:rsidRPr="75FEDFB4">
        <w:rPr>
          <w:rFonts w:asciiTheme="majorHAnsi" w:eastAsiaTheme="majorEastAsia" w:hAnsiTheme="majorHAnsi" w:cstheme="majorBidi"/>
          <w:sz w:val="24"/>
          <w:szCs w:val="24"/>
          <w:lang w:val="lt"/>
        </w:rPr>
        <w:t xml:space="preserve">), </w:t>
      </w:r>
      <w:r w:rsidRPr="75FEDFB4">
        <w:rPr>
          <w:rFonts w:asciiTheme="majorHAnsi" w:eastAsiaTheme="majorEastAsia" w:hAnsiTheme="majorHAnsi" w:cstheme="majorBidi"/>
          <w:b/>
          <w:bCs/>
          <w:sz w:val="24"/>
          <w:szCs w:val="24"/>
          <w:lang w:val="lt"/>
        </w:rPr>
        <w:t>pakartotinių testavimų patvirtintas patikimumas</w:t>
      </w:r>
      <w:r w:rsidRPr="75FEDFB4">
        <w:rPr>
          <w:rFonts w:asciiTheme="majorHAnsi" w:eastAsiaTheme="majorEastAsia" w:hAnsiTheme="majorHAnsi" w:cstheme="majorBidi"/>
          <w:sz w:val="24"/>
          <w:szCs w:val="24"/>
          <w:lang w:val="lt"/>
        </w:rPr>
        <w:t xml:space="preserve"> (angl. </w:t>
      </w:r>
      <w:proofErr w:type="spellStart"/>
      <w:r w:rsidRPr="75FEDFB4">
        <w:rPr>
          <w:rFonts w:asciiTheme="majorHAnsi" w:eastAsiaTheme="majorEastAsia" w:hAnsiTheme="majorHAnsi" w:cstheme="majorBidi"/>
          <w:sz w:val="24"/>
          <w:szCs w:val="24"/>
          <w:lang w:val="lt"/>
        </w:rPr>
        <w:t>test-retest</w:t>
      </w:r>
      <w:proofErr w:type="spellEnd"/>
      <w:r w:rsidRPr="75FEDFB4">
        <w:rPr>
          <w:rFonts w:asciiTheme="majorHAnsi" w:eastAsiaTheme="majorEastAsia" w:hAnsiTheme="majorHAnsi" w:cstheme="majorBidi"/>
          <w:sz w:val="24"/>
          <w:szCs w:val="24"/>
          <w:lang w:val="lt"/>
        </w:rPr>
        <w:t xml:space="preserve"> </w:t>
      </w:r>
      <w:proofErr w:type="spellStart"/>
      <w:r w:rsidRPr="75FEDFB4">
        <w:rPr>
          <w:rFonts w:asciiTheme="majorHAnsi" w:eastAsiaTheme="majorEastAsia" w:hAnsiTheme="majorHAnsi" w:cstheme="majorBidi"/>
          <w:sz w:val="24"/>
          <w:szCs w:val="24"/>
          <w:lang w:val="lt"/>
        </w:rPr>
        <w:t>reliability</w:t>
      </w:r>
      <w:proofErr w:type="spellEnd"/>
      <w:r w:rsidRPr="75FEDFB4">
        <w:rPr>
          <w:rFonts w:asciiTheme="majorHAnsi" w:eastAsiaTheme="majorEastAsia" w:hAnsiTheme="majorHAnsi" w:cstheme="majorBidi"/>
          <w:sz w:val="24"/>
          <w:szCs w:val="24"/>
          <w:lang w:val="lt"/>
        </w:rPr>
        <w:t xml:space="preserve">), </w:t>
      </w:r>
      <w:r w:rsidRPr="75FEDFB4">
        <w:rPr>
          <w:rFonts w:asciiTheme="majorHAnsi" w:eastAsiaTheme="majorEastAsia" w:hAnsiTheme="majorHAnsi" w:cstheme="majorBidi"/>
          <w:b/>
          <w:bCs/>
          <w:sz w:val="24"/>
          <w:szCs w:val="24"/>
          <w:lang w:val="lt"/>
        </w:rPr>
        <w:t>dalijimo pusiau metodu skaičiuotas patikimumas</w:t>
      </w:r>
      <w:r w:rsidRPr="75FEDFB4">
        <w:rPr>
          <w:rFonts w:asciiTheme="majorHAnsi" w:eastAsiaTheme="majorEastAsia" w:hAnsiTheme="majorHAnsi" w:cstheme="majorBidi"/>
          <w:sz w:val="24"/>
          <w:szCs w:val="24"/>
          <w:lang w:val="lt"/>
        </w:rPr>
        <w:t xml:space="preserve"> (angl. </w:t>
      </w:r>
      <w:proofErr w:type="spellStart"/>
      <w:r w:rsidRPr="75FEDFB4">
        <w:rPr>
          <w:rFonts w:asciiTheme="majorHAnsi" w:eastAsiaTheme="majorEastAsia" w:hAnsiTheme="majorHAnsi" w:cstheme="majorBidi"/>
          <w:sz w:val="24"/>
          <w:szCs w:val="24"/>
          <w:lang w:val="lt"/>
        </w:rPr>
        <w:t>splif-half</w:t>
      </w:r>
      <w:proofErr w:type="spellEnd"/>
      <w:r w:rsidRPr="75FEDFB4">
        <w:rPr>
          <w:rFonts w:asciiTheme="majorHAnsi" w:eastAsiaTheme="majorEastAsia" w:hAnsiTheme="majorHAnsi" w:cstheme="majorBidi"/>
          <w:sz w:val="24"/>
          <w:szCs w:val="24"/>
          <w:lang w:val="lt"/>
        </w:rPr>
        <w:t xml:space="preserve"> </w:t>
      </w:r>
      <w:proofErr w:type="spellStart"/>
      <w:r w:rsidRPr="75FEDFB4">
        <w:rPr>
          <w:rFonts w:asciiTheme="majorHAnsi" w:eastAsiaTheme="majorEastAsia" w:hAnsiTheme="majorHAnsi" w:cstheme="majorBidi"/>
          <w:sz w:val="24"/>
          <w:szCs w:val="24"/>
          <w:lang w:val="lt"/>
        </w:rPr>
        <w:t>reliability</w:t>
      </w:r>
      <w:proofErr w:type="spellEnd"/>
      <w:r w:rsidRPr="75FEDFB4">
        <w:rPr>
          <w:rFonts w:asciiTheme="majorHAnsi" w:eastAsiaTheme="majorEastAsia" w:hAnsiTheme="majorHAnsi" w:cstheme="majorBidi"/>
          <w:sz w:val="24"/>
          <w:szCs w:val="24"/>
          <w:lang w:val="lt"/>
        </w:rPr>
        <w:t xml:space="preserve">) ir </w:t>
      </w:r>
      <w:r w:rsidRPr="75FEDFB4">
        <w:rPr>
          <w:rFonts w:asciiTheme="majorHAnsi" w:eastAsiaTheme="majorEastAsia" w:hAnsiTheme="majorHAnsi" w:cstheme="majorBidi"/>
          <w:b/>
          <w:bCs/>
          <w:sz w:val="24"/>
          <w:szCs w:val="24"/>
          <w:lang w:val="lt"/>
        </w:rPr>
        <w:t xml:space="preserve">vertintojų </w:t>
      </w:r>
      <w:proofErr w:type="spellStart"/>
      <w:r w:rsidRPr="75FEDFB4">
        <w:rPr>
          <w:rFonts w:asciiTheme="majorHAnsi" w:eastAsiaTheme="majorEastAsia" w:hAnsiTheme="majorHAnsi" w:cstheme="majorBidi"/>
          <w:b/>
          <w:bCs/>
          <w:sz w:val="24"/>
          <w:szCs w:val="24"/>
          <w:lang w:val="lt"/>
        </w:rPr>
        <w:t>sutariamumas</w:t>
      </w:r>
      <w:proofErr w:type="spellEnd"/>
      <w:r w:rsidRPr="75FEDFB4">
        <w:rPr>
          <w:rFonts w:asciiTheme="majorHAnsi" w:eastAsiaTheme="majorEastAsia" w:hAnsiTheme="majorHAnsi" w:cstheme="majorBidi"/>
          <w:sz w:val="24"/>
          <w:szCs w:val="24"/>
          <w:lang w:val="lt"/>
        </w:rPr>
        <w:t xml:space="preserve"> (angl. </w:t>
      </w:r>
      <w:proofErr w:type="spellStart"/>
      <w:r w:rsidRPr="75FEDFB4">
        <w:rPr>
          <w:rFonts w:asciiTheme="majorHAnsi" w:eastAsiaTheme="majorEastAsia" w:hAnsiTheme="majorHAnsi" w:cstheme="majorBidi"/>
          <w:sz w:val="24"/>
          <w:szCs w:val="24"/>
          <w:lang w:val="lt"/>
        </w:rPr>
        <w:t>inter-rated</w:t>
      </w:r>
      <w:proofErr w:type="spellEnd"/>
      <w:r w:rsidRPr="75FEDFB4">
        <w:rPr>
          <w:rFonts w:asciiTheme="majorHAnsi" w:eastAsiaTheme="majorEastAsia" w:hAnsiTheme="majorHAnsi" w:cstheme="majorBidi"/>
          <w:sz w:val="24"/>
          <w:szCs w:val="24"/>
          <w:lang w:val="lt"/>
        </w:rPr>
        <w:t xml:space="preserve"> </w:t>
      </w:r>
      <w:proofErr w:type="spellStart"/>
      <w:r w:rsidRPr="75FEDFB4">
        <w:rPr>
          <w:rFonts w:asciiTheme="majorHAnsi" w:eastAsiaTheme="majorEastAsia" w:hAnsiTheme="majorHAnsi" w:cstheme="majorBidi"/>
          <w:sz w:val="24"/>
          <w:szCs w:val="24"/>
          <w:lang w:val="lt"/>
        </w:rPr>
        <w:t>reliability</w:t>
      </w:r>
      <w:proofErr w:type="spellEnd"/>
      <w:r w:rsidRPr="75FEDFB4">
        <w:rPr>
          <w:rFonts w:asciiTheme="majorHAnsi" w:eastAsiaTheme="majorEastAsia" w:hAnsiTheme="majorHAnsi" w:cstheme="majorBidi"/>
          <w:sz w:val="24"/>
          <w:szCs w:val="24"/>
          <w:lang w:val="lt"/>
        </w:rPr>
        <w:t xml:space="preserve">). </w:t>
      </w:r>
      <w:r w:rsidR="157EBF3A" w:rsidRPr="75FEDFB4">
        <w:rPr>
          <w:rFonts w:asciiTheme="majorHAnsi" w:eastAsiaTheme="majorEastAsia" w:hAnsiTheme="majorHAnsi" w:cstheme="majorBidi"/>
          <w:sz w:val="24"/>
          <w:szCs w:val="24"/>
          <w:lang w:val="lt"/>
        </w:rPr>
        <w:t>M</w:t>
      </w:r>
      <w:r w:rsidRPr="75FEDFB4">
        <w:rPr>
          <w:rFonts w:asciiTheme="majorHAnsi" w:eastAsiaTheme="majorEastAsia" w:hAnsiTheme="majorHAnsi" w:cstheme="majorBidi"/>
          <w:sz w:val="24"/>
          <w:szCs w:val="24"/>
          <w:lang w:val="lt"/>
        </w:rPr>
        <w:t xml:space="preserve">oksliniuose darbuose </w:t>
      </w:r>
      <w:r w:rsidR="2A536B67" w:rsidRPr="75FEDFB4">
        <w:rPr>
          <w:rFonts w:asciiTheme="majorHAnsi" w:eastAsiaTheme="majorEastAsia" w:hAnsiTheme="majorHAnsi" w:cstheme="majorBidi"/>
          <w:sz w:val="24"/>
          <w:szCs w:val="24"/>
          <w:lang w:val="lt"/>
        </w:rPr>
        <w:t xml:space="preserve">dažnai </w:t>
      </w:r>
      <w:r w:rsidRPr="75FEDFB4">
        <w:rPr>
          <w:rFonts w:asciiTheme="majorHAnsi" w:eastAsiaTheme="majorEastAsia" w:hAnsiTheme="majorHAnsi" w:cstheme="majorBidi"/>
          <w:sz w:val="24"/>
          <w:szCs w:val="24"/>
          <w:lang w:val="lt"/>
        </w:rPr>
        <w:t>pateikiamas tik</w:t>
      </w:r>
      <w:r w:rsidR="431A7ED6" w:rsidRPr="75FEDFB4">
        <w:rPr>
          <w:rFonts w:asciiTheme="majorHAnsi" w:eastAsiaTheme="majorEastAsia" w:hAnsiTheme="majorHAnsi" w:cstheme="majorBidi"/>
          <w:sz w:val="24"/>
          <w:szCs w:val="24"/>
          <w:lang w:val="lt"/>
        </w:rPr>
        <w:t xml:space="preserve"> </w:t>
      </w:r>
      <w:r w:rsidR="1694C374" w:rsidRPr="75FEDFB4">
        <w:rPr>
          <w:rFonts w:asciiTheme="majorHAnsi" w:eastAsiaTheme="majorEastAsia" w:hAnsiTheme="majorHAnsi" w:cstheme="majorBidi"/>
          <w:sz w:val="24"/>
          <w:szCs w:val="24"/>
          <w:lang w:val="lt"/>
        </w:rPr>
        <w:t>konkrečiame tyrime</w:t>
      </w:r>
      <w:r w:rsidRPr="75FEDFB4">
        <w:rPr>
          <w:rFonts w:asciiTheme="majorHAnsi" w:eastAsiaTheme="majorEastAsia" w:hAnsiTheme="majorHAnsi" w:cstheme="majorBidi"/>
          <w:sz w:val="24"/>
          <w:szCs w:val="24"/>
          <w:lang w:val="lt"/>
        </w:rPr>
        <w:t xml:space="preserve"> naudotų priemonių vidinis suderin</w:t>
      </w:r>
      <w:r w:rsidR="1C6DA850" w:rsidRPr="75FEDFB4">
        <w:rPr>
          <w:rFonts w:asciiTheme="majorHAnsi" w:eastAsiaTheme="majorEastAsia" w:hAnsiTheme="majorHAnsi" w:cstheme="majorBidi"/>
          <w:sz w:val="24"/>
          <w:szCs w:val="24"/>
          <w:lang w:val="lt"/>
        </w:rPr>
        <w:t>am</w:t>
      </w:r>
      <w:r w:rsidR="3AD44CAF" w:rsidRPr="75FEDFB4">
        <w:rPr>
          <w:rFonts w:asciiTheme="majorHAnsi" w:eastAsiaTheme="majorEastAsia" w:hAnsiTheme="majorHAnsi" w:cstheme="majorBidi"/>
          <w:sz w:val="24"/>
          <w:szCs w:val="24"/>
          <w:lang w:val="lt"/>
        </w:rPr>
        <w:t xml:space="preserve">  </w:t>
      </w:r>
      <w:proofErr w:type="spellStart"/>
      <w:r w:rsidRPr="75FEDFB4">
        <w:rPr>
          <w:rFonts w:asciiTheme="majorHAnsi" w:eastAsiaTheme="majorEastAsia" w:hAnsiTheme="majorHAnsi" w:cstheme="majorBidi"/>
          <w:sz w:val="24"/>
          <w:szCs w:val="24"/>
          <w:lang w:val="lt"/>
        </w:rPr>
        <w:t>umas</w:t>
      </w:r>
      <w:proofErr w:type="spellEnd"/>
      <w:r w:rsidRPr="75FEDFB4">
        <w:rPr>
          <w:rFonts w:asciiTheme="majorHAnsi" w:eastAsiaTheme="majorEastAsia" w:hAnsiTheme="majorHAnsi" w:cstheme="majorBidi"/>
          <w:sz w:val="24"/>
          <w:szCs w:val="24"/>
          <w:lang w:val="lt"/>
        </w:rPr>
        <w:t>.  Tarptautinė testų komisij</w:t>
      </w:r>
      <w:r w:rsidR="091F6C8B" w:rsidRPr="75FEDFB4">
        <w:rPr>
          <w:rFonts w:asciiTheme="majorHAnsi" w:eastAsiaTheme="majorEastAsia" w:hAnsiTheme="majorHAnsi" w:cstheme="majorBidi"/>
          <w:sz w:val="24"/>
          <w:szCs w:val="24"/>
          <w:lang w:val="lt"/>
        </w:rPr>
        <w:t>a</w:t>
      </w:r>
      <w:r w:rsidRPr="75FEDFB4">
        <w:rPr>
          <w:rFonts w:asciiTheme="majorHAnsi" w:eastAsiaTheme="majorEastAsia" w:hAnsiTheme="majorHAnsi" w:cstheme="majorBidi"/>
          <w:sz w:val="24"/>
          <w:szCs w:val="24"/>
          <w:lang w:val="lt"/>
        </w:rPr>
        <w:t xml:space="preserve"> pa</w:t>
      </w:r>
      <w:r w:rsidR="6EBCB61A" w:rsidRPr="75FEDFB4">
        <w:rPr>
          <w:rFonts w:asciiTheme="majorHAnsi" w:eastAsiaTheme="majorEastAsia" w:hAnsiTheme="majorHAnsi" w:cstheme="majorBidi"/>
          <w:sz w:val="24"/>
          <w:szCs w:val="24"/>
          <w:lang w:val="lt"/>
        </w:rPr>
        <w:t>aiškina</w:t>
      </w:r>
      <w:r w:rsidRPr="75FEDFB4">
        <w:rPr>
          <w:rFonts w:asciiTheme="majorHAnsi" w:eastAsiaTheme="majorEastAsia" w:hAnsiTheme="majorHAnsi" w:cstheme="majorBidi"/>
          <w:sz w:val="24"/>
          <w:szCs w:val="24"/>
          <w:lang w:val="lt"/>
        </w:rPr>
        <w:t>: „</w:t>
      </w:r>
      <w:r w:rsidRPr="75FEDFB4">
        <w:rPr>
          <w:rFonts w:asciiTheme="majorHAnsi" w:eastAsiaTheme="majorEastAsia" w:hAnsiTheme="majorHAnsi" w:cstheme="majorBidi"/>
          <w:i/>
          <w:iCs/>
          <w:sz w:val="24"/>
          <w:szCs w:val="24"/>
          <w:lang w:val="lt"/>
        </w:rPr>
        <w:t xml:space="preserve">Yra įvairios priežastys, dėl kurių sušvelninami tyrimuose naudojamų testų techniniai kriterijai. </w:t>
      </w:r>
      <w:r w:rsidR="6C89955E" w:rsidRPr="75FEDFB4">
        <w:rPr>
          <w:rFonts w:asciiTheme="majorHAnsi" w:eastAsiaTheme="majorEastAsia" w:hAnsiTheme="majorHAnsi" w:cstheme="majorBidi"/>
          <w:i/>
          <w:iCs/>
          <w:sz w:val="24"/>
          <w:szCs w:val="24"/>
          <w:lang w:val="lt"/>
        </w:rPr>
        <w:t xml:space="preserve"> </w:t>
      </w:r>
      <w:r w:rsidRPr="75FEDFB4">
        <w:rPr>
          <w:rFonts w:asciiTheme="majorHAnsi" w:eastAsiaTheme="majorEastAsia" w:hAnsiTheme="majorHAnsi" w:cstheme="majorBidi"/>
          <w:i/>
          <w:iCs/>
          <w:sz w:val="24"/>
          <w:szCs w:val="24"/>
          <w:lang w:val="lt"/>
        </w:rPr>
        <w:t xml:space="preserve">Pirma, testai gali būti kuriami ir naudojami inovatyvioms hipotezėms tikrinti ir iki šiol nepakankamai ištirtiems konstruktams analizuoti, siekiant sukurti patikimus jų matavimo metodus. Antra, tyrimuose naudojami testai gali būti nestandartizuoti, o populiacijos statistika ir </w:t>
      </w:r>
      <w:proofErr w:type="spellStart"/>
      <w:r w:rsidRPr="75FEDFB4">
        <w:rPr>
          <w:rFonts w:asciiTheme="majorHAnsi" w:eastAsiaTheme="majorEastAsia" w:hAnsiTheme="majorHAnsi" w:cstheme="majorBidi"/>
          <w:i/>
          <w:iCs/>
          <w:sz w:val="24"/>
          <w:szCs w:val="24"/>
          <w:lang w:val="lt"/>
        </w:rPr>
        <w:t>psichometrinės</w:t>
      </w:r>
      <w:proofErr w:type="spellEnd"/>
      <w:r w:rsidRPr="75FEDFB4">
        <w:rPr>
          <w:rFonts w:asciiTheme="majorHAnsi" w:eastAsiaTheme="majorEastAsia" w:hAnsiTheme="majorHAnsi" w:cstheme="majorBidi"/>
          <w:i/>
          <w:iCs/>
          <w:sz w:val="24"/>
          <w:szCs w:val="24"/>
          <w:lang w:val="lt"/>
        </w:rPr>
        <w:t xml:space="preserve"> savybės iki tyrimo gali būti nežinomos. Trečia, testų duomenys gali būti naudojami </w:t>
      </w:r>
      <w:r w:rsidRPr="75FEDFB4">
        <w:rPr>
          <w:rFonts w:asciiTheme="majorHAnsi" w:eastAsiaTheme="majorEastAsia" w:hAnsiTheme="majorHAnsi" w:cstheme="majorBidi"/>
          <w:i/>
          <w:iCs/>
          <w:sz w:val="24"/>
          <w:szCs w:val="24"/>
          <w:lang w:val="lt"/>
        </w:rPr>
        <w:lastRenderedPageBreak/>
        <w:t xml:space="preserve">apibendrintai arba grupės lygmeniu ir netaikomi išvadoms apie individualius testuojamuosius. Kartais tyrimuose naudojimų testų versijos išplinta į profesinės praktikos sritį, neatsižvelgiant į jų trūkumus. </w:t>
      </w:r>
    </w:p>
    <w:p w14:paraId="762CA93B" w14:textId="0D866EB7" w:rsidR="2AC41E78" w:rsidRDefault="2C13C8E2" w:rsidP="00602234">
      <w:pPr>
        <w:spacing w:line="257" w:lineRule="auto"/>
        <w:jc w:val="both"/>
        <w:rPr>
          <w:rFonts w:asciiTheme="majorHAnsi" w:eastAsiaTheme="majorEastAsia" w:hAnsiTheme="majorHAnsi" w:cstheme="majorBidi"/>
          <w:sz w:val="24"/>
          <w:szCs w:val="24"/>
          <w:lang w:val="lt"/>
        </w:rPr>
      </w:pPr>
      <w:r w:rsidRPr="75FEDFB4">
        <w:rPr>
          <w:rFonts w:asciiTheme="majorHAnsi" w:eastAsiaTheme="majorEastAsia" w:hAnsiTheme="majorHAnsi" w:cstheme="majorBidi"/>
          <w:i/>
          <w:iCs/>
          <w:sz w:val="24"/>
          <w:szCs w:val="24"/>
          <w:lang w:val="lt"/>
        </w:rPr>
        <w:t xml:space="preserve">Testo autorius yra atsakingas už tai, kad nebūtų prisidedama prie mokslinio tyrimo įrankių naudojimo profesinėje veikloje plėtros, kol nėra paskelbta pakankamai informacijos apie jų </w:t>
      </w:r>
      <w:proofErr w:type="spellStart"/>
      <w:r w:rsidRPr="75FEDFB4">
        <w:rPr>
          <w:rFonts w:asciiTheme="majorHAnsi" w:eastAsiaTheme="majorEastAsia" w:hAnsiTheme="majorHAnsi" w:cstheme="majorBidi"/>
          <w:i/>
          <w:iCs/>
          <w:sz w:val="24"/>
          <w:szCs w:val="24"/>
          <w:lang w:val="lt"/>
        </w:rPr>
        <w:t>psichometrines</w:t>
      </w:r>
      <w:proofErr w:type="spellEnd"/>
      <w:r w:rsidRPr="75FEDFB4">
        <w:rPr>
          <w:rFonts w:asciiTheme="majorHAnsi" w:eastAsiaTheme="majorEastAsia" w:hAnsiTheme="majorHAnsi" w:cstheme="majorBidi"/>
          <w:i/>
          <w:iCs/>
          <w:sz w:val="24"/>
          <w:szCs w:val="24"/>
          <w:lang w:val="lt"/>
        </w:rPr>
        <w:t xml:space="preserve"> savybes.</w:t>
      </w:r>
      <w:r w:rsidR="3C7C7000" w:rsidRPr="75FEDFB4">
        <w:rPr>
          <w:rFonts w:asciiTheme="majorHAnsi" w:eastAsiaTheme="majorEastAsia" w:hAnsiTheme="majorHAnsi" w:cstheme="majorBidi"/>
          <w:sz w:val="24"/>
          <w:szCs w:val="24"/>
          <w:lang w:val="lt"/>
        </w:rPr>
        <w:t>”</w:t>
      </w:r>
      <w:r w:rsidRPr="75FEDFB4">
        <w:rPr>
          <w:rFonts w:asciiTheme="majorHAnsi" w:eastAsiaTheme="majorEastAsia" w:hAnsiTheme="majorHAnsi" w:cstheme="majorBidi"/>
          <w:sz w:val="24"/>
          <w:szCs w:val="24"/>
          <w:lang w:val="lt"/>
        </w:rPr>
        <w:t xml:space="preserve"> </w:t>
      </w:r>
    </w:p>
    <w:p w14:paraId="5E44FA6F" w14:textId="6C218704" w:rsidR="2AC41E78" w:rsidRPr="00602234" w:rsidRDefault="70BEE885" w:rsidP="00602234">
      <w:pPr>
        <w:spacing w:line="257" w:lineRule="auto"/>
        <w:jc w:val="both"/>
        <w:rPr>
          <w:rFonts w:asciiTheme="majorHAnsi" w:eastAsiaTheme="majorEastAsia" w:hAnsiTheme="majorHAnsi" w:cstheme="majorBidi"/>
          <w:sz w:val="24"/>
          <w:szCs w:val="24"/>
          <w:lang w:val="lt"/>
        </w:rPr>
      </w:pPr>
      <w:r w:rsidRPr="00602234">
        <w:rPr>
          <w:rFonts w:asciiTheme="majorHAnsi" w:eastAsiaTheme="majorEastAsia" w:hAnsiTheme="majorHAnsi" w:cstheme="majorBidi"/>
          <w:sz w:val="24"/>
          <w:szCs w:val="24"/>
          <w:lang w:val="lt"/>
        </w:rPr>
        <w:t xml:space="preserve">Įgyvendinant </w:t>
      </w:r>
      <w:proofErr w:type="spellStart"/>
      <w:r w:rsidRPr="00602234">
        <w:rPr>
          <w:rFonts w:asciiTheme="majorHAnsi" w:eastAsiaTheme="majorEastAsia" w:hAnsiTheme="majorHAnsi" w:cstheme="majorBidi"/>
          <w:sz w:val="24"/>
          <w:szCs w:val="24"/>
          <w:lang w:val="lt"/>
        </w:rPr>
        <w:t>psichometrinio</w:t>
      </w:r>
      <w:proofErr w:type="spellEnd"/>
      <w:r w:rsidRPr="00602234">
        <w:rPr>
          <w:rFonts w:asciiTheme="majorHAnsi" w:eastAsiaTheme="majorEastAsia" w:hAnsiTheme="majorHAnsi" w:cstheme="majorBidi"/>
          <w:sz w:val="24"/>
          <w:szCs w:val="24"/>
          <w:lang w:val="lt"/>
        </w:rPr>
        <w:t xml:space="preserve"> testo pirkimą</w:t>
      </w:r>
      <w:r w:rsidR="469B6834" w:rsidRPr="00602234">
        <w:rPr>
          <w:rFonts w:asciiTheme="majorHAnsi" w:eastAsiaTheme="majorEastAsia" w:hAnsiTheme="majorHAnsi" w:cstheme="majorBidi"/>
          <w:sz w:val="24"/>
          <w:szCs w:val="24"/>
          <w:lang w:val="lt"/>
        </w:rPr>
        <w:t xml:space="preserve"> </w:t>
      </w:r>
      <w:r w:rsidR="469B6834" w:rsidRPr="00602234">
        <w:rPr>
          <w:rFonts w:asciiTheme="majorHAnsi" w:eastAsiaTheme="majorEastAsia" w:hAnsiTheme="majorHAnsi" w:cstheme="majorBidi"/>
          <w:b/>
          <w:bCs/>
          <w:sz w:val="24"/>
          <w:szCs w:val="24"/>
          <w:lang w:val="lt"/>
        </w:rPr>
        <w:t>rekomenduojama potencialau</w:t>
      </w:r>
      <w:r w:rsidR="217981BB" w:rsidRPr="00602234">
        <w:rPr>
          <w:rFonts w:asciiTheme="majorHAnsi" w:eastAsiaTheme="majorEastAsia" w:hAnsiTheme="majorHAnsi" w:cstheme="majorBidi"/>
          <w:b/>
          <w:bCs/>
          <w:sz w:val="24"/>
          <w:szCs w:val="24"/>
          <w:lang w:val="lt"/>
        </w:rPr>
        <w:t>s</w:t>
      </w:r>
      <w:r w:rsidR="469B6834" w:rsidRPr="00602234">
        <w:rPr>
          <w:rFonts w:asciiTheme="majorHAnsi" w:eastAsiaTheme="majorEastAsia" w:hAnsiTheme="majorHAnsi" w:cstheme="majorBidi"/>
          <w:b/>
          <w:bCs/>
          <w:sz w:val="24"/>
          <w:szCs w:val="24"/>
          <w:lang w:val="lt"/>
        </w:rPr>
        <w:t xml:space="preserve"> tiekėjo reikalauti pateikti</w:t>
      </w:r>
      <w:r w:rsidR="1D1FA2A9" w:rsidRPr="00602234">
        <w:rPr>
          <w:rFonts w:asciiTheme="majorHAnsi" w:eastAsiaTheme="majorEastAsia" w:hAnsiTheme="majorHAnsi" w:cstheme="majorBidi"/>
          <w:b/>
          <w:bCs/>
          <w:sz w:val="24"/>
          <w:szCs w:val="24"/>
          <w:lang w:val="lt"/>
        </w:rPr>
        <w:t xml:space="preserve"> </w:t>
      </w:r>
      <w:r w:rsidR="469B6834" w:rsidRPr="00602234">
        <w:rPr>
          <w:rFonts w:asciiTheme="majorHAnsi" w:eastAsiaTheme="majorEastAsia" w:hAnsiTheme="majorHAnsi" w:cstheme="majorBidi"/>
          <w:b/>
          <w:bCs/>
          <w:sz w:val="24"/>
          <w:szCs w:val="24"/>
          <w:lang w:val="lt"/>
        </w:rPr>
        <w:t>visus potencialiems tiekėj</w:t>
      </w:r>
      <w:r w:rsidR="31E5C8C9" w:rsidRPr="00602234">
        <w:rPr>
          <w:rFonts w:asciiTheme="majorHAnsi" w:eastAsiaTheme="majorEastAsia" w:hAnsiTheme="majorHAnsi" w:cstheme="majorBidi"/>
          <w:b/>
          <w:bCs/>
          <w:sz w:val="24"/>
          <w:szCs w:val="24"/>
          <w:lang w:val="lt"/>
        </w:rPr>
        <w:t>ui</w:t>
      </w:r>
      <w:r w:rsidR="469B6834" w:rsidRPr="00602234">
        <w:rPr>
          <w:rFonts w:asciiTheme="majorHAnsi" w:eastAsiaTheme="majorEastAsia" w:hAnsiTheme="majorHAnsi" w:cstheme="majorBidi"/>
          <w:b/>
          <w:bCs/>
          <w:sz w:val="24"/>
          <w:szCs w:val="24"/>
          <w:lang w:val="lt"/>
        </w:rPr>
        <w:t xml:space="preserve"> žinomus </w:t>
      </w:r>
      <w:r w:rsidR="3AE9EFE2" w:rsidRPr="00602234">
        <w:rPr>
          <w:rFonts w:asciiTheme="majorHAnsi" w:eastAsiaTheme="majorEastAsia" w:hAnsiTheme="majorHAnsi" w:cstheme="majorBidi"/>
          <w:b/>
          <w:bCs/>
          <w:sz w:val="24"/>
          <w:szCs w:val="24"/>
          <w:lang w:val="lt"/>
        </w:rPr>
        <w:t xml:space="preserve">testo/testų </w:t>
      </w:r>
      <w:r w:rsidR="469B6834" w:rsidRPr="00602234">
        <w:rPr>
          <w:rFonts w:asciiTheme="majorHAnsi" w:eastAsiaTheme="majorEastAsia" w:hAnsiTheme="majorHAnsi" w:cstheme="majorBidi"/>
          <w:b/>
          <w:bCs/>
          <w:sz w:val="24"/>
          <w:szCs w:val="24"/>
          <w:lang w:val="lt"/>
        </w:rPr>
        <w:t xml:space="preserve">patikimumo rodiklius ir pagrindimą, kodėl testas </w:t>
      </w:r>
      <w:r w:rsidR="0DBA9AD1" w:rsidRPr="00602234">
        <w:rPr>
          <w:rFonts w:asciiTheme="majorHAnsi" w:eastAsiaTheme="majorEastAsia" w:hAnsiTheme="majorHAnsi" w:cstheme="majorBidi"/>
          <w:b/>
          <w:bCs/>
          <w:sz w:val="24"/>
          <w:szCs w:val="24"/>
          <w:lang w:val="lt"/>
        </w:rPr>
        <w:t>gali būti naudojamas profesinėje veikloje</w:t>
      </w:r>
      <w:r w:rsidR="17614C7A" w:rsidRPr="00602234">
        <w:rPr>
          <w:rFonts w:asciiTheme="majorHAnsi" w:eastAsiaTheme="majorEastAsia" w:hAnsiTheme="majorHAnsi" w:cstheme="majorBidi"/>
          <w:sz w:val="24"/>
          <w:szCs w:val="24"/>
          <w:lang w:val="lt"/>
        </w:rPr>
        <w:t>.</w:t>
      </w:r>
    </w:p>
    <w:p w14:paraId="37284BE5" w14:textId="6F11C7DD" w:rsidR="2C13C8E2" w:rsidRDefault="2C13C8E2">
      <w:pPr>
        <w:pStyle w:val="Paragrafoelenco"/>
        <w:numPr>
          <w:ilvl w:val="1"/>
          <w:numId w:val="1"/>
        </w:numPr>
        <w:spacing w:after="0" w:line="257" w:lineRule="auto"/>
        <w:ind w:left="1080"/>
        <w:jc w:val="both"/>
        <w:rPr>
          <w:rFonts w:asciiTheme="majorHAnsi" w:eastAsiaTheme="majorEastAsia" w:hAnsiTheme="majorHAnsi" w:cstheme="majorBidi"/>
          <w:color w:val="2F5597"/>
          <w:sz w:val="24"/>
          <w:szCs w:val="24"/>
          <w:lang w:val="lt"/>
        </w:rPr>
      </w:pPr>
      <w:r w:rsidRPr="0104CCCA">
        <w:rPr>
          <w:rFonts w:asciiTheme="majorHAnsi" w:eastAsiaTheme="majorEastAsia" w:hAnsiTheme="majorHAnsi" w:cstheme="majorBidi"/>
          <w:color w:val="2F5597"/>
          <w:sz w:val="24"/>
          <w:szCs w:val="24"/>
          <w:lang w:val="lt"/>
        </w:rPr>
        <w:t>Standartizacija ir Normos</w:t>
      </w:r>
    </w:p>
    <w:p w14:paraId="32C0FDAC" w14:textId="36170267" w:rsidR="2C13C8E2" w:rsidRDefault="2C13C8E2"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Standartizacija apibrėžia testavimo instrumento savybę suteikti vienodas sąlygas kiekvienam testuojamajam, todėl turėtų būti </w:t>
      </w:r>
      <w:proofErr w:type="spellStart"/>
      <w:r w:rsidRPr="0104CCCA">
        <w:rPr>
          <w:rFonts w:asciiTheme="majorHAnsi" w:eastAsiaTheme="majorEastAsia" w:hAnsiTheme="majorHAnsi" w:cstheme="majorBidi"/>
          <w:sz w:val="24"/>
          <w:szCs w:val="24"/>
          <w:lang w:val="lt"/>
        </w:rPr>
        <w:t>įsigijami</w:t>
      </w:r>
      <w:proofErr w:type="spellEnd"/>
      <w:r w:rsidRPr="0104CCCA">
        <w:rPr>
          <w:rFonts w:asciiTheme="majorHAnsi" w:eastAsiaTheme="majorEastAsia" w:hAnsiTheme="majorHAnsi" w:cstheme="majorBidi"/>
          <w:sz w:val="24"/>
          <w:szCs w:val="24"/>
          <w:lang w:val="lt"/>
        </w:rPr>
        <w:t xml:space="preserve"> tiktai standartizuoti instrumentai. </w:t>
      </w:r>
    </w:p>
    <w:p w14:paraId="0DFAEE5A" w14:textId="7ECB922D" w:rsidR="2C13C8E2" w:rsidRDefault="2C13C8E2" w:rsidP="00602234">
      <w:pPr>
        <w:spacing w:line="257" w:lineRule="auto"/>
        <w:jc w:val="both"/>
        <w:rPr>
          <w:rFonts w:asciiTheme="majorHAnsi" w:eastAsiaTheme="majorEastAsia" w:hAnsiTheme="majorHAnsi" w:cstheme="majorBidi"/>
          <w:sz w:val="24"/>
          <w:szCs w:val="24"/>
          <w:lang w:val="lt"/>
        </w:rPr>
      </w:pPr>
      <w:r w:rsidRPr="75FEDFB4">
        <w:rPr>
          <w:rFonts w:asciiTheme="majorHAnsi" w:eastAsiaTheme="majorEastAsia" w:hAnsiTheme="majorHAnsi" w:cstheme="majorBidi"/>
          <w:sz w:val="24"/>
          <w:szCs w:val="24"/>
          <w:lang w:val="lt"/>
        </w:rPr>
        <w:t>Standartizuotas testas turi normas</w:t>
      </w:r>
      <w:r w:rsidR="231DFE31" w:rsidRPr="75FEDFB4">
        <w:rPr>
          <w:rFonts w:asciiTheme="majorHAnsi" w:eastAsiaTheme="majorEastAsia" w:hAnsiTheme="majorHAnsi" w:cstheme="majorBidi"/>
          <w:sz w:val="24"/>
          <w:szCs w:val="24"/>
          <w:lang w:val="lt"/>
        </w:rPr>
        <w:t xml:space="preserve">, kurios padeda suprasti </w:t>
      </w:r>
      <w:r w:rsidRPr="75FEDFB4">
        <w:rPr>
          <w:rFonts w:asciiTheme="majorHAnsi" w:eastAsiaTheme="majorEastAsia" w:hAnsiTheme="majorHAnsi" w:cstheme="majorBidi"/>
          <w:sz w:val="24"/>
          <w:szCs w:val="24"/>
          <w:lang w:val="lt"/>
        </w:rPr>
        <w:t xml:space="preserve">kada tam tikras gautas rezultatas yra </w:t>
      </w:r>
      <w:r w:rsidR="461D7C60" w:rsidRPr="75FEDFB4">
        <w:rPr>
          <w:rFonts w:asciiTheme="majorHAnsi" w:eastAsiaTheme="majorEastAsia" w:hAnsiTheme="majorHAnsi" w:cstheme="majorBidi"/>
          <w:sz w:val="24"/>
          <w:szCs w:val="24"/>
          <w:lang w:val="lt"/>
        </w:rPr>
        <w:t>geras ar nelabai geras</w:t>
      </w:r>
      <w:r w:rsidRPr="75FEDFB4">
        <w:rPr>
          <w:rFonts w:asciiTheme="majorHAnsi" w:eastAsiaTheme="majorEastAsia" w:hAnsiTheme="majorHAnsi" w:cstheme="majorBidi"/>
          <w:sz w:val="24"/>
          <w:szCs w:val="24"/>
          <w:lang w:val="lt"/>
        </w:rPr>
        <w:t xml:space="preserve">. Normos gali skirtis įvairiose šalyse. </w:t>
      </w:r>
      <w:r w:rsidR="418BF2BD" w:rsidRPr="75FEDFB4">
        <w:rPr>
          <w:rFonts w:asciiTheme="majorHAnsi" w:eastAsiaTheme="majorEastAsia" w:hAnsiTheme="majorHAnsi" w:cstheme="majorBidi"/>
          <w:sz w:val="24"/>
          <w:szCs w:val="24"/>
          <w:lang w:val="lt"/>
        </w:rPr>
        <w:t>Lietuvos normų žinojimas t</w:t>
      </w:r>
      <w:r w:rsidRPr="75FEDFB4">
        <w:rPr>
          <w:rFonts w:asciiTheme="majorHAnsi" w:eastAsiaTheme="majorEastAsia" w:hAnsiTheme="majorHAnsi" w:cstheme="majorBidi"/>
          <w:sz w:val="24"/>
          <w:szCs w:val="24"/>
          <w:lang w:val="lt"/>
        </w:rPr>
        <w:t>estuojant  yra svarbus interpretuojant rezultatus</w:t>
      </w:r>
      <w:r w:rsidR="661DB646" w:rsidRPr="75FEDFB4">
        <w:rPr>
          <w:rFonts w:asciiTheme="majorHAnsi" w:eastAsiaTheme="majorEastAsia" w:hAnsiTheme="majorHAnsi" w:cstheme="majorBidi"/>
          <w:sz w:val="24"/>
          <w:szCs w:val="24"/>
          <w:lang w:val="lt"/>
        </w:rPr>
        <w:t xml:space="preserve">. </w:t>
      </w:r>
      <w:r w:rsidRPr="75FEDFB4">
        <w:rPr>
          <w:rFonts w:asciiTheme="majorHAnsi" w:eastAsiaTheme="majorEastAsia" w:hAnsiTheme="majorHAnsi" w:cstheme="majorBidi"/>
          <w:sz w:val="24"/>
          <w:szCs w:val="24"/>
          <w:lang w:val="lt"/>
        </w:rPr>
        <w:t>Pabrėžtina, kad normų Lietuvai kaupimas yra sudėtinga užduotis</w:t>
      </w:r>
      <w:r w:rsidR="29D23D98" w:rsidRPr="75FEDFB4">
        <w:rPr>
          <w:rFonts w:asciiTheme="majorHAnsi" w:eastAsiaTheme="majorEastAsia" w:hAnsiTheme="majorHAnsi" w:cstheme="majorBidi"/>
          <w:sz w:val="24"/>
          <w:szCs w:val="24"/>
          <w:lang w:val="lt"/>
        </w:rPr>
        <w:t xml:space="preserve"> dėl šalies dydžio, todėl yra tikimybė, kad potencialūs tiekėjai kitaip sprendžia šią problemą. P</w:t>
      </w:r>
      <w:r w:rsidR="66B62721" w:rsidRPr="75FEDFB4">
        <w:rPr>
          <w:rFonts w:asciiTheme="majorHAnsi" w:eastAsiaTheme="majorEastAsia" w:hAnsiTheme="majorHAnsi" w:cstheme="majorBidi"/>
          <w:sz w:val="24"/>
          <w:szCs w:val="24"/>
          <w:lang w:val="lt"/>
        </w:rPr>
        <w:t>a</w:t>
      </w:r>
      <w:r w:rsidR="29D23D98" w:rsidRPr="75FEDFB4">
        <w:rPr>
          <w:rFonts w:asciiTheme="majorHAnsi" w:eastAsiaTheme="majorEastAsia" w:hAnsiTheme="majorHAnsi" w:cstheme="majorBidi"/>
          <w:sz w:val="24"/>
          <w:szCs w:val="24"/>
          <w:lang w:val="lt"/>
        </w:rPr>
        <w:t>vyzdžiui, gali būti naudojamos JAV normos</w:t>
      </w:r>
      <w:r w:rsidR="6F8215D5" w:rsidRPr="75FEDFB4">
        <w:rPr>
          <w:rFonts w:asciiTheme="majorHAnsi" w:eastAsiaTheme="majorEastAsia" w:hAnsiTheme="majorHAnsi" w:cstheme="majorBidi"/>
          <w:sz w:val="24"/>
          <w:szCs w:val="24"/>
          <w:lang w:val="lt"/>
        </w:rPr>
        <w:t xml:space="preserve">. </w:t>
      </w:r>
      <w:r w:rsidR="4F363B6D" w:rsidRPr="75FEDFB4">
        <w:rPr>
          <w:rFonts w:asciiTheme="majorHAnsi" w:eastAsiaTheme="majorEastAsia" w:hAnsiTheme="majorHAnsi" w:cstheme="majorBidi"/>
          <w:sz w:val="24"/>
          <w:szCs w:val="24"/>
          <w:lang w:val="lt"/>
        </w:rPr>
        <w:t>Normų Lietuvai trūkumas neatima galimybės naudoti testavimo instrumentą, tačiau būtina suprasti kylančius apribojimus interpretuojant rezultatus,</w:t>
      </w:r>
      <w:r w:rsidR="32A2AFBF" w:rsidRPr="75FEDFB4">
        <w:rPr>
          <w:rFonts w:asciiTheme="majorHAnsi" w:eastAsiaTheme="majorEastAsia" w:hAnsiTheme="majorHAnsi" w:cstheme="majorBidi"/>
          <w:sz w:val="24"/>
          <w:szCs w:val="24"/>
          <w:lang w:val="lt"/>
        </w:rPr>
        <w:t xml:space="preserve"> tai būtina siekiant etiškos konsultantų elgsenos</w:t>
      </w:r>
      <w:r w:rsidR="4F363B6D" w:rsidRPr="75FEDFB4">
        <w:rPr>
          <w:rFonts w:asciiTheme="majorHAnsi" w:eastAsiaTheme="majorEastAsia" w:hAnsiTheme="majorHAnsi" w:cstheme="majorBidi"/>
          <w:sz w:val="24"/>
          <w:szCs w:val="24"/>
          <w:lang w:val="lt"/>
        </w:rPr>
        <w:t>.</w:t>
      </w:r>
    </w:p>
    <w:p w14:paraId="32F50625" w14:textId="70E26E7B" w:rsidR="2C13C8E2" w:rsidRDefault="43F01E9C" w:rsidP="00602234">
      <w:pPr>
        <w:spacing w:line="257" w:lineRule="auto"/>
        <w:jc w:val="both"/>
        <w:rPr>
          <w:rFonts w:asciiTheme="majorHAnsi" w:eastAsiaTheme="majorEastAsia" w:hAnsiTheme="majorHAnsi" w:cstheme="majorBidi"/>
          <w:sz w:val="24"/>
          <w:szCs w:val="24"/>
          <w:lang w:val="lt"/>
        </w:rPr>
      </w:pPr>
      <w:r w:rsidRPr="00602234">
        <w:rPr>
          <w:rFonts w:asciiTheme="majorHAnsi" w:eastAsiaTheme="majorEastAsia" w:hAnsiTheme="majorHAnsi" w:cstheme="majorBidi"/>
          <w:sz w:val="24"/>
          <w:szCs w:val="24"/>
          <w:lang w:val="lt"/>
        </w:rPr>
        <w:t xml:space="preserve">Įgyvendinant </w:t>
      </w:r>
      <w:proofErr w:type="spellStart"/>
      <w:r w:rsidRPr="00602234">
        <w:rPr>
          <w:rFonts w:asciiTheme="majorHAnsi" w:eastAsiaTheme="majorEastAsia" w:hAnsiTheme="majorHAnsi" w:cstheme="majorBidi"/>
          <w:sz w:val="24"/>
          <w:szCs w:val="24"/>
          <w:lang w:val="lt"/>
        </w:rPr>
        <w:t>psichometrinio</w:t>
      </w:r>
      <w:proofErr w:type="spellEnd"/>
      <w:r w:rsidRPr="00602234">
        <w:rPr>
          <w:rFonts w:asciiTheme="majorHAnsi" w:eastAsiaTheme="majorEastAsia" w:hAnsiTheme="majorHAnsi" w:cstheme="majorBidi"/>
          <w:sz w:val="24"/>
          <w:szCs w:val="24"/>
          <w:lang w:val="lt"/>
        </w:rPr>
        <w:t xml:space="preserve"> testo pirkim</w:t>
      </w:r>
      <w:r w:rsidR="7F7130A3" w:rsidRPr="00602234">
        <w:rPr>
          <w:rFonts w:asciiTheme="majorHAnsi" w:eastAsiaTheme="majorEastAsia" w:hAnsiTheme="majorHAnsi" w:cstheme="majorBidi"/>
          <w:sz w:val="24"/>
          <w:szCs w:val="24"/>
          <w:lang w:val="lt"/>
        </w:rPr>
        <w:t>ą</w:t>
      </w:r>
      <w:r w:rsidRPr="75FEDFB4">
        <w:rPr>
          <w:rFonts w:asciiTheme="majorHAnsi" w:eastAsiaTheme="majorEastAsia" w:hAnsiTheme="majorHAnsi" w:cstheme="majorBidi"/>
          <w:b/>
          <w:bCs/>
          <w:sz w:val="24"/>
          <w:szCs w:val="24"/>
          <w:lang w:val="lt"/>
        </w:rPr>
        <w:t xml:space="preserve"> </w:t>
      </w:r>
      <w:r w:rsidR="2C13C8E2" w:rsidRPr="75FEDFB4">
        <w:rPr>
          <w:rFonts w:asciiTheme="majorHAnsi" w:eastAsiaTheme="majorEastAsia" w:hAnsiTheme="majorHAnsi" w:cstheme="majorBidi"/>
          <w:b/>
          <w:bCs/>
          <w:sz w:val="24"/>
          <w:szCs w:val="24"/>
          <w:lang w:val="lt"/>
        </w:rPr>
        <w:t>rekomenduo</w:t>
      </w:r>
      <w:r w:rsidR="763845E4" w:rsidRPr="75FEDFB4">
        <w:rPr>
          <w:rFonts w:asciiTheme="majorHAnsi" w:eastAsiaTheme="majorEastAsia" w:hAnsiTheme="majorHAnsi" w:cstheme="majorBidi"/>
          <w:b/>
          <w:bCs/>
          <w:sz w:val="24"/>
          <w:szCs w:val="24"/>
          <w:lang w:val="lt"/>
        </w:rPr>
        <w:t>j</w:t>
      </w:r>
      <w:r w:rsidR="2C13C8E2" w:rsidRPr="75FEDFB4">
        <w:rPr>
          <w:rFonts w:asciiTheme="majorHAnsi" w:eastAsiaTheme="majorEastAsia" w:hAnsiTheme="majorHAnsi" w:cstheme="majorBidi"/>
          <w:b/>
          <w:bCs/>
          <w:sz w:val="24"/>
          <w:szCs w:val="24"/>
          <w:lang w:val="lt"/>
        </w:rPr>
        <w:t>a</w:t>
      </w:r>
      <w:r w:rsidR="2121ADD4" w:rsidRPr="75FEDFB4">
        <w:rPr>
          <w:rFonts w:asciiTheme="majorHAnsi" w:eastAsiaTheme="majorEastAsia" w:hAnsiTheme="majorHAnsi" w:cstheme="majorBidi"/>
          <w:b/>
          <w:bCs/>
          <w:sz w:val="24"/>
          <w:szCs w:val="24"/>
          <w:lang w:val="lt"/>
        </w:rPr>
        <w:t>ma</w:t>
      </w:r>
      <w:r w:rsidR="2C13C8E2" w:rsidRPr="75FEDFB4">
        <w:rPr>
          <w:rFonts w:asciiTheme="majorHAnsi" w:eastAsiaTheme="majorEastAsia" w:hAnsiTheme="majorHAnsi" w:cstheme="majorBidi"/>
          <w:b/>
          <w:bCs/>
          <w:sz w:val="24"/>
          <w:szCs w:val="24"/>
          <w:lang w:val="lt"/>
        </w:rPr>
        <w:t xml:space="preserve"> reikalauti tiekėjo pa</w:t>
      </w:r>
      <w:r w:rsidR="451BEFA3" w:rsidRPr="75FEDFB4">
        <w:rPr>
          <w:rFonts w:asciiTheme="majorHAnsi" w:eastAsiaTheme="majorEastAsia" w:hAnsiTheme="majorHAnsi" w:cstheme="majorBidi"/>
          <w:b/>
          <w:bCs/>
          <w:sz w:val="24"/>
          <w:szCs w:val="24"/>
          <w:lang w:val="lt"/>
        </w:rPr>
        <w:t xml:space="preserve">teikti pagrindimą dėl standartizacijos ir normų naudojimo testavime paaiškinant kokios šalies normos </w:t>
      </w:r>
      <w:r w:rsidR="630A2666" w:rsidRPr="75FEDFB4">
        <w:rPr>
          <w:rFonts w:asciiTheme="majorHAnsi" w:eastAsiaTheme="majorEastAsia" w:hAnsiTheme="majorHAnsi" w:cstheme="majorBidi"/>
          <w:b/>
          <w:bCs/>
          <w:sz w:val="24"/>
          <w:szCs w:val="24"/>
          <w:lang w:val="lt"/>
        </w:rPr>
        <w:t>naudojamos siūlomo instrumento rezultatų analizėje ir kaip įvertinti jų tinkamumą Lietuvai</w:t>
      </w:r>
      <w:r w:rsidR="2C13C8E2" w:rsidRPr="75FEDFB4">
        <w:rPr>
          <w:rFonts w:asciiTheme="majorHAnsi" w:eastAsiaTheme="majorEastAsia" w:hAnsiTheme="majorHAnsi" w:cstheme="majorBidi"/>
          <w:sz w:val="24"/>
          <w:szCs w:val="24"/>
          <w:lang w:val="lt"/>
        </w:rPr>
        <w:t xml:space="preserve">.  </w:t>
      </w:r>
    </w:p>
    <w:p w14:paraId="42EDEC5B" w14:textId="701C0D9C" w:rsidR="2C13C8E2" w:rsidRDefault="2C13C8E2">
      <w:pPr>
        <w:pStyle w:val="Paragrafoelenco"/>
        <w:numPr>
          <w:ilvl w:val="1"/>
          <w:numId w:val="1"/>
        </w:numPr>
        <w:spacing w:after="0" w:line="257" w:lineRule="auto"/>
        <w:ind w:left="1080"/>
        <w:jc w:val="both"/>
        <w:rPr>
          <w:rFonts w:asciiTheme="majorHAnsi" w:eastAsiaTheme="majorEastAsia" w:hAnsiTheme="majorHAnsi" w:cstheme="majorBidi"/>
          <w:color w:val="2F5597"/>
          <w:sz w:val="24"/>
          <w:szCs w:val="24"/>
          <w:lang w:val="lt"/>
        </w:rPr>
      </w:pPr>
      <w:r w:rsidRPr="0104CCCA">
        <w:rPr>
          <w:rFonts w:asciiTheme="majorHAnsi" w:eastAsiaTheme="majorEastAsia" w:hAnsiTheme="majorHAnsi" w:cstheme="majorBidi"/>
          <w:color w:val="2F5597"/>
          <w:sz w:val="24"/>
          <w:szCs w:val="24"/>
          <w:lang w:val="lt"/>
        </w:rPr>
        <w:t>Validumas</w:t>
      </w:r>
    </w:p>
    <w:p w14:paraId="0D4C5D99" w14:textId="61CA8205" w:rsidR="2C13C8E2" w:rsidRDefault="2C13C8E2" w:rsidP="00602234">
      <w:pPr>
        <w:spacing w:line="257" w:lineRule="auto"/>
        <w:jc w:val="both"/>
        <w:rPr>
          <w:rFonts w:asciiTheme="majorHAnsi" w:eastAsiaTheme="majorEastAsia" w:hAnsiTheme="majorHAnsi" w:cstheme="majorBidi"/>
          <w:sz w:val="24"/>
          <w:szCs w:val="24"/>
          <w:lang w:val="lt"/>
        </w:rPr>
      </w:pPr>
      <w:r w:rsidRPr="75FEDFB4">
        <w:rPr>
          <w:rFonts w:asciiTheme="majorHAnsi" w:eastAsiaTheme="majorEastAsia" w:hAnsiTheme="majorHAnsi" w:cstheme="majorBidi"/>
          <w:sz w:val="24"/>
          <w:szCs w:val="24"/>
          <w:lang w:val="lt"/>
        </w:rPr>
        <w:t xml:space="preserve">Validumas dažnai pateikiamas kaip metodikų kokybės kriterijus – jų tinkamu­mas, adekvatumas. Dažniausiai </w:t>
      </w:r>
      <w:r w:rsidR="46885B39" w:rsidRPr="75FEDFB4">
        <w:rPr>
          <w:rFonts w:asciiTheme="majorHAnsi" w:eastAsiaTheme="majorEastAsia" w:hAnsiTheme="majorHAnsi" w:cstheme="majorBidi"/>
          <w:sz w:val="24"/>
          <w:szCs w:val="24"/>
          <w:lang w:val="lt"/>
        </w:rPr>
        <w:t xml:space="preserve">išskiriamos </w:t>
      </w:r>
      <w:r w:rsidRPr="75FEDFB4">
        <w:rPr>
          <w:rFonts w:asciiTheme="majorHAnsi" w:eastAsiaTheme="majorEastAsia" w:hAnsiTheme="majorHAnsi" w:cstheme="majorBidi"/>
          <w:sz w:val="24"/>
          <w:szCs w:val="24"/>
          <w:lang w:val="lt"/>
        </w:rPr>
        <w:t xml:space="preserve">kelios va­lidumo rūšys: </w:t>
      </w:r>
      <w:r w:rsidRPr="75FEDFB4">
        <w:rPr>
          <w:rFonts w:asciiTheme="majorHAnsi" w:eastAsiaTheme="majorEastAsia" w:hAnsiTheme="majorHAnsi" w:cstheme="majorBidi"/>
          <w:b/>
          <w:bCs/>
          <w:sz w:val="24"/>
          <w:szCs w:val="24"/>
          <w:lang w:val="lt"/>
        </w:rPr>
        <w:t>konstrukto</w:t>
      </w:r>
      <w:r w:rsidRPr="75FEDFB4">
        <w:rPr>
          <w:rFonts w:asciiTheme="majorHAnsi" w:eastAsiaTheme="majorEastAsia" w:hAnsiTheme="majorHAnsi" w:cstheme="majorBidi"/>
          <w:sz w:val="24"/>
          <w:szCs w:val="24"/>
          <w:lang w:val="lt"/>
        </w:rPr>
        <w:t xml:space="preserve">, </w:t>
      </w:r>
      <w:r w:rsidRPr="75FEDFB4">
        <w:rPr>
          <w:rFonts w:asciiTheme="majorHAnsi" w:eastAsiaTheme="majorEastAsia" w:hAnsiTheme="majorHAnsi" w:cstheme="majorBidi"/>
          <w:b/>
          <w:bCs/>
          <w:sz w:val="24"/>
          <w:szCs w:val="24"/>
          <w:lang w:val="lt"/>
        </w:rPr>
        <w:t>turinio ar kriterijaus</w:t>
      </w:r>
      <w:r w:rsidR="2B1EBE02" w:rsidRPr="75FEDFB4">
        <w:rPr>
          <w:rFonts w:asciiTheme="majorHAnsi" w:eastAsiaTheme="majorEastAsia" w:hAnsiTheme="majorHAnsi" w:cstheme="majorBidi"/>
          <w:b/>
          <w:bCs/>
          <w:sz w:val="24"/>
          <w:szCs w:val="24"/>
          <w:lang w:val="lt"/>
        </w:rPr>
        <w:t xml:space="preserve">. </w:t>
      </w:r>
      <w:r w:rsidRPr="75FEDFB4">
        <w:rPr>
          <w:rFonts w:asciiTheme="majorHAnsi" w:eastAsiaTheme="majorEastAsia" w:hAnsiTheme="majorHAnsi" w:cstheme="majorBidi"/>
          <w:sz w:val="24"/>
          <w:szCs w:val="24"/>
          <w:lang w:val="lt"/>
        </w:rPr>
        <w:t xml:space="preserve">Literatūroje pateikiama įvairių validumo rūšių, tačiau moksliniuose darbuose daž­niausiai pasitaiko viena ar kelios, tai priklauso nuo metodikos ir darbo tikslo. Validumas nurodo, </w:t>
      </w:r>
      <w:r w:rsidRPr="75FEDFB4">
        <w:rPr>
          <w:rFonts w:asciiTheme="majorHAnsi" w:eastAsiaTheme="majorEastAsia" w:hAnsiTheme="majorHAnsi" w:cstheme="majorBidi"/>
          <w:b/>
          <w:bCs/>
          <w:sz w:val="24"/>
          <w:szCs w:val="24"/>
          <w:lang w:val="lt"/>
        </w:rPr>
        <w:t>ar metodika matuoja tai, ką ketinta ja matuoti</w:t>
      </w:r>
      <w:r w:rsidR="7BD7E8EF" w:rsidRPr="75FEDFB4">
        <w:rPr>
          <w:rFonts w:asciiTheme="majorHAnsi" w:eastAsiaTheme="majorEastAsia" w:hAnsiTheme="majorHAnsi" w:cstheme="majorBidi"/>
          <w:sz w:val="24"/>
          <w:szCs w:val="24"/>
          <w:lang w:val="lt"/>
        </w:rPr>
        <w:t>, todėl tai vienas iš reikšmingiausių kriterijų vertinant siūlomą metodiką.</w:t>
      </w:r>
      <w:r w:rsidRPr="75FEDFB4">
        <w:rPr>
          <w:rFonts w:asciiTheme="majorHAnsi" w:eastAsiaTheme="majorEastAsia" w:hAnsiTheme="majorHAnsi" w:cstheme="majorBidi"/>
          <w:b/>
          <w:bCs/>
          <w:sz w:val="24"/>
          <w:szCs w:val="24"/>
          <w:lang w:val="lt"/>
        </w:rPr>
        <w:t xml:space="preserve"> </w:t>
      </w:r>
      <w:r w:rsidR="449EC694" w:rsidRPr="75FEDFB4">
        <w:rPr>
          <w:rFonts w:asciiTheme="majorHAnsi" w:eastAsiaTheme="majorEastAsia" w:hAnsiTheme="majorHAnsi" w:cstheme="majorBidi"/>
          <w:sz w:val="24"/>
          <w:szCs w:val="24"/>
          <w:lang w:val="lt"/>
        </w:rPr>
        <w:t>Kai</w:t>
      </w:r>
      <w:r w:rsidRPr="75FEDFB4">
        <w:rPr>
          <w:rFonts w:asciiTheme="majorHAnsi" w:eastAsiaTheme="majorEastAsia" w:hAnsiTheme="majorHAnsi" w:cstheme="majorBidi"/>
          <w:sz w:val="24"/>
          <w:szCs w:val="24"/>
          <w:lang w:val="lt"/>
        </w:rPr>
        <w:t xml:space="preserve"> metodikai trūksta validumo, negalima pasitikėti gautais rezultatais. </w:t>
      </w:r>
    </w:p>
    <w:p w14:paraId="24F3746D" w14:textId="71F0A56E" w:rsidR="2C13C8E2" w:rsidRDefault="2C13C8E2" w:rsidP="00602234">
      <w:pPr>
        <w:spacing w:line="257" w:lineRule="auto"/>
        <w:jc w:val="both"/>
        <w:rPr>
          <w:rFonts w:asciiTheme="majorHAnsi" w:eastAsiaTheme="majorEastAsia" w:hAnsiTheme="majorHAnsi" w:cstheme="majorBidi"/>
          <w:sz w:val="24"/>
          <w:szCs w:val="24"/>
          <w:lang w:val="lt"/>
        </w:rPr>
      </w:pPr>
      <w:proofErr w:type="spellStart"/>
      <w:r w:rsidRPr="75FEDFB4">
        <w:rPr>
          <w:rFonts w:asciiTheme="majorHAnsi" w:eastAsiaTheme="majorEastAsia" w:hAnsiTheme="majorHAnsi" w:cstheme="majorBidi"/>
          <w:sz w:val="24"/>
          <w:szCs w:val="24"/>
          <w:lang w:val="lt"/>
        </w:rPr>
        <w:t>Įsigijant</w:t>
      </w:r>
      <w:proofErr w:type="spellEnd"/>
      <w:r w:rsidRPr="75FEDFB4">
        <w:rPr>
          <w:rFonts w:asciiTheme="majorHAnsi" w:eastAsiaTheme="majorEastAsia" w:hAnsiTheme="majorHAnsi" w:cstheme="majorBidi"/>
          <w:sz w:val="24"/>
          <w:szCs w:val="24"/>
          <w:lang w:val="lt"/>
        </w:rPr>
        <w:t xml:space="preserve"> testus turėtų būti prašoma</w:t>
      </w:r>
      <w:r w:rsidR="16D4B630" w:rsidRPr="75FEDFB4">
        <w:rPr>
          <w:rFonts w:asciiTheme="majorHAnsi" w:eastAsiaTheme="majorEastAsia" w:hAnsiTheme="majorHAnsi" w:cstheme="majorBidi"/>
          <w:sz w:val="24"/>
          <w:szCs w:val="24"/>
          <w:lang w:val="lt"/>
        </w:rPr>
        <w:t xml:space="preserve"> ne tik deklaruoti, kad metodika </w:t>
      </w:r>
      <w:proofErr w:type="spellStart"/>
      <w:r w:rsidR="16D4B630" w:rsidRPr="75FEDFB4">
        <w:rPr>
          <w:rFonts w:asciiTheme="majorHAnsi" w:eastAsiaTheme="majorEastAsia" w:hAnsiTheme="majorHAnsi" w:cstheme="majorBidi"/>
          <w:sz w:val="24"/>
          <w:szCs w:val="24"/>
          <w:lang w:val="lt"/>
        </w:rPr>
        <w:t>validi</w:t>
      </w:r>
      <w:proofErr w:type="spellEnd"/>
      <w:r w:rsidR="16D4B630" w:rsidRPr="75FEDFB4">
        <w:rPr>
          <w:rFonts w:asciiTheme="majorHAnsi" w:eastAsiaTheme="majorEastAsia" w:hAnsiTheme="majorHAnsi" w:cstheme="majorBidi"/>
          <w:sz w:val="24"/>
          <w:szCs w:val="24"/>
          <w:lang w:val="lt"/>
        </w:rPr>
        <w:t>, bet ir</w:t>
      </w:r>
      <w:r w:rsidRPr="75FEDFB4">
        <w:rPr>
          <w:rFonts w:asciiTheme="majorHAnsi" w:eastAsiaTheme="majorEastAsia" w:hAnsiTheme="majorHAnsi" w:cstheme="majorBidi"/>
          <w:sz w:val="24"/>
          <w:szCs w:val="24"/>
          <w:lang w:val="lt"/>
        </w:rPr>
        <w:t xml:space="preserve"> </w:t>
      </w:r>
      <w:r w:rsidRPr="75FEDFB4">
        <w:rPr>
          <w:rFonts w:asciiTheme="majorHAnsi" w:eastAsiaTheme="majorEastAsia" w:hAnsiTheme="majorHAnsi" w:cstheme="majorBidi"/>
          <w:b/>
          <w:bCs/>
          <w:sz w:val="24"/>
          <w:szCs w:val="24"/>
          <w:lang w:val="lt"/>
        </w:rPr>
        <w:t xml:space="preserve">skaitine išraiška pateikti testavimo instrumento tiekėjams žinomus validumo rodiklius (pavyzdžiui, </w:t>
      </w:r>
      <w:proofErr w:type="spellStart"/>
      <w:r w:rsidRPr="75FEDFB4">
        <w:rPr>
          <w:rFonts w:asciiTheme="majorHAnsi" w:eastAsiaTheme="majorEastAsia" w:hAnsiTheme="majorHAnsi" w:cstheme="majorBidi"/>
          <w:b/>
          <w:bCs/>
          <w:sz w:val="24"/>
          <w:szCs w:val="24"/>
          <w:lang w:val="lt"/>
        </w:rPr>
        <w:t>Cronbach</w:t>
      </w:r>
      <w:proofErr w:type="spellEnd"/>
      <w:r w:rsidRPr="75FEDFB4">
        <w:rPr>
          <w:rFonts w:asciiTheme="majorHAnsi" w:eastAsiaTheme="majorEastAsia" w:hAnsiTheme="majorHAnsi" w:cstheme="majorBidi"/>
          <w:b/>
          <w:bCs/>
          <w:sz w:val="24"/>
          <w:szCs w:val="24"/>
          <w:lang w:val="lt"/>
        </w:rPr>
        <w:t xml:space="preserve"> α</w:t>
      </w:r>
      <w:r w:rsidR="26041F97" w:rsidRPr="75FEDFB4">
        <w:rPr>
          <w:rFonts w:asciiTheme="majorHAnsi" w:eastAsiaTheme="majorEastAsia" w:hAnsiTheme="majorHAnsi" w:cstheme="majorBidi"/>
          <w:b/>
          <w:bCs/>
          <w:sz w:val="24"/>
          <w:szCs w:val="24"/>
          <w:lang w:val="lt"/>
        </w:rPr>
        <w:t xml:space="preserve"> rodiklį</w:t>
      </w:r>
      <w:r w:rsidRPr="75FEDFB4">
        <w:rPr>
          <w:rFonts w:asciiTheme="majorHAnsi" w:eastAsiaTheme="majorEastAsia" w:hAnsiTheme="majorHAnsi" w:cstheme="majorBidi"/>
          <w:b/>
          <w:bCs/>
          <w:sz w:val="24"/>
          <w:szCs w:val="24"/>
          <w:lang w:val="lt"/>
        </w:rPr>
        <w:t>)</w:t>
      </w:r>
      <w:r w:rsidR="719139CF" w:rsidRPr="75FEDFB4">
        <w:rPr>
          <w:rFonts w:asciiTheme="majorHAnsi" w:eastAsiaTheme="majorEastAsia" w:hAnsiTheme="majorHAnsi" w:cstheme="majorBidi"/>
          <w:b/>
          <w:bCs/>
          <w:sz w:val="24"/>
          <w:szCs w:val="24"/>
          <w:lang w:val="lt"/>
        </w:rPr>
        <w:t xml:space="preserve"> bei paaiškinimą kuo konkretūs rodikliai prisideda prie </w:t>
      </w:r>
      <w:r w:rsidR="086E41B2" w:rsidRPr="75FEDFB4">
        <w:rPr>
          <w:rFonts w:asciiTheme="majorHAnsi" w:eastAsiaTheme="majorEastAsia" w:hAnsiTheme="majorHAnsi" w:cstheme="majorBidi"/>
          <w:b/>
          <w:bCs/>
          <w:sz w:val="24"/>
          <w:szCs w:val="24"/>
          <w:lang w:val="lt"/>
        </w:rPr>
        <w:t xml:space="preserve">bendro </w:t>
      </w:r>
      <w:r w:rsidR="719139CF" w:rsidRPr="75FEDFB4">
        <w:rPr>
          <w:rFonts w:asciiTheme="majorHAnsi" w:eastAsiaTheme="majorEastAsia" w:hAnsiTheme="majorHAnsi" w:cstheme="majorBidi"/>
          <w:b/>
          <w:bCs/>
          <w:sz w:val="24"/>
          <w:szCs w:val="24"/>
          <w:lang w:val="lt"/>
        </w:rPr>
        <w:t>metodikos validumo</w:t>
      </w:r>
      <w:r w:rsidR="719139CF" w:rsidRPr="75FEDFB4">
        <w:rPr>
          <w:rFonts w:asciiTheme="majorHAnsi" w:eastAsiaTheme="majorEastAsia" w:hAnsiTheme="majorHAnsi" w:cstheme="majorBidi"/>
          <w:sz w:val="24"/>
          <w:szCs w:val="24"/>
          <w:lang w:val="lt"/>
        </w:rPr>
        <w:t xml:space="preserve">. </w:t>
      </w:r>
    </w:p>
    <w:p w14:paraId="5625A2BC" w14:textId="389D01AE" w:rsidR="2C13C8E2" w:rsidRDefault="1791BB9C" w:rsidP="00602234">
      <w:pPr>
        <w:spacing w:line="257" w:lineRule="auto"/>
        <w:jc w:val="both"/>
        <w:rPr>
          <w:rFonts w:asciiTheme="majorHAnsi" w:eastAsiaTheme="majorEastAsia" w:hAnsiTheme="majorHAnsi" w:cstheme="majorBidi"/>
          <w:sz w:val="24"/>
          <w:szCs w:val="24"/>
          <w:lang w:val="lt"/>
        </w:rPr>
      </w:pPr>
      <w:r w:rsidRPr="75FEDFB4">
        <w:rPr>
          <w:rFonts w:asciiTheme="majorHAnsi" w:eastAsiaTheme="majorEastAsia" w:hAnsiTheme="majorHAnsi" w:cstheme="majorBidi"/>
          <w:sz w:val="24"/>
          <w:szCs w:val="24"/>
          <w:lang w:val="lt"/>
        </w:rPr>
        <w:t>Pirkimo komisijos e</w:t>
      </w:r>
      <w:r w:rsidR="2C13C8E2" w:rsidRPr="75FEDFB4">
        <w:rPr>
          <w:rFonts w:asciiTheme="majorHAnsi" w:eastAsiaTheme="majorEastAsia" w:hAnsiTheme="majorHAnsi" w:cstheme="majorBidi"/>
          <w:sz w:val="24"/>
          <w:szCs w:val="24"/>
          <w:lang w:val="lt"/>
        </w:rPr>
        <w:t>kspert</w:t>
      </w:r>
      <w:r w:rsidR="6E4BBA48" w:rsidRPr="75FEDFB4">
        <w:rPr>
          <w:rFonts w:asciiTheme="majorHAnsi" w:eastAsiaTheme="majorEastAsia" w:hAnsiTheme="majorHAnsi" w:cstheme="majorBidi"/>
          <w:sz w:val="24"/>
          <w:szCs w:val="24"/>
          <w:lang w:val="lt"/>
        </w:rPr>
        <w:t>ai</w:t>
      </w:r>
      <w:r w:rsidR="2C13C8E2" w:rsidRPr="75FEDFB4">
        <w:rPr>
          <w:rFonts w:asciiTheme="majorHAnsi" w:eastAsiaTheme="majorEastAsia" w:hAnsiTheme="majorHAnsi" w:cstheme="majorBidi"/>
          <w:sz w:val="24"/>
          <w:szCs w:val="24"/>
          <w:lang w:val="lt"/>
        </w:rPr>
        <w:t xml:space="preserve"> </w:t>
      </w:r>
      <w:r w:rsidR="2F3D7EA6" w:rsidRPr="75FEDFB4">
        <w:rPr>
          <w:rFonts w:asciiTheme="majorHAnsi" w:eastAsiaTheme="majorEastAsia" w:hAnsiTheme="majorHAnsi" w:cstheme="majorBidi"/>
          <w:sz w:val="24"/>
          <w:szCs w:val="24"/>
          <w:lang w:val="lt"/>
        </w:rPr>
        <w:t xml:space="preserve">vertindami </w:t>
      </w:r>
      <w:r w:rsidR="60B0A29D" w:rsidRPr="75FEDFB4">
        <w:rPr>
          <w:rFonts w:asciiTheme="majorHAnsi" w:eastAsiaTheme="majorEastAsia" w:hAnsiTheme="majorHAnsi" w:cstheme="majorBidi"/>
          <w:sz w:val="24"/>
          <w:szCs w:val="24"/>
          <w:lang w:val="lt"/>
        </w:rPr>
        <w:t xml:space="preserve">potencialių tiekėjų pasiūlymus </w:t>
      </w:r>
      <w:r w:rsidR="2C13C8E2" w:rsidRPr="75FEDFB4">
        <w:rPr>
          <w:rFonts w:asciiTheme="majorHAnsi" w:eastAsiaTheme="majorEastAsia" w:hAnsiTheme="majorHAnsi" w:cstheme="majorBidi"/>
          <w:sz w:val="24"/>
          <w:szCs w:val="24"/>
          <w:lang w:val="lt"/>
        </w:rPr>
        <w:t xml:space="preserve">galėtų </w:t>
      </w:r>
      <w:r w:rsidR="1D4408F3" w:rsidRPr="75FEDFB4">
        <w:rPr>
          <w:rFonts w:asciiTheme="majorHAnsi" w:eastAsiaTheme="majorEastAsia" w:hAnsiTheme="majorHAnsi" w:cstheme="majorBidi"/>
          <w:sz w:val="24"/>
          <w:szCs w:val="24"/>
          <w:lang w:val="lt"/>
        </w:rPr>
        <w:t>vadovautis</w:t>
      </w:r>
      <w:r w:rsidR="28017A6C" w:rsidRPr="75FEDFB4">
        <w:rPr>
          <w:rFonts w:asciiTheme="majorHAnsi" w:eastAsiaTheme="majorEastAsia" w:hAnsiTheme="majorHAnsi" w:cstheme="majorBidi"/>
          <w:sz w:val="24"/>
          <w:szCs w:val="24"/>
          <w:lang w:val="lt"/>
        </w:rPr>
        <w:t xml:space="preserve"> </w:t>
      </w:r>
      <w:proofErr w:type="spellStart"/>
      <w:r w:rsidR="2C13C8E2" w:rsidRPr="75FEDFB4">
        <w:rPr>
          <w:rFonts w:asciiTheme="majorHAnsi" w:eastAsiaTheme="majorEastAsia" w:hAnsiTheme="majorHAnsi" w:cstheme="majorBidi"/>
          <w:sz w:val="24"/>
          <w:szCs w:val="24"/>
          <w:lang w:val="lt"/>
        </w:rPr>
        <w:t>V.Pakalniškienės</w:t>
      </w:r>
      <w:proofErr w:type="spellEnd"/>
      <w:r w:rsidR="2C13C8E2" w:rsidRPr="75FEDFB4">
        <w:rPr>
          <w:rFonts w:asciiTheme="majorHAnsi" w:eastAsiaTheme="majorEastAsia" w:hAnsiTheme="majorHAnsi" w:cstheme="majorBidi"/>
          <w:sz w:val="24"/>
          <w:szCs w:val="24"/>
          <w:lang w:val="lt"/>
        </w:rPr>
        <w:t xml:space="preserve"> 2012 metais parengta metodine priemone „Tyrimo ir įvertinimo priemonių patikimumo ir validumo nustatymas“. </w:t>
      </w:r>
    </w:p>
    <w:p w14:paraId="52D2A3D5" w14:textId="6BF117A2" w:rsidR="2C13C8E2" w:rsidRDefault="2C13C8E2">
      <w:pPr>
        <w:pStyle w:val="Paragrafoelenco"/>
        <w:numPr>
          <w:ilvl w:val="1"/>
          <w:numId w:val="1"/>
        </w:numPr>
        <w:spacing w:line="257" w:lineRule="auto"/>
        <w:jc w:val="both"/>
        <w:rPr>
          <w:rFonts w:asciiTheme="majorHAnsi" w:eastAsiaTheme="majorEastAsia" w:hAnsiTheme="majorHAnsi" w:cstheme="majorBidi"/>
          <w:color w:val="2F5597"/>
          <w:sz w:val="24"/>
          <w:szCs w:val="24"/>
          <w:lang w:val="lt"/>
        </w:rPr>
      </w:pPr>
      <w:r w:rsidRPr="75FEDFB4">
        <w:rPr>
          <w:rFonts w:asciiTheme="majorHAnsi" w:eastAsiaTheme="majorEastAsia" w:hAnsiTheme="majorHAnsi" w:cstheme="majorBidi"/>
          <w:sz w:val="24"/>
          <w:szCs w:val="24"/>
          <w:lang w:val="lt"/>
        </w:rPr>
        <w:t xml:space="preserve"> </w:t>
      </w:r>
      <w:r w:rsidRPr="75FEDFB4">
        <w:rPr>
          <w:rFonts w:asciiTheme="majorHAnsi" w:eastAsiaTheme="majorEastAsia" w:hAnsiTheme="majorHAnsi" w:cstheme="majorBidi"/>
          <w:color w:val="2F5597"/>
          <w:sz w:val="24"/>
          <w:szCs w:val="24"/>
          <w:lang w:val="lt"/>
        </w:rPr>
        <w:t xml:space="preserve">Testavimo </w:t>
      </w:r>
      <w:proofErr w:type="spellStart"/>
      <w:r w:rsidRPr="75FEDFB4">
        <w:rPr>
          <w:rFonts w:asciiTheme="majorHAnsi" w:eastAsiaTheme="majorEastAsia" w:hAnsiTheme="majorHAnsi" w:cstheme="majorBidi"/>
          <w:color w:val="2F5597"/>
          <w:sz w:val="24"/>
          <w:szCs w:val="24"/>
          <w:lang w:val="lt"/>
        </w:rPr>
        <w:t>intrumento</w:t>
      </w:r>
      <w:proofErr w:type="spellEnd"/>
      <w:r w:rsidRPr="75FEDFB4">
        <w:rPr>
          <w:rFonts w:asciiTheme="majorHAnsi" w:eastAsiaTheme="majorEastAsia" w:hAnsiTheme="majorHAnsi" w:cstheme="majorBidi"/>
          <w:color w:val="2F5597"/>
          <w:sz w:val="24"/>
          <w:szCs w:val="24"/>
          <w:lang w:val="lt"/>
        </w:rPr>
        <w:t xml:space="preserve"> paplitimas ir </w:t>
      </w:r>
      <w:r w:rsidR="6E3AB179" w:rsidRPr="75FEDFB4">
        <w:rPr>
          <w:rFonts w:asciiTheme="majorHAnsi" w:eastAsiaTheme="majorEastAsia" w:hAnsiTheme="majorHAnsi" w:cstheme="majorBidi"/>
          <w:color w:val="2F5597"/>
          <w:sz w:val="24"/>
          <w:szCs w:val="24"/>
          <w:lang w:val="lt"/>
        </w:rPr>
        <w:t>sąsajo</w:t>
      </w:r>
      <w:r w:rsidRPr="75FEDFB4">
        <w:rPr>
          <w:rFonts w:asciiTheme="majorHAnsi" w:eastAsiaTheme="majorEastAsia" w:hAnsiTheme="majorHAnsi" w:cstheme="majorBidi"/>
          <w:color w:val="2F5597"/>
          <w:sz w:val="24"/>
          <w:szCs w:val="24"/>
          <w:lang w:val="lt"/>
        </w:rPr>
        <w:t>s su karjera</w:t>
      </w:r>
    </w:p>
    <w:p w14:paraId="2B5CD963" w14:textId="01F7073C" w:rsidR="2C13C8E2" w:rsidRDefault="6422A74B" w:rsidP="00602234">
      <w:pPr>
        <w:spacing w:line="257" w:lineRule="auto"/>
        <w:jc w:val="both"/>
        <w:rPr>
          <w:rFonts w:asciiTheme="majorHAnsi" w:eastAsiaTheme="majorEastAsia" w:hAnsiTheme="majorHAnsi" w:cstheme="majorBidi"/>
          <w:sz w:val="24"/>
          <w:szCs w:val="24"/>
          <w:lang w:val="lt"/>
        </w:rPr>
      </w:pPr>
      <w:r w:rsidRPr="75FEDFB4">
        <w:rPr>
          <w:rFonts w:asciiTheme="majorHAnsi" w:eastAsiaTheme="majorEastAsia" w:hAnsiTheme="majorHAnsi" w:cstheme="majorBidi"/>
          <w:sz w:val="24"/>
          <w:szCs w:val="24"/>
          <w:lang w:val="lt"/>
        </w:rPr>
        <w:lastRenderedPageBreak/>
        <w:t xml:space="preserve">Įgyvendinant testavimo instrumento pirkimą svarbu gauti pakankamai </w:t>
      </w:r>
      <w:proofErr w:type="spellStart"/>
      <w:r w:rsidRPr="75FEDFB4">
        <w:rPr>
          <w:rFonts w:asciiTheme="majorHAnsi" w:eastAsiaTheme="majorEastAsia" w:hAnsiTheme="majorHAnsi" w:cstheme="majorBidi"/>
          <w:sz w:val="24"/>
          <w:szCs w:val="24"/>
          <w:lang w:val="lt"/>
        </w:rPr>
        <w:t>inforamcijos</w:t>
      </w:r>
      <w:proofErr w:type="spellEnd"/>
      <w:r w:rsidRPr="75FEDFB4">
        <w:rPr>
          <w:rFonts w:asciiTheme="majorHAnsi" w:eastAsiaTheme="majorEastAsia" w:hAnsiTheme="majorHAnsi" w:cstheme="majorBidi"/>
          <w:sz w:val="24"/>
          <w:szCs w:val="24"/>
          <w:lang w:val="lt"/>
        </w:rPr>
        <w:t xml:space="preserve"> apie praktinę testų vertę, todėl potencialaus tiekėjo </w:t>
      </w:r>
      <w:r w:rsidR="2C13C8E2" w:rsidRPr="75FEDFB4">
        <w:rPr>
          <w:rFonts w:asciiTheme="majorHAnsi" w:eastAsiaTheme="majorEastAsia" w:hAnsiTheme="majorHAnsi" w:cstheme="majorBidi"/>
          <w:b/>
          <w:bCs/>
          <w:sz w:val="24"/>
          <w:szCs w:val="24"/>
          <w:lang w:val="lt"/>
        </w:rPr>
        <w:t>rekomenduojama prašyti p</w:t>
      </w:r>
      <w:r w:rsidR="6A8D654E" w:rsidRPr="75FEDFB4">
        <w:rPr>
          <w:rFonts w:asciiTheme="majorHAnsi" w:eastAsiaTheme="majorEastAsia" w:hAnsiTheme="majorHAnsi" w:cstheme="majorBidi"/>
          <w:b/>
          <w:bCs/>
          <w:sz w:val="24"/>
          <w:szCs w:val="24"/>
          <w:lang w:val="lt"/>
        </w:rPr>
        <w:t xml:space="preserve">ateikti paaiškinimą </w:t>
      </w:r>
      <w:r w:rsidR="2C13C8E2" w:rsidRPr="75FEDFB4">
        <w:rPr>
          <w:rFonts w:asciiTheme="majorHAnsi" w:eastAsiaTheme="majorEastAsia" w:hAnsiTheme="majorHAnsi" w:cstheme="majorBidi"/>
          <w:b/>
          <w:bCs/>
          <w:sz w:val="24"/>
          <w:szCs w:val="24"/>
          <w:lang w:val="lt"/>
        </w:rPr>
        <w:t>apie siūlomo įrankio paplitimą profesinėje praktikoje (personalo vadyboje – atrankose, suaugusiųjų mokymuose, vadovavimo praktikose, kt.) ir/ar moksliniuose tyrimuose</w:t>
      </w:r>
      <w:r w:rsidR="2C13C8E2" w:rsidRPr="75FEDFB4">
        <w:rPr>
          <w:rFonts w:asciiTheme="majorHAnsi" w:eastAsiaTheme="majorEastAsia" w:hAnsiTheme="majorHAnsi" w:cstheme="majorBidi"/>
          <w:sz w:val="24"/>
          <w:szCs w:val="24"/>
          <w:lang w:val="lt"/>
        </w:rPr>
        <w:t>. Ypač naudinga, jei įrankis yra naudojamas ir moksliniuose tyrimuose – tai suteikia karjeros konsultantams erdvės tobulėjimui – kaupti informaciją apie sąsajas su karjeros sėkme. Pavyzdžiui, Didžiojo Penketo (</w:t>
      </w:r>
      <w:proofErr w:type="spellStart"/>
      <w:r w:rsidR="2C13C8E2" w:rsidRPr="75FEDFB4">
        <w:rPr>
          <w:rFonts w:asciiTheme="majorHAnsi" w:eastAsiaTheme="majorEastAsia" w:hAnsiTheme="majorHAnsi" w:cstheme="majorBidi"/>
          <w:sz w:val="24"/>
          <w:szCs w:val="24"/>
          <w:lang w:val="lt"/>
        </w:rPr>
        <w:t>BigFive</w:t>
      </w:r>
      <w:proofErr w:type="spellEnd"/>
      <w:r w:rsidR="2C13C8E2" w:rsidRPr="75FEDFB4">
        <w:rPr>
          <w:rFonts w:asciiTheme="majorHAnsi" w:eastAsiaTheme="majorEastAsia" w:hAnsiTheme="majorHAnsi" w:cstheme="majorBidi"/>
          <w:sz w:val="24"/>
          <w:szCs w:val="24"/>
          <w:lang w:val="lt"/>
        </w:rPr>
        <w:t xml:space="preserve">) teorija grįsti asmenybės bruožų matavimai yra populiarūs moksliniuose tyrimuose, todėl karjeros konsultantai galėtų tobulėti patys kaupdami informaciją apie įvairių savybių koreliacijas su studijų, darbo, karjeros sėkmės rodikliais. </w:t>
      </w:r>
    </w:p>
    <w:p w14:paraId="755CCFD7" w14:textId="1D141257" w:rsidR="2C13C8E2" w:rsidRDefault="2C13C8E2">
      <w:pPr>
        <w:pStyle w:val="Paragrafoelenco"/>
        <w:numPr>
          <w:ilvl w:val="0"/>
          <w:numId w:val="1"/>
        </w:numPr>
        <w:spacing w:after="0" w:line="257" w:lineRule="auto"/>
        <w:jc w:val="both"/>
        <w:rPr>
          <w:rFonts w:asciiTheme="majorHAnsi" w:eastAsiaTheme="majorEastAsia" w:hAnsiTheme="majorHAnsi" w:cstheme="majorBidi"/>
          <w:b/>
          <w:bCs/>
          <w:color w:val="2F5597"/>
          <w:sz w:val="24"/>
          <w:szCs w:val="24"/>
          <w:lang w:val="lt"/>
        </w:rPr>
      </w:pPr>
      <w:r w:rsidRPr="0104CCCA">
        <w:rPr>
          <w:rFonts w:asciiTheme="majorHAnsi" w:eastAsiaTheme="majorEastAsia" w:hAnsiTheme="majorHAnsi" w:cstheme="majorBidi"/>
          <w:b/>
          <w:bCs/>
          <w:color w:val="2F5597"/>
          <w:sz w:val="24"/>
          <w:szCs w:val="24"/>
          <w:lang w:val="lt"/>
        </w:rPr>
        <w:t>Funkciniai testo reikalavimai</w:t>
      </w:r>
    </w:p>
    <w:p w14:paraId="2183BAD0" w14:textId="35C4767B" w:rsidR="2C13C8E2" w:rsidRDefault="2C13C8E2" w:rsidP="00602234">
      <w:pPr>
        <w:spacing w:after="0" w:line="257" w:lineRule="auto"/>
        <w:jc w:val="both"/>
        <w:rPr>
          <w:rFonts w:asciiTheme="majorHAnsi" w:eastAsiaTheme="majorEastAsia" w:hAnsiTheme="majorHAnsi" w:cstheme="majorBidi"/>
          <w:b/>
          <w:bCs/>
          <w:color w:val="2F5597"/>
          <w:sz w:val="24"/>
          <w:szCs w:val="24"/>
          <w:lang w:val="lt"/>
        </w:rPr>
      </w:pPr>
      <w:r w:rsidRPr="0104CCCA">
        <w:rPr>
          <w:rFonts w:asciiTheme="majorHAnsi" w:eastAsiaTheme="majorEastAsia" w:hAnsiTheme="majorHAnsi" w:cstheme="majorBidi"/>
          <w:b/>
          <w:bCs/>
          <w:color w:val="2F5597"/>
          <w:sz w:val="24"/>
          <w:szCs w:val="24"/>
          <w:lang w:val="lt"/>
        </w:rPr>
        <w:t xml:space="preserve"> </w:t>
      </w:r>
    </w:p>
    <w:p w14:paraId="29FC2A56" w14:textId="4A80AA9C" w:rsidR="2C13C8E2" w:rsidRDefault="2C13C8E2" w:rsidP="00602234">
      <w:pPr>
        <w:spacing w:line="257" w:lineRule="auto"/>
        <w:ind w:left="284"/>
        <w:jc w:val="both"/>
        <w:rPr>
          <w:rFonts w:asciiTheme="majorHAnsi" w:eastAsiaTheme="majorEastAsia" w:hAnsiTheme="majorHAnsi" w:cstheme="majorBidi"/>
          <w:color w:val="2F5597"/>
          <w:sz w:val="24"/>
          <w:szCs w:val="24"/>
          <w:lang w:val="lt"/>
        </w:rPr>
      </w:pPr>
      <w:r w:rsidRPr="0104CCCA">
        <w:rPr>
          <w:rFonts w:asciiTheme="majorHAnsi" w:eastAsiaTheme="majorEastAsia" w:hAnsiTheme="majorHAnsi" w:cstheme="majorBidi"/>
          <w:color w:val="2F5597"/>
          <w:sz w:val="24"/>
          <w:szCs w:val="24"/>
          <w:lang w:val="lt"/>
        </w:rPr>
        <w:t>2.1. Vertinimo sritys</w:t>
      </w:r>
    </w:p>
    <w:p w14:paraId="0158A0B2" w14:textId="71F8018A" w:rsidR="2C13C8E2" w:rsidRDefault="2C13C8E2" w:rsidP="00602234">
      <w:pPr>
        <w:spacing w:before="240" w:after="240"/>
        <w:ind w:firstLine="426"/>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Vertinimo sričių NSKK techninėje specifikacijoje tikslas – aiškiai nurodyti asmenybės ir gebėjimų aspektus, kuriuos reikėtų įvertinti pasitelkiant </w:t>
      </w:r>
      <w:proofErr w:type="spellStart"/>
      <w:r w:rsidRPr="0104CCCA">
        <w:rPr>
          <w:rFonts w:asciiTheme="majorHAnsi" w:eastAsiaTheme="majorEastAsia" w:hAnsiTheme="majorHAnsi" w:cstheme="majorBidi"/>
          <w:sz w:val="24"/>
          <w:szCs w:val="24"/>
          <w:lang w:val="lt"/>
        </w:rPr>
        <w:t>psichometrinį</w:t>
      </w:r>
      <w:proofErr w:type="spellEnd"/>
      <w:r w:rsidRPr="0104CCCA">
        <w:rPr>
          <w:rFonts w:asciiTheme="majorHAnsi" w:eastAsiaTheme="majorEastAsia" w:hAnsiTheme="majorHAnsi" w:cstheme="majorBidi"/>
          <w:sz w:val="24"/>
          <w:szCs w:val="24"/>
          <w:lang w:val="lt"/>
        </w:rPr>
        <w:t xml:space="preserve"> testą. Tokia struktūra leidžia NSKK konsultantams geriau pažinti kliento profesinį potencialą ir individualius poreikius. Atsižvelgdami į šią informaciją, konsultantai gali pateikti konkrečias, asmeniškai pritaikytas rekomendacijas, kurios padeda kiekvienam klientui atskleisti savo stipriąsias puses ir kryptingai siekti karjeros tikslų</w:t>
      </w:r>
    </w:p>
    <w:p w14:paraId="689FE123" w14:textId="2BDA7454" w:rsidR="2C13C8E2" w:rsidRDefault="2C13C8E2" w:rsidP="00602234">
      <w:pPr>
        <w:spacing w:before="240" w:after="240" w:line="257" w:lineRule="auto"/>
        <w:ind w:firstLine="426"/>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sz w:val="24"/>
          <w:szCs w:val="24"/>
          <w:lang w:val="lt"/>
        </w:rPr>
        <w:t>Specifikacijoje vertinimo sritis suskirstėme į būtinas ir papildomas, kad būtų lengva atskirti pagrindines kliento asmenybės ir gebėjimų vertinimo dalis nuo papildomų, kurios galėtų praturtinti vertinimą, bet nėra esminės. Pagrindinės vertinimo sritys apima tuos aspektus, kurie jau suteikia pakankamai tikslų ir vertingą kliento pažinimo dalį. Ši informacija leidžia konsultantui geriau pažinti kliento asmenybę ir gebėjimus bei pateikti naudingas įžvalgas savęs pažinimo ir karjeros planavimo srityje.</w:t>
      </w:r>
    </w:p>
    <w:p w14:paraId="319ACAAC" w14:textId="6AA98B36" w:rsidR="2C13C8E2" w:rsidRDefault="2C13C8E2" w:rsidP="00602234">
      <w:pPr>
        <w:spacing w:before="240" w:after="240" w:line="257" w:lineRule="auto"/>
        <w:ind w:firstLine="426"/>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Būtinosios vertinimo sritys</w:t>
      </w:r>
    </w:p>
    <w:p w14:paraId="761A1D0D" w14:textId="6DD549CF" w:rsidR="2C13C8E2" w:rsidRDefault="2C13C8E2" w:rsidP="00602234">
      <w:pPr>
        <w:spacing w:before="240" w:after="24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Šios sritys yra esminės norint išsamiai ir tiksliai suprasti klientą bei parengti individualias rekomendacijas NSKK klientams.</w:t>
      </w:r>
    </w:p>
    <w:tbl>
      <w:tblPr>
        <w:tblStyle w:val="Grigliatabella"/>
        <w:tblW w:w="0" w:type="auto"/>
        <w:tblLayout w:type="fixed"/>
        <w:tblLook w:val="04A0" w:firstRow="1" w:lastRow="0" w:firstColumn="1" w:lastColumn="0" w:noHBand="0" w:noVBand="1"/>
      </w:tblPr>
      <w:tblGrid>
        <w:gridCol w:w="2547"/>
        <w:gridCol w:w="6803"/>
      </w:tblGrid>
      <w:tr w:rsidR="39B4DEC5" w:rsidRPr="00193A14" w14:paraId="0E562C27" w14:textId="77777777" w:rsidTr="0104CCCA">
        <w:trPr>
          <w:trHeight w:val="300"/>
        </w:trPr>
        <w:tc>
          <w:tcPr>
            <w:tcW w:w="2547" w:type="dxa"/>
            <w:tcBorders>
              <w:top w:val="nil"/>
              <w:left w:val="nil"/>
              <w:bottom w:val="single" w:sz="8" w:space="0" w:color="auto"/>
              <w:right w:val="single" w:sz="8" w:space="0" w:color="auto"/>
            </w:tcBorders>
            <w:tcMar>
              <w:left w:w="108" w:type="dxa"/>
              <w:right w:w="108" w:type="dxa"/>
            </w:tcMar>
          </w:tcPr>
          <w:p w14:paraId="3DCDF9C4" w14:textId="6B3D8A84" w:rsidR="39B4DEC5" w:rsidRDefault="0EB58622" w:rsidP="00602234">
            <w:pPr>
              <w:spacing w:before="240" w:after="240"/>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Asmenybės bruožų vertinimas</w:t>
            </w:r>
          </w:p>
        </w:tc>
        <w:tc>
          <w:tcPr>
            <w:tcW w:w="6803" w:type="dxa"/>
            <w:tcBorders>
              <w:top w:val="nil"/>
              <w:left w:val="single" w:sz="8" w:space="0" w:color="auto"/>
              <w:bottom w:val="single" w:sz="8" w:space="0" w:color="auto"/>
              <w:right w:val="nil"/>
            </w:tcBorders>
            <w:tcMar>
              <w:left w:w="108" w:type="dxa"/>
              <w:right w:w="108" w:type="dxa"/>
            </w:tcMar>
          </w:tcPr>
          <w:p w14:paraId="0991F1BA" w14:textId="391FD262"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Šio vertinimo tikslas – suteikti konsultantams išsamią informaciją apie kliento pagrindinius asmenybės bruožus, darančius tiesioginę įtaką jo darbo stiliui, bendravimui ir gebėjimui prisitaikyti profesinėje aplinkoje. Šios įžvalgos padeda geriau suprasti kliento stipriąsias puses, augimo galimybes bei natūralius polinkius. Jų pagrindu konsultantas galėtų pateikti klientui pritaikytas, tikslines rekomendacijas. Teste turi būti įvertinti tokie  asmenybės bruožai kaip:</w:t>
            </w:r>
          </w:p>
          <w:p w14:paraId="70BBB81D" w14:textId="3B5D3590" w:rsidR="39B4DEC5" w:rsidRDefault="0EB58622" w:rsidP="00602234">
            <w:pPr>
              <w:jc w:val="both"/>
              <w:rPr>
                <w:rFonts w:asciiTheme="majorHAnsi" w:eastAsiaTheme="majorEastAsia" w:hAnsiTheme="majorHAnsi" w:cstheme="majorBidi"/>
                <w:sz w:val="24"/>
                <w:szCs w:val="24"/>
                <w:lang w:val="lt"/>
              </w:rPr>
            </w:pPr>
            <w:proofErr w:type="spellStart"/>
            <w:r w:rsidRPr="0104CCCA">
              <w:rPr>
                <w:rFonts w:asciiTheme="majorHAnsi" w:eastAsiaTheme="majorEastAsia" w:hAnsiTheme="majorHAnsi" w:cstheme="majorBidi"/>
                <w:b/>
                <w:bCs/>
                <w:sz w:val="24"/>
                <w:szCs w:val="24"/>
                <w:lang w:val="lt"/>
              </w:rPr>
              <w:t>Ekstraversija</w:t>
            </w:r>
            <w:proofErr w:type="spellEnd"/>
            <w:r w:rsidRPr="0104CCCA">
              <w:rPr>
                <w:rFonts w:asciiTheme="majorHAnsi" w:eastAsiaTheme="majorEastAsia" w:hAnsiTheme="majorHAnsi" w:cstheme="majorBidi"/>
                <w:sz w:val="24"/>
                <w:szCs w:val="24"/>
                <w:lang w:val="lt"/>
              </w:rPr>
              <w:t xml:space="preserve"> – asmens atvirumas bendravimui, polinkis ieškoti naujų patirčių, energingumas.</w:t>
            </w:r>
          </w:p>
          <w:p w14:paraId="7910072C" w14:textId="1200B01D"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b/>
                <w:bCs/>
                <w:sz w:val="24"/>
                <w:szCs w:val="24"/>
                <w:lang w:val="lt"/>
              </w:rPr>
              <w:lastRenderedPageBreak/>
              <w:t>Emocinis stabilumas</w:t>
            </w:r>
            <w:r w:rsidRPr="0104CCCA">
              <w:rPr>
                <w:rFonts w:asciiTheme="majorHAnsi" w:eastAsiaTheme="majorEastAsia" w:hAnsiTheme="majorHAnsi" w:cstheme="majorBidi"/>
                <w:sz w:val="24"/>
                <w:szCs w:val="24"/>
                <w:lang w:val="lt"/>
              </w:rPr>
              <w:t xml:space="preserve"> – gebėjimas valdyti emocijas, atsparumas stresui, emocinis pastovumas.</w:t>
            </w:r>
          </w:p>
          <w:p w14:paraId="422C11BF" w14:textId="2EE6BEBC"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b/>
                <w:bCs/>
                <w:sz w:val="24"/>
                <w:szCs w:val="24"/>
                <w:lang w:val="lt"/>
              </w:rPr>
              <w:t>Sąmoningumas</w:t>
            </w:r>
            <w:r w:rsidRPr="0104CCCA">
              <w:rPr>
                <w:rFonts w:asciiTheme="majorHAnsi" w:eastAsiaTheme="majorEastAsia" w:hAnsiTheme="majorHAnsi" w:cstheme="majorBidi"/>
                <w:sz w:val="24"/>
                <w:szCs w:val="24"/>
                <w:lang w:val="lt"/>
              </w:rPr>
              <w:t xml:space="preserve"> – atsakingumas, drausmingumas, kruopštumas, įsipareigojimų laikymasis.</w:t>
            </w:r>
          </w:p>
          <w:p w14:paraId="5F5C7621" w14:textId="265ED8BC"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b/>
                <w:bCs/>
                <w:sz w:val="24"/>
                <w:szCs w:val="24"/>
                <w:lang w:val="lt"/>
              </w:rPr>
              <w:t>Atvirumas naujovėms</w:t>
            </w:r>
            <w:r w:rsidRPr="0104CCCA">
              <w:rPr>
                <w:rFonts w:asciiTheme="majorHAnsi" w:eastAsiaTheme="majorEastAsia" w:hAnsiTheme="majorHAnsi" w:cstheme="majorBidi"/>
                <w:sz w:val="24"/>
                <w:szCs w:val="24"/>
                <w:lang w:val="lt"/>
              </w:rPr>
              <w:t xml:space="preserve"> – kūrybiškumas, smalsumas, gebėjimas lanksčiai reaguoti į naujoves</w:t>
            </w:r>
          </w:p>
        </w:tc>
      </w:tr>
      <w:tr w:rsidR="39B4DEC5" w:rsidRPr="00193A14" w14:paraId="455AAD4E" w14:textId="77777777" w:rsidTr="0104CCCA">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42DF3312" w14:textId="425156FB" w:rsidR="39B4DEC5" w:rsidRDefault="0EB58622" w:rsidP="00602234">
            <w:pPr>
              <w:spacing w:before="240" w:after="240"/>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lastRenderedPageBreak/>
              <w:t>Elgesio tendencijų vertinimas</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1B8C50DD" w14:textId="438E4AD2" w:rsidR="39B4DEC5" w:rsidRDefault="0EB58622" w:rsidP="00602234">
            <w:pPr>
              <w:spacing w:before="240" w:after="240"/>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sz w:val="24"/>
                <w:szCs w:val="24"/>
                <w:lang w:val="lt"/>
              </w:rPr>
              <w:t>Elgesio tendencijų vertinimo tikslas suaugusiųjų karjeros konsultavime – suprasti, kaip klientas reaguoja į profesinius iššūkius ir pokyčius, tokius kaip stresas, netikėtumai ar darbo iššūkiai. Toks vertinimas padeda nustatyti, kokios darbo aplinkos labiausiai atitinka kliento natūralius elgesio modelius. Taip pat, remdamasis šiuo vertinimu, konsultantas gali įvertinti aplinkas, kuriose kliento elgesio bruožai gali kelti įtampą ar net pakenkti jo savijautai</w:t>
            </w:r>
            <w:r w:rsidRPr="0104CCCA">
              <w:rPr>
                <w:rFonts w:asciiTheme="majorHAnsi" w:eastAsiaTheme="majorEastAsia" w:hAnsiTheme="majorHAnsi" w:cstheme="majorBidi"/>
                <w:b/>
                <w:bCs/>
                <w:sz w:val="24"/>
                <w:szCs w:val="24"/>
                <w:lang w:val="lt"/>
              </w:rPr>
              <w:t>.</w:t>
            </w:r>
          </w:p>
        </w:tc>
      </w:tr>
      <w:tr w:rsidR="39B4DEC5" w:rsidRPr="00193A14" w14:paraId="14FFACC0" w14:textId="77777777" w:rsidTr="0104CCCA">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53FD00E6" w14:textId="783978D1"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Gebėjimų vertinimas</w:t>
            </w:r>
          </w:p>
          <w:p w14:paraId="66450994" w14:textId="6EE6C9AC" w:rsidR="39B4DEC5" w:rsidRDefault="0EB58622" w:rsidP="00602234">
            <w:pPr>
              <w:spacing w:before="240" w:after="24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0B012133" w14:textId="70453D18"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Gebėjimų vertinimo tikslas suaugusiųjų karjeros konsultavime – padėti konsultantui geriau suprasti kliento pagrindinius profesinius gebėjimus, tokius kaip analitinis mąstymas, problemų sprendimas, verbalinis, vizualinis mąstymas ir pan.. Šios įžvalgos leidžia tiksliau nustatyti, kokio tipo darbas ir užduotys labiausiai atitiktų kliento stiprybes bei polinkius. Remdamasis gauta informacija, konsultantas gali rekomenduoti kliento gebėjimus atitinkančias veiklos sritis ir padėti įvardinti sritis, kuriose </w:t>
            </w:r>
            <w:proofErr w:type="spellStart"/>
            <w:r w:rsidRPr="0104CCCA">
              <w:rPr>
                <w:rFonts w:asciiTheme="majorHAnsi" w:eastAsiaTheme="majorEastAsia" w:hAnsiTheme="majorHAnsi" w:cstheme="majorBidi"/>
                <w:sz w:val="24"/>
                <w:szCs w:val="24"/>
                <w:lang w:val="lt"/>
              </w:rPr>
              <w:t>kuriose</w:t>
            </w:r>
            <w:proofErr w:type="spellEnd"/>
            <w:r w:rsidRPr="0104CCCA">
              <w:rPr>
                <w:rFonts w:asciiTheme="majorHAnsi" w:eastAsiaTheme="majorEastAsia" w:hAnsiTheme="majorHAnsi" w:cstheme="majorBidi"/>
                <w:sz w:val="24"/>
                <w:szCs w:val="24"/>
                <w:lang w:val="lt"/>
              </w:rPr>
              <w:t xml:space="preserve"> tikėtina prireiks daugiau pastangų.</w:t>
            </w:r>
          </w:p>
        </w:tc>
      </w:tr>
      <w:tr w:rsidR="39B4DEC5" w:rsidRPr="00193A14" w14:paraId="259104E9" w14:textId="77777777" w:rsidTr="0104CCCA">
        <w:trPr>
          <w:trHeight w:val="300"/>
        </w:trPr>
        <w:tc>
          <w:tcPr>
            <w:tcW w:w="2547" w:type="dxa"/>
            <w:tcBorders>
              <w:top w:val="single" w:sz="8" w:space="0" w:color="auto"/>
              <w:left w:val="nil"/>
              <w:bottom w:val="nil"/>
              <w:right w:val="single" w:sz="8" w:space="0" w:color="auto"/>
            </w:tcBorders>
            <w:tcMar>
              <w:left w:w="108" w:type="dxa"/>
              <w:right w:w="108" w:type="dxa"/>
            </w:tcMar>
          </w:tcPr>
          <w:p w14:paraId="308FC4CF" w14:textId="1831522C"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Motyvacijos šaltinių vertinimas</w:t>
            </w:r>
          </w:p>
          <w:p w14:paraId="5F7A2FA3" w14:textId="7F9307C9" w:rsidR="39B4DEC5" w:rsidRDefault="0EB58622" w:rsidP="00602234">
            <w:pPr>
              <w:spacing w:before="240" w:after="24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tc>
        <w:tc>
          <w:tcPr>
            <w:tcW w:w="6803" w:type="dxa"/>
            <w:tcBorders>
              <w:top w:val="single" w:sz="8" w:space="0" w:color="auto"/>
              <w:left w:val="single" w:sz="8" w:space="0" w:color="auto"/>
              <w:bottom w:val="nil"/>
              <w:right w:val="nil"/>
            </w:tcBorders>
            <w:tcMar>
              <w:left w:w="108" w:type="dxa"/>
              <w:right w:w="108" w:type="dxa"/>
            </w:tcMar>
          </w:tcPr>
          <w:p w14:paraId="3B20E0D2" w14:textId="02886414"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Motyvacijos šaltinių vertinimo tikslas suaugusiųjų karjeros konsultavime  - padėti suprasti, kas labiausiai skatina klientą siekti tikslų ir kokio darbo pobūdžio jis pageidauja. Šis vertinimas padeda suprasti ar klientui svarbiau galimybė vadovauti, ar dirbti savarankiškai, siekti profesinių aukštumų ar išreikšti save kūrybiškai. Remdamasis šiomis įžvalgomis, konsultantas gali pasiūlyti veiklos sritis ir darbo pobūdį, kurie geriausiai atitinka kliento numatyti sritis, kuriose klientui gali pritrūkti motyvacijos ilgiau užsibūti, jei darbo pobūdis neatitiks jo vidinių poreikių</w:t>
            </w:r>
          </w:p>
          <w:p w14:paraId="34B9F557" w14:textId="5D3C4B12"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motyvaciją ir darbo stilių. Taip pat šis vertinimas padeda </w:t>
            </w:r>
          </w:p>
        </w:tc>
      </w:tr>
    </w:tbl>
    <w:p w14:paraId="5D1D3ADE" w14:textId="493B2F79" w:rsidR="2C13C8E2" w:rsidRDefault="2C13C8E2" w:rsidP="00602234">
      <w:pPr>
        <w:spacing w:after="0"/>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 </w:t>
      </w:r>
    </w:p>
    <w:p w14:paraId="1C4C01F6" w14:textId="01DE74F1" w:rsidR="2C13C8E2" w:rsidRDefault="2C13C8E2" w:rsidP="00602234">
      <w:pPr>
        <w:spacing w:after="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p w14:paraId="3584B2F8" w14:textId="0EA6BED7" w:rsidR="2C13C8E2" w:rsidRDefault="2C13C8E2" w:rsidP="00602234">
      <w:pPr>
        <w:spacing w:after="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p w14:paraId="52E47062" w14:textId="66A4E8E3" w:rsidR="2C13C8E2" w:rsidRDefault="2C13C8E2" w:rsidP="00602234">
      <w:pPr>
        <w:spacing w:after="0"/>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Papildomos vertinimo sritys</w:t>
      </w:r>
    </w:p>
    <w:p w14:paraId="52E0D721" w14:textId="29C23E2E" w:rsidR="2C13C8E2" w:rsidRDefault="2C13C8E2" w:rsidP="00602234">
      <w:pPr>
        <w:spacing w:after="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p w14:paraId="5F5FC066" w14:textId="18AC3ED0" w:rsidR="2C13C8E2" w:rsidRDefault="2C13C8E2" w:rsidP="00602234">
      <w:pPr>
        <w:spacing w:after="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Papildomos vertinimo sritys nėra būtinos, tačiau jos gali suteikti vertingų įžvalgų ir praturtinti kliento pažinimą konsultavimo procese. Šios sritys padeda giliau suprasti tam tikrus kliento bruožus ir gebėjimus, kurie gali būti ypač naudingi specifinėse situacijose ar tam tikrose darbo aplinkose.</w:t>
      </w:r>
    </w:p>
    <w:p w14:paraId="3D6B7862" w14:textId="29E2AD72" w:rsidR="2C13C8E2" w:rsidRDefault="2C13C8E2" w:rsidP="00602234">
      <w:pPr>
        <w:spacing w:after="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p w14:paraId="68CD551F" w14:textId="623D08A8" w:rsidR="2C13C8E2" w:rsidRDefault="2C13C8E2" w:rsidP="00602234">
      <w:pPr>
        <w:spacing w:after="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lastRenderedPageBreak/>
        <w:t xml:space="preserve"> </w:t>
      </w:r>
    </w:p>
    <w:tbl>
      <w:tblPr>
        <w:tblStyle w:val="Grigliatabella"/>
        <w:tblW w:w="0" w:type="auto"/>
        <w:tblLayout w:type="fixed"/>
        <w:tblLook w:val="04A0" w:firstRow="1" w:lastRow="0" w:firstColumn="1" w:lastColumn="0" w:noHBand="0" w:noVBand="1"/>
      </w:tblPr>
      <w:tblGrid>
        <w:gridCol w:w="2547"/>
        <w:gridCol w:w="6803"/>
      </w:tblGrid>
      <w:tr w:rsidR="39B4DEC5" w:rsidRPr="00193A14" w14:paraId="610209BB" w14:textId="77777777" w:rsidTr="0104CCCA">
        <w:trPr>
          <w:trHeight w:val="300"/>
        </w:trPr>
        <w:tc>
          <w:tcPr>
            <w:tcW w:w="2547" w:type="dxa"/>
            <w:tcBorders>
              <w:top w:val="nil"/>
              <w:left w:val="nil"/>
              <w:bottom w:val="single" w:sz="8" w:space="0" w:color="auto"/>
              <w:right w:val="single" w:sz="8" w:space="0" w:color="auto"/>
            </w:tcBorders>
            <w:tcMar>
              <w:left w:w="108" w:type="dxa"/>
              <w:right w:w="108" w:type="dxa"/>
            </w:tcMar>
          </w:tcPr>
          <w:p w14:paraId="0FCCE855" w14:textId="326C8A0B"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Komunikacinių stilių vertinimas</w:t>
            </w:r>
          </w:p>
          <w:p w14:paraId="7D9E78B9" w14:textId="4DEC01B8"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tc>
        <w:tc>
          <w:tcPr>
            <w:tcW w:w="6803" w:type="dxa"/>
            <w:tcBorders>
              <w:top w:val="nil"/>
              <w:left w:val="single" w:sz="8" w:space="0" w:color="auto"/>
              <w:bottom w:val="single" w:sz="8" w:space="0" w:color="auto"/>
              <w:right w:val="nil"/>
            </w:tcBorders>
            <w:tcMar>
              <w:left w:w="108" w:type="dxa"/>
              <w:right w:w="108" w:type="dxa"/>
            </w:tcMar>
          </w:tcPr>
          <w:p w14:paraId="2BC22627" w14:textId="43C54109"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Komunikacinių stilių vertinimo tikslas – suprasti, kaip klientas bendrauja su kitais ir kaip jam sekasi dirbti komandoje. Šis vertinimas padeda nustatyti, ar klientas labiau linkęs dirbti savarankiškai, ar efektyviausiai veikia komandinėse situacijose, taip pat įvertina jo gebėjimą aiškiai išreikšti mintis ir suprasti kitus. Konsultantas, remdamasis šiomis įžvalgomis, gali pasiūlyti darbo pozicijas ar veiklos sritis, kuriose kliento bendravimo įgūdžiai atsiskleistų geriausiai.</w:t>
            </w:r>
          </w:p>
        </w:tc>
      </w:tr>
      <w:tr w:rsidR="39B4DEC5" w:rsidRPr="00193A14" w14:paraId="4494BC66" w14:textId="77777777" w:rsidTr="0104CCCA">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753F2B9F" w14:textId="068DE9E0"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Karjeros vertybių vertinimas</w:t>
            </w:r>
          </w:p>
          <w:p w14:paraId="6680CF61" w14:textId="62CBED37"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0A17D961" w14:textId="0FF5AE28"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Karjeros vertybių vertinimo tikslas – geriau suprasti kliento ilgalaikius darbo prioritetus ir vertybes, kurios suteiktų jam  didžiausią pasitenkinimą ir veiklos prasmę. Šis vertinimas padeda nustatyti, kas klientui darbe svarbiausia:, kaip pavyzdžiui darbo ir gyvenimo balansas, prasminga veikla, finansinis atlygis, karjeros augimas ir pan. Skirtingai nei kasdienė motyvacija, karjeros vertybės atspindi kliento ilgalaikę darbo viziją ir padeda konsultantui rekomenduoti tinkamiausias karjeros kryptis bei darbo aplinkas, atitinkančias kliento vertybinius prioritetus.</w:t>
            </w:r>
          </w:p>
        </w:tc>
      </w:tr>
      <w:tr w:rsidR="39B4DEC5" w:rsidRPr="00193A14" w14:paraId="39540AD7" w14:textId="77777777" w:rsidTr="0104CCCA">
        <w:trPr>
          <w:trHeight w:val="300"/>
        </w:trPr>
        <w:tc>
          <w:tcPr>
            <w:tcW w:w="2547" w:type="dxa"/>
            <w:tcBorders>
              <w:top w:val="single" w:sz="8" w:space="0" w:color="auto"/>
              <w:left w:val="nil"/>
              <w:bottom w:val="nil"/>
              <w:right w:val="single" w:sz="8" w:space="0" w:color="auto"/>
            </w:tcBorders>
            <w:tcMar>
              <w:left w:w="108" w:type="dxa"/>
              <w:right w:w="108" w:type="dxa"/>
            </w:tcMar>
          </w:tcPr>
          <w:p w14:paraId="3BC70C87" w14:textId="765108BF"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Kognityvinių polinkių vertinimas</w:t>
            </w:r>
          </w:p>
          <w:p w14:paraId="22CBBAC6" w14:textId="6DB6E429"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tc>
        <w:tc>
          <w:tcPr>
            <w:tcW w:w="6803" w:type="dxa"/>
            <w:tcBorders>
              <w:top w:val="single" w:sz="8" w:space="0" w:color="auto"/>
              <w:left w:val="single" w:sz="8" w:space="0" w:color="auto"/>
              <w:bottom w:val="nil"/>
              <w:right w:val="nil"/>
            </w:tcBorders>
            <w:tcMar>
              <w:left w:w="108" w:type="dxa"/>
              <w:right w:w="108" w:type="dxa"/>
            </w:tcMar>
          </w:tcPr>
          <w:p w14:paraId="0AEF9743" w14:textId="6019D70B"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Kognityvinių polinkių vertinimo tikslas – geriau suprasti, kaip klientas natūraliai mąsto, </w:t>
            </w:r>
            <w:proofErr w:type="spellStart"/>
            <w:r w:rsidRPr="0104CCCA">
              <w:rPr>
                <w:rFonts w:asciiTheme="majorHAnsi" w:eastAsiaTheme="majorEastAsia" w:hAnsiTheme="majorHAnsi" w:cstheme="majorBidi"/>
                <w:sz w:val="24"/>
                <w:szCs w:val="24"/>
                <w:lang w:val="lt"/>
              </w:rPr>
              <w:t>t.y</w:t>
            </w:r>
            <w:proofErr w:type="spellEnd"/>
            <w:r w:rsidRPr="0104CCCA">
              <w:rPr>
                <w:rFonts w:asciiTheme="majorHAnsi" w:eastAsiaTheme="majorEastAsia" w:hAnsiTheme="majorHAnsi" w:cstheme="majorBidi"/>
                <w:sz w:val="24"/>
                <w:szCs w:val="24"/>
                <w:lang w:val="lt"/>
              </w:rPr>
              <w:t>.  ar jam būdingas analitinis, kūrybiškas, struktūruotas ar intuityvus mąstymo stilius. Šios įžvalgos leidžia konsultantui atitinkamai rekomenduoti darbo pobūdį ar užduotis, kurios atitiktų konkretaus kliento mąstymo būdą ir sudarytų sąlygas jaustis užtikrintai bei motyvuotai, Toks vertinimas ypač naudingas renkantis profesijas, kuriose reikalingas specifinis mąstymo modelis arba sprendimų priėmimo būdas.</w:t>
            </w:r>
          </w:p>
        </w:tc>
      </w:tr>
    </w:tbl>
    <w:p w14:paraId="53D5D56B" w14:textId="630CE57F" w:rsidR="2C13C8E2" w:rsidRDefault="2C13C8E2" w:rsidP="00602234">
      <w:pPr>
        <w:spacing w:after="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p w14:paraId="3D324D61" w14:textId="18F8F994" w:rsidR="2C13C8E2" w:rsidRDefault="2C13C8E2" w:rsidP="00602234">
      <w:pPr>
        <w:spacing w:after="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p w14:paraId="3859DA81" w14:textId="0847C27D" w:rsidR="2C13C8E2" w:rsidRDefault="2C13C8E2" w:rsidP="00602234">
      <w:pPr>
        <w:spacing w:line="257" w:lineRule="auto"/>
        <w:ind w:left="284"/>
        <w:jc w:val="both"/>
        <w:rPr>
          <w:rFonts w:asciiTheme="majorHAnsi" w:eastAsiaTheme="majorEastAsia" w:hAnsiTheme="majorHAnsi" w:cstheme="majorBidi"/>
          <w:color w:val="2F5597"/>
          <w:sz w:val="24"/>
          <w:szCs w:val="24"/>
          <w:lang w:val="pt-BR"/>
        </w:rPr>
      </w:pPr>
      <w:r w:rsidRPr="0104CCCA">
        <w:rPr>
          <w:rFonts w:asciiTheme="majorHAnsi" w:eastAsiaTheme="majorEastAsia" w:hAnsiTheme="majorHAnsi" w:cstheme="majorBidi"/>
          <w:color w:val="2F5597"/>
          <w:sz w:val="24"/>
          <w:szCs w:val="24"/>
          <w:lang w:val="pt-BR"/>
        </w:rPr>
        <w:t xml:space="preserve">2.2. </w:t>
      </w:r>
      <w:proofErr w:type="spellStart"/>
      <w:r w:rsidRPr="0104CCCA">
        <w:rPr>
          <w:rFonts w:asciiTheme="majorHAnsi" w:eastAsiaTheme="majorEastAsia" w:hAnsiTheme="majorHAnsi" w:cstheme="majorBidi"/>
          <w:color w:val="2F5597"/>
          <w:sz w:val="24"/>
          <w:szCs w:val="24"/>
          <w:lang w:val="pt-BR"/>
        </w:rPr>
        <w:t>Ataskaitos</w:t>
      </w:r>
      <w:proofErr w:type="spellEnd"/>
      <w:r w:rsidRPr="0104CCCA">
        <w:rPr>
          <w:rFonts w:asciiTheme="majorHAnsi" w:eastAsiaTheme="majorEastAsia" w:hAnsiTheme="majorHAnsi" w:cstheme="majorBidi"/>
          <w:color w:val="2F5597"/>
          <w:sz w:val="24"/>
          <w:szCs w:val="24"/>
          <w:lang w:val="pt-BR"/>
        </w:rPr>
        <w:t xml:space="preserve"> ir </w:t>
      </w:r>
      <w:proofErr w:type="spellStart"/>
      <w:r w:rsidRPr="0104CCCA">
        <w:rPr>
          <w:rFonts w:asciiTheme="majorHAnsi" w:eastAsiaTheme="majorEastAsia" w:hAnsiTheme="majorHAnsi" w:cstheme="majorBidi"/>
          <w:color w:val="2F5597"/>
          <w:sz w:val="24"/>
          <w:szCs w:val="24"/>
          <w:lang w:val="pt-BR"/>
        </w:rPr>
        <w:t>rezultatų</w:t>
      </w:r>
      <w:proofErr w:type="spellEnd"/>
      <w:r w:rsidRPr="0104CCCA">
        <w:rPr>
          <w:rFonts w:asciiTheme="majorHAnsi" w:eastAsiaTheme="majorEastAsia" w:hAnsiTheme="majorHAnsi" w:cstheme="majorBidi"/>
          <w:color w:val="2F5597"/>
          <w:sz w:val="24"/>
          <w:szCs w:val="24"/>
          <w:lang w:val="pt-BR"/>
        </w:rPr>
        <w:t xml:space="preserve"> </w:t>
      </w:r>
      <w:proofErr w:type="spellStart"/>
      <w:r w:rsidRPr="0104CCCA">
        <w:rPr>
          <w:rFonts w:asciiTheme="majorHAnsi" w:eastAsiaTheme="majorEastAsia" w:hAnsiTheme="majorHAnsi" w:cstheme="majorBidi"/>
          <w:color w:val="2F5597"/>
          <w:sz w:val="24"/>
          <w:szCs w:val="24"/>
          <w:lang w:val="pt-BR"/>
        </w:rPr>
        <w:t>pateikimas</w:t>
      </w:r>
      <w:proofErr w:type="spellEnd"/>
      <w:r w:rsidRPr="0104CCCA">
        <w:rPr>
          <w:rFonts w:asciiTheme="majorHAnsi" w:eastAsiaTheme="majorEastAsia" w:hAnsiTheme="majorHAnsi" w:cstheme="majorBidi"/>
          <w:color w:val="2F5597"/>
          <w:sz w:val="24"/>
          <w:szCs w:val="24"/>
          <w:lang w:val="pt-BR"/>
        </w:rPr>
        <w:t xml:space="preserve"> </w:t>
      </w:r>
    </w:p>
    <w:p w14:paraId="445BA31B" w14:textId="52A1026F" w:rsidR="2C13C8E2" w:rsidRDefault="2C13C8E2" w:rsidP="00602234">
      <w:pPr>
        <w:spacing w:after="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p w14:paraId="6DDB3D52" w14:textId="00B48116" w:rsidR="2C13C8E2" w:rsidRDefault="2C13C8E2" w:rsidP="00602234">
      <w:pPr>
        <w:spacing w:after="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Šioje techninės specifikacijos dalyje apibrėžiama, kokia forma turi būti pateikiami testo rezultatai. Svarbu, kad ataskaitos ir rezultatai  būtų suprantami, naudingi  ir praktiškai naudojami tiek duomenis analizuojantiems konsultantams, tiek klientams.</w:t>
      </w:r>
    </w:p>
    <w:p w14:paraId="4E2D2499" w14:textId="5D70F793" w:rsidR="2C13C8E2" w:rsidRDefault="2C13C8E2" w:rsidP="00602234">
      <w:pPr>
        <w:spacing w:after="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p w14:paraId="18082AF1" w14:textId="1189009D" w:rsidR="2C13C8E2" w:rsidRDefault="2C13C8E2" w:rsidP="00602234">
      <w:pPr>
        <w:spacing w:after="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p w14:paraId="50492736" w14:textId="37BAAAA3" w:rsidR="2C13C8E2" w:rsidRDefault="2C13C8E2" w:rsidP="00602234">
      <w:pPr>
        <w:spacing w:after="0"/>
        <w:ind w:firstLine="360"/>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Ataskaitų detalumas</w:t>
      </w:r>
    </w:p>
    <w:p w14:paraId="0B889137" w14:textId="7BC0AF9D" w:rsidR="2C13C8E2" w:rsidRDefault="2C13C8E2" w:rsidP="00602234">
      <w:pPr>
        <w:spacing w:after="0"/>
        <w:ind w:firstLine="36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Rezultatai turi būti pateikiami skirtingo detalumo ataskaitose. NSKK </w:t>
      </w:r>
      <w:proofErr w:type="spellStart"/>
      <w:r w:rsidRPr="0104CCCA">
        <w:rPr>
          <w:rFonts w:asciiTheme="majorHAnsi" w:eastAsiaTheme="majorEastAsia" w:hAnsiTheme="majorHAnsi" w:cstheme="majorBidi"/>
          <w:sz w:val="24"/>
          <w:szCs w:val="24"/>
          <w:lang w:val="lt"/>
        </w:rPr>
        <w:t>konsultanats</w:t>
      </w:r>
      <w:proofErr w:type="spellEnd"/>
      <w:r w:rsidRPr="0104CCCA">
        <w:rPr>
          <w:rFonts w:asciiTheme="majorHAnsi" w:eastAsiaTheme="majorEastAsia" w:hAnsiTheme="majorHAnsi" w:cstheme="majorBidi"/>
          <w:sz w:val="24"/>
          <w:szCs w:val="24"/>
          <w:lang w:val="lt"/>
        </w:rPr>
        <w:t xml:space="preserve"> pats gali nuspręsti  kokio detalumo ataskaitos jis pageidaut</w:t>
      </w:r>
      <w:r w:rsidR="5BDA6001" w:rsidRPr="0104CCCA">
        <w:rPr>
          <w:rFonts w:asciiTheme="majorHAnsi" w:eastAsiaTheme="majorEastAsia" w:hAnsiTheme="majorHAnsi" w:cstheme="majorBidi"/>
          <w:sz w:val="24"/>
          <w:szCs w:val="24"/>
          <w:lang w:val="lt"/>
        </w:rPr>
        <w:t>ų</w:t>
      </w:r>
      <w:r w:rsidRPr="0104CCCA">
        <w:rPr>
          <w:rFonts w:asciiTheme="majorHAnsi" w:eastAsiaTheme="majorEastAsia" w:hAnsiTheme="majorHAnsi" w:cstheme="majorBidi"/>
          <w:sz w:val="24"/>
          <w:szCs w:val="24"/>
          <w:lang w:val="lt"/>
        </w:rPr>
        <w:t xml:space="preserve"> konkretaus kliento atveju.  Išsamios ataskaitos suteikia visą reikalingą informaciją gilesnei analizei ir įžvalgoms. Mažesnio detalumo ataskaitos suteikia apibendrintą informaciją</w:t>
      </w:r>
      <w:r w:rsidR="1BE1A288" w:rsidRPr="0104CCCA">
        <w:rPr>
          <w:rFonts w:asciiTheme="majorHAnsi" w:eastAsiaTheme="majorEastAsia" w:hAnsiTheme="majorHAnsi" w:cstheme="majorBidi"/>
          <w:sz w:val="24"/>
          <w:szCs w:val="24"/>
          <w:lang w:val="lt"/>
        </w:rPr>
        <w:t>.</w:t>
      </w:r>
      <w:r w:rsidRPr="0104CCCA">
        <w:rPr>
          <w:rFonts w:asciiTheme="majorHAnsi" w:eastAsiaTheme="majorEastAsia" w:hAnsiTheme="majorHAnsi" w:cstheme="majorBidi"/>
          <w:sz w:val="24"/>
          <w:szCs w:val="24"/>
          <w:lang w:val="lt"/>
        </w:rPr>
        <w:t xml:space="preserve"> </w:t>
      </w:r>
    </w:p>
    <w:p w14:paraId="60DB8CD7" w14:textId="6A419E57" w:rsidR="2C13C8E2" w:rsidRDefault="2C13C8E2" w:rsidP="00602234">
      <w:pPr>
        <w:spacing w:after="0"/>
        <w:ind w:firstLine="36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Klientams skirtose santraukose turi būti aiškiai išskirti esminiai rezultatai ir pagrindinės įžvalgos, padedančios lengvai suprasti ir pritaikyti gautus rezultatus savo profesiniams ar asmeniniams tikslams.</w:t>
      </w:r>
    </w:p>
    <w:p w14:paraId="063CAA05" w14:textId="687D16E5" w:rsidR="2C13C8E2" w:rsidRDefault="2C13C8E2" w:rsidP="00602234">
      <w:pPr>
        <w:spacing w:after="0"/>
        <w:ind w:firstLine="36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lastRenderedPageBreak/>
        <w:t xml:space="preserve"> </w:t>
      </w:r>
    </w:p>
    <w:p w14:paraId="1BE29FDA" w14:textId="2459706B" w:rsidR="2C13C8E2" w:rsidRDefault="2C13C8E2" w:rsidP="00602234">
      <w:pPr>
        <w:spacing w:after="0"/>
        <w:ind w:firstLine="360"/>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Rezultatų interpretacijos ir rekomendacijos</w:t>
      </w:r>
    </w:p>
    <w:p w14:paraId="685F66C3" w14:textId="261E53F8" w:rsidR="2C13C8E2" w:rsidRDefault="2C13C8E2" w:rsidP="00602234">
      <w:pPr>
        <w:spacing w:after="0"/>
        <w:ind w:firstLine="360"/>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 </w:t>
      </w:r>
    </w:p>
    <w:tbl>
      <w:tblPr>
        <w:tblStyle w:val="Grigliatabella"/>
        <w:tblW w:w="0" w:type="auto"/>
        <w:tblLayout w:type="fixed"/>
        <w:tblLook w:val="04A0" w:firstRow="1" w:lastRow="0" w:firstColumn="1" w:lastColumn="0" w:noHBand="0" w:noVBand="1"/>
      </w:tblPr>
      <w:tblGrid>
        <w:gridCol w:w="2547"/>
        <w:gridCol w:w="6803"/>
      </w:tblGrid>
      <w:tr w:rsidR="39B4DEC5" w:rsidRPr="00193A14" w14:paraId="7C1536E0" w14:textId="77777777" w:rsidTr="0104CCCA">
        <w:trPr>
          <w:trHeight w:val="300"/>
        </w:trPr>
        <w:tc>
          <w:tcPr>
            <w:tcW w:w="2547" w:type="dxa"/>
            <w:tcBorders>
              <w:top w:val="nil"/>
              <w:left w:val="nil"/>
              <w:bottom w:val="single" w:sz="8" w:space="0" w:color="auto"/>
              <w:right w:val="single" w:sz="8" w:space="0" w:color="auto"/>
            </w:tcBorders>
            <w:tcMar>
              <w:left w:w="108" w:type="dxa"/>
              <w:right w:w="108" w:type="dxa"/>
            </w:tcMar>
          </w:tcPr>
          <w:p w14:paraId="6893F588" w14:textId="695714DA" w:rsidR="39B4DEC5" w:rsidRDefault="0EB58622" w:rsidP="00602234">
            <w:pPr>
              <w:jc w:val="both"/>
              <w:rPr>
                <w:rFonts w:asciiTheme="majorHAnsi" w:eastAsiaTheme="majorEastAsia" w:hAnsiTheme="majorHAnsi" w:cstheme="majorBidi"/>
                <w:b/>
                <w:bCs/>
                <w:i/>
                <w:iCs/>
                <w:sz w:val="24"/>
                <w:szCs w:val="24"/>
                <w:lang w:val="lt"/>
              </w:rPr>
            </w:pPr>
            <w:r w:rsidRPr="0104CCCA">
              <w:rPr>
                <w:rFonts w:asciiTheme="majorHAnsi" w:eastAsiaTheme="majorEastAsia" w:hAnsiTheme="majorHAnsi" w:cstheme="majorBidi"/>
                <w:b/>
                <w:bCs/>
                <w:i/>
                <w:iCs/>
                <w:sz w:val="24"/>
                <w:szCs w:val="24"/>
                <w:lang w:val="lt"/>
              </w:rPr>
              <w:t>Ataskaitos pateikimas</w:t>
            </w:r>
          </w:p>
        </w:tc>
        <w:tc>
          <w:tcPr>
            <w:tcW w:w="6803" w:type="dxa"/>
            <w:tcBorders>
              <w:top w:val="nil"/>
              <w:left w:val="single" w:sz="8" w:space="0" w:color="auto"/>
              <w:bottom w:val="single" w:sz="8" w:space="0" w:color="auto"/>
              <w:right w:val="nil"/>
            </w:tcBorders>
            <w:tcMar>
              <w:left w:w="108" w:type="dxa"/>
              <w:right w:w="108" w:type="dxa"/>
            </w:tcMar>
          </w:tcPr>
          <w:p w14:paraId="74F1B9FE" w14:textId="0D20F531"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Per 24 valandas po testo atlikimo klientui automatiškai sugeneruojama ir išsiunčiama ataskaita su interpretacijomis ir rekomendacijomis. Konsultantas sistemoje mato, kad ataskaita jau išsiųsta klientui, ir turi galimybę ją peržiūrėti savo paskyroje.</w:t>
            </w:r>
          </w:p>
        </w:tc>
      </w:tr>
      <w:tr w:rsidR="39B4DEC5" w:rsidRPr="00193A14" w14:paraId="2E0D28E8" w14:textId="77777777" w:rsidTr="0104CCCA">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7B9E8C3B" w14:textId="435F0244"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b/>
                <w:bCs/>
                <w:i/>
                <w:iCs/>
                <w:sz w:val="24"/>
                <w:szCs w:val="24"/>
                <w:lang w:val="lt"/>
              </w:rPr>
              <w:t>Rekomendacijų pritaikymas</w:t>
            </w:r>
            <w:r w:rsidRPr="0104CCCA">
              <w:rPr>
                <w:rFonts w:asciiTheme="majorHAnsi" w:eastAsiaTheme="majorEastAsia" w:hAnsiTheme="majorHAnsi" w:cstheme="majorBidi"/>
                <w:sz w:val="24"/>
                <w:szCs w:val="24"/>
                <w:lang w:val="lt"/>
              </w:rPr>
              <w:t>:</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1D3D81BD" w14:textId="42B19056"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Ataskaitoje pateikiamos rekomendacijos padeda klientui suprasti, kaip jis gali pritaikyti savo rezultatus įvairiose profesinėse ar asmeninėse situacijose, taip pat pateikiamos kryptys, kurios galėtų padėti tobulėti.</w:t>
            </w:r>
          </w:p>
          <w:p w14:paraId="3DC6F0AE" w14:textId="3494F170"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 </w:t>
            </w:r>
          </w:p>
        </w:tc>
      </w:tr>
      <w:tr w:rsidR="39B4DEC5" w:rsidRPr="00193A14" w14:paraId="64ADAE6D" w14:textId="77777777" w:rsidTr="0104CCCA">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3056E3B1" w14:textId="0D15DEA7" w:rsidR="39B4DEC5" w:rsidRDefault="0EB58622" w:rsidP="00602234">
            <w:pPr>
              <w:jc w:val="both"/>
              <w:rPr>
                <w:rFonts w:asciiTheme="majorHAnsi" w:eastAsiaTheme="majorEastAsia" w:hAnsiTheme="majorHAnsi" w:cstheme="majorBidi"/>
                <w:b/>
                <w:bCs/>
                <w:i/>
                <w:iCs/>
                <w:sz w:val="24"/>
                <w:szCs w:val="24"/>
                <w:lang w:val="lt"/>
              </w:rPr>
            </w:pPr>
            <w:r w:rsidRPr="0104CCCA">
              <w:rPr>
                <w:rFonts w:asciiTheme="majorHAnsi" w:eastAsiaTheme="majorEastAsia" w:hAnsiTheme="majorHAnsi" w:cstheme="majorBidi"/>
                <w:b/>
                <w:bCs/>
                <w:i/>
                <w:iCs/>
                <w:sz w:val="24"/>
                <w:szCs w:val="24"/>
                <w:lang w:val="lt"/>
              </w:rPr>
              <w:t>Interpretacijų sistema</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55B4860E" w14:textId="2595FEFC"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Ataskaitoje pateikiama aiškiai struktūruota interpretacijų sistema, leidžianti klientui suprasti, ką reiškia kiekvienas testo rezultatas. Balai ir įžvalgos yra išdėstyti taip, kad padėtų klientui geriau suvokti savo stiprybes, sritis, kuriose galėtų tobulėti, ir galimus karjeros kelius, kurie geriausiai atitiktų jo savybes ir potencialą.</w:t>
            </w:r>
          </w:p>
        </w:tc>
      </w:tr>
      <w:tr w:rsidR="39B4DEC5" w:rsidRPr="00193A14" w14:paraId="0A2E3C82" w14:textId="77777777" w:rsidTr="0104CCCA">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3EC2432E" w14:textId="2CFCAA46" w:rsidR="39B4DEC5" w:rsidRDefault="0EB58622" w:rsidP="00602234">
            <w:pPr>
              <w:jc w:val="both"/>
              <w:rPr>
                <w:rFonts w:asciiTheme="majorHAnsi" w:eastAsiaTheme="majorEastAsia" w:hAnsiTheme="majorHAnsi" w:cstheme="majorBidi"/>
                <w:b/>
                <w:bCs/>
                <w:i/>
                <w:iCs/>
                <w:sz w:val="24"/>
                <w:szCs w:val="24"/>
                <w:lang w:val="lt"/>
              </w:rPr>
            </w:pPr>
            <w:r w:rsidRPr="0104CCCA">
              <w:rPr>
                <w:rFonts w:asciiTheme="majorHAnsi" w:eastAsiaTheme="majorEastAsia" w:hAnsiTheme="majorHAnsi" w:cstheme="majorBidi"/>
                <w:b/>
                <w:bCs/>
                <w:i/>
                <w:iCs/>
                <w:sz w:val="24"/>
                <w:szCs w:val="24"/>
                <w:lang w:val="lt"/>
              </w:rPr>
              <w:t>Pakartotinis ataskaitos siuntimas</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22043FAD" w14:textId="38846B86"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Konsultantas, jei reikia, turi galimybę ataskaitą pakartotinai išsiųsti klientui.</w:t>
            </w:r>
          </w:p>
        </w:tc>
      </w:tr>
      <w:tr w:rsidR="39B4DEC5" w:rsidRPr="00193A14" w14:paraId="03278FDC" w14:textId="77777777" w:rsidTr="0104CCCA">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61D79054" w14:textId="10099F95"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Vizualinis pateikimas</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6123060A" w14:textId="2CFAAE65"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Ataskaitose yra būtinas vizualus rezultatų patekimas, </w:t>
            </w:r>
            <w:proofErr w:type="spellStart"/>
            <w:r w:rsidRPr="0104CCCA">
              <w:rPr>
                <w:rFonts w:asciiTheme="majorHAnsi" w:eastAsiaTheme="majorEastAsia" w:hAnsiTheme="majorHAnsi" w:cstheme="majorBidi"/>
                <w:sz w:val="24"/>
                <w:szCs w:val="24"/>
                <w:lang w:val="lt"/>
              </w:rPr>
              <w:t>t.y</w:t>
            </w:r>
            <w:proofErr w:type="spellEnd"/>
            <w:r w:rsidRPr="0104CCCA">
              <w:rPr>
                <w:rFonts w:asciiTheme="majorHAnsi" w:eastAsiaTheme="majorEastAsia" w:hAnsiTheme="majorHAnsi" w:cstheme="majorBidi"/>
                <w:sz w:val="24"/>
                <w:szCs w:val="24"/>
                <w:lang w:val="lt"/>
              </w:rPr>
              <w:t>. grafikai, diagramos kurios aiškiai atspindėtų kliento rezultatus. Kiekvienas vertinimo kriterijus turi būti pateiktas vizualiai, kad konsultantas ir klientas galėtų greitai ir suprantamai  įvertinti rezultatus ir praktiškai juos pritaikyti.</w:t>
            </w:r>
          </w:p>
        </w:tc>
      </w:tr>
      <w:tr w:rsidR="39B4DEC5" w:rsidRPr="00193A14" w14:paraId="4FC1E48D" w14:textId="77777777" w:rsidTr="0104CCCA">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72D967F2" w14:textId="7BF24329"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Spausdinimo pritaikymas</w:t>
            </w:r>
          </w:p>
          <w:p w14:paraId="53F43CFF" w14:textId="47EBA87B"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 </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1F6A13CD" w14:textId="3318E3C8"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Ataskaitos ir rezultatai turi būti pateikti formatuose, kurie leidžia juos patogiai ir aiškiai atspausdinti. Grafikai, lentelės ir tekstas turi būti išdėstyti taip, kad spausdintame variante viskas būtų lengvai skaitoma ir estetiškai tvarkinga. Pagrindinės įžvalgos ir rekomendacijos turėtų būti aiškiai išskirtos, kad fizinę ataskaitos versiją būtų paprasta suprasti tiek klientui, tiek konsultantui.</w:t>
            </w:r>
          </w:p>
          <w:p w14:paraId="5F330A4B" w14:textId="37693124"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 </w:t>
            </w:r>
          </w:p>
        </w:tc>
      </w:tr>
      <w:tr w:rsidR="39B4DEC5" w:rsidRPr="00193A14" w14:paraId="4D222503" w14:textId="77777777" w:rsidTr="0104CCCA">
        <w:trPr>
          <w:trHeight w:val="300"/>
        </w:trPr>
        <w:tc>
          <w:tcPr>
            <w:tcW w:w="2547" w:type="dxa"/>
            <w:tcBorders>
              <w:top w:val="single" w:sz="8" w:space="0" w:color="auto"/>
              <w:left w:val="nil"/>
              <w:bottom w:val="nil"/>
              <w:right w:val="single" w:sz="8" w:space="0" w:color="auto"/>
            </w:tcBorders>
            <w:tcMar>
              <w:left w:w="108" w:type="dxa"/>
              <w:right w:w="108" w:type="dxa"/>
            </w:tcMar>
          </w:tcPr>
          <w:p w14:paraId="1F602E4A" w14:textId="0A5C7CB3" w:rsidR="39B4DEC5" w:rsidRDefault="0EB58622" w:rsidP="00602234">
            <w:pPr>
              <w:jc w:val="both"/>
              <w:rPr>
                <w:rFonts w:asciiTheme="majorHAnsi" w:eastAsiaTheme="majorEastAsia" w:hAnsiTheme="majorHAnsi" w:cstheme="majorBidi"/>
                <w:b/>
                <w:bCs/>
                <w:i/>
                <w:iCs/>
                <w:sz w:val="24"/>
                <w:szCs w:val="24"/>
                <w:lang w:val="lt"/>
              </w:rPr>
            </w:pPr>
            <w:r w:rsidRPr="0104CCCA">
              <w:rPr>
                <w:rFonts w:asciiTheme="majorHAnsi" w:eastAsiaTheme="majorEastAsia" w:hAnsiTheme="majorHAnsi" w:cstheme="majorBidi"/>
                <w:b/>
                <w:bCs/>
                <w:i/>
                <w:iCs/>
                <w:sz w:val="24"/>
                <w:szCs w:val="24"/>
                <w:lang w:val="lt"/>
              </w:rPr>
              <w:t>Statistiniai duomenys</w:t>
            </w:r>
          </w:p>
        </w:tc>
        <w:tc>
          <w:tcPr>
            <w:tcW w:w="6803" w:type="dxa"/>
            <w:tcBorders>
              <w:top w:val="single" w:sz="8" w:space="0" w:color="auto"/>
              <w:left w:val="single" w:sz="8" w:space="0" w:color="auto"/>
              <w:bottom w:val="nil"/>
              <w:right w:val="nil"/>
            </w:tcBorders>
            <w:tcMar>
              <w:left w:w="108" w:type="dxa"/>
              <w:right w:w="108" w:type="dxa"/>
            </w:tcMar>
          </w:tcPr>
          <w:p w14:paraId="2EC25E07" w14:textId="55236357"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Sistema turi funkciją kaupti bendrus statistinius duomenis, kad būtų galima analizuoti bendras tendencijas ir asmenybės bruožus tarp skirtingų klientų grupių.</w:t>
            </w:r>
          </w:p>
        </w:tc>
      </w:tr>
    </w:tbl>
    <w:p w14:paraId="7D4DAD04" w14:textId="58CE95ED" w:rsidR="2C13C8E2" w:rsidRDefault="2C13C8E2" w:rsidP="00602234">
      <w:pPr>
        <w:spacing w:after="0"/>
        <w:ind w:firstLine="360"/>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 </w:t>
      </w:r>
    </w:p>
    <w:p w14:paraId="24AC8CED" w14:textId="162B0D92" w:rsidR="2C13C8E2" w:rsidRDefault="2C13C8E2" w:rsidP="00602234">
      <w:pPr>
        <w:spacing w:after="0"/>
        <w:ind w:firstLine="36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p w14:paraId="0729361D" w14:textId="3DB78451" w:rsidR="2C13C8E2" w:rsidRDefault="2C13C8E2" w:rsidP="00602234">
      <w:pPr>
        <w:spacing w:after="0"/>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p w14:paraId="3CC53515" w14:textId="3C3778E9" w:rsidR="2C13C8E2" w:rsidRDefault="3A520F83" w:rsidP="00602234">
      <w:pPr>
        <w:pStyle w:val="Paragrafoelenco"/>
        <w:spacing w:after="0" w:line="257" w:lineRule="auto"/>
        <w:ind w:left="1004" w:hanging="720"/>
        <w:jc w:val="both"/>
        <w:rPr>
          <w:rFonts w:asciiTheme="majorHAnsi" w:eastAsiaTheme="majorEastAsia" w:hAnsiTheme="majorHAnsi" w:cstheme="majorBidi"/>
          <w:color w:val="2F5597"/>
          <w:sz w:val="24"/>
          <w:szCs w:val="24"/>
          <w:lang w:val="lt"/>
        </w:rPr>
      </w:pPr>
      <w:r w:rsidRPr="0104CCCA">
        <w:rPr>
          <w:rFonts w:asciiTheme="majorHAnsi" w:eastAsiaTheme="majorEastAsia" w:hAnsiTheme="majorHAnsi" w:cstheme="majorBidi"/>
          <w:color w:val="2F5597"/>
          <w:sz w:val="24"/>
          <w:szCs w:val="24"/>
          <w:lang w:val="lt"/>
        </w:rPr>
        <w:t xml:space="preserve">2.3. </w:t>
      </w:r>
      <w:r w:rsidR="2C13C8E2" w:rsidRPr="0104CCCA">
        <w:rPr>
          <w:rFonts w:asciiTheme="majorHAnsi" w:eastAsiaTheme="majorEastAsia" w:hAnsiTheme="majorHAnsi" w:cstheme="majorBidi"/>
          <w:color w:val="2F5597"/>
          <w:sz w:val="24"/>
          <w:szCs w:val="24"/>
          <w:lang w:val="lt"/>
        </w:rPr>
        <w:t>NSKK konsultantų apmokymai, kvalifikacijos reikalavimai ir konsultacinis palaikymas</w:t>
      </w:r>
    </w:p>
    <w:p w14:paraId="580A806A" w14:textId="2975AF23" w:rsidR="2C13C8E2" w:rsidRDefault="2C13C8E2" w:rsidP="00602234">
      <w:pPr>
        <w:spacing w:line="257" w:lineRule="auto"/>
        <w:ind w:left="284"/>
        <w:jc w:val="both"/>
        <w:rPr>
          <w:rFonts w:asciiTheme="majorHAnsi" w:eastAsiaTheme="majorEastAsia" w:hAnsiTheme="majorHAnsi" w:cstheme="majorBidi"/>
          <w:color w:val="2F5597"/>
          <w:sz w:val="24"/>
          <w:szCs w:val="24"/>
          <w:lang w:val="lt"/>
        </w:rPr>
      </w:pPr>
      <w:r w:rsidRPr="0104CCCA">
        <w:rPr>
          <w:rFonts w:asciiTheme="majorHAnsi" w:eastAsiaTheme="majorEastAsia" w:hAnsiTheme="majorHAnsi" w:cstheme="majorBidi"/>
          <w:color w:val="2F5597"/>
          <w:sz w:val="24"/>
          <w:szCs w:val="24"/>
          <w:lang w:val="lt"/>
        </w:rPr>
        <w:t xml:space="preserve"> </w:t>
      </w:r>
    </w:p>
    <w:p w14:paraId="59CACD6E" w14:textId="7118430B" w:rsidR="2C13C8E2" w:rsidRDefault="2C13C8E2"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Šios dalies tikslas – užtikrinti, kad NSKK konsultantai, dirbantys su testu, būtų tinkamai pasirengę, turėtų reikiamų žinių ir įgūdžių, tam, kad </w:t>
      </w:r>
      <w:proofErr w:type="spellStart"/>
      <w:r w:rsidRPr="0104CCCA">
        <w:rPr>
          <w:rFonts w:asciiTheme="majorHAnsi" w:eastAsiaTheme="majorEastAsia" w:hAnsiTheme="majorHAnsi" w:cstheme="majorBidi"/>
          <w:sz w:val="24"/>
          <w:szCs w:val="24"/>
          <w:lang w:val="lt"/>
        </w:rPr>
        <w:t>kad</w:t>
      </w:r>
      <w:proofErr w:type="spellEnd"/>
      <w:r w:rsidRPr="0104CCCA">
        <w:rPr>
          <w:rFonts w:asciiTheme="majorHAnsi" w:eastAsiaTheme="majorEastAsia" w:hAnsiTheme="majorHAnsi" w:cstheme="majorBidi"/>
          <w:sz w:val="24"/>
          <w:szCs w:val="24"/>
          <w:lang w:val="lt"/>
        </w:rPr>
        <w:t xml:space="preserve"> gebėtų profesionaliai analizuoti testo rezultatus ir pateikti klientui kokybiškas įžvalgas bei rekomendacijas.</w:t>
      </w:r>
    </w:p>
    <w:p w14:paraId="45523FC7" w14:textId="0D54CC7F" w:rsidR="2C13C8E2" w:rsidRDefault="2C13C8E2" w:rsidP="00602234">
      <w:pPr>
        <w:spacing w:line="257" w:lineRule="auto"/>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lastRenderedPageBreak/>
        <w:t>NSKK konsultantų apmokymai</w:t>
      </w:r>
    </w:p>
    <w:p w14:paraId="4B4F86D6" w14:textId="5ACBA0E5" w:rsidR="2C13C8E2" w:rsidRDefault="2C13C8E2"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Mokymų tikslas – užtikrinti, kad NSKK konsultantai būtų pasirengę profesionaliai naudotis testu, tiksliai interpretuoti rezultatus ir suteikti klientams kokybiškas įžvalgas bei rekomendacijas.</w:t>
      </w:r>
    </w:p>
    <w:p w14:paraId="0953404A" w14:textId="08535BAA" w:rsidR="2C13C8E2" w:rsidRDefault="2C13C8E2"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Testo tiekėjas privalo suteikti konsultantams išsamius mokymus, apimančius testo metodologiją, praktinį naudojimą, administravimą ir rezultatų interpretaciją. Mokymuose NSKK konsultantai turi įgyti įgūdžių, leidžiančių savarankiškai naudotis testu ir tiksliai analizuoti rezultatus, kad klientams galėtų būtų teikiamos vertingos karjeros įžvalgos.</w:t>
      </w:r>
    </w:p>
    <w:p w14:paraId="3BB0AC21" w14:textId="5E838DDD" w:rsidR="2C13C8E2" w:rsidRDefault="2C13C8E2"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tbl>
      <w:tblPr>
        <w:tblStyle w:val="Grigliatabella"/>
        <w:tblW w:w="0" w:type="auto"/>
        <w:tblLayout w:type="fixed"/>
        <w:tblLook w:val="04A0" w:firstRow="1" w:lastRow="0" w:firstColumn="1" w:lastColumn="0" w:noHBand="0" w:noVBand="1"/>
      </w:tblPr>
      <w:tblGrid>
        <w:gridCol w:w="2547"/>
        <w:gridCol w:w="6803"/>
      </w:tblGrid>
      <w:tr w:rsidR="39B4DEC5" w:rsidRPr="00193A14" w14:paraId="103F072D" w14:textId="77777777" w:rsidTr="0104CCCA">
        <w:trPr>
          <w:trHeight w:val="300"/>
        </w:trPr>
        <w:tc>
          <w:tcPr>
            <w:tcW w:w="2547" w:type="dxa"/>
            <w:tcBorders>
              <w:top w:val="nil"/>
              <w:left w:val="nil"/>
              <w:bottom w:val="single" w:sz="8" w:space="0" w:color="auto"/>
              <w:right w:val="single" w:sz="8" w:space="0" w:color="auto"/>
            </w:tcBorders>
            <w:tcMar>
              <w:left w:w="108" w:type="dxa"/>
              <w:right w:w="108" w:type="dxa"/>
            </w:tcMar>
          </w:tcPr>
          <w:p w14:paraId="3FB0D123" w14:textId="47C13514"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Mokymų formatas</w:t>
            </w:r>
          </w:p>
        </w:tc>
        <w:tc>
          <w:tcPr>
            <w:tcW w:w="6803" w:type="dxa"/>
            <w:tcBorders>
              <w:top w:val="nil"/>
              <w:left w:val="single" w:sz="8" w:space="0" w:color="auto"/>
              <w:bottom w:val="single" w:sz="8" w:space="0" w:color="auto"/>
              <w:right w:val="nil"/>
            </w:tcBorders>
            <w:tcMar>
              <w:left w:w="108" w:type="dxa"/>
              <w:right w:w="108" w:type="dxa"/>
            </w:tcMar>
          </w:tcPr>
          <w:p w14:paraId="554B5F32" w14:textId="6D0C52A9"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Mokymai turi būti organizuojami kontaktiniu būdu, suteikiant konsultantams galimybę tiesiogiai mokytis ir giliau suprasti testo metodologiją bei rezultatų analizę. Baigus mokymus, kiekvienam dalyviui turi būti suteikiamas kvalifikacinis pažymėjimas, patvirtinantis, kad jis pasirengęs dirbti su testu.</w:t>
            </w:r>
          </w:p>
        </w:tc>
      </w:tr>
      <w:tr w:rsidR="39B4DEC5" w:rsidRPr="00193A14" w14:paraId="4026951D" w14:textId="77777777" w:rsidTr="0104CCCA">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0F4D3FFB" w14:textId="1206DF5C"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Vaizdo įrašų bankas</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1B0BF958" w14:textId="1F2371EB"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Konsultantams turi būti paruošta ir suteikta galimybė naudotis  vaizdo mokymų banko, kuriame pateikiama struktūruota, aiški ir lengvai suprantama mokymo medžiaga. Šis turinys turi būti pritaikytas skirtingiems kompetencij</w:t>
            </w:r>
            <w:r w:rsidR="30FE75EC" w:rsidRPr="0104CCCA">
              <w:rPr>
                <w:rFonts w:asciiTheme="majorHAnsi" w:eastAsiaTheme="majorEastAsia" w:hAnsiTheme="majorHAnsi" w:cstheme="majorBidi"/>
                <w:sz w:val="24"/>
                <w:szCs w:val="24"/>
                <w:lang w:val="lt"/>
              </w:rPr>
              <w:t>ų</w:t>
            </w:r>
            <w:r w:rsidRPr="0104CCCA">
              <w:rPr>
                <w:rFonts w:asciiTheme="majorHAnsi" w:eastAsiaTheme="majorEastAsia" w:hAnsiTheme="majorHAnsi" w:cstheme="majorBidi"/>
                <w:sz w:val="24"/>
                <w:szCs w:val="24"/>
                <w:lang w:val="lt"/>
              </w:rPr>
              <w:t xml:space="preserve"> lygiams – tiek pradedantiesiems, tiek pažengusiems. Vaizdo medžiaga turi būti parengta taip, kad konsultantai galėtų bet kada ją peržiūrėti ir lengvai įsisavinti turinį.</w:t>
            </w:r>
          </w:p>
        </w:tc>
      </w:tr>
      <w:tr w:rsidR="39B4DEC5" w:rsidRPr="00193A14" w14:paraId="07A7A7B0" w14:textId="77777777" w:rsidTr="0104CCCA">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37D244B4" w14:textId="041CC76E"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Pasitenkinimo vertinimas</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0AD31720" w14:textId="6427E4C9"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Mokymai turi būti laikomi atliktais tik tada, kai bent 90% dalyvių teigiamai įvertina mokymų kokybę. Taip užtikrinamas aukštas mokymų lygis ir jų atitikimas konsultantų lūkesčiams</w:t>
            </w:r>
          </w:p>
        </w:tc>
      </w:tr>
      <w:tr w:rsidR="39B4DEC5" w:rsidRPr="00193A14" w14:paraId="7B453C79" w14:textId="77777777" w:rsidTr="0104CCCA">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05AA9AB8" w14:textId="3DCA0789"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Reguliarūs atnaujinimai</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541EC2F2" w14:textId="311BD6B6" w:rsidR="39B4DEC5" w:rsidRPr="00602234" w:rsidRDefault="73F21B28" w:rsidP="00602234">
            <w:pPr>
              <w:jc w:val="both"/>
              <w:rPr>
                <w:lang w:val="lt"/>
              </w:rPr>
            </w:pPr>
            <w:r w:rsidRPr="0104CCCA">
              <w:rPr>
                <w:rFonts w:ascii="Calibri Light" w:eastAsia="Calibri Light" w:hAnsi="Calibri Light" w:cs="Calibri Light"/>
                <w:sz w:val="24"/>
                <w:szCs w:val="24"/>
                <w:lang w:val="lt"/>
              </w:rPr>
              <w:t>Tiekėjas įsipareigoja reguliariai atnaujinti ir papildyti vaizdo mokymų banką, kad konsultantai visuomet turėtų prieigą prie naujausios informacijos, kai testo naudojimo ar pateikimo procese atsiranda naujovių.</w:t>
            </w:r>
          </w:p>
        </w:tc>
      </w:tr>
      <w:tr w:rsidR="39B4DEC5" w:rsidRPr="00193A14" w14:paraId="0D4CDCE4" w14:textId="77777777" w:rsidTr="0104CCCA">
        <w:trPr>
          <w:trHeight w:val="300"/>
        </w:trPr>
        <w:tc>
          <w:tcPr>
            <w:tcW w:w="2547" w:type="dxa"/>
            <w:tcBorders>
              <w:top w:val="single" w:sz="8" w:space="0" w:color="auto"/>
              <w:left w:val="nil"/>
              <w:bottom w:val="nil"/>
              <w:right w:val="single" w:sz="8" w:space="0" w:color="auto"/>
            </w:tcBorders>
            <w:tcMar>
              <w:left w:w="108" w:type="dxa"/>
              <w:right w:w="108" w:type="dxa"/>
            </w:tcMar>
          </w:tcPr>
          <w:p w14:paraId="7D0C1910" w14:textId="66E9700D"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b/>
                <w:bCs/>
                <w:sz w:val="24"/>
                <w:szCs w:val="24"/>
                <w:lang w:val="lt"/>
              </w:rPr>
              <w:t>Apmokymo prieinamumas naujiems konsultantams</w:t>
            </w:r>
            <w:r w:rsidRPr="0104CCCA">
              <w:rPr>
                <w:rFonts w:asciiTheme="majorHAnsi" w:eastAsiaTheme="majorEastAsia" w:hAnsiTheme="majorHAnsi" w:cstheme="majorBidi"/>
                <w:sz w:val="24"/>
                <w:szCs w:val="24"/>
                <w:lang w:val="lt"/>
              </w:rPr>
              <w:t>:</w:t>
            </w:r>
          </w:p>
        </w:tc>
        <w:tc>
          <w:tcPr>
            <w:tcW w:w="6803" w:type="dxa"/>
            <w:tcBorders>
              <w:top w:val="single" w:sz="8" w:space="0" w:color="auto"/>
              <w:left w:val="single" w:sz="8" w:space="0" w:color="auto"/>
              <w:bottom w:val="nil"/>
              <w:right w:val="nil"/>
            </w:tcBorders>
            <w:tcMar>
              <w:left w:w="108" w:type="dxa"/>
              <w:right w:w="108" w:type="dxa"/>
            </w:tcMar>
          </w:tcPr>
          <w:p w14:paraId="63AE9BD0" w14:textId="4BF7D092" w:rsidR="39B4DEC5" w:rsidRDefault="0EB58622" w:rsidP="00602234">
            <w:pPr>
              <w:spacing w:after="160"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Tiekėjas turi užtikrinti, kad nauji konsultantai galėtų greitai ir efektyviai perprasti testo metodiką, praktinį jo naudojimą ir rezultatų interpretaciją. Tuo tikslų tiekėjas turi sukurti nuotolinio mokymo programą arba suteikti prieigą prie esamo mokymų vaizdo įrašų banko, kad nauji konsultantai galėtų mokytis jiems patogiu metu bei jiems patogiu tempu.</w:t>
            </w:r>
          </w:p>
          <w:p w14:paraId="6B8F9AF0" w14:textId="209B9EC4"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Taip pat, svarbu, jog tiekėjas organizuotų reguliarius apmokymų ciklus (ne rečiau kaip 1 kartą per 12 mėn. ), kuriuose galėtų dalyvauti naujai prisijungę konsultantai. Šie mokymai turi atitikti visus esamus kokybės standartus ir užtikrinti, kad konsultantai įgytų reikiamą kvalifikaciją darbui su testu</w:t>
            </w:r>
          </w:p>
        </w:tc>
      </w:tr>
    </w:tbl>
    <w:p w14:paraId="0AB2C950" w14:textId="6E0E22B8" w:rsidR="2C13C8E2" w:rsidRDefault="2C13C8E2"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p w14:paraId="0D08A550" w14:textId="19288FAE" w:rsidR="2C13C8E2" w:rsidRDefault="2C13C8E2"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b/>
          <w:bCs/>
          <w:sz w:val="24"/>
          <w:szCs w:val="24"/>
          <w:lang w:val="lt"/>
        </w:rPr>
        <w:lastRenderedPageBreak/>
        <w:t>NSKK konsultantų kvalifikaciniai reikalavimai</w:t>
      </w:r>
      <w:r w:rsidRPr="0104CCCA">
        <w:rPr>
          <w:rFonts w:asciiTheme="majorHAnsi" w:eastAsiaTheme="majorEastAsia" w:hAnsiTheme="majorHAnsi" w:cstheme="majorBidi"/>
          <w:sz w:val="24"/>
          <w:szCs w:val="24"/>
          <w:lang w:val="lt"/>
        </w:rPr>
        <w:t xml:space="preserve">. </w:t>
      </w:r>
    </w:p>
    <w:p w14:paraId="2F76F183" w14:textId="3FEA0FE7" w:rsidR="2C13C8E2" w:rsidRDefault="2C13C8E2"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Tikslas – užtikrinti, kad NSKK specialistams, teikiantiems giluminio suaugusiųjų karjeros konsultavimo paslaugą, keliami reikalavimai būtų pakankami profesionaliai dirbti su tiekėjo siūlomu testu. Tiekėjas turi patvirtinti ir užtikrinti, kad šios kompetencijos garantuoja kokybišką testo rezultatų interpretaciją ir klientams teikiamas įžvalgas. </w:t>
      </w:r>
    </w:p>
    <w:p w14:paraId="6CD44BEE" w14:textId="06A59D97" w:rsidR="2C13C8E2" w:rsidRDefault="2C13C8E2"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p w14:paraId="0769CE06" w14:textId="5E4FF35B" w:rsidR="2C13C8E2" w:rsidRDefault="2C13C8E2" w:rsidP="00602234">
      <w:pPr>
        <w:spacing w:line="257" w:lineRule="auto"/>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Konsultacinis palaikymas ir darbo vadovas</w:t>
      </w:r>
    </w:p>
    <w:p w14:paraId="56A86264" w14:textId="49DA53E6" w:rsidR="2C13C8E2" w:rsidRDefault="2C13C8E2"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Tikslas – suteikti konsultantams visą reikalingą pagalbą ir išsamias gaires, kad darbas su testu būtų sklandus ir kokybiškas. </w:t>
      </w:r>
    </w:p>
    <w:p w14:paraId="0AACBDF1" w14:textId="0FEDC449" w:rsidR="2C13C8E2" w:rsidRDefault="2C13C8E2"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tbl>
      <w:tblPr>
        <w:tblStyle w:val="Grigliatabella"/>
        <w:tblW w:w="0" w:type="auto"/>
        <w:tblLayout w:type="fixed"/>
        <w:tblLook w:val="04A0" w:firstRow="1" w:lastRow="0" w:firstColumn="1" w:lastColumn="0" w:noHBand="0" w:noVBand="1"/>
      </w:tblPr>
      <w:tblGrid>
        <w:gridCol w:w="2547"/>
        <w:gridCol w:w="6803"/>
      </w:tblGrid>
      <w:tr w:rsidR="39B4DEC5" w:rsidRPr="00193A14" w14:paraId="39BD729B" w14:textId="77777777" w:rsidTr="0104CCCA">
        <w:trPr>
          <w:trHeight w:val="300"/>
        </w:trPr>
        <w:tc>
          <w:tcPr>
            <w:tcW w:w="2547" w:type="dxa"/>
            <w:tcBorders>
              <w:top w:val="nil"/>
              <w:left w:val="nil"/>
              <w:bottom w:val="single" w:sz="8" w:space="0" w:color="auto"/>
              <w:right w:val="single" w:sz="8" w:space="0" w:color="auto"/>
            </w:tcBorders>
            <w:tcMar>
              <w:left w:w="108" w:type="dxa"/>
              <w:right w:w="108" w:type="dxa"/>
            </w:tcMar>
          </w:tcPr>
          <w:p w14:paraId="160136B4" w14:textId="5F3CC8CF"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Pagalba testo interpretacijai</w:t>
            </w:r>
          </w:p>
        </w:tc>
        <w:tc>
          <w:tcPr>
            <w:tcW w:w="6803" w:type="dxa"/>
            <w:tcBorders>
              <w:top w:val="nil"/>
              <w:left w:val="single" w:sz="8" w:space="0" w:color="auto"/>
              <w:bottom w:val="single" w:sz="8" w:space="0" w:color="auto"/>
              <w:right w:val="nil"/>
            </w:tcBorders>
            <w:tcMar>
              <w:left w:w="108" w:type="dxa"/>
              <w:right w:w="108" w:type="dxa"/>
            </w:tcMar>
          </w:tcPr>
          <w:p w14:paraId="2B7D94F2" w14:textId="4512A8BC"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Konsultantai turi turėti galimybę kreiptis dėl papildomos pagalbos į testo kūrėjus arba licencijuotus specialistus, jei testo rezultatų interpretavimas, administravimas ar kiti aspektai keltų iššūkių ir klausimų. Ši konsultacija turėtų būti prieinama įvairiais kanalais (pvz., telefonu, el. paštu ar internetu), užtikrinant, kad atsakymas bus pateiktas per 24–48 valandas nuo užklausos pateikimo.</w:t>
            </w:r>
          </w:p>
        </w:tc>
      </w:tr>
      <w:tr w:rsidR="39B4DEC5" w:rsidRPr="00193A14" w14:paraId="66C6EFA1" w14:textId="77777777" w:rsidTr="0104CCCA">
        <w:trPr>
          <w:trHeight w:val="300"/>
        </w:trPr>
        <w:tc>
          <w:tcPr>
            <w:tcW w:w="2547" w:type="dxa"/>
            <w:tcBorders>
              <w:top w:val="single" w:sz="8" w:space="0" w:color="auto"/>
              <w:left w:val="nil"/>
              <w:bottom w:val="nil"/>
              <w:right w:val="single" w:sz="8" w:space="0" w:color="auto"/>
            </w:tcBorders>
            <w:tcMar>
              <w:left w:w="108" w:type="dxa"/>
              <w:right w:w="108" w:type="dxa"/>
            </w:tcMar>
          </w:tcPr>
          <w:p w14:paraId="5014CDF6" w14:textId="0507BC94" w:rsidR="39B4DEC5" w:rsidRDefault="64A82ABB"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Testo konsultavimo darbo vadovas</w:t>
            </w:r>
          </w:p>
        </w:tc>
        <w:tc>
          <w:tcPr>
            <w:tcW w:w="6803" w:type="dxa"/>
            <w:tcBorders>
              <w:top w:val="single" w:sz="8" w:space="0" w:color="auto"/>
              <w:left w:val="single" w:sz="8" w:space="0" w:color="auto"/>
              <w:bottom w:val="nil"/>
              <w:right w:val="nil"/>
            </w:tcBorders>
            <w:tcMar>
              <w:left w:w="108" w:type="dxa"/>
              <w:right w:w="108" w:type="dxa"/>
            </w:tcMar>
          </w:tcPr>
          <w:p w14:paraId="1227C70E" w14:textId="1CC66CF2" w:rsidR="39B4DEC5" w:rsidRDefault="64A82ABB"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Tiekėjas privalo pateikti išsamų darbo vadovų (kitaip dar vadinamą darbo instrukcijų gidą), kuriame būtų aiškiai aprašyti visi darbo su testu žingsniai – nuo administravimo, rezultatų analizės iki konsultavimo proceso. Gidas turi suteikti nuoseklias instrukcijas ir pateikti pavyzdžius, kurie padės konsultantams pasitikėti savo žiniomis ir žinoti, kada reikėtų kreiptis dėl papildomos konsultacinės pagalbos.</w:t>
            </w:r>
          </w:p>
        </w:tc>
      </w:tr>
    </w:tbl>
    <w:p w14:paraId="6B9F8EBA" w14:textId="34EDCC7E" w:rsidR="2C13C8E2" w:rsidRDefault="2C13C8E2"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 </w:t>
      </w:r>
    </w:p>
    <w:p w14:paraId="4E5EB86F" w14:textId="2A27007E" w:rsidR="2C13C8E2" w:rsidRDefault="2C13C8E2" w:rsidP="00602234">
      <w:pPr>
        <w:spacing w:line="257" w:lineRule="auto"/>
        <w:ind w:firstLine="720"/>
        <w:jc w:val="both"/>
        <w:rPr>
          <w:rFonts w:asciiTheme="majorHAnsi" w:eastAsiaTheme="majorEastAsia" w:hAnsiTheme="majorHAnsi" w:cstheme="majorBidi"/>
          <w:sz w:val="24"/>
          <w:szCs w:val="24"/>
          <w:lang w:val="pt-BR"/>
        </w:rPr>
      </w:pPr>
      <w:r w:rsidRPr="0104CCCA">
        <w:rPr>
          <w:rFonts w:asciiTheme="majorHAnsi" w:eastAsiaTheme="majorEastAsia" w:hAnsiTheme="majorHAnsi" w:cstheme="majorBidi"/>
          <w:sz w:val="24"/>
          <w:szCs w:val="24"/>
          <w:lang w:val="pt-BR"/>
        </w:rPr>
        <w:t xml:space="preserve"> </w:t>
      </w:r>
    </w:p>
    <w:p w14:paraId="18E0E429" w14:textId="51A67116" w:rsidR="2C13C8E2" w:rsidRDefault="2C13C8E2">
      <w:pPr>
        <w:pStyle w:val="Paragrafoelenco"/>
        <w:numPr>
          <w:ilvl w:val="0"/>
          <w:numId w:val="1"/>
        </w:numPr>
        <w:spacing w:after="0" w:line="257" w:lineRule="auto"/>
        <w:jc w:val="both"/>
        <w:rPr>
          <w:rFonts w:asciiTheme="majorHAnsi" w:eastAsiaTheme="majorEastAsia" w:hAnsiTheme="majorHAnsi" w:cstheme="majorBidi"/>
          <w:b/>
          <w:bCs/>
          <w:color w:val="2F5597"/>
          <w:sz w:val="24"/>
          <w:szCs w:val="24"/>
          <w:lang w:val="lt"/>
        </w:rPr>
      </w:pPr>
      <w:r w:rsidRPr="0104CCCA">
        <w:rPr>
          <w:rFonts w:asciiTheme="majorHAnsi" w:eastAsiaTheme="majorEastAsia" w:hAnsiTheme="majorHAnsi" w:cstheme="majorBidi"/>
          <w:b/>
          <w:bCs/>
          <w:color w:val="2F5597"/>
          <w:sz w:val="24"/>
          <w:szCs w:val="24"/>
          <w:lang w:val="lt"/>
        </w:rPr>
        <w:t>Nefunkciniai ir techniniai testo reikalavimai</w:t>
      </w:r>
    </w:p>
    <w:p w14:paraId="5F339FF0" w14:textId="57FC3C16" w:rsidR="2AC41E78" w:rsidRDefault="2AC41E78" w:rsidP="00602234">
      <w:pPr>
        <w:pStyle w:val="Paragrafoelenco"/>
        <w:spacing w:after="0" w:line="257" w:lineRule="auto"/>
        <w:jc w:val="both"/>
        <w:rPr>
          <w:rFonts w:asciiTheme="majorHAnsi" w:eastAsiaTheme="majorEastAsia" w:hAnsiTheme="majorHAnsi" w:cstheme="majorBidi"/>
          <w:b/>
          <w:bCs/>
          <w:color w:val="2F5597"/>
          <w:sz w:val="24"/>
          <w:szCs w:val="24"/>
          <w:lang w:val="lt"/>
        </w:rPr>
      </w:pPr>
    </w:p>
    <w:p w14:paraId="72486E83" w14:textId="368C0284" w:rsidR="2C13C8E2" w:rsidRDefault="2C13C8E2" w:rsidP="00602234">
      <w:pPr>
        <w:spacing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Šios dalies tikslas – nustatyti sistemos kokybės ir naudojimo reikalavimus, kurie užtikrintų patogią, efektyvią ir saugią patirtį visiems vartotojams ir administratoriams. Nefunkciniai reikalavimai padeda apibrėžti, kaip sistema turėtų veikti, kad maksimaliai atitiktų vartotojų lūkesčius dėl patikimumo, prieinamumo ir paprastumo. Šioje dalyje pateikti reikalavimai ne tik padės sistemai sklandžiai atlikti pagrindines funkcijas, bet ir užtikrins patogumą bei saugumą, reikalingą NSKK veiklai.</w:t>
      </w:r>
    </w:p>
    <w:p w14:paraId="3A7EB1CC" w14:textId="0E8888AB" w:rsidR="2C13C8E2" w:rsidRDefault="2C13C8E2" w:rsidP="00602234">
      <w:pPr>
        <w:spacing w:after="0" w:line="257" w:lineRule="auto"/>
        <w:jc w:val="both"/>
        <w:rPr>
          <w:rFonts w:asciiTheme="majorHAnsi" w:eastAsiaTheme="majorEastAsia" w:hAnsiTheme="majorHAnsi" w:cstheme="majorBidi"/>
          <w:b/>
          <w:bCs/>
          <w:color w:val="2F5597"/>
          <w:sz w:val="24"/>
          <w:szCs w:val="24"/>
          <w:lang w:val="lt"/>
        </w:rPr>
      </w:pPr>
      <w:r w:rsidRPr="0104CCCA">
        <w:rPr>
          <w:rFonts w:asciiTheme="majorHAnsi" w:eastAsiaTheme="majorEastAsia" w:hAnsiTheme="majorHAnsi" w:cstheme="majorBidi"/>
          <w:b/>
          <w:bCs/>
          <w:color w:val="2F5597"/>
          <w:sz w:val="24"/>
          <w:szCs w:val="24"/>
          <w:lang w:val="lt"/>
        </w:rPr>
        <w:t xml:space="preserve"> </w:t>
      </w:r>
    </w:p>
    <w:p w14:paraId="50D0BD3A" w14:textId="36BD89C2" w:rsidR="2C13C8E2" w:rsidRDefault="2C13C8E2" w:rsidP="00602234">
      <w:pPr>
        <w:spacing w:after="0" w:line="257" w:lineRule="auto"/>
        <w:jc w:val="both"/>
        <w:rPr>
          <w:rFonts w:asciiTheme="majorHAnsi" w:eastAsiaTheme="majorEastAsia" w:hAnsiTheme="majorHAnsi" w:cstheme="majorBidi"/>
          <w:b/>
          <w:bCs/>
          <w:color w:val="2F5597"/>
          <w:sz w:val="24"/>
          <w:szCs w:val="24"/>
          <w:lang w:val="lt"/>
        </w:rPr>
      </w:pPr>
      <w:r w:rsidRPr="0104CCCA">
        <w:rPr>
          <w:rFonts w:asciiTheme="majorHAnsi" w:eastAsiaTheme="majorEastAsia" w:hAnsiTheme="majorHAnsi" w:cstheme="majorBidi"/>
          <w:b/>
          <w:bCs/>
          <w:color w:val="2F5597"/>
          <w:sz w:val="24"/>
          <w:szCs w:val="24"/>
          <w:lang w:val="lt"/>
        </w:rPr>
        <w:t xml:space="preserve"> </w:t>
      </w:r>
    </w:p>
    <w:tbl>
      <w:tblPr>
        <w:tblStyle w:val="Grigliatabella"/>
        <w:tblW w:w="0" w:type="auto"/>
        <w:tblLayout w:type="fixed"/>
        <w:tblLook w:val="04A0" w:firstRow="1" w:lastRow="0" w:firstColumn="1" w:lastColumn="0" w:noHBand="0" w:noVBand="1"/>
      </w:tblPr>
      <w:tblGrid>
        <w:gridCol w:w="2547"/>
        <w:gridCol w:w="6803"/>
      </w:tblGrid>
      <w:tr w:rsidR="39B4DEC5" w:rsidRPr="00193A14" w14:paraId="7C6C32AA" w14:textId="77777777" w:rsidTr="0BF98851">
        <w:trPr>
          <w:trHeight w:val="300"/>
        </w:trPr>
        <w:tc>
          <w:tcPr>
            <w:tcW w:w="2547" w:type="dxa"/>
            <w:tcBorders>
              <w:top w:val="nil"/>
              <w:left w:val="nil"/>
              <w:bottom w:val="single" w:sz="8" w:space="0" w:color="auto"/>
              <w:right w:val="single" w:sz="8" w:space="0" w:color="auto"/>
            </w:tcBorders>
            <w:tcMar>
              <w:left w:w="108" w:type="dxa"/>
              <w:right w:w="108" w:type="dxa"/>
            </w:tcMar>
          </w:tcPr>
          <w:p w14:paraId="0C99668C" w14:textId="10271F25"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lastRenderedPageBreak/>
              <w:t>Našumas ir prieinamumas</w:t>
            </w:r>
          </w:p>
        </w:tc>
        <w:tc>
          <w:tcPr>
            <w:tcW w:w="6803" w:type="dxa"/>
            <w:tcBorders>
              <w:top w:val="nil"/>
              <w:left w:val="single" w:sz="8" w:space="0" w:color="auto"/>
              <w:bottom w:val="single" w:sz="8" w:space="0" w:color="auto"/>
              <w:right w:val="nil"/>
            </w:tcBorders>
            <w:tcMar>
              <w:left w:w="108" w:type="dxa"/>
              <w:right w:w="108" w:type="dxa"/>
            </w:tcMar>
          </w:tcPr>
          <w:p w14:paraId="44F8278C" w14:textId="3430D5F1"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Našumo ir prieinamumo reikalavimai užtikrina, kad sistema būtų sklandi, patikima ir visada pasiekiama, tam, kad  jos vartotojai galėtų </w:t>
            </w:r>
            <w:proofErr w:type="spellStart"/>
            <w:r w:rsidRPr="0104CCCA">
              <w:rPr>
                <w:rFonts w:asciiTheme="majorHAnsi" w:eastAsiaTheme="majorEastAsia" w:hAnsiTheme="majorHAnsi" w:cstheme="majorBidi"/>
                <w:sz w:val="24"/>
                <w:szCs w:val="24"/>
                <w:lang w:val="lt"/>
              </w:rPr>
              <w:t>konfortiškai</w:t>
            </w:r>
            <w:proofErr w:type="spellEnd"/>
            <w:r w:rsidRPr="0104CCCA">
              <w:rPr>
                <w:rFonts w:asciiTheme="majorHAnsi" w:eastAsiaTheme="majorEastAsia" w:hAnsiTheme="majorHAnsi" w:cstheme="majorBidi"/>
                <w:sz w:val="24"/>
                <w:szCs w:val="24"/>
                <w:lang w:val="lt"/>
              </w:rPr>
              <w:t xml:space="preserve"> naudotis ja.  </w:t>
            </w:r>
          </w:p>
          <w:p w14:paraId="1AE7E7FD" w14:textId="35874761"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Atsako laikas ir veikimo greitis: </w:t>
            </w:r>
            <w:r w:rsidRPr="0104CCCA">
              <w:rPr>
                <w:rFonts w:asciiTheme="majorHAnsi" w:eastAsiaTheme="majorEastAsia" w:hAnsiTheme="majorHAnsi" w:cstheme="majorBidi"/>
                <w:sz w:val="24"/>
                <w:szCs w:val="24"/>
                <w:lang w:val="lt"/>
              </w:rPr>
              <w:t xml:space="preserve">Sistema turi veikti taip, kad kiekvienas vartotojo veiksmas galėtų būti atliekamas greitai ir sklandžiai. Tai reiškia, kad puslapių atidarymas, duomenų peržiūra ar bet kokie kiti veiksmai </w:t>
            </w:r>
            <w:r w:rsidR="12C2B269" w:rsidRPr="0104CCCA">
              <w:rPr>
                <w:rFonts w:asciiTheme="majorHAnsi" w:eastAsiaTheme="majorEastAsia" w:hAnsiTheme="majorHAnsi" w:cstheme="majorBidi"/>
                <w:sz w:val="24"/>
                <w:szCs w:val="24"/>
                <w:lang w:val="lt"/>
              </w:rPr>
              <w:t>vyktų greitu tolygiu greičiu</w:t>
            </w:r>
            <w:r w:rsidRPr="0104CCCA">
              <w:rPr>
                <w:rFonts w:asciiTheme="majorHAnsi" w:eastAsiaTheme="majorEastAsia" w:hAnsiTheme="majorHAnsi" w:cstheme="majorBidi"/>
                <w:sz w:val="24"/>
                <w:szCs w:val="24"/>
                <w:lang w:val="lt"/>
              </w:rPr>
              <w:t>. Greitas atsakas leidžia naudotojams dirbti be trukdžių ir patogiai atlikti užduotis.</w:t>
            </w:r>
            <w:r w:rsidRPr="0104CCCA">
              <w:rPr>
                <w:rFonts w:asciiTheme="majorHAnsi" w:eastAsiaTheme="majorEastAsia" w:hAnsiTheme="majorHAnsi" w:cstheme="majorBidi"/>
                <w:b/>
                <w:bCs/>
                <w:sz w:val="24"/>
                <w:szCs w:val="24"/>
                <w:lang w:val="lt"/>
              </w:rPr>
              <w:t xml:space="preserve"> </w:t>
            </w:r>
          </w:p>
          <w:p w14:paraId="283CEDAE" w14:textId="45D2F778"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b/>
                <w:bCs/>
                <w:sz w:val="24"/>
                <w:szCs w:val="24"/>
                <w:lang w:val="lt"/>
              </w:rPr>
              <w:t xml:space="preserve">Veikimo stabilumas: </w:t>
            </w:r>
            <w:r w:rsidRPr="0104CCCA">
              <w:rPr>
                <w:rFonts w:asciiTheme="majorHAnsi" w:eastAsiaTheme="majorEastAsia" w:hAnsiTheme="majorHAnsi" w:cstheme="majorBidi"/>
                <w:sz w:val="24"/>
                <w:szCs w:val="24"/>
                <w:lang w:val="lt"/>
              </w:rPr>
              <w:t>Sistema turi veikti patikimai net tada, kai ja naudojasi daug vartotojų vienu metu. Ji turi užtikrinti stabilų darbą be trikdžių, kad vartotojai galėtų jaustis užtikrinti dėl sistemos patikimumo ir ramiai fokusuoti dėmesį į testo atlikimą.</w:t>
            </w:r>
          </w:p>
          <w:p w14:paraId="3E7F5BDE" w14:textId="2742CAD7" w:rsidR="39B4DEC5" w:rsidRDefault="0EB58622" w:rsidP="00602234">
            <w:pPr>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b/>
                <w:bCs/>
                <w:sz w:val="24"/>
                <w:szCs w:val="24"/>
                <w:lang w:val="lt"/>
              </w:rPr>
              <w:t>Prieinamumas visą parą (24/7)</w:t>
            </w:r>
            <w:r w:rsidRPr="0104CCCA">
              <w:rPr>
                <w:rFonts w:asciiTheme="majorHAnsi" w:eastAsiaTheme="majorEastAsia" w:hAnsiTheme="majorHAnsi" w:cstheme="majorBidi"/>
                <w:sz w:val="24"/>
                <w:szCs w:val="24"/>
                <w:lang w:val="lt"/>
              </w:rPr>
              <w:t>: Sistema turi būti prieinama visą parą, kad vartotojai galėtų prisijungti ir atlikti testą bet kuriuo jiems patogiu metu. Šis nuolatinis prieinamumas leidžia vartotojams dirbti lanksčiai, nepriklausomai nuo konkretaus darbo laiko.</w:t>
            </w:r>
          </w:p>
        </w:tc>
      </w:tr>
      <w:tr w:rsidR="39B4DEC5" w:rsidRPr="00193A14" w14:paraId="675E195B" w14:textId="77777777" w:rsidTr="0BF98851">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7D980F2D" w14:textId="0066887F"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Naudotojo sąsajos patogumas</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375F0BBE" w14:textId="589BB65E" w:rsidR="39B4DEC5" w:rsidRDefault="0EB58622" w:rsidP="00602234">
            <w:pPr>
              <w:spacing w:after="160"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Sistemos sąsaja turi būti patogi ir aiški visiems naudotojams – konsultantams, administratoriams ir klientams. Testo atlikimo procesas turėtų būti struktūruotas taip, kad vartotojai galėtų lengvai suprasti ir atlikti visus žingsnius, judėdami intuityviai ir be papildomų pastangų. Tai padės užtikrinti, kad naudotojai jaustųsi užtikrintai ir patogiai, atlikdami savo užduotis.</w:t>
            </w:r>
          </w:p>
        </w:tc>
      </w:tr>
      <w:tr w:rsidR="39B4DEC5" w:rsidRPr="00193A14" w14:paraId="402F47B6" w14:textId="77777777" w:rsidTr="0BF98851">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649BCCBA" w14:textId="7C278F40"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Testo pildymo laikas</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153932CA" w14:textId="7696B404" w:rsidR="39B4DEC5" w:rsidRDefault="35FC33F6" w:rsidP="00602234">
            <w:pPr>
              <w:jc w:val="both"/>
              <w:rPr>
                <w:rFonts w:ascii="Calibri Light" w:eastAsia="Calibri Light" w:hAnsi="Calibri Light" w:cs="Calibri Light"/>
                <w:sz w:val="24"/>
                <w:szCs w:val="24"/>
                <w:lang w:val="lt"/>
              </w:rPr>
            </w:pPr>
            <w:r w:rsidRPr="0BF98851">
              <w:rPr>
                <w:rFonts w:ascii="Calibri Light" w:eastAsia="Calibri Light" w:hAnsi="Calibri Light" w:cs="Calibri Light"/>
                <w:sz w:val="24"/>
                <w:szCs w:val="24"/>
                <w:lang w:val="lt"/>
              </w:rPr>
              <w:t>Testas turi būti suprojektuotas taip, kad klientui jo pildymas užtruktų ne ilgiau kaip 30–45 minutes, užtikrinant patogumą ir išlaikant dėmesio koncentraciją.</w:t>
            </w:r>
          </w:p>
        </w:tc>
      </w:tr>
      <w:tr w:rsidR="39B4DEC5" w:rsidRPr="00193A14" w14:paraId="0F821252" w14:textId="77777777" w:rsidTr="0BF98851">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273B5920" w14:textId="3E80EFCF"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Administravimo paprastumas ir patogumas</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350D3D11" w14:textId="24BB398E" w:rsidR="39B4DEC5" w:rsidRDefault="0EB58622" w:rsidP="00602234">
            <w:pPr>
              <w:spacing w:after="160"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Testo sistema (platforma) turi būti paprasta ir aiški, kad administratoriai, vartotojai ir konsultantai galėtų lengvai atlikti kasdienes užduotis. Pagrindinės funkcijos turi būti patogiai pasiekiamos, o prireikus turi būti prieinama pagalba ir dokumentacija.</w:t>
            </w:r>
          </w:p>
          <w:p w14:paraId="446F8DCD" w14:textId="06C0B272"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 </w:t>
            </w:r>
          </w:p>
        </w:tc>
      </w:tr>
      <w:tr w:rsidR="39B4DEC5" w:rsidRPr="00193A14" w14:paraId="4AB8C20A" w14:textId="77777777" w:rsidTr="0BF98851">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76CD2479" w14:textId="6D8522F1" w:rsidR="39B4DEC5" w:rsidRDefault="0EB58622" w:rsidP="00602234">
            <w:pPr>
              <w:spacing w:after="160" w:line="257" w:lineRule="auto"/>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Saugumas ir duomenų apsauga</w:t>
            </w:r>
          </w:p>
          <w:p w14:paraId="7784D7F2" w14:textId="7CEC67F1"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 </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3FD212E1" w14:textId="09B70E0A" w:rsidR="39B4DEC5" w:rsidRDefault="0EB58622" w:rsidP="00602234">
            <w:pPr>
              <w:spacing w:after="160"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Sistema turi užtikrinti duomenų saugumą, šifruotą perdavimą ir prieigos kontrolę, atitinkančią GDPR ir kitus duomenų apsaugos reikalavimus, siekiant apsaugoti asmeninę informaciją ir privatumą.</w:t>
            </w:r>
          </w:p>
          <w:p w14:paraId="5DAD47E9" w14:textId="462D9CDE"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 </w:t>
            </w:r>
          </w:p>
        </w:tc>
      </w:tr>
      <w:tr w:rsidR="39B4DEC5" w:rsidRPr="00193A14" w14:paraId="1AA5D0C0" w14:textId="77777777" w:rsidTr="0BF98851">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16013BF9" w14:textId="431E3B0B" w:rsidR="39B4DEC5" w:rsidRDefault="0EB58622" w:rsidP="00602234">
            <w:pPr>
              <w:spacing w:after="160" w:line="257" w:lineRule="auto"/>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Palaikymas ir atnaujinimai</w:t>
            </w:r>
          </w:p>
          <w:p w14:paraId="122F2762" w14:textId="2D9F622F"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 </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7AA16B7B" w14:textId="03FA5216" w:rsidR="39B4DEC5" w:rsidRDefault="0EB58622" w:rsidP="00602234">
            <w:pPr>
              <w:spacing w:after="160"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Sistema turi užtikrinti galimybę visiems </w:t>
            </w:r>
            <w:proofErr w:type="spellStart"/>
            <w:r w:rsidRPr="0104CCCA">
              <w:rPr>
                <w:rFonts w:asciiTheme="majorHAnsi" w:eastAsiaTheme="majorEastAsia" w:hAnsiTheme="majorHAnsi" w:cstheme="majorBidi"/>
                <w:sz w:val="24"/>
                <w:szCs w:val="24"/>
                <w:lang w:val="lt"/>
              </w:rPr>
              <w:t>vartotojmams</w:t>
            </w:r>
            <w:proofErr w:type="spellEnd"/>
            <w:r w:rsidRPr="0104CCCA">
              <w:rPr>
                <w:rFonts w:asciiTheme="majorHAnsi" w:eastAsiaTheme="majorEastAsia" w:hAnsiTheme="majorHAnsi" w:cstheme="majorBidi"/>
                <w:sz w:val="24"/>
                <w:szCs w:val="24"/>
                <w:lang w:val="lt"/>
              </w:rPr>
              <w:t xml:space="preserve">  gauti techninę pagalbą ir būti reguliariai atnaujinama, kad išliktų stabili, saugi ir pritaikyta naujoms funkcijoms.</w:t>
            </w:r>
          </w:p>
          <w:p w14:paraId="66374BD8" w14:textId="2701B575"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 </w:t>
            </w:r>
          </w:p>
        </w:tc>
      </w:tr>
      <w:tr w:rsidR="39B4DEC5" w:rsidRPr="00193A14" w14:paraId="089ABDB1" w14:textId="77777777" w:rsidTr="0BF98851">
        <w:trPr>
          <w:trHeight w:val="300"/>
        </w:trPr>
        <w:tc>
          <w:tcPr>
            <w:tcW w:w="2547" w:type="dxa"/>
            <w:tcBorders>
              <w:top w:val="single" w:sz="8" w:space="0" w:color="auto"/>
              <w:left w:val="nil"/>
              <w:bottom w:val="nil"/>
              <w:right w:val="single" w:sz="8" w:space="0" w:color="auto"/>
            </w:tcBorders>
            <w:tcMar>
              <w:left w:w="108" w:type="dxa"/>
              <w:right w:w="108" w:type="dxa"/>
            </w:tcMar>
          </w:tcPr>
          <w:p w14:paraId="076528F3" w14:textId="6AEA122E" w:rsidR="39B4DEC5" w:rsidRDefault="0EB58622" w:rsidP="00602234">
            <w:pPr>
              <w:spacing w:after="160" w:line="257" w:lineRule="auto"/>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lastRenderedPageBreak/>
              <w:t>Suderinamumas</w:t>
            </w:r>
          </w:p>
          <w:p w14:paraId="66C53C70" w14:textId="05AB1423"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 </w:t>
            </w:r>
          </w:p>
        </w:tc>
        <w:tc>
          <w:tcPr>
            <w:tcW w:w="6803" w:type="dxa"/>
            <w:tcBorders>
              <w:top w:val="single" w:sz="8" w:space="0" w:color="auto"/>
              <w:left w:val="single" w:sz="8" w:space="0" w:color="auto"/>
              <w:bottom w:val="nil"/>
              <w:right w:val="nil"/>
            </w:tcBorders>
            <w:tcMar>
              <w:left w:w="108" w:type="dxa"/>
              <w:right w:w="108" w:type="dxa"/>
            </w:tcMar>
          </w:tcPr>
          <w:p w14:paraId="1ACFDCFB" w14:textId="3B52C117" w:rsidR="39B4DEC5" w:rsidRDefault="0EB58622" w:rsidP="00602234">
            <w:pPr>
              <w:spacing w:after="160" w:line="257" w:lineRule="auto"/>
              <w:jc w:val="both"/>
              <w:rPr>
                <w:rFonts w:asciiTheme="majorHAnsi" w:eastAsiaTheme="majorEastAsia" w:hAnsiTheme="majorHAnsi" w:cstheme="majorBidi"/>
                <w:sz w:val="24"/>
                <w:szCs w:val="24"/>
                <w:lang w:val="lt"/>
              </w:rPr>
            </w:pPr>
            <w:r w:rsidRPr="0104CCCA">
              <w:rPr>
                <w:rFonts w:asciiTheme="majorHAnsi" w:eastAsiaTheme="majorEastAsia" w:hAnsiTheme="majorHAnsi" w:cstheme="majorBidi"/>
                <w:sz w:val="24"/>
                <w:szCs w:val="24"/>
                <w:lang w:val="lt"/>
              </w:rPr>
              <w:t xml:space="preserve">Sistema turi veikti pagrindinėse operacinėse sistemose ir naršyklėse (pvz., Chrome, Firefox, Safari, </w:t>
            </w:r>
            <w:proofErr w:type="spellStart"/>
            <w:r w:rsidRPr="0104CCCA">
              <w:rPr>
                <w:rFonts w:asciiTheme="majorHAnsi" w:eastAsiaTheme="majorEastAsia" w:hAnsiTheme="majorHAnsi" w:cstheme="majorBidi"/>
                <w:sz w:val="24"/>
                <w:szCs w:val="24"/>
                <w:lang w:val="lt"/>
              </w:rPr>
              <w:t>Edge</w:t>
            </w:r>
            <w:proofErr w:type="spellEnd"/>
            <w:r w:rsidRPr="0104CCCA">
              <w:rPr>
                <w:rFonts w:asciiTheme="majorHAnsi" w:eastAsiaTheme="majorEastAsia" w:hAnsiTheme="majorHAnsi" w:cstheme="majorBidi"/>
                <w:sz w:val="24"/>
                <w:szCs w:val="24"/>
                <w:lang w:val="lt"/>
              </w:rPr>
              <w:t>) bei būti pritaikyta kompiuteriams, planšetėms ir mobiliesiems įrenginiams, kad vartotojai galėtų ja naudotis patogiai ir lanksčiai.</w:t>
            </w:r>
          </w:p>
          <w:p w14:paraId="592B540B" w14:textId="066A87B0" w:rsidR="39B4DEC5" w:rsidRDefault="0EB58622" w:rsidP="00602234">
            <w:pPr>
              <w:jc w:val="both"/>
              <w:rPr>
                <w:rFonts w:asciiTheme="majorHAnsi" w:eastAsiaTheme="majorEastAsia" w:hAnsiTheme="majorHAnsi" w:cstheme="majorBidi"/>
                <w:b/>
                <w:bCs/>
                <w:sz w:val="24"/>
                <w:szCs w:val="24"/>
                <w:lang w:val="lt"/>
              </w:rPr>
            </w:pPr>
            <w:r w:rsidRPr="0104CCCA">
              <w:rPr>
                <w:rFonts w:asciiTheme="majorHAnsi" w:eastAsiaTheme="majorEastAsia" w:hAnsiTheme="majorHAnsi" w:cstheme="majorBidi"/>
                <w:b/>
                <w:bCs/>
                <w:sz w:val="24"/>
                <w:szCs w:val="24"/>
                <w:lang w:val="lt"/>
              </w:rPr>
              <w:t xml:space="preserve"> </w:t>
            </w:r>
          </w:p>
        </w:tc>
      </w:tr>
    </w:tbl>
    <w:p w14:paraId="3B963A72" w14:textId="4B8951C3" w:rsidR="2C13C8E2" w:rsidRDefault="2C13C8E2" w:rsidP="00602234">
      <w:pPr>
        <w:spacing w:line="257" w:lineRule="auto"/>
        <w:jc w:val="both"/>
        <w:rPr>
          <w:rFonts w:asciiTheme="majorHAnsi" w:eastAsiaTheme="majorEastAsia" w:hAnsiTheme="majorHAnsi" w:cstheme="majorBidi"/>
          <w:sz w:val="24"/>
          <w:szCs w:val="24"/>
          <w:lang w:val="pt-BR"/>
        </w:rPr>
      </w:pPr>
      <w:r w:rsidRPr="0104CCCA">
        <w:rPr>
          <w:rFonts w:asciiTheme="majorHAnsi" w:eastAsiaTheme="majorEastAsia" w:hAnsiTheme="majorHAnsi" w:cstheme="majorBidi"/>
          <w:sz w:val="24"/>
          <w:szCs w:val="24"/>
          <w:lang w:val="pt-BR"/>
        </w:rPr>
        <w:t xml:space="preserve"> </w:t>
      </w:r>
    </w:p>
    <w:p w14:paraId="42F71CFB" w14:textId="42A07694" w:rsidR="2C13C8E2" w:rsidRDefault="2C13C8E2" w:rsidP="00602234">
      <w:pPr>
        <w:spacing w:line="257" w:lineRule="auto"/>
        <w:jc w:val="both"/>
        <w:rPr>
          <w:rFonts w:asciiTheme="majorHAnsi" w:eastAsiaTheme="majorEastAsia" w:hAnsiTheme="majorHAnsi" w:cstheme="majorBidi"/>
          <w:b/>
          <w:bCs/>
          <w:sz w:val="24"/>
          <w:szCs w:val="24"/>
          <w:lang w:val="lt-LT"/>
        </w:rPr>
      </w:pPr>
      <w:r w:rsidRPr="0104CCCA">
        <w:rPr>
          <w:rFonts w:asciiTheme="majorHAnsi" w:eastAsiaTheme="majorEastAsia" w:hAnsiTheme="majorHAnsi" w:cstheme="majorBidi"/>
          <w:b/>
          <w:bCs/>
          <w:sz w:val="24"/>
          <w:szCs w:val="24"/>
          <w:lang w:val="lt-LT"/>
        </w:rPr>
        <w:t>Galimi papildomi techniniai reikalavimai:</w:t>
      </w:r>
    </w:p>
    <w:p w14:paraId="4FD930F6" w14:textId="2B548908" w:rsidR="2C13C8E2" w:rsidRDefault="2C13C8E2" w:rsidP="00602234">
      <w:pPr>
        <w:spacing w:line="257" w:lineRule="auto"/>
        <w:jc w:val="both"/>
        <w:rPr>
          <w:rFonts w:asciiTheme="majorHAnsi" w:eastAsiaTheme="majorEastAsia" w:hAnsiTheme="majorHAnsi" w:cstheme="majorBidi"/>
          <w:sz w:val="24"/>
          <w:szCs w:val="24"/>
          <w:lang w:val="lt-LT"/>
        </w:rPr>
      </w:pPr>
      <w:r w:rsidRPr="0104CCCA">
        <w:rPr>
          <w:rFonts w:asciiTheme="majorHAnsi" w:eastAsiaTheme="majorEastAsia" w:hAnsiTheme="majorHAnsi" w:cstheme="majorBidi"/>
          <w:sz w:val="24"/>
          <w:szCs w:val="24"/>
          <w:lang w:val="lt-LT"/>
        </w:rPr>
        <w:t>Papildomų techninių reikalavimų tikslas – užtikrinti, kad sistema ne tik atliktų pagrindines funkcijas, bet ir veiktų patikimai įvairiomis sąlygomis. Šie reikalavimai padeda sumažinti duomenų praradimo ir veikimo trikdžių riziką, užtikrina greitą reagavimą į galimus sutrikimus bei padidina saugumo lygį. Taip pat jie suteikia sistemai galimybę augti ir prisitaikyti prie didesnio vartotojų skaičiaus, o atnaujinimai be prastovų leidžia naudotojams dirbti nenutrūkstamai.</w:t>
      </w:r>
    </w:p>
    <w:p w14:paraId="2A89CAE7" w14:textId="5BE18EAC" w:rsidR="2C13C8E2" w:rsidRDefault="2C13C8E2" w:rsidP="00602234">
      <w:pPr>
        <w:spacing w:line="257" w:lineRule="auto"/>
        <w:jc w:val="both"/>
        <w:rPr>
          <w:rFonts w:asciiTheme="majorHAnsi" w:eastAsiaTheme="majorEastAsia" w:hAnsiTheme="majorHAnsi" w:cstheme="majorBidi"/>
          <w:sz w:val="24"/>
          <w:szCs w:val="24"/>
          <w:lang w:val="pt-BR"/>
        </w:rPr>
      </w:pPr>
      <w:r w:rsidRPr="0104CCCA">
        <w:rPr>
          <w:rFonts w:asciiTheme="majorHAnsi" w:eastAsiaTheme="majorEastAsia" w:hAnsiTheme="majorHAnsi" w:cstheme="majorBidi"/>
          <w:sz w:val="24"/>
          <w:szCs w:val="24"/>
          <w:lang w:val="pt-BR"/>
        </w:rPr>
        <w:t xml:space="preserve"> </w:t>
      </w:r>
    </w:p>
    <w:tbl>
      <w:tblPr>
        <w:tblStyle w:val="Grigliatabella"/>
        <w:tblW w:w="0" w:type="auto"/>
        <w:tblLayout w:type="fixed"/>
        <w:tblLook w:val="04A0" w:firstRow="1" w:lastRow="0" w:firstColumn="1" w:lastColumn="0" w:noHBand="0" w:noVBand="1"/>
      </w:tblPr>
      <w:tblGrid>
        <w:gridCol w:w="2547"/>
        <w:gridCol w:w="6803"/>
      </w:tblGrid>
      <w:tr w:rsidR="39B4DEC5" w14:paraId="7D888BBA" w14:textId="77777777" w:rsidTr="0BF98851">
        <w:trPr>
          <w:trHeight w:val="300"/>
        </w:trPr>
        <w:tc>
          <w:tcPr>
            <w:tcW w:w="2547" w:type="dxa"/>
            <w:tcBorders>
              <w:top w:val="nil"/>
              <w:left w:val="nil"/>
              <w:bottom w:val="single" w:sz="8" w:space="0" w:color="auto"/>
              <w:right w:val="single" w:sz="8" w:space="0" w:color="auto"/>
            </w:tcBorders>
            <w:tcMar>
              <w:left w:w="108" w:type="dxa"/>
              <w:right w:w="108" w:type="dxa"/>
            </w:tcMar>
          </w:tcPr>
          <w:p w14:paraId="0C75A427" w14:textId="56A9CECF" w:rsidR="39B4DEC5" w:rsidRDefault="64A82ABB" w:rsidP="00602234">
            <w:pPr>
              <w:jc w:val="both"/>
              <w:rPr>
                <w:rFonts w:asciiTheme="majorHAnsi" w:eastAsiaTheme="majorEastAsia" w:hAnsiTheme="majorHAnsi" w:cstheme="majorBidi"/>
                <w:b/>
                <w:bCs/>
                <w:sz w:val="24"/>
                <w:szCs w:val="24"/>
                <w:lang w:val="lt-LT"/>
              </w:rPr>
            </w:pPr>
            <w:r w:rsidRPr="0104CCCA">
              <w:rPr>
                <w:rFonts w:asciiTheme="majorHAnsi" w:eastAsiaTheme="majorEastAsia" w:hAnsiTheme="majorHAnsi" w:cstheme="majorBidi"/>
                <w:b/>
                <w:bCs/>
                <w:sz w:val="24"/>
                <w:szCs w:val="24"/>
                <w:lang w:val="lt-LT"/>
              </w:rPr>
              <w:t>Automatinis duomenų atsarginis kopijavimas</w:t>
            </w:r>
          </w:p>
        </w:tc>
        <w:tc>
          <w:tcPr>
            <w:tcW w:w="6803" w:type="dxa"/>
            <w:tcBorders>
              <w:top w:val="nil"/>
              <w:left w:val="single" w:sz="8" w:space="0" w:color="auto"/>
              <w:bottom w:val="single" w:sz="8" w:space="0" w:color="auto"/>
              <w:right w:val="nil"/>
            </w:tcBorders>
            <w:tcMar>
              <w:left w:w="108" w:type="dxa"/>
              <w:right w:w="108" w:type="dxa"/>
            </w:tcMar>
          </w:tcPr>
          <w:p w14:paraId="5A4D1996" w14:textId="75C4CC10" w:rsidR="39B4DEC5" w:rsidRDefault="1FA33886" w:rsidP="00602234">
            <w:pPr>
              <w:jc w:val="both"/>
              <w:rPr>
                <w:rFonts w:asciiTheme="majorHAnsi" w:eastAsiaTheme="majorEastAsia" w:hAnsiTheme="majorHAnsi" w:cstheme="majorBidi"/>
                <w:sz w:val="24"/>
                <w:szCs w:val="24"/>
                <w:lang w:val="lt-LT"/>
              </w:rPr>
            </w:pPr>
            <w:r w:rsidRPr="0BF98851">
              <w:rPr>
                <w:rFonts w:asciiTheme="majorHAnsi" w:eastAsiaTheme="majorEastAsia" w:hAnsiTheme="majorHAnsi" w:cstheme="majorBidi"/>
                <w:sz w:val="24"/>
                <w:szCs w:val="24"/>
                <w:lang w:val="lt-LT"/>
              </w:rPr>
              <w:t>Sistema turi automatiškai kurti atsargines duomenų kopijas nustatytais intervalais (pvz., kartą per dieną), kad sumažintų duomenų praradimo riziką gedimų ar trikdžių atvejais. Atsarginės kopijos turi būti lengvai atkuriamos praradimo atveju.</w:t>
            </w:r>
          </w:p>
        </w:tc>
      </w:tr>
      <w:tr w:rsidR="39B4DEC5" w:rsidRPr="00193A14" w14:paraId="4A142DD9" w14:textId="77777777" w:rsidTr="0BF98851">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1809C077" w14:textId="7E6B4BEE" w:rsidR="39B4DEC5" w:rsidRDefault="64A82ABB" w:rsidP="00602234">
            <w:pPr>
              <w:jc w:val="both"/>
              <w:rPr>
                <w:rFonts w:asciiTheme="majorHAnsi" w:eastAsiaTheme="majorEastAsia" w:hAnsiTheme="majorHAnsi" w:cstheme="majorBidi"/>
                <w:b/>
                <w:bCs/>
                <w:sz w:val="24"/>
                <w:szCs w:val="24"/>
                <w:lang w:val="lt-LT"/>
              </w:rPr>
            </w:pPr>
            <w:r w:rsidRPr="0104CCCA">
              <w:rPr>
                <w:rFonts w:asciiTheme="majorHAnsi" w:eastAsiaTheme="majorEastAsia" w:hAnsiTheme="majorHAnsi" w:cstheme="majorBidi"/>
                <w:b/>
                <w:bCs/>
                <w:sz w:val="24"/>
                <w:szCs w:val="24"/>
                <w:lang w:val="lt-LT"/>
              </w:rPr>
              <w:t>Prieinamumo stebėjimas ir greitas reagavimas į sutrikimus</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627F20E6" w14:textId="3A254C9D" w:rsidR="39B4DEC5" w:rsidRDefault="1FA33886" w:rsidP="00602234">
            <w:pPr>
              <w:jc w:val="both"/>
              <w:rPr>
                <w:rFonts w:asciiTheme="majorHAnsi" w:eastAsiaTheme="majorEastAsia" w:hAnsiTheme="majorHAnsi" w:cstheme="majorBidi"/>
                <w:sz w:val="24"/>
                <w:szCs w:val="24"/>
                <w:lang w:val="lt-LT"/>
              </w:rPr>
            </w:pPr>
            <w:r w:rsidRPr="0BF98851">
              <w:rPr>
                <w:rFonts w:asciiTheme="majorHAnsi" w:eastAsiaTheme="majorEastAsia" w:hAnsiTheme="majorHAnsi" w:cstheme="majorBidi"/>
                <w:sz w:val="24"/>
                <w:szCs w:val="24"/>
                <w:lang w:val="lt-LT"/>
              </w:rPr>
              <w:t>Norint užtikrinti sklandų sistemos veikimą, tiekėjas privalo nuolat stebėti sistemos prieinamumą ir reaguoti į sutrikimus per nustatytą laiką. Esant kritiniams trikdžiams, problemos turi būti išsprendžiamos 2 valand</w:t>
            </w:r>
            <w:r w:rsidR="03322268" w:rsidRPr="0BF98851">
              <w:rPr>
                <w:rFonts w:asciiTheme="majorHAnsi" w:eastAsiaTheme="majorEastAsia" w:hAnsiTheme="majorHAnsi" w:cstheme="majorBidi"/>
                <w:sz w:val="24"/>
                <w:szCs w:val="24"/>
                <w:lang w:val="lt-LT"/>
              </w:rPr>
              <w:t>ų bėgyje</w:t>
            </w:r>
            <w:r w:rsidRPr="0BF98851">
              <w:rPr>
                <w:rFonts w:asciiTheme="majorHAnsi" w:eastAsiaTheme="majorEastAsia" w:hAnsiTheme="majorHAnsi" w:cstheme="majorBidi"/>
                <w:sz w:val="24"/>
                <w:szCs w:val="24"/>
                <w:lang w:val="lt-LT"/>
              </w:rPr>
              <w:t xml:space="preserve"> nuo pranešimo gavimo.</w:t>
            </w:r>
          </w:p>
        </w:tc>
      </w:tr>
      <w:tr w:rsidR="39B4DEC5" w:rsidRPr="00193A14" w14:paraId="05607C66" w14:textId="77777777" w:rsidTr="0BF98851">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49889243" w14:textId="74F93E83" w:rsidR="39B4DEC5" w:rsidRDefault="64A82ABB" w:rsidP="00602234">
            <w:pPr>
              <w:jc w:val="both"/>
              <w:rPr>
                <w:rFonts w:asciiTheme="majorHAnsi" w:eastAsiaTheme="majorEastAsia" w:hAnsiTheme="majorHAnsi" w:cstheme="majorBidi"/>
                <w:b/>
                <w:bCs/>
                <w:sz w:val="24"/>
                <w:szCs w:val="24"/>
                <w:lang w:val="lt-LT"/>
              </w:rPr>
            </w:pPr>
            <w:r w:rsidRPr="0104CCCA">
              <w:rPr>
                <w:rFonts w:asciiTheme="majorHAnsi" w:eastAsiaTheme="majorEastAsia" w:hAnsiTheme="majorHAnsi" w:cstheme="majorBidi"/>
                <w:b/>
                <w:bCs/>
                <w:sz w:val="24"/>
                <w:szCs w:val="24"/>
                <w:lang w:val="lt-LT"/>
              </w:rPr>
              <w:t>Atnaujinimai be prastovų</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4C6D07B0" w14:textId="5353ECB1" w:rsidR="39B4DEC5" w:rsidRDefault="1FA33886" w:rsidP="00602234">
            <w:pPr>
              <w:jc w:val="both"/>
              <w:rPr>
                <w:rFonts w:asciiTheme="majorHAnsi" w:eastAsiaTheme="majorEastAsia" w:hAnsiTheme="majorHAnsi" w:cstheme="majorBidi"/>
                <w:sz w:val="24"/>
                <w:szCs w:val="24"/>
                <w:lang w:val="lt-LT"/>
              </w:rPr>
            </w:pPr>
            <w:r w:rsidRPr="0BF98851">
              <w:rPr>
                <w:rFonts w:asciiTheme="majorHAnsi" w:eastAsiaTheme="majorEastAsia" w:hAnsiTheme="majorHAnsi" w:cstheme="majorBidi"/>
                <w:sz w:val="24"/>
                <w:szCs w:val="24"/>
                <w:lang w:val="lt-LT"/>
              </w:rPr>
              <w:t>Kad vartotojai galėtų naudotis sistema be pertrūkių, sistema turi būti sukurta taip, kad reguliariai atliekami atnaujinimai netrukdytų naudotojų darbui ir neblokuotų prieigos.</w:t>
            </w:r>
          </w:p>
        </w:tc>
      </w:tr>
      <w:tr w:rsidR="39B4DEC5" w:rsidRPr="00193A14" w14:paraId="5A80222C" w14:textId="77777777" w:rsidTr="0BF98851">
        <w:trPr>
          <w:trHeight w:val="300"/>
        </w:trPr>
        <w:tc>
          <w:tcPr>
            <w:tcW w:w="2547" w:type="dxa"/>
            <w:tcBorders>
              <w:top w:val="single" w:sz="8" w:space="0" w:color="auto"/>
              <w:left w:val="nil"/>
              <w:bottom w:val="single" w:sz="8" w:space="0" w:color="auto"/>
              <w:right w:val="single" w:sz="8" w:space="0" w:color="auto"/>
            </w:tcBorders>
            <w:tcMar>
              <w:left w:w="108" w:type="dxa"/>
              <w:right w:w="108" w:type="dxa"/>
            </w:tcMar>
          </w:tcPr>
          <w:p w14:paraId="180FCAE2" w14:textId="7409EFE4" w:rsidR="39B4DEC5" w:rsidRDefault="64A82ABB" w:rsidP="00602234">
            <w:pPr>
              <w:jc w:val="both"/>
              <w:rPr>
                <w:rFonts w:asciiTheme="majorHAnsi" w:eastAsiaTheme="majorEastAsia" w:hAnsiTheme="majorHAnsi" w:cstheme="majorBidi"/>
                <w:b/>
                <w:bCs/>
                <w:sz w:val="24"/>
                <w:szCs w:val="24"/>
                <w:lang w:val="lt-LT"/>
              </w:rPr>
            </w:pPr>
            <w:r w:rsidRPr="0104CCCA">
              <w:rPr>
                <w:rFonts w:asciiTheme="majorHAnsi" w:eastAsiaTheme="majorEastAsia" w:hAnsiTheme="majorHAnsi" w:cstheme="majorBidi"/>
                <w:b/>
                <w:bCs/>
                <w:sz w:val="24"/>
                <w:szCs w:val="24"/>
                <w:lang w:val="lt-LT"/>
              </w:rPr>
              <w:t>Duomenų archyvavimas</w:t>
            </w:r>
          </w:p>
        </w:tc>
        <w:tc>
          <w:tcPr>
            <w:tcW w:w="6803" w:type="dxa"/>
            <w:tcBorders>
              <w:top w:val="single" w:sz="8" w:space="0" w:color="auto"/>
              <w:left w:val="single" w:sz="8" w:space="0" w:color="auto"/>
              <w:bottom w:val="single" w:sz="8" w:space="0" w:color="auto"/>
              <w:right w:val="nil"/>
            </w:tcBorders>
            <w:tcMar>
              <w:left w:w="108" w:type="dxa"/>
              <w:right w:w="108" w:type="dxa"/>
            </w:tcMar>
          </w:tcPr>
          <w:p w14:paraId="4459E81A" w14:textId="68D621F5" w:rsidR="39B4DEC5" w:rsidRDefault="64A82ABB" w:rsidP="00602234">
            <w:pPr>
              <w:jc w:val="both"/>
              <w:rPr>
                <w:rFonts w:asciiTheme="majorHAnsi" w:eastAsiaTheme="majorEastAsia" w:hAnsiTheme="majorHAnsi" w:cstheme="majorBidi"/>
                <w:sz w:val="24"/>
                <w:szCs w:val="24"/>
                <w:lang w:val="lt-LT"/>
              </w:rPr>
            </w:pPr>
            <w:r w:rsidRPr="0104CCCA">
              <w:rPr>
                <w:rFonts w:asciiTheme="majorHAnsi" w:eastAsiaTheme="majorEastAsia" w:hAnsiTheme="majorHAnsi" w:cstheme="majorBidi"/>
                <w:sz w:val="24"/>
                <w:szCs w:val="24"/>
                <w:lang w:val="lt-LT"/>
              </w:rPr>
              <w:t>Sistema turi suteikti galimybę archyvuoti senus duomenis pagal galiojančius teisės aktus ir organizacijos reikalavimus. Tokiu būdu senesni duomenys gali būti saugiai perkeliami į archyvą arba pašalinami, laikantis duomenų apsaugos taisyklių.</w:t>
            </w:r>
          </w:p>
        </w:tc>
      </w:tr>
      <w:tr w:rsidR="39B4DEC5" w:rsidRPr="00193A14" w14:paraId="43070A3A" w14:textId="77777777" w:rsidTr="0BF98851">
        <w:trPr>
          <w:trHeight w:val="300"/>
        </w:trPr>
        <w:tc>
          <w:tcPr>
            <w:tcW w:w="2547" w:type="dxa"/>
            <w:tcBorders>
              <w:top w:val="single" w:sz="8" w:space="0" w:color="auto"/>
              <w:left w:val="nil"/>
              <w:bottom w:val="nil"/>
              <w:right w:val="single" w:sz="8" w:space="0" w:color="auto"/>
            </w:tcBorders>
            <w:tcMar>
              <w:left w:w="108" w:type="dxa"/>
              <w:right w:w="108" w:type="dxa"/>
            </w:tcMar>
          </w:tcPr>
          <w:p w14:paraId="04890ADF" w14:textId="6114CFA8" w:rsidR="39B4DEC5" w:rsidRDefault="64A82ABB" w:rsidP="00602234">
            <w:pPr>
              <w:jc w:val="both"/>
              <w:rPr>
                <w:rFonts w:asciiTheme="majorHAnsi" w:eastAsiaTheme="majorEastAsia" w:hAnsiTheme="majorHAnsi" w:cstheme="majorBidi"/>
                <w:b/>
                <w:bCs/>
                <w:sz w:val="24"/>
                <w:szCs w:val="24"/>
                <w:lang w:val="lt-LT"/>
              </w:rPr>
            </w:pPr>
            <w:r w:rsidRPr="0104CCCA">
              <w:rPr>
                <w:rFonts w:asciiTheme="majorHAnsi" w:eastAsiaTheme="majorEastAsia" w:hAnsiTheme="majorHAnsi" w:cstheme="majorBidi"/>
                <w:b/>
                <w:bCs/>
                <w:sz w:val="24"/>
                <w:szCs w:val="24"/>
                <w:lang w:val="lt-LT"/>
              </w:rPr>
              <w:t>Vartotojų autentifikavimo ir autorizacijos reikalavimai</w:t>
            </w:r>
          </w:p>
        </w:tc>
        <w:tc>
          <w:tcPr>
            <w:tcW w:w="6803" w:type="dxa"/>
            <w:tcBorders>
              <w:top w:val="single" w:sz="8" w:space="0" w:color="auto"/>
              <w:left w:val="single" w:sz="8" w:space="0" w:color="auto"/>
              <w:bottom w:val="nil"/>
              <w:right w:val="nil"/>
            </w:tcBorders>
            <w:tcMar>
              <w:left w:w="108" w:type="dxa"/>
              <w:right w:w="108" w:type="dxa"/>
            </w:tcMar>
          </w:tcPr>
          <w:p w14:paraId="5FB56294" w14:textId="3183C50D" w:rsidR="39B4DEC5" w:rsidRDefault="64A82ABB" w:rsidP="00602234">
            <w:pPr>
              <w:jc w:val="both"/>
              <w:rPr>
                <w:rFonts w:asciiTheme="majorHAnsi" w:eastAsiaTheme="majorEastAsia" w:hAnsiTheme="majorHAnsi" w:cstheme="majorBidi"/>
                <w:sz w:val="24"/>
                <w:szCs w:val="24"/>
                <w:lang w:val="lt-LT"/>
              </w:rPr>
            </w:pPr>
            <w:r w:rsidRPr="0104CCCA">
              <w:rPr>
                <w:rFonts w:asciiTheme="majorHAnsi" w:eastAsiaTheme="majorEastAsia" w:hAnsiTheme="majorHAnsi" w:cstheme="majorBidi"/>
                <w:sz w:val="24"/>
                <w:szCs w:val="24"/>
                <w:lang w:val="lt-LT"/>
              </w:rPr>
              <w:t>Siekiant užtikrinti saugią prieigą prie sistemos, autentifikavimo ir autorizacijos sistema turi būti patikima ir naudoti dviejų veiksnių autentifikavimą. Tai padės apsaugoti jautrią informaciją ir užtikrins saugų prisijungimą konsultantams bei administratoriams.</w:t>
            </w:r>
          </w:p>
        </w:tc>
      </w:tr>
    </w:tbl>
    <w:p w14:paraId="51F734AB" w14:textId="44D704BF" w:rsidR="2C13C8E2" w:rsidRDefault="2C13C8E2" w:rsidP="00602234">
      <w:pPr>
        <w:spacing w:line="257" w:lineRule="auto"/>
        <w:jc w:val="both"/>
        <w:rPr>
          <w:rFonts w:asciiTheme="majorHAnsi" w:eastAsiaTheme="majorEastAsia" w:hAnsiTheme="majorHAnsi" w:cstheme="majorBidi"/>
          <w:sz w:val="24"/>
          <w:szCs w:val="24"/>
          <w:lang w:val="pt-BR"/>
        </w:rPr>
      </w:pPr>
      <w:r w:rsidRPr="0104CCCA">
        <w:rPr>
          <w:rFonts w:asciiTheme="majorHAnsi" w:eastAsiaTheme="majorEastAsia" w:hAnsiTheme="majorHAnsi" w:cstheme="majorBidi"/>
          <w:sz w:val="24"/>
          <w:szCs w:val="24"/>
          <w:lang w:val="pt-BR"/>
        </w:rPr>
        <w:t xml:space="preserve"> </w:t>
      </w:r>
    </w:p>
    <w:p w14:paraId="467B702E" w14:textId="3FF7FF45" w:rsidR="2C13C8E2" w:rsidRDefault="2C13C8E2" w:rsidP="00602234">
      <w:pPr>
        <w:spacing w:after="0" w:line="257" w:lineRule="auto"/>
        <w:jc w:val="both"/>
        <w:rPr>
          <w:rFonts w:asciiTheme="majorHAnsi" w:eastAsiaTheme="majorEastAsia" w:hAnsiTheme="majorHAnsi" w:cstheme="majorBidi"/>
          <w:sz w:val="24"/>
          <w:szCs w:val="24"/>
          <w:lang w:val="pt-BR"/>
        </w:rPr>
      </w:pPr>
      <w:r w:rsidRPr="0BF98851">
        <w:rPr>
          <w:rFonts w:asciiTheme="majorHAnsi" w:eastAsiaTheme="majorEastAsia" w:hAnsiTheme="majorHAnsi" w:cstheme="majorBidi"/>
          <w:sz w:val="24"/>
          <w:szCs w:val="24"/>
          <w:lang w:val="pt-BR"/>
        </w:rPr>
        <w:t xml:space="preserve"> </w:t>
      </w:r>
    </w:p>
    <w:p w14:paraId="5F9294B5" w14:textId="76C0DCCC" w:rsidR="39B4DEC5" w:rsidRPr="00602234" w:rsidRDefault="39B4DEC5" w:rsidP="00602234">
      <w:pPr>
        <w:spacing w:line="257" w:lineRule="auto"/>
        <w:jc w:val="both"/>
        <w:rPr>
          <w:rFonts w:asciiTheme="majorHAnsi" w:eastAsiaTheme="majorEastAsia" w:hAnsiTheme="majorHAnsi" w:cstheme="majorBidi"/>
          <w:sz w:val="24"/>
          <w:szCs w:val="24"/>
          <w:lang w:val="lt-LT"/>
        </w:rPr>
      </w:pPr>
    </w:p>
    <w:p w14:paraId="53E1EF77" w14:textId="6936F009" w:rsidR="39B4DEC5" w:rsidRDefault="39B4DEC5" w:rsidP="00602234">
      <w:pPr>
        <w:jc w:val="both"/>
        <w:rPr>
          <w:rFonts w:asciiTheme="majorHAnsi" w:eastAsiaTheme="majorEastAsia" w:hAnsiTheme="majorHAnsi" w:cstheme="majorBidi"/>
          <w:b/>
          <w:bCs/>
          <w:sz w:val="24"/>
          <w:szCs w:val="24"/>
          <w:highlight w:val="yellow"/>
          <w:lang w:val="lt-LT"/>
        </w:rPr>
      </w:pPr>
    </w:p>
    <w:sectPr w:rsidR="39B4DEC5">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A4B7" w14:textId="77777777" w:rsidR="003B76F9" w:rsidRDefault="003B76F9" w:rsidP="00BA4F79">
      <w:pPr>
        <w:spacing w:after="0" w:line="240" w:lineRule="auto"/>
      </w:pPr>
      <w:r>
        <w:separator/>
      </w:r>
    </w:p>
  </w:endnote>
  <w:endnote w:type="continuationSeparator" w:id="0">
    <w:p w14:paraId="5243C190" w14:textId="77777777" w:rsidR="003B76F9" w:rsidRDefault="003B76F9" w:rsidP="00BA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Arial&quot;,sans-serif">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122757246"/>
      <w:docPartObj>
        <w:docPartGallery w:val="Page Numbers (Bottom of Page)"/>
        <w:docPartUnique/>
      </w:docPartObj>
    </w:sdtPr>
    <w:sdtContent>
      <w:p w14:paraId="7D499EFC" w14:textId="1FA380A3" w:rsidR="00BA4F79" w:rsidRDefault="00BA4F79" w:rsidP="008B172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F23037C" w14:textId="77777777" w:rsidR="00BA4F79" w:rsidRDefault="00BA4F79" w:rsidP="00BA4F7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998487450"/>
      <w:docPartObj>
        <w:docPartGallery w:val="Page Numbers (Bottom of Page)"/>
        <w:docPartUnique/>
      </w:docPartObj>
    </w:sdtPr>
    <w:sdtContent>
      <w:p w14:paraId="2A2E59F6" w14:textId="49805758" w:rsidR="00BA4F79" w:rsidRDefault="00BA4F79" w:rsidP="008B172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3C05161E" w14:textId="77777777" w:rsidR="00BA4F79" w:rsidRDefault="00BA4F79" w:rsidP="00BA4F7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51D4" w14:textId="77777777" w:rsidR="003B76F9" w:rsidRDefault="003B76F9" w:rsidP="00BA4F79">
      <w:pPr>
        <w:spacing w:after="0" w:line="240" w:lineRule="auto"/>
      </w:pPr>
      <w:r>
        <w:separator/>
      </w:r>
    </w:p>
  </w:footnote>
  <w:footnote w:type="continuationSeparator" w:id="0">
    <w:p w14:paraId="7505865E" w14:textId="77777777" w:rsidR="003B76F9" w:rsidRDefault="003B76F9" w:rsidP="00BA4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23C8"/>
    <w:multiLevelType w:val="hybridMultilevel"/>
    <w:tmpl w:val="1180C004"/>
    <w:lvl w:ilvl="0" w:tplc="F8043DD6">
      <w:start w:val="1"/>
      <w:numFmt w:val="decimal"/>
      <w:lvlText w:val="%1."/>
      <w:lvlJc w:val="left"/>
      <w:pPr>
        <w:ind w:left="720" w:hanging="360"/>
      </w:pPr>
    </w:lvl>
    <w:lvl w:ilvl="1" w:tplc="BE963AB2">
      <w:start w:val="1"/>
      <w:numFmt w:val="lowerLetter"/>
      <w:lvlText w:val="%2."/>
      <w:lvlJc w:val="left"/>
      <w:pPr>
        <w:ind w:left="1440" w:hanging="360"/>
      </w:pPr>
    </w:lvl>
    <w:lvl w:ilvl="2" w:tplc="1C0681CE">
      <w:start w:val="1"/>
      <w:numFmt w:val="lowerRoman"/>
      <w:lvlText w:val="%3."/>
      <w:lvlJc w:val="right"/>
      <w:pPr>
        <w:ind w:left="2160" w:hanging="180"/>
      </w:pPr>
    </w:lvl>
    <w:lvl w:ilvl="3" w:tplc="4D68F8CA">
      <w:start w:val="1"/>
      <w:numFmt w:val="decimal"/>
      <w:lvlText w:val="%4."/>
      <w:lvlJc w:val="left"/>
      <w:pPr>
        <w:ind w:left="2880" w:hanging="360"/>
      </w:pPr>
    </w:lvl>
    <w:lvl w:ilvl="4" w:tplc="F2C298BC">
      <w:start w:val="1"/>
      <w:numFmt w:val="lowerLetter"/>
      <w:lvlText w:val="%5."/>
      <w:lvlJc w:val="left"/>
      <w:pPr>
        <w:ind w:left="3600" w:hanging="360"/>
      </w:pPr>
    </w:lvl>
    <w:lvl w:ilvl="5" w:tplc="FE4AF2F8">
      <w:start w:val="1"/>
      <w:numFmt w:val="lowerRoman"/>
      <w:lvlText w:val="%6."/>
      <w:lvlJc w:val="right"/>
      <w:pPr>
        <w:ind w:left="4320" w:hanging="180"/>
      </w:pPr>
    </w:lvl>
    <w:lvl w:ilvl="6" w:tplc="B3DEBDCC">
      <w:start w:val="1"/>
      <w:numFmt w:val="decimal"/>
      <w:lvlText w:val="%7."/>
      <w:lvlJc w:val="left"/>
      <w:pPr>
        <w:ind w:left="5040" w:hanging="360"/>
      </w:pPr>
    </w:lvl>
    <w:lvl w:ilvl="7" w:tplc="E06AF436">
      <w:start w:val="1"/>
      <w:numFmt w:val="lowerLetter"/>
      <w:lvlText w:val="%8."/>
      <w:lvlJc w:val="left"/>
      <w:pPr>
        <w:ind w:left="5760" w:hanging="360"/>
      </w:pPr>
    </w:lvl>
    <w:lvl w:ilvl="8" w:tplc="492C99F6">
      <w:start w:val="1"/>
      <w:numFmt w:val="lowerRoman"/>
      <w:lvlText w:val="%9."/>
      <w:lvlJc w:val="right"/>
      <w:pPr>
        <w:ind w:left="6480" w:hanging="180"/>
      </w:pPr>
    </w:lvl>
  </w:abstractNum>
  <w:abstractNum w:abstractNumId="1" w15:restartNumberingAfterBreak="0">
    <w:nsid w:val="55671D23"/>
    <w:multiLevelType w:val="hybridMultilevel"/>
    <w:tmpl w:val="04AA4E66"/>
    <w:lvl w:ilvl="0" w:tplc="F342AF08">
      <w:start w:val="1"/>
      <w:numFmt w:val="bullet"/>
      <w:lvlText w:val="-"/>
      <w:lvlJc w:val="left"/>
      <w:pPr>
        <w:ind w:left="720" w:hanging="360"/>
      </w:pPr>
      <w:rPr>
        <w:rFonts w:ascii="&quot;Arial&quot;,sans-serif" w:hAnsi="&quot;Arial&quot;,sans-serif" w:hint="default"/>
      </w:rPr>
    </w:lvl>
    <w:lvl w:ilvl="1" w:tplc="440E2A66">
      <w:start w:val="1"/>
      <w:numFmt w:val="bullet"/>
      <w:lvlText w:val="o"/>
      <w:lvlJc w:val="left"/>
      <w:pPr>
        <w:ind w:left="1440" w:hanging="360"/>
      </w:pPr>
      <w:rPr>
        <w:rFonts w:ascii="Courier New" w:hAnsi="Courier New" w:hint="default"/>
      </w:rPr>
    </w:lvl>
    <w:lvl w:ilvl="2" w:tplc="EF540D38">
      <w:start w:val="1"/>
      <w:numFmt w:val="bullet"/>
      <w:lvlText w:val=""/>
      <w:lvlJc w:val="left"/>
      <w:pPr>
        <w:ind w:left="2160" w:hanging="360"/>
      </w:pPr>
      <w:rPr>
        <w:rFonts w:ascii="Wingdings" w:hAnsi="Wingdings" w:hint="default"/>
      </w:rPr>
    </w:lvl>
    <w:lvl w:ilvl="3" w:tplc="67C676A0">
      <w:start w:val="1"/>
      <w:numFmt w:val="bullet"/>
      <w:lvlText w:val=""/>
      <w:lvlJc w:val="left"/>
      <w:pPr>
        <w:ind w:left="2880" w:hanging="360"/>
      </w:pPr>
      <w:rPr>
        <w:rFonts w:ascii="Symbol" w:hAnsi="Symbol" w:hint="default"/>
      </w:rPr>
    </w:lvl>
    <w:lvl w:ilvl="4" w:tplc="657A5B9C">
      <w:start w:val="1"/>
      <w:numFmt w:val="bullet"/>
      <w:lvlText w:val="o"/>
      <w:lvlJc w:val="left"/>
      <w:pPr>
        <w:ind w:left="3600" w:hanging="360"/>
      </w:pPr>
      <w:rPr>
        <w:rFonts w:ascii="Courier New" w:hAnsi="Courier New" w:hint="default"/>
      </w:rPr>
    </w:lvl>
    <w:lvl w:ilvl="5" w:tplc="EEE205FE">
      <w:start w:val="1"/>
      <w:numFmt w:val="bullet"/>
      <w:lvlText w:val=""/>
      <w:lvlJc w:val="left"/>
      <w:pPr>
        <w:ind w:left="4320" w:hanging="360"/>
      </w:pPr>
      <w:rPr>
        <w:rFonts w:ascii="Wingdings" w:hAnsi="Wingdings" w:hint="default"/>
      </w:rPr>
    </w:lvl>
    <w:lvl w:ilvl="6" w:tplc="6152175A">
      <w:start w:val="1"/>
      <w:numFmt w:val="bullet"/>
      <w:lvlText w:val=""/>
      <w:lvlJc w:val="left"/>
      <w:pPr>
        <w:ind w:left="5040" w:hanging="360"/>
      </w:pPr>
      <w:rPr>
        <w:rFonts w:ascii="Symbol" w:hAnsi="Symbol" w:hint="default"/>
      </w:rPr>
    </w:lvl>
    <w:lvl w:ilvl="7" w:tplc="36A0FCFA">
      <w:start w:val="1"/>
      <w:numFmt w:val="bullet"/>
      <w:lvlText w:val="o"/>
      <w:lvlJc w:val="left"/>
      <w:pPr>
        <w:ind w:left="5760" w:hanging="360"/>
      </w:pPr>
      <w:rPr>
        <w:rFonts w:ascii="Courier New" w:hAnsi="Courier New" w:hint="default"/>
      </w:rPr>
    </w:lvl>
    <w:lvl w:ilvl="8" w:tplc="A32414BA">
      <w:start w:val="1"/>
      <w:numFmt w:val="bullet"/>
      <w:lvlText w:val=""/>
      <w:lvlJc w:val="left"/>
      <w:pPr>
        <w:ind w:left="6480" w:hanging="360"/>
      </w:pPr>
      <w:rPr>
        <w:rFonts w:ascii="Wingdings" w:hAnsi="Wingdings" w:hint="default"/>
      </w:rPr>
    </w:lvl>
  </w:abstractNum>
  <w:abstractNum w:abstractNumId="2" w15:restartNumberingAfterBreak="0">
    <w:nsid w:val="66596484"/>
    <w:multiLevelType w:val="multilevel"/>
    <w:tmpl w:val="630C3D1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B6D51"/>
    <w:multiLevelType w:val="multilevel"/>
    <w:tmpl w:val="798EB04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4038330">
    <w:abstractNumId w:val="3"/>
  </w:num>
  <w:num w:numId="2" w16cid:durableId="375928236">
    <w:abstractNumId w:val="1"/>
  </w:num>
  <w:num w:numId="3" w16cid:durableId="375591269">
    <w:abstractNumId w:val="2"/>
  </w:num>
  <w:num w:numId="4" w16cid:durableId="16987322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CC"/>
    <w:rsid w:val="00003265"/>
    <w:rsid w:val="00034BA2"/>
    <w:rsid w:val="00074511"/>
    <w:rsid w:val="00077096"/>
    <w:rsid w:val="000912E5"/>
    <w:rsid w:val="000A2EBE"/>
    <w:rsid w:val="000A3E66"/>
    <w:rsid w:val="000A7587"/>
    <w:rsid w:val="000C6F14"/>
    <w:rsid w:val="000D0DBD"/>
    <w:rsid w:val="000E5E07"/>
    <w:rsid w:val="00130498"/>
    <w:rsid w:val="00160CD9"/>
    <w:rsid w:val="00167580"/>
    <w:rsid w:val="00172853"/>
    <w:rsid w:val="00183B3B"/>
    <w:rsid w:val="0019110F"/>
    <w:rsid w:val="00193A14"/>
    <w:rsid w:val="001A6273"/>
    <w:rsid w:val="001C695C"/>
    <w:rsid w:val="00237DA2"/>
    <w:rsid w:val="00237F90"/>
    <w:rsid w:val="00255ABC"/>
    <w:rsid w:val="002629E6"/>
    <w:rsid w:val="00283B38"/>
    <w:rsid w:val="00287D8C"/>
    <w:rsid w:val="00291E28"/>
    <w:rsid w:val="002B08A7"/>
    <w:rsid w:val="002E70AB"/>
    <w:rsid w:val="003024F6"/>
    <w:rsid w:val="003040F9"/>
    <w:rsid w:val="00307BF7"/>
    <w:rsid w:val="00325F2F"/>
    <w:rsid w:val="0034367A"/>
    <w:rsid w:val="00354B87"/>
    <w:rsid w:val="003A0015"/>
    <w:rsid w:val="003B76F9"/>
    <w:rsid w:val="003B7C8D"/>
    <w:rsid w:val="003E69C8"/>
    <w:rsid w:val="003F6166"/>
    <w:rsid w:val="004174EA"/>
    <w:rsid w:val="004272E2"/>
    <w:rsid w:val="00460094"/>
    <w:rsid w:val="00461670"/>
    <w:rsid w:val="004776F1"/>
    <w:rsid w:val="00497C50"/>
    <w:rsid w:val="004D7D9A"/>
    <w:rsid w:val="004E4756"/>
    <w:rsid w:val="00502A54"/>
    <w:rsid w:val="00516053"/>
    <w:rsid w:val="0053098D"/>
    <w:rsid w:val="00532FF9"/>
    <w:rsid w:val="00562B88"/>
    <w:rsid w:val="00567FBB"/>
    <w:rsid w:val="00594422"/>
    <w:rsid w:val="005D00AB"/>
    <w:rsid w:val="005F119E"/>
    <w:rsid w:val="005F2614"/>
    <w:rsid w:val="005F5879"/>
    <w:rsid w:val="006006AC"/>
    <w:rsid w:val="006017B7"/>
    <w:rsid w:val="00602234"/>
    <w:rsid w:val="00616937"/>
    <w:rsid w:val="006233B3"/>
    <w:rsid w:val="00645917"/>
    <w:rsid w:val="0065409C"/>
    <w:rsid w:val="00665594"/>
    <w:rsid w:val="006878B8"/>
    <w:rsid w:val="00693658"/>
    <w:rsid w:val="0069672C"/>
    <w:rsid w:val="006C4C44"/>
    <w:rsid w:val="00704652"/>
    <w:rsid w:val="0072315C"/>
    <w:rsid w:val="00734864"/>
    <w:rsid w:val="00740C35"/>
    <w:rsid w:val="00746219"/>
    <w:rsid w:val="007B1E01"/>
    <w:rsid w:val="007B4D6F"/>
    <w:rsid w:val="007B54CB"/>
    <w:rsid w:val="007D5CCC"/>
    <w:rsid w:val="007D6A73"/>
    <w:rsid w:val="007E5957"/>
    <w:rsid w:val="007E5EF6"/>
    <w:rsid w:val="00804E5E"/>
    <w:rsid w:val="008311EA"/>
    <w:rsid w:val="008349FE"/>
    <w:rsid w:val="008D74F2"/>
    <w:rsid w:val="0090753C"/>
    <w:rsid w:val="0090C21F"/>
    <w:rsid w:val="00911042"/>
    <w:rsid w:val="009114B4"/>
    <w:rsid w:val="0095171B"/>
    <w:rsid w:val="00972B39"/>
    <w:rsid w:val="00980727"/>
    <w:rsid w:val="00981AEB"/>
    <w:rsid w:val="00993B5D"/>
    <w:rsid w:val="009A00F3"/>
    <w:rsid w:val="009C2A16"/>
    <w:rsid w:val="009D21EA"/>
    <w:rsid w:val="009F64A4"/>
    <w:rsid w:val="009F6B5D"/>
    <w:rsid w:val="00A22B98"/>
    <w:rsid w:val="00A352BB"/>
    <w:rsid w:val="00A379A8"/>
    <w:rsid w:val="00A5642E"/>
    <w:rsid w:val="00A60BC4"/>
    <w:rsid w:val="00A679C1"/>
    <w:rsid w:val="00A84046"/>
    <w:rsid w:val="00A931B4"/>
    <w:rsid w:val="00AB073D"/>
    <w:rsid w:val="00AB1A8E"/>
    <w:rsid w:val="00AD6CF0"/>
    <w:rsid w:val="00B03CB5"/>
    <w:rsid w:val="00B24428"/>
    <w:rsid w:val="00B31B28"/>
    <w:rsid w:val="00B74F75"/>
    <w:rsid w:val="00B91CE8"/>
    <w:rsid w:val="00BA017D"/>
    <w:rsid w:val="00BA4F79"/>
    <w:rsid w:val="00BB31FD"/>
    <w:rsid w:val="00BB483F"/>
    <w:rsid w:val="00BB5560"/>
    <w:rsid w:val="00BC3FC2"/>
    <w:rsid w:val="00BD027E"/>
    <w:rsid w:val="00C046EA"/>
    <w:rsid w:val="00C26AF4"/>
    <w:rsid w:val="00CA2CFD"/>
    <w:rsid w:val="00CA2EC9"/>
    <w:rsid w:val="00CE307B"/>
    <w:rsid w:val="00D35CB0"/>
    <w:rsid w:val="00D85DA5"/>
    <w:rsid w:val="00D915F6"/>
    <w:rsid w:val="00D921C8"/>
    <w:rsid w:val="00D96616"/>
    <w:rsid w:val="00DE5C33"/>
    <w:rsid w:val="00E43D18"/>
    <w:rsid w:val="00E65240"/>
    <w:rsid w:val="00E723C3"/>
    <w:rsid w:val="00EB5A3C"/>
    <w:rsid w:val="00EC512C"/>
    <w:rsid w:val="00EE6E39"/>
    <w:rsid w:val="00EF6888"/>
    <w:rsid w:val="00F0043E"/>
    <w:rsid w:val="00F00F24"/>
    <w:rsid w:val="00F17087"/>
    <w:rsid w:val="00F20387"/>
    <w:rsid w:val="00F255CB"/>
    <w:rsid w:val="00F26A5B"/>
    <w:rsid w:val="00F360ED"/>
    <w:rsid w:val="00F74DAA"/>
    <w:rsid w:val="00F91231"/>
    <w:rsid w:val="0104CCCA"/>
    <w:rsid w:val="0172B829"/>
    <w:rsid w:val="028370FC"/>
    <w:rsid w:val="02B92C13"/>
    <w:rsid w:val="02F103D9"/>
    <w:rsid w:val="03322268"/>
    <w:rsid w:val="04B12A1E"/>
    <w:rsid w:val="052F2090"/>
    <w:rsid w:val="05864C6F"/>
    <w:rsid w:val="0727981D"/>
    <w:rsid w:val="075C88F9"/>
    <w:rsid w:val="0767CFC6"/>
    <w:rsid w:val="07B98C08"/>
    <w:rsid w:val="086E41B2"/>
    <w:rsid w:val="0908384B"/>
    <w:rsid w:val="091F6C8B"/>
    <w:rsid w:val="092D84C8"/>
    <w:rsid w:val="09E2B529"/>
    <w:rsid w:val="0BF98851"/>
    <w:rsid w:val="0C9C4371"/>
    <w:rsid w:val="0DBA9AD1"/>
    <w:rsid w:val="0DEBA381"/>
    <w:rsid w:val="0EB58622"/>
    <w:rsid w:val="0F6F9E34"/>
    <w:rsid w:val="10346C92"/>
    <w:rsid w:val="10B41AA7"/>
    <w:rsid w:val="116AD057"/>
    <w:rsid w:val="11CF3A56"/>
    <w:rsid w:val="11D9F014"/>
    <w:rsid w:val="11E6AE48"/>
    <w:rsid w:val="120C2E06"/>
    <w:rsid w:val="121F028C"/>
    <w:rsid w:val="12486246"/>
    <w:rsid w:val="12747707"/>
    <w:rsid w:val="12C2B269"/>
    <w:rsid w:val="131F91AA"/>
    <w:rsid w:val="13CD9A91"/>
    <w:rsid w:val="1439DE01"/>
    <w:rsid w:val="14A7A253"/>
    <w:rsid w:val="14FA5D77"/>
    <w:rsid w:val="1575AC11"/>
    <w:rsid w:val="157EBF3A"/>
    <w:rsid w:val="1694C374"/>
    <w:rsid w:val="16D4B630"/>
    <w:rsid w:val="16FEE732"/>
    <w:rsid w:val="17247DB9"/>
    <w:rsid w:val="17614C7A"/>
    <w:rsid w:val="1791BB9C"/>
    <w:rsid w:val="18C0F0D1"/>
    <w:rsid w:val="19D946A9"/>
    <w:rsid w:val="1A95B4F8"/>
    <w:rsid w:val="1AB7D61B"/>
    <w:rsid w:val="1AFE3A1E"/>
    <w:rsid w:val="1BBB6992"/>
    <w:rsid w:val="1BE1A288"/>
    <w:rsid w:val="1C107224"/>
    <w:rsid w:val="1C6DA850"/>
    <w:rsid w:val="1C71A532"/>
    <w:rsid w:val="1D1FA2A9"/>
    <w:rsid w:val="1D32D911"/>
    <w:rsid w:val="1D4408F3"/>
    <w:rsid w:val="1F733C2A"/>
    <w:rsid w:val="1FA33886"/>
    <w:rsid w:val="1FE03400"/>
    <w:rsid w:val="2121ADD4"/>
    <w:rsid w:val="21367EF6"/>
    <w:rsid w:val="217981BB"/>
    <w:rsid w:val="2210ED29"/>
    <w:rsid w:val="2246CE3F"/>
    <w:rsid w:val="231DFE31"/>
    <w:rsid w:val="23406799"/>
    <w:rsid w:val="2425C0E6"/>
    <w:rsid w:val="24BD0491"/>
    <w:rsid w:val="25EFE8B4"/>
    <w:rsid w:val="26041F97"/>
    <w:rsid w:val="273898C6"/>
    <w:rsid w:val="28017A6C"/>
    <w:rsid w:val="2804BC83"/>
    <w:rsid w:val="295C5B68"/>
    <w:rsid w:val="298E02CD"/>
    <w:rsid w:val="29D23D98"/>
    <w:rsid w:val="2A1019AA"/>
    <w:rsid w:val="2A536B67"/>
    <w:rsid w:val="2A9BDF4D"/>
    <w:rsid w:val="2AC41E78"/>
    <w:rsid w:val="2B1EBE02"/>
    <w:rsid w:val="2C13C8E2"/>
    <w:rsid w:val="2C3D0504"/>
    <w:rsid w:val="2C875118"/>
    <w:rsid w:val="2CF86EF2"/>
    <w:rsid w:val="2D8F7218"/>
    <w:rsid w:val="2EC24395"/>
    <w:rsid w:val="2F3D7EA6"/>
    <w:rsid w:val="2F7BC97C"/>
    <w:rsid w:val="2F876A3B"/>
    <w:rsid w:val="2FA92ADD"/>
    <w:rsid w:val="303E6828"/>
    <w:rsid w:val="30762F21"/>
    <w:rsid w:val="30FE75EC"/>
    <w:rsid w:val="311F253B"/>
    <w:rsid w:val="31460922"/>
    <w:rsid w:val="31E5C8C9"/>
    <w:rsid w:val="322AD77C"/>
    <w:rsid w:val="32548E8D"/>
    <w:rsid w:val="32A2AFBF"/>
    <w:rsid w:val="32D3510A"/>
    <w:rsid w:val="354F18C6"/>
    <w:rsid w:val="35933EB3"/>
    <w:rsid w:val="35FC33F6"/>
    <w:rsid w:val="362DE72F"/>
    <w:rsid w:val="36B5A4F5"/>
    <w:rsid w:val="374F8099"/>
    <w:rsid w:val="375110CB"/>
    <w:rsid w:val="379C30ED"/>
    <w:rsid w:val="38A2D0B3"/>
    <w:rsid w:val="395D15F5"/>
    <w:rsid w:val="396DB5DA"/>
    <w:rsid w:val="39B4DEC5"/>
    <w:rsid w:val="3A520F83"/>
    <w:rsid w:val="3A63D8C3"/>
    <w:rsid w:val="3A8D1E7B"/>
    <w:rsid w:val="3AD44CAF"/>
    <w:rsid w:val="3AE9EFE2"/>
    <w:rsid w:val="3C74C448"/>
    <w:rsid w:val="3C7C7000"/>
    <w:rsid w:val="3D2EB1F5"/>
    <w:rsid w:val="3F919D15"/>
    <w:rsid w:val="3F95E296"/>
    <w:rsid w:val="3FF11F9A"/>
    <w:rsid w:val="4016F375"/>
    <w:rsid w:val="40DBD725"/>
    <w:rsid w:val="4160BD5C"/>
    <w:rsid w:val="418BF2BD"/>
    <w:rsid w:val="42395993"/>
    <w:rsid w:val="425EDC1C"/>
    <w:rsid w:val="42D7A34E"/>
    <w:rsid w:val="43058CA1"/>
    <w:rsid w:val="431A7ED6"/>
    <w:rsid w:val="43BA2694"/>
    <w:rsid w:val="43F01E9C"/>
    <w:rsid w:val="4465DFCF"/>
    <w:rsid w:val="449B44B3"/>
    <w:rsid w:val="449EC694"/>
    <w:rsid w:val="451BEFA3"/>
    <w:rsid w:val="455D9658"/>
    <w:rsid w:val="45E7A2ED"/>
    <w:rsid w:val="461D7C60"/>
    <w:rsid w:val="46452D44"/>
    <w:rsid w:val="46597207"/>
    <w:rsid w:val="46885B39"/>
    <w:rsid w:val="4695AE0C"/>
    <w:rsid w:val="469B6834"/>
    <w:rsid w:val="4733F009"/>
    <w:rsid w:val="47C01C9B"/>
    <w:rsid w:val="483AE65C"/>
    <w:rsid w:val="484CB9EA"/>
    <w:rsid w:val="48BEDDB7"/>
    <w:rsid w:val="4A171144"/>
    <w:rsid w:val="4A659A94"/>
    <w:rsid w:val="4AA335F6"/>
    <w:rsid w:val="4AF2B090"/>
    <w:rsid w:val="4B73375E"/>
    <w:rsid w:val="4BA54E46"/>
    <w:rsid w:val="4C7FE6AE"/>
    <w:rsid w:val="4CC18B1A"/>
    <w:rsid w:val="4D1912AA"/>
    <w:rsid w:val="4E7A4A6B"/>
    <w:rsid w:val="4F363B6D"/>
    <w:rsid w:val="4F697DE5"/>
    <w:rsid w:val="4F9A34ED"/>
    <w:rsid w:val="4FBF430B"/>
    <w:rsid w:val="50742171"/>
    <w:rsid w:val="516BE107"/>
    <w:rsid w:val="5185D6B3"/>
    <w:rsid w:val="51905F16"/>
    <w:rsid w:val="537F7E66"/>
    <w:rsid w:val="53F1932B"/>
    <w:rsid w:val="54754D29"/>
    <w:rsid w:val="548FB185"/>
    <w:rsid w:val="54DFB001"/>
    <w:rsid w:val="5522A1B2"/>
    <w:rsid w:val="5560FC07"/>
    <w:rsid w:val="5627E517"/>
    <w:rsid w:val="56769F82"/>
    <w:rsid w:val="57A3BD01"/>
    <w:rsid w:val="58908D12"/>
    <w:rsid w:val="591A7D03"/>
    <w:rsid w:val="59DCA6BF"/>
    <w:rsid w:val="5A9411AF"/>
    <w:rsid w:val="5BDA6001"/>
    <w:rsid w:val="5BF9B869"/>
    <w:rsid w:val="5C5A5E96"/>
    <w:rsid w:val="5C7C32BB"/>
    <w:rsid w:val="5C9BC725"/>
    <w:rsid w:val="5CB122EB"/>
    <w:rsid w:val="5CCAEDB5"/>
    <w:rsid w:val="5D11E014"/>
    <w:rsid w:val="5D73BB1B"/>
    <w:rsid w:val="5DFE460F"/>
    <w:rsid w:val="5E02CFFC"/>
    <w:rsid w:val="5E6773DD"/>
    <w:rsid w:val="5E697B25"/>
    <w:rsid w:val="5EE32B95"/>
    <w:rsid w:val="5F55EDE4"/>
    <w:rsid w:val="5F6C0077"/>
    <w:rsid w:val="5FB03AB1"/>
    <w:rsid w:val="60775C82"/>
    <w:rsid w:val="60896074"/>
    <w:rsid w:val="60B0A29D"/>
    <w:rsid w:val="60DE976D"/>
    <w:rsid w:val="626F2E69"/>
    <w:rsid w:val="62CD7334"/>
    <w:rsid w:val="630A2666"/>
    <w:rsid w:val="63B4E08F"/>
    <w:rsid w:val="63E1290A"/>
    <w:rsid w:val="63FD7B2C"/>
    <w:rsid w:val="640B5010"/>
    <w:rsid w:val="6422A74B"/>
    <w:rsid w:val="647D3EFF"/>
    <w:rsid w:val="64A82ABB"/>
    <w:rsid w:val="661DB646"/>
    <w:rsid w:val="66667978"/>
    <w:rsid w:val="667B41CB"/>
    <w:rsid w:val="66B62721"/>
    <w:rsid w:val="66DC439B"/>
    <w:rsid w:val="66E7A5B2"/>
    <w:rsid w:val="672E1071"/>
    <w:rsid w:val="67401F63"/>
    <w:rsid w:val="67B0217B"/>
    <w:rsid w:val="67F7261B"/>
    <w:rsid w:val="6A8D654E"/>
    <w:rsid w:val="6BC35E9D"/>
    <w:rsid w:val="6C5E1E6A"/>
    <w:rsid w:val="6C89955E"/>
    <w:rsid w:val="6DD737DA"/>
    <w:rsid w:val="6E3AB179"/>
    <w:rsid w:val="6E4BBA48"/>
    <w:rsid w:val="6EBCB61A"/>
    <w:rsid w:val="6F7F43B9"/>
    <w:rsid w:val="6F8215D5"/>
    <w:rsid w:val="6F98193E"/>
    <w:rsid w:val="7055DB64"/>
    <w:rsid w:val="707F35A2"/>
    <w:rsid w:val="70BEE885"/>
    <w:rsid w:val="719139CF"/>
    <w:rsid w:val="722169E0"/>
    <w:rsid w:val="735C751A"/>
    <w:rsid w:val="73F21B28"/>
    <w:rsid w:val="74580B48"/>
    <w:rsid w:val="7460ABF7"/>
    <w:rsid w:val="74BF1504"/>
    <w:rsid w:val="74F8F1B2"/>
    <w:rsid w:val="75FEDFB4"/>
    <w:rsid w:val="762CE19F"/>
    <w:rsid w:val="763845E4"/>
    <w:rsid w:val="76564B93"/>
    <w:rsid w:val="775F3337"/>
    <w:rsid w:val="776BBD51"/>
    <w:rsid w:val="78D38186"/>
    <w:rsid w:val="798E5E26"/>
    <w:rsid w:val="79B54A47"/>
    <w:rsid w:val="7B088131"/>
    <w:rsid w:val="7B927937"/>
    <w:rsid w:val="7BD7E8EF"/>
    <w:rsid w:val="7BE77ADC"/>
    <w:rsid w:val="7C626B96"/>
    <w:rsid w:val="7C9A5D99"/>
    <w:rsid w:val="7D5F2208"/>
    <w:rsid w:val="7D6DAEB1"/>
    <w:rsid w:val="7D8B23DC"/>
    <w:rsid w:val="7E035E01"/>
    <w:rsid w:val="7E720A07"/>
    <w:rsid w:val="7F7130A3"/>
    <w:rsid w:val="7FAFFFA1"/>
    <w:rsid w:val="7FC4F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0885"/>
  <w15:chartTrackingRefBased/>
  <w15:docId w15:val="{A130A0A6-8DCE-416D-87C2-BC32BF62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5E07"/>
  </w:style>
  <w:style w:type="paragraph" w:styleId="Titolo1">
    <w:name w:val="heading 1"/>
    <w:basedOn w:val="Normale"/>
    <w:next w:val="Normale"/>
    <w:link w:val="Titolo1Carattere"/>
    <w:uiPriority w:val="9"/>
    <w:qFormat/>
    <w:rsid w:val="007D5C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D5C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D5CC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D5CC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D5CC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D5CC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D5CC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D5CC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D5CC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D5CC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D5CC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D5CC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D5CC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D5CC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D5C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D5C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D5C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D5C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7D5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D5C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D5CC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D5C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D5CC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D5CCC"/>
    <w:rPr>
      <w:i/>
      <w:iCs/>
      <w:color w:val="404040" w:themeColor="text1" w:themeTint="BF"/>
    </w:rPr>
  </w:style>
  <w:style w:type="paragraph" w:styleId="Paragrafoelenco">
    <w:name w:val="List Paragraph"/>
    <w:basedOn w:val="Normale"/>
    <w:uiPriority w:val="34"/>
    <w:qFormat/>
    <w:rsid w:val="007D5CCC"/>
    <w:pPr>
      <w:ind w:left="720"/>
      <w:contextualSpacing/>
    </w:pPr>
  </w:style>
  <w:style w:type="character" w:styleId="Enfasiintensa">
    <w:name w:val="Intense Emphasis"/>
    <w:basedOn w:val="Carpredefinitoparagrafo"/>
    <w:uiPriority w:val="21"/>
    <w:qFormat/>
    <w:rsid w:val="007D5CCC"/>
    <w:rPr>
      <w:i/>
      <w:iCs/>
      <w:color w:val="2F5496" w:themeColor="accent1" w:themeShade="BF"/>
    </w:rPr>
  </w:style>
  <w:style w:type="paragraph" w:styleId="Citazioneintensa">
    <w:name w:val="Intense Quote"/>
    <w:basedOn w:val="Normale"/>
    <w:next w:val="Normale"/>
    <w:link w:val="CitazioneintensaCarattere"/>
    <w:uiPriority w:val="30"/>
    <w:qFormat/>
    <w:rsid w:val="007D5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D5CCC"/>
    <w:rPr>
      <w:i/>
      <w:iCs/>
      <w:color w:val="2F5496" w:themeColor="accent1" w:themeShade="BF"/>
    </w:rPr>
  </w:style>
  <w:style w:type="character" w:styleId="Riferimentointenso">
    <w:name w:val="Intense Reference"/>
    <w:basedOn w:val="Carpredefinitoparagrafo"/>
    <w:uiPriority w:val="32"/>
    <w:qFormat/>
    <w:rsid w:val="007D5CCC"/>
    <w:rPr>
      <w:b/>
      <w:bCs/>
      <w:smallCaps/>
      <w:color w:val="2F5496" w:themeColor="accent1" w:themeShade="BF"/>
      <w:spacing w:val="5"/>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e"/>
    <w:rsid w:val="00602234"/>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Carpredefinitoparagrafo"/>
    <w:rsid w:val="00602234"/>
  </w:style>
  <w:style w:type="paragraph" w:styleId="Pidipagina">
    <w:name w:val="footer"/>
    <w:basedOn w:val="Normale"/>
    <w:link w:val="PidipaginaCarattere"/>
    <w:uiPriority w:val="99"/>
    <w:unhideWhenUsed/>
    <w:rsid w:val="00BA4F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4F79"/>
  </w:style>
  <w:style w:type="character" w:styleId="Numeropagina">
    <w:name w:val="page number"/>
    <w:basedOn w:val="Carpredefinitoparagrafo"/>
    <w:uiPriority w:val="99"/>
    <w:semiHidden/>
    <w:unhideWhenUsed/>
    <w:rsid w:val="00BA4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0957">
      <w:bodyDiv w:val="1"/>
      <w:marLeft w:val="0"/>
      <w:marRight w:val="0"/>
      <w:marTop w:val="0"/>
      <w:marBottom w:val="0"/>
      <w:divBdr>
        <w:top w:val="none" w:sz="0" w:space="0" w:color="auto"/>
        <w:left w:val="none" w:sz="0" w:space="0" w:color="auto"/>
        <w:bottom w:val="none" w:sz="0" w:space="0" w:color="auto"/>
        <w:right w:val="none" w:sz="0" w:space="0" w:color="auto"/>
      </w:divBdr>
    </w:div>
    <w:div w:id="150945018">
      <w:bodyDiv w:val="1"/>
      <w:marLeft w:val="0"/>
      <w:marRight w:val="0"/>
      <w:marTop w:val="0"/>
      <w:marBottom w:val="0"/>
      <w:divBdr>
        <w:top w:val="none" w:sz="0" w:space="0" w:color="auto"/>
        <w:left w:val="none" w:sz="0" w:space="0" w:color="auto"/>
        <w:bottom w:val="none" w:sz="0" w:space="0" w:color="auto"/>
        <w:right w:val="none" w:sz="0" w:space="0" w:color="auto"/>
      </w:divBdr>
    </w:div>
    <w:div w:id="165757078">
      <w:bodyDiv w:val="1"/>
      <w:marLeft w:val="0"/>
      <w:marRight w:val="0"/>
      <w:marTop w:val="0"/>
      <w:marBottom w:val="0"/>
      <w:divBdr>
        <w:top w:val="none" w:sz="0" w:space="0" w:color="auto"/>
        <w:left w:val="none" w:sz="0" w:space="0" w:color="auto"/>
        <w:bottom w:val="none" w:sz="0" w:space="0" w:color="auto"/>
        <w:right w:val="none" w:sz="0" w:space="0" w:color="auto"/>
      </w:divBdr>
    </w:div>
    <w:div w:id="328097373">
      <w:bodyDiv w:val="1"/>
      <w:marLeft w:val="0"/>
      <w:marRight w:val="0"/>
      <w:marTop w:val="0"/>
      <w:marBottom w:val="0"/>
      <w:divBdr>
        <w:top w:val="none" w:sz="0" w:space="0" w:color="auto"/>
        <w:left w:val="none" w:sz="0" w:space="0" w:color="auto"/>
        <w:bottom w:val="none" w:sz="0" w:space="0" w:color="auto"/>
        <w:right w:val="none" w:sz="0" w:space="0" w:color="auto"/>
      </w:divBdr>
    </w:div>
    <w:div w:id="532380900">
      <w:bodyDiv w:val="1"/>
      <w:marLeft w:val="0"/>
      <w:marRight w:val="0"/>
      <w:marTop w:val="0"/>
      <w:marBottom w:val="0"/>
      <w:divBdr>
        <w:top w:val="none" w:sz="0" w:space="0" w:color="auto"/>
        <w:left w:val="none" w:sz="0" w:space="0" w:color="auto"/>
        <w:bottom w:val="none" w:sz="0" w:space="0" w:color="auto"/>
        <w:right w:val="none" w:sz="0" w:space="0" w:color="auto"/>
      </w:divBdr>
    </w:div>
    <w:div w:id="628054437">
      <w:bodyDiv w:val="1"/>
      <w:marLeft w:val="0"/>
      <w:marRight w:val="0"/>
      <w:marTop w:val="0"/>
      <w:marBottom w:val="0"/>
      <w:divBdr>
        <w:top w:val="none" w:sz="0" w:space="0" w:color="auto"/>
        <w:left w:val="none" w:sz="0" w:space="0" w:color="auto"/>
        <w:bottom w:val="none" w:sz="0" w:space="0" w:color="auto"/>
        <w:right w:val="none" w:sz="0" w:space="0" w:color="auto"/>
      </w:divBdr>
    </w:div>
    <w:div w:id="700713647">
      <w:bodyDiv w:val="1"/>
      <w:marLeft w:val="0"/>
      <w:marRight w:val="0"/>
      <w:marTop w:val="0"/>
      <w:marBottom w:val="0"/>
      <w:divBdr>
        <w:top w:val="none" w:sz="0" w:space="0" w:color="auto"/>
        <w:left w:val="none" w:sz="0" w:space="0" w:color="auto"/>
        <w:bottom w:val="none" w:sz="0" w:space="0" w:color="auto"/>
        <w:right w:val="none" w:sz="0" w:space="0" w:color="auto"/>
      </w:divBdr>
    </w:div>
    <w:div w:id="736250726">
      <w:bodyDiv w:val="1"/>
      <w:marLeft w:val="0"/>
      <w:marRight w:val="0"/>
      <w:marTop w:val="0"/>
      <w:marBottom w:val="0"/>
      <w:divBdr>
        <w:top w:val="none" w:sz="0" w:space="0" w:color="auto"/>
        <w:left w:val="none" w:sz="0" w:space="0" w:color="auto"/>
        <w:bottom w:val="none" w:sz="0" w:space="0" w:color="auto"/>
        <w:right w:val="none" w:sz="0" w:space="0" w:color="auto"/>
      </w:divBdr>
    </w:div>
    <w:div w:id="758985199">
      <w:bodyDiv w:val="1"/>
      <w:marLeft w:val="0"/>
      <w:marRight w:val="0"/>
      <w:marTop w:val="0"/>
      <w:marBottom w:val="0"/>
      <w:divBdr>
        <w:top w:val="none" w:sz="0" w:space="0" w:color="auto"/>
        <w:left w:val="none" w:sz="0" w:space="0" w:color="auto"/>
        <w:bottom w:val="none" w:sz="0" w:space="0" w:color="auto"/>
        <w:right w:val="none" w:sz="0" w:space="0" w:color="auto"/>
      </w:divBdr>
    </w:div>
    <w:div w:id="843085472">
      <w:bodyDiv w:val="1"/>
      <w:marLeft w:val="0"/>
      <w:marRight w:val="0"/>
      <w:marTop w:val="0"/>
      <w:marBottom w:val="0"/>
      <w:divBdr>
        <w:top w:val="none" w:sz="0" w:space="0" w:color="auto"/>
        <w:left w:val="none" w:sz="0" w:space="0" w:color="auto"/>
        <w:bottom w:val="none" w:sz="0" w:space="0" w:color="auto"/>
        <w:right w:val="none" w:sz="0" w:space="0" w:color="auto"/>
      </w:divBdr>
    </w:div>
    <w:div w:id="845750955">
      <w:bodyDiv w:val="1"/>
      <w:marLeft w:val="0"/>
      <w:marRight w:val="0"/>
      <w:marTop w:val="0"/>
      <w:marBottom w:val="0"/>
      <w:divBdr>
        <w:top w:val="none" w:sz="0" w:space="0" w:color="auto"/>
        <w:left w:val="none" w:sz="0" w:space="0" w:color="auto"/>
        <w:bottom w:val="none" w:sz="0" w:space="0" w:color="auto"/>
        <w:right w:val="none" w:sz="0" w:space="0" w:color="auto"/>
      </w:divBdr>
    </w:div>
    <w:div w:id="883635860">
      <w:bodyDiv w:val="1"/>
      <w:marLeft w:val="0"/>
      <w:marRight w:val="0"/>
      <w:marTop w:val="0"/>
      <w:marBottom w:val="0"/>
      <w:divBdr>
        <w:top w:val="none" w:sz="0" w:space="0" w:color="auto"/>
        <w:left w:val="none" w:sz="0" w:space="0" w:color="auto"/>
        <w:bottom w:val="none" w:sz="0" w:space="0" w:color="auto"/>
        <w:right w:val="none" w:sz="0" w:space="0" w:color="auto"/>
      </w:divBdr>
    </w:div>
    <w:div w:id="887372871">
      <w:bodyDiv w:val="1"/>
      <w:marLeft w:val="0"/>
      <w:marRight w:val="0"/>
      <w:marTop w:val="0"/>
      <w:marBottom w:val="0"/>
      <w:divBdr>
        <w:top w:val="none" w:sz="0" w:space="0" w:color="auto"/>
        <w:left w:val="none" w:sz="0" w:space="0" w:color="auto"/>
        <w:bottom w:val="none" w:sz="0" w:space="0" w:color="auto"/>
        <w:right w:val="none" w:sz="0" w:space="0" w:color="auto"/>
      </w:divBdr>
    </w:div>
    <w:div w:id="956957046">
      <w:bodyDiv w:val="1"/>
      <w:marLeft w:val="0"/>
      <w:marRight w:val="0"/>
      <w:marTop w:val="0"/>
      <w:marBottom w:val="0"/>
      <w:divBdr>
        <w:top w:val="none" w:sz="0" w:space="0" w:color="auto"/>
        <w:left w:val="none" w:sz="0" w:space="0" w:color="auto"/>
        <w:bottom w:val="none" w:sz="0" w:space="0" w:color="auto"/>
        <w:right w:val="none" w:sz="0" w:space="0" w:color="auto"/>
      </w:divBdr>
    </w:div>
    <w:div w:id="1041393314">
      <w:bodyDiv w:val="1"/>
      <w:marLeft w:val="0"/>
      <w:marRight w:val="0"/>
      <w:marTop w:val="0"/>
      <w:marBottom w:val="0"/>
      <w:divBdr>
        <w:top w:val="none" w:sz="0" w:space="0" w:color="auto"/>
        <w:left w:val="none" w:sz="0" w:space="0" w:color="auto"/>
        <w:bottom w:val="none" w:sz="0" w:space="0" w:color="auto"/>
        <w:right w:val="none" w:sz="0" w:space="0" w:color="auto"/>
      </w:divBdr>
    </w:div>
    <w:div w:id="1237714550">
      <w:bodyDiv w:val="1"/>
      <w:marLeft w:val="0"/>
      <w:marRight w:val="0"/>
      <w:marTop w:val="0"/>
      <w:marBottom w:val="0"/>
      <w:divBdr>
        <w:top w:val="none" w:sz="0" w:space="0" w:color="auto"/>
        <w:left w:val="none" w:sz="0" w:space="0" w:color="auto"/>
        <w:bottom w:val="none" w:sz="0" w:space="0" w:color="auto"/>
        <w:right w:val="none" w:sz="0" w:space="0" w:color="auto"/>
      </w:divBdr>
    </w:div>
    <w:div w:id="1333217262">
      <w:bodyDiv w:val="1"/>
      <w:marLeft w:val="0"/>
      <w:marRight w:val="0"/>
      <w:marTop w:val="0"/>
      <w:marBottom w:val="0"/>
      <w:divBdr>
        <w:top w:val="none" w:sz="0" w:space="0" w:color="auto"/>
        <w:left w:val="none" w:sz="0" w:space="0" w:color="auto"/>
        <w:bottom w:val="none" w:sz="0" w:space="0" w:color="auto"/>
        <w:right w:val="none" w:sz="0" w:space="0" w:color="auto"/>
      </w:divBdr>
    </w:div>
    <w:div w:id="1423986900">
      <w:bodyDiv w:val="1"/>
      <w:marLeft w:val="0"/>
      <w:marRight w:val="0"/>
      <w:marTop w:val="0"/>
      <w:marBottom w:val="0"/>
      <w:divBdr>
        <w:top w:val="none" w:sz="0" w:space="0" w:color="auto"/>
        <w:left w:val="none" w:sz="0" w:space="0" w:color="auto"/>
        <w:bottom w:val="none" w:sz="0" w:space="0" w:color="auto"/>
        <w:right w:val="none" w:sz="0" w:space="0" w:color="auto"/>
      </w:divBdr>
    </w:div>
    <w:div w:id="1474716240">
      <w:bodyDiv w:val="1"/>
      <w:marLeft w:val="0"/>
      <w:marRight w:val="0"/>
      <w:marTop w:val="0"/>
      <w:marBottom w:val="0"/>
      <w:divBdr>
        <w:top w:val="none" w:sz="0" w:space="0" w:color="auto"/>
        <w:left w:val="none" w:sz="0" w:space="0" w:color="auto"/>
        <w:bottom w:val="none" w:sz="0" w:space="0" w:color="auto"/>
        <w:right w:val="none" w:sz="0" w:space="0" w:color="auto"/>
      </w:divBdr>
    </w:div>
    <w:div w:id="1521550303">
      <w:bodyDiv w:val="1"/>
      <w:marLeft w:val="0"/>
      <w:marRight w:val="0"/>
      <w:marTop w:val="0"/>
      <w:marBottom w:val="0"/>
      <w:divBdr>
        <w:top w:val="none" w:sz="0" w:space="0" w:color="auto"/>
        <w:left w:val="none" w:sz="0" w:space="0" w:color="auto"/>
        <w:bottom w:val="none" w:sz="0" w:space="0" w:color="auto"/>
        <w:right w:val="none" w:sz="0" w:space="0" w:color="auto"/>
      </w:divBdr>
    </w:div>
    <w:div w:id="1833135352">
      <w:bodyDiv w:val="1"/>
      <w:marLeft w:val="0"/>
      <w:marRight w:val="0"/>
      <w:marTop w:val="0"/>
      <w:marBottom w:val="0"/>
      <w:divBdr>
        <w:top w:val="none" w:sz="0" w:space="0" w:color="auto"/>
        <w:left w:val="none" w:sz="0" w:space="0" w:color="auto"/>
        <w:bottom w:val="none" w:sz="0" w:space="0" w:color="auto"/>
        <w:right w:val="none" w:sz="0" w:space="0" w:color="auto"/>
      </w:divBdr>
    </w:div>
    <w:div w:id="1870797172">
      <w:bodyDiv w:val="1"/>
      <w:marLeft w:val="0"/>
      <w:marRight w:val="0"/>
      <w:marTop w:val="0"/>
      <w:marBottom w:val="0"/>
      <w:divBdr>
        <w:top w:val="none" w:sz="0" w:space="0" w:color="auto"/>
        <w:left w:val="none" w:sz="0" w:space="0" w:color="auto"/>
        <w:bottom w:val="none" w:sz="0" w:space="0" w:color="auto"/>
        <w:right w:val="none" w:sz="0" w:space="0" w:color="auto"/>
      </w:divBdr>
    </w:div>
    <w:div w:id="2007975948">
      <w:bodyDiv w:val="1"/>
      <w:marLeft w:val="0"/>
      <w:marRight w:val="0"/>
      <w:marTop w:val="0"/>
      <w:marBottom w:val="0"/>
      <w:divBdr>
        <w:top w:val="none" w:sz="0" w:space="0" w:color="auto"/>
        <w:left w:val="none" w:sz="0" w:space="0" w:color="auto"/>
        <w:bottom w:val="none" w:sz="0" w:space="0" w:color="auto"/>
        <w:right w:val="none" w:sz="0" w:space="0" w:color="auto"/>
      </w:divBdr>
    </w:div>
    <w:div w:id="2025933781">
      <w:bodyDiv w:val="1"/>
      <w:marLeft w:val="0"/>
      <w:marRight w:val="0"/>
      <w:marTop w:val="0"/>
      <w:marBottom w:val="0"/>
      <w:divBdr>
        <w:top w:val="none" w:sz="0" w:space="0" w:color="auto"/>
        <w:left w:val="none" w:sz="0" w:space="0" w:color="auto"/>
        <w:bottom w:val="none" w:sz="0" w:space="0" w:color="auto"/>
        <w:right w:val="none" w:sz="0" w:space="0" w:color="auto"/>
      </w:divBdr>
    </w:div>
    <w:div w:id="211127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8CF2C-09D0-4544-80AC-2AAB052F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3341</Words>
  <Characters>24493</Characters>
  <Application>Microsoft Office Word</Application>
  <DocSecurity>0</DocSecurity>
  <Lines>644</Lines>
  <Paragraphs>296</Paragraphs>
  <ScaleCrop>false</ScaleCrop>
  <Company/>
  <LinksUpToDate>false</LinksUpToDate>
  <CharactersWithSpaces>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Blazinskiene</dc:creator>
  <cp:keywords/>
  <dc:description/>
  <cp:lastModifiedBy>DOMENICO CRISAFULLI</cp:lastModifiedBy>
  <cp:revision>152</cp:revision>
  <dcterms:created xsi:type="dcterms:W3CDTF">2024-09-26T07:49:00Z</dcterms:created>
  <dcterms:modified xsi:type="dcterms:W3CDTF">2024-11-11T21:22:00Z</dcterms:modified>
</cp:coreProperties>
</file>