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483B" w14:textId="103DD6D9" w:rsidR="0062067C" w:rsidRPr="00C705F0" w:rsidRDefault="00EF1785" w:rsidP="00EF1785">
      <w:pPr>
        <w:jc w:val="right"/>
        <w:rPr>
          <w:szCs w:val="24"/>
        </w:rPr>
      </w:pPr>
      <w:r w:rsidRPr="00C705F0">
        <w:rPr>
          <w:szCs w:val="24"/>
          <w:lang w:val="en-US"/>
        </w:rPr>
        <w:t>S/</w:t>
      </w:r>
      <w:r w:rsidR="003F194D" w:rsidRPr="00C705F0">
        <w:rPr>
          <w:szCs w:val="24"/>
          <w:lang w:val="en-US"/>
        </w:rPr>
        <w:t>10-038-T-0</w:t>
      </w:r>
      <w:r w:rsidR="00551A6C">
        <w:rPr>
          <w:szCs w:val="24"/>
          <w:lang w:val="en-US"/>
        </w:rPr>
        <w:t>094</w:t>
      </w:r>
    </w:p>
    <w:p w14:paraId="478214AA" w14:textId="77777777" w:rsidR="00AB27A0" w:rsidRPr="00C705F0" w:rsidRDefault="00AB27A0" w:rsidP="00AB27A0">
      <w:pPr>
        <w:jc w:val="center"/>
        <w:rPr>
          <w:szCs w:val="24"/>
        </w:rPr>
      </w:pPr>
    </w:p>
    <w:p w14:paraId="645FA994" w14:textId="55E6FBEF" w:rsidR="00AB27A0" w:rsidRPr="00C705F0" w:rsidRDefault="00AB27A0" w:rsidP="00AB27A0">
      <w:pPr>
        <w:jc w:val="center"/>
        <w:rPr>
          <w:szCs w:val="24"/>
        </w:rPr>
      </w:pPr>
    </w:p>
    <w:p w14:paraId="44F97B37" w14:textId="77777777" w:rsidR="00AB27A0" w:rsidRPr="00C705F0" w:rsidRDefault="00AB27A0" w:rsidP="00AB27A0">
      <w:pPr>
        <w:jc w:val="center"/>
        <w:rPr>
          <w:szCs w:val="24"/>
        </w:rPr>
      </w:pPr>
    </w:p>
    <w:p w14:paraId="31F8CEC3" w14:textId="77777777" w:rsidR="00AB27A0" w:rsidRPr="00C705F0" w:rsidRDefault="00AB27A0" w:rsidP="00AB27A0">
      <w:pPr>
        <w:pStyle w:val="a"/>
        <w:rPr>
          <w:sz w:val="24"/>
          <w:szCs w:val="24"/>
        </w:rPr>
      </w:pPr>
    </w:p>
    <w:p w14:paraId="2FDE83E5" w14:textId="77777777" w:rsidR="00AB27A0" w:rsidRPr="00C705F0" w:rsidRDefault="00AB27A0" w:rsidP="00AB27A0">
      <w:pPr>
        <w:jc w:val="center"/>
        <w:rPr>
          <w:caps/>
          <w:szCs w:val="24"/>
        </w:rPr>
      </w:pPr>
    </w:p>
    <w:p w14:paraId="126F1C11" w14:textId="4B947E15" w:rsidR="00AB27A0" w:rsidRPr="00C705F0" w:rsidRDefault="00AB27A0" w:rsidP="00AB27A0">
      <w:pPr>
        <w:jc w:val="center"/>
        <w:rPr>
          <w:caps/>
          <w:szCs w:val="24"/>
        </w:rPr>
      </w:pPr>
    </w:p>
    <w:p w14:paraId="111A3731" w14:textId="35C4047B" w:rsidR="00AB27A0" w:rsidRPr="00C705F0" w:rsidRDefault="00AB27A0" w:rsidP="00AB27A0">
      <w:pPr>
        <w:jc w:val="center"/>
        <w:rPr>
          <w:bCs/>
          <w:caps/>
          <w:szCs w:val="24"/>
        </w:rPr>
      </w:pPr>
    </w:p>
    <w:p w14:paraId="3BECA692" w14:textId="77777777" w:rsidR="00AB27A0" w:rsidRPr="00C705F0" w:rsidRDefault="00AB27A0" w:rsidP="00AB27A0">
      <w:pPr>
        <w:jc w:val="center"/>
        <w:rPr>
          <w:bCs/>
          <w:caps/>
          <w:szCs w:val="24"/>
        </w:rPr>
      </w:pPr>
    </w:p>
    <w:p w14:paraId="400C6332" w14:textId="142F03CB" w:rsidR="00AB27A0" w:rsidRPr="00C705F0" w:rsidRDefault="003F194D" w:rsidP="00AB27A0">
      <w:pPr>
        <w:spacing w:after="60"/>
        <w:jc w:val="center"/>
        <w:rPr>
          <w:b/>
          <w:caps/>
          <w:sz w:val="28"/>
        </w:rPr>
      </w:pPr>
      <w:r w:rsidRPr="00C705F0">
        <w:rPr>
          <w:b/>
          <w:caps/>
          <w:sz w:val="28"/>
        </w:rPr>
        <w:t>Projekto „MTEP idėjos tikrinimas -</w:t>
      </w:r>
      <w:r w:rsidR="00AA3682" w:rsidRPr="00AA3682">
        <w:rPr>
          <w:b/>
          <w:caps/>
          <w:sz w:val="28"/>
        </w:rPr>
        <w:t>defektų vertinimo metodikos patobulinimas komponentų struktūrinio vientisumo ir ilgaamžiškumo nustatymui</w:t>
      </w:r>
      <w:r w:rsidRPr="00C705F0">
        <w:rPr>
          <w:b/>
          <w:caps/>
          <w:sz w:val="28"/>
        </w:rPr>
        <w:t>“</w:t>
      </w:r>
    </w:p>
    <w:p w14:paraId="36464B42" w14:textId="77777777" w:rsidR="00AB27A0" w:rsidRPr="00C705F0" w:rsidRDefault="00AB27A0" w:rsidP="00AB27A0">
      <w:pPr>
        <w:jc w:val="center"/>
        <w:rPr>
          <w:sz w:val="28"/>
        </w:rPr>
      </w:pPr>
    </w:p>
    <w:p w14:paraId="41C1F180" w14:textId="119D6E68" w:rsidR="00AB27A0" w:rsidRPr="00C705F0" w:rsidRDefault="003F194D" w:rsidP="00AB27A0">
      <w:pPr>
        <w:jc w:val="center"/>
        <w:rPr>
          <w:i/>
          <w:iCs/>
          <w:sz w:val="28"/>
        </w:rPr>
      </w:pPr>
      <w:r w:rsidRPr="00C705F0">
        <w:rPr>
          <w:i/>
          <w:iCs/>
          <w:sz w:val="28"/>
        </w:rPr>
        <w:t>Veiklos</w:t>
      </w:r>
      <w:r w:rsidR="00AB27A0" w:rsidRPr="00C705F0">
        <w:rPr>
          <w:i/>
          <w:iCs/>
          <w:sz w:val="28"/>
        </w:rPr>
        <w:t xml:space="preserve"> ataskaita</w:t>
      </w:r>
    </w:p>
    <w:p w14:paraId="121BDD6D" w14:textId="77777777" w:rsidR="008360A7" w:rsidRPr="00C705F0" w:rsidRDefault="008360A7" w:rsidP="00AB27A0">
      <w:pPr>
        <w:jc w:val="center"/>
        <w:rPr>
          <w:sz w:val="28"/>
          <w:lang w:val="de-DE"/>
        </w:rPr>
        <w:sectPr w:rsidR="008360A7" w:rsidRPr="00C705F0" w:rsidSect="00EA7371">
          <w:headerReference w:type="default" r:id="rId8"/>
          <w:footerReference w:type="default" r:id="rId9"/>
          <w:pgSz w:w="11907" w:h="16840" w:code="9"/>
          <w:pgMar w:top="1134" w:right="851" w:bottom="1134" w:left="1701" w:header="1134" w:footer="851" w:gutter="0"/>
          <w:cols w:space="708"/>
          <w:docGrid w:linePitch="360"/>
        </w:sectPr>
      </w:pPr>
    </w:p>
    <w:p w14:paraId="5DB4ABD8" w14:textId="77777777" w:rsidR="00AB27A0" w:rsidRPr="00C705F0" w:rsidRDefault="00AB27A0" w:rsidP="00AB27A0">
      <w:pPr>
        <w:jc w:val="center"/>
        <w:rPr>
          <w:szCs w:val="24"/>
        </w:rPr>
      </w:pPr>
    </w:p>
    <w:p w14:paraId="72521B1B" w14:textId="533463E9" w:rsidR="008360A7" w:rsidRPr="00C705F0" w:rsidRDefault="008360A7" w:rsidP="008360A7">
      <w:pPr>
        <w:widowControl w:val="0"/>
        <w:rPr>
          <w:szCs w:val="24"/>
        </w:rPr>
      </w:pPr>
      <w:r w:rsidRPr="00C705F0">
        <w:rPr>
          <w:b/>
          <w:bCs/>
          <w:szCs w:val="24"/>
        </w:rPr>
        <w:t xml:space="preserve">Projekto įgyvendinimo laikotarpis: </w:t>
      </w:r>
      <w:r w:rsidRPr="00C705F0">
        <w:rPr>
          <w:szCs w:val="24"/>
        </w:rPr>
        <w:t>2024-0</w:t>
      </w:r>
      <w:r w:rsidR="00C47CB8">
        <w:rPr>
          <w:szCs w:val="24"/>
        </w:rPr>
        <w:t>9</w:t>
      </w:r>
      <w:r w:rsidRPr="00C705F0">
        <w:rPr>
          <w:szCs w:val="24"/>
        </w:rPr>
        <w:t>-</w:t>
      </w:r>
      <w:r w:rsidR="00C47CB8">
        <w:rPr>
          <w:szCs w:val="24"/>
        </w:rPr>
        <w:t>23</w:t>
      </w:r>
      <w:r w:rsidRPr="00C705F0">
        <w:rPr>
          <w:b/>
          <w:bCs/>
          <w:szCs w:val="24"/>
        </w:rPr>
        <w:t xml:space="preserve"> </w:t>
      </w:r>
      <w:r w:rsidRPr="00C705F0">
        <w:rPr>
          <w:szCs w:val="24"/>
        </w:rPr>
        <w:t>– 2025-0</w:t>
      </w:r>
      <w:r w:rsidR="00C47CB8">
        <w:rPr>
          <w:szCs w:val="24"/>
        </w:rPr>
        <w:t>9</w:t>
      </w:r>
      <w:r w:rsidRPr="00C705F0">
        <w:rPr>
          <w:szCs w:val="24"/>
        </w:rPr>
        <w:t>-</w:t>
      </w:r>
      <w:r w:rsidR="00C47CB8">
        <w:rPr>
          <w:szCs w:val="24"/>
        </w:rPr>
        <w:t>30</w:t>
      </w:r>
    </w:p>
    <w:p w14:paraId="52E6CDBF" w14:textId="77777777" w:rsidR="008360A7" w:rsidRPr="00C705F0" w:rsidRDefault="008360A7" w:rsidP="008360A7">
      <w:pPr>
        <w:widowControl w:val="0"/>
        <w:rPr>
          <w:b/>
          <w:bCs/>
          <w:szCs w:val="24"/>
        </w:rPr>
      </w:pPr>
    </w:p>
    <w:p w14:paraId="7B700ACD" w14:textId="77777777" w:rsidR="008360A7" w:rsidRPr="00C705F0" w:rsidRDefault="008360A7" w:rsidP="008360A7">
      <w:pPr>
        <w:widowControl w:val="0"/>
        <w:rPr>
          <w:b/>
          <w:bCs/>
          <w:szCs w:val="24"/>
        </w:rPr>
      </w:pPr>
      <w:r w:rsidRPr="00C705F0">
        <w:rPr>
          <w:b/>
          <w:bCs/>
          <w:szCs w:val="24"/>
        </w:rPr>
        <w:t>Projekto tikslas:</w:t>
      </w:r>
    </w:p>
    <w:p w14:paraId="145B4254" w14:textId="77777777" w:rsidR="008360A7" w:rsidRPr="00C705F0" w:rsidRDefault="008360A7" w:rsidP="008360A7">
      <w:pPr>
        <w:widowControl w:val="0"/>
        <w:jc w:val="both"/>
        <w:rPr>
          <w:bCs/>
          <w:szCs w:val="24"/>
        </w:rPr>
      </w:pPr>
      <w:r w:rsidRPr="00C705F0">
        <w:rPr>
          <w:bCs/>
          <w:szCs w:val="24"/>
        </w:rPr>
        <w:t>Pasiruošti teikti paraišką pagal programos „EURATOM“ kvietimus vykdant tarpdisciplininį projektą.</w:t>
      </w:r>
    </w:p>
    <w:p w14:paraId="0C0C3AB4" w14:textId="77777777" w:rsidR="008360A7" w:rsidRPr="00C705F0" w:rsidRDefault="008360A7" w:rsidP="008360A7">
      <w:pPr>
        <w:jc w:val="both"/>
        <w:rPr>
          <w:b/>
          <w:bCs/>
          <w:szCs w:val="24"/>
        </w:rPr>
      </w:pPr>
    </w:p>
    <w:p w14:paraId="35E595A8" w14:textId="435B4732" w:rsidR="00AD6CBA" w:rsidRDefault="00AD6CBA" w:rsidP="00AD6CBA">
      <w:pPr>
        <w:jc w:val="both"/>
        <w:rPr>
          <w:bCs/>
          <w:szCs w:val="24"/>
        </w:rPr>
      </w:pPr>
      <w:r w:rsidRPr="00AD6CBA">
        <w:rPr>
          <w:b/>
          <w:bCs/>
          <w:szCs w:val="24"/>
        </w:rPr>
        <w:t xml:space="preserve">Projekto įgyvendinimo metu vykdyta veikla: </w:t>
      </w:r>
      <w:r w:rsidRPr="00AD6CBA">
        <w:rPr>
          <w:bCs/>
          <w:szCs w:val="24"/>
        </w:rPr>
        <w:t>projekto įgyvendinimo metu buvo atliekami pasirengimo darbai, padėsiantys parengti paraišką ir gauti paraiškos parengimui būtinas žinias pagal programos HORIZON-EURATOM būsimą kvietimą: „Eksploatuojamų branduolinių elektrinių ir tyrimo reaktorių sauga (Safety of operating nuclear power plants and research reactors)“ vykdant tarpdisciplininį projektą.</w:t>
      </w:r>
    </w:p>
    <w:p w14:paraId="7A0BD189" w14:textId="3E0D56BB" w:rsidR="00716F69" w:rsidRDefault="00716F69" w:rsidP="00AD6CBA">
      <w:pPr>
        <w:jc w:val="both"/>
        <w:rPr>
          <w:bCs/>
          <w:szCs w:val="24"/>
        </w:rPr>
      </w:pPr>
      <w:r>
        <w:rPr>
          <w:bCs/>
          <w:szCs w:val="24"/>
        </w:rPr>
        <w:t xml:space="preserve">Kadangi planuojamos teikti </w:t>
      </w:r>
      <w:r w:rsidR="0077643B">
        <w:rPr>
          <w:bCs/>
          <w:szCs w:val="24"/>
        </w:rPr>
        <w:t xml:space="preserve">paraiškos pagal HORIZON-EURATOM būsimą kvietimą projekto tikslas </w:t>
      </w:r>
      <w:r w:rsidR="00470801">
        <w:rPr>
          <w:bCs/>
          <w:szCs w:val="24"/>
        </w:rPr>
        <w:t>– patobulinti šiuo metu esam</w:t>
      </w:r>
      <w:r w:rsidR="00806B51">
        <w:rPr>
          <w:bCs/>
          <w:szCs w:val="24"/>
        </w:rPr>
        <w:t>a</w:t>
      </w:r>
      <w:r w:rsidR="00470801">
        <w:rPr>
          <w:bCs/>
          <w:szCs w:val="24"/>
        </w:rPr>
        <w:t>s ir naudojam</w:t>
      </w:r>
      <w:r w:rsidR="00806B51">
        <w:rPr>
          <w:bCs/>
          <w:szCs w:val="24"/>
        </w:rPr>
        <w:t>a</w:t>
      </w:r>
      <w:r w:rsidR="00470801">
        <w:rPr>
          <w:bCs/>
          <w:szCs w:val="24"/>
        </w:rPr>
        <w:t xml:space="preserve">s </w:t>
      </w:r>
      <w:r w:rsidR="00806B51">
        <w:rPr>
          <w:bCs/>
          <w:szCs w:val="24"/>
        </w:rPr>
        <w:t>defektų</w:t>
      </w:r>
      <w:r w:rsidR="00A06CD9">
        <w:rPr>
          <w:bCs/>
          <w:szCs w:val="24"/>
        </w:rPr>
        <w:t xml:space="preserve"> aptinkamų </w:t>
      </w:r>
      <w:r w:rsidR="00A06CD9">
        <w:rPr>
          <w:bCs/>
          <w:szCs w:val="24"/>
        </w:rPr>
        <w:t>branduolinių elektrinių komponent</w:t>
      </w:r>
      <w:r w:rsidR="00A06CD9">
        <w:rPr>
          <w:bCs/>
          <w:szCs w:val="24"/>
        </w:rPr>
        <w:t>uose</w:t>
      </w:r>
      <w:r w:rsidR="00A06CD9">
        <w:rPr>
          <w:bCs/>
          <w:szCs w:val="24"/>
        </w:rPr>
        <w:t xml:space="preserve"> </w:t>
      </w:r>
      <w:r w:rsidR="00806B51">
        <w:rPr>
          <w:bCs/>
          <w:szCs w:val="24"/>
        </w:rPr>
        <w:t>vertinimo metodikas</w:t>
      </w:r>
      <w:r w:rsidR="00895ADD">
        <w:rPr>
          <w:bCs/>
          <w:szCs w:val="24"/>
        </w:rPr>
        <w:t xml:space="preserve">, kas tiesiogiai turi įtakos branduolinių elektrinių </w:t>
      </w:r>
      <w:r w:rsidR="00144084">
        <w:rPr>
          <w:bCs/>
          <w:szCs w:val="24"/>
        </w:rPr>
        <w:t xml:space="preserve">ilgaamžiškumo nustatymui. </w:t>
      </w:r>
      <w:r w:rsidR="00D2425F">
        <w:rPr>
          <w:bCs/>
          <w:szCs w:val="24"/>
        </w:rPr>
        <w:t>Todėl šiame projekte buvo:</w:t>
      </w:r>
    </w:p>
    <w:p w14:paraId="42CF60BA" w14:textId="5BE1C9C5" w:rsidR="00D2425F" w:rsidRDefault="00F735CD" w:rsidP="00D2425F">
      <w:pPr>
        <w:pStyle w:val="ListParagraph"/>
        <w:numPr>
          <w:ilvl w:val="0"/>
          <w:numId w:val="4"/>
        </w:numPr>
        <w:jc w:val="both"/>
        <w:rPr>
          <w:rFonts w:ascii="Times New Roman" w:hAnsi="Times New Roman"/>
          <w:bCs/>
          <w:sz w:val="24"/>
        </w:rPr>
      </w:pPr>
      <w:r>
        <w:rPr>
          <w:rFonts w:ascii="Times New Roman" w:hAnsi="Times New Roman"/>
          <w:bCs/>
          <w:sz w:val="24"/>
        </w:rPr>
        <w:t>s</w:t>
      </w:r>
      <w:r w:rsidR="00436F1B">
        <w:rPr>
          <w:rFonts w:ascii="Times New Roman" w:hAnsi="Times New Roman"/>
          <w:bCs/>
          <w:sz w:val="24"/>
        </w:rPr>
        <w:t xml:space="preserve">urinkta ir išnagrinėta atviruose šaltiniuose rasta informacija apie </w:t>
      </w:r>
      <w:r w:rsidR="00C50964">
        <w:rPr>
          <w:rFonts w:ascii="Times New Roman" w:hAnsi="Times New Roman"/>
          <w:bCs/>
          <w:sz w:val="24"/>
        </w:rPr>
        <w:t xml:space="preserve">įprastas ar dažniausiai naudojamas defektų vertinimo metodikas </w:t>
      </w:r>
      <w:r w:rsidR="00B977B7">
        <w:rPr>
          <w:rFonts w:ascii="Times New Roman" w:hAnsi="Times New Roman"/>
          <w:bCs/>
          <w:sz w:val="24"/>
        </w:rPr>
        <w:t>branduolinių elektrinių saugumo ir ilgaamžiškumo vertinime;</w:t>
      </w:r>
    </w:p>
    <w:p w14:paraId="643D0D3F" w14:textId="12FFCC0F" w:rsidR="00B977B7" w:rsidRDefault="00F735CD" w:rsidP="00D2425F">
      <w:pPr>
        <w:pStyle w:val="ListParagraph"/>
        <w:numPr>
          <w:ilvl w:val="0"/>
          <w:numId w:val="4"/>
        </w:numPr>
        <w:jc w:val="both"/>
        <w:rPr>
          <w:rFonts w:ascii="Times New Roman" w:hAnsi="Times New Roman"/>
          <w:bCs/>
          <w:sz w:val="24"/>
        </w:rPr>
      </w:pPr>
      <w:r>
        <w:rPr>
          <w:rFonts w:ascii="Times New Roman" w:hAnsi="Times New Roman"/>
          <w:bCs/>
          <w:sz w:val="24"/>
        </w:rPr>
        <w:t>a</w:t>
      </w:r>
      <w:r w:rsidR="003D6B68">
        <w:rPr>
          <w:rFonts w:ascii="Times New Roman" w:hAnsi="Times New Roman"/>
          <w:bCs/>
          <w:sz w:val="24"/>
        </w:rPr>
        <w:t>pžvelgt</w:t>
      </w:r>
      <w:r w:rsidR="00D61959">
        <w:rPr>
          <w:rFonts w:ascii="Times New Roman" w:hAnsi="Times New Roman"/>
          <w:bCs/>
          <w:sz w:val="24"/>
        </w:rPr>
        <w:t>i</w:t>
      </w:r>
      <w:r w:rsidR="003D6B68">
        <w:rPr>
          <w:rFonts w:ascii="Times New Roman" w:hAnsi="Times New Roman"/>
          <w:bCs/>
          <w:sz w:val="24"/>
        </w:rPr>
        <w:t xml:space="preserve"> </w:t>
      </w:r>
      <w:r w:rsidR="00655B34">
        <w:rPr>
          <w:rFonts w:ascii="Times New Roman" w:hAnsi="Times New Roman"/>
          <w:bCs/>
          <w:sz w:val="24"/>
        </w:rPr>
        <w:t xml:space="preserve">eksperimentiniai ir skaitiniai metodai </w:t>
      </w:r>
      <w:r w:rsidR="00D61959">
        <w:rPr>
          <w:rFonts w:ascii="Times New Roman" w:hAnsi="Times New Roman"/>
          <w:bCs/>
          <w:sz w:val="24"/>
        </w:rPr>
        <w:t>skirti nustatyti medžiagų irimo tąsumo parametr</w:t>
      </w:r>
      <w:r w:rsidR="003776E6">
        <w:rPr>
          <w:rFonts w:ascii="Times New Roman" w:hAnsi="Times New Roman"/>
          <w:bCs/>
          <w:sz w:val="24"/>
        </w:rPr>
        <w:t>us</w:t>
      </w:r>
      <w:r>
        <w:rPr>
          <w:rFonts w:ascii="Times New Roman" w:hAnsi="Times New Roman"/>
          <w:bCs/>
          <w:sz w:val="24"/>
        </w:rPr>
        <w:t xml:space="preserve"> bei išnagrinėti jų naudojimo privalumai, trūkumai, apribojimai;</w:t>
      </w:r>
    </w:p>
    <w:p w14:paraId="1F1D4384" w14:textId="032A495D" w:rsidR="00F735CD" w:rsidRDefault="00F9783F" w:rsidP="00D2425F">
      <w:pPr>
        <w:pStyle w:val="ListParagraph"/>
        <w:numPr>
          <w:ilvl w:val="0"/>
          <w:numId w:val="4"/>
        </w:numPr>
        <w:jc w:val="both"/>
        <w:rPr>
          <w:rFonts w:ascii="Times New Roman" w:hAnsi="Times New Roman"/>
          <w:bCs/>
          <w:sz w:val="24"/>
        </w:rPr>
      </w:pPr>
      <w:r>
        <w:rPr>
          <w:rFonts w:ascii="Times New Roman" w:hAnsi="Times New Roman"/>
          <w:bCs/>
          <w:sz w:val="24"/>
        </w:rPr>
        <w:t>apžvelgti</w:t>
      </w:r>
      <w:r w:rsidR="00767873">
        <w:rPr>
          <w:rFonts w:ascii="Times New Roman" w:hAnsi="Times New Roman"/>
          <w:bCs/>
          <w:sz w:val="24"/>
        </w:rPr>
        <w:t xml:space="preserve"> bei palyginti</w:t>
      </w:r>
      <w:r w:rsidR="00CF6A43">
        <w:rPr>
          <w:rFonts w:ascii="Times New Roman" w:hAnsi="Times New Roman"/>
          <w:bCs/>
          <w:sz w:val="24"/>
        </w:rPr>
        <w:t xml:space="preserve"> defektų vertinimo metodai naudojantys </w:t>
      </w:r>
      <w:r>
        <w:rPr>
          <w:rFonts w:ascii="Times New Roman" w:hAnsi="Times New Roman"/>
          <w:bCs/>
          <w:sz w:val="24"/>
        </w:rPr>
        <w:t>kelių parametrų</w:t>
      </w:r>
      <w:r w:rsidR="00A03021">
        <w:rPr>
          <w:rFonts w:ascii="Times New Roman" w:hAnsi="Times New Roman"/>
          <w:bCs/>
          <w:sz w:val="24"/>
        </w:rPr>
        <w:t xml:space="preserve">, tokie kaip FAD </w:t>
      </w:r>
      <w:r w:rsidR="005D4144">
        <w:rPr>
          <w:rFonts w:ascii="Times New Roman" w:hAnsi="Times New Roman"/>
          <w:bCs/>
          <w:sz w:val="24"/>
        </w:rPr>
        <w:t>(Failure Assessment Diagram)</w:t>
      </w:r>
      <w:r w:rsidR="00ED7DD5">
        <w:rPr>
          <w:rFonts w:ascii="Times New Roman" w:hAnsi="Times New Roman"/>
          <w:bCs/>
          <w:sz w:val="24"/>
        </w:rPr>
        <w:t>, R6 ir kiti.</w:t>
      </w:r>
    </w:p>
    <w:p w14:paraId="1858A4AB" w14:textId="3D450202" w:rsidR="003335A7" w:rsidRPr="00317370" w:rsidRDefault="00ED7DD5" w:rsidP="00ED7DD5">
      <w:pPr>
        <w:jc w:val="both"/>
        <w:rPr>
          <w:bCs/>
          <w:lang w:val="en-US"/>
        </w:rPr>
      </w:pPr>
      <w:r>
        <w:rPr>
          <w:bCs/>
        </w:rPr>
        <w:t>Iš atlikto</w:t>
      </w:r>
      <w:r w:rsidR="00317370">
        <w:rPr>
          <w:bCs/>
        </w:rPr>
        <w:t>s</w:t>
      </w:r>
      <w:r w:rsidR="00D359D7">
        <w:rPr>
          <w:bCs/>
        </w:rPr>
        <w:t xml:space="preserve"> apžvalgos ir</w:t>
      </w:r>
      <w:r>
        <w:rPr>
          <w:bCs/>
        </w:rPr>
        <w:t xml:space="preserve"> analizės ma</w:t>
      </w:r>
      <w:r w:rsidR="00D359D7">
        <w:rPr>
          <w:bCs/>
        </w:rPr>
        <w:t xml:space="preserve">tyti, kad esamos vertinimo metodikos </w:t>
      </w:r>
      <w:r w:rsidR="00601148">
        <w:rPr>
          <w:bCs/>
        </w:rPr>
        <w:t xml:space="preserve">yra labai apytikslės ir </w:t>
      </w:r>
      <w:r w:rsidR="00DE2239">
        <w:rPr>
          <w:bCs/>
        </w:rPr>
        <w:t xml:space="preserve">defektus vertina per daug </w:t>
      </w:r>
      <w:r w:rsidR="005F0707">
        <w:rPr>
          <w:bCs/>
        </w:rPr>
        <w:t xml:space="preserve">konservatyviai. </w:t>
      </w:r>
      <w:r w:rsidR="00317370">
        <w:rPr>
          <w:bCs/>
        </w:rPr>
        <w:t xml:space="preserve">Todėl </w:t>
      </w:r>
      <w:r w:rsidR="00CE17CE">
        <w:rPr>
          <w:bCs/>
        </w:rPr>
        <w:t xml:space="preserve">patikslintos metodikos sukūrimas galėtų padidinti </w:t>
      </w:r>
      <w:r w:rsidR="00571FAD">
        <w:rPr>
          <w:bCs/>
        </w:rPr>
        <w:t>defektų vertinimo tikslumą</w:t>
      </w:r>
      <w:r w:rsidR="00A75A2C">
        <w:rPr>
          <w:bCs/>
        </w:rPr>
        <w:t xml:space="preserve">, o tuo pačiu ir </w:t>
      </w:r>
      <w:r w:rsidR="0029556D">
        <w:rPr>
          <w:bCs/>
        </w:rPr>
        <w:t>branduolinių elektrinių saugumą bei ilgaamžiškumą.</w:t>
      </w:r>
    </w:p>
    <w:p w14:paraId="380939D8" w14:textId="3CC398CE" w:rsidR="00F23B96" w:rsidRDefault="007A109E" w:rsidP="00AD6CBA">
      <w:pPr>
        <w:jc w:val="both"/>
        <w:rPr>
          <w:bCs/>
          <w:szCs w:val="24"/>
        </w:rPr>
      </w:pPr>
      <w:r w:rsidRPr="004442E5">
        <w:rPr>
          <w:bCs/>
          <w:szCs w:val="24"/>
        </w:rPr>
        <w:t>Galim</w:t>
      </w:r>
      <w:r w:rsidR="00CF06FC" w:rsidRPr="004442E5">
        <w:rPr>
          <w:bCs/>
          <w:szCs w:val="24"/>
        </w:rPr>
        <w:t>ų planuojamos rengti paraiškos partneri</w:t>
      </w:r>
      <w:r w:rsidR="004442E5" w:rsidRPr="004442E5">
        <w:rPr>
          <w:bCs/>
          <w:szCs w:val="24"/>
        </w:rPr>
        <w:t xml:space="preserve">ų paieška </w:t>
      </w:r>
      <w:r w:rsidR="00A70D77">
        <w:rPr>
          <w:bCs/>
          <w:szCs w:val="24"/>
        </w:rPr>
        <w:t xml:space="preserve">buvo vykdoma </w:t>
      </w:r>
      <w:r w:rsidR="00FF6843">
        <w:rPr>
          <w:bCs/>
          <w:szCs w:val="24"/>
        </w:rPr>
        <w:t xml:space="preserve">konferencijos užsienyje metu. </w:t>
      </w:r>
      <w:r w:rsidR="00D01C10">
        <w:rPr>
          <w:bCs/>
          <w:szCs w:val="24"/>
        </w:rPr>
        <w:t>LEI specialistai sudalyvavo METAL 2025 konferencijoje, kuri buvo orga</w:t>
      </w:r>
      <w:r w:rsidR="00EF1056">
        <w:rPr>
          <w:bCs/>
          <w:szCs w:val="24"/>
        </w:rPr>
        <w:t>nizuojama Čekijoje, Brno mieste</w:t>
      </w:r>
      <w:r w:rsidR="00A233E1">
        <w:rPr>
          <w:bCs/>
          <w:szCs w:val="24"/>
        </w:rPr>
        <w:t>,</w:t>
      </w:r>
      <w:r w:rsidR="00EF1056">
        <w:rPr>
          <w:bCs/>
          <w:szCs w:val="24"/>
        </w:rPr>
        <w:t xml:space="preserve"> 2025 metų gegužės 21-23 dienomis.</w:t>
      </w:r>
      <w:r w:rsidR="005571B6">
        <w:rPr>
          <w:bCs/>
          <w:szCs w:val="24"/>
        </w:rPr>
        <w:t xml:space="preserve"> METAL 2025</w:t>
      </w:r>
      <w:r w:rsidR="00EF1056">
        <w:rPr>
          <w:bCs/>
          <w:szCs w:val="24"/>
        </w:rPr>
        <w:t xml:space="preserve"> </w:t>
      </w:r>
      <w:r w:rsidR="005571B6">
        <w:rPr>
          <w:bCs/>
          <w:szCs w:val="24"/>
        </w:rPr>
        <w:t>konferencija skirta pasidalinti na</w:t>
      </w:r>
      <w:r w:rsidR="00230854">
        <w:rPr>
          <w:bCs/>
          <w:szCs w:val="24"/>
        </w:rPr>
        <w:t xml:space="preserve">ujausiais moksliniai tyrimai ir pasiekimais </w:t>
      </w:r>
      <w:r w:rsidR="00D0096C">
        <w:rPr>
          <w:bCs/>
          <w:szCs w:val="24"/>
        </w:rPr>
        <w:t xml:space="preserve">medžiagų tyrimų srityje. </w:t>
      </w:r>
      <w:r w:rsidR="00434D52" w:rsidRPr="00434D52">
        <w:rPr>
          <w:bCs/>
          <w:szCs w:val="24"/>
        </w:rPr>
        <w:t>Konferencija buvo sudalinta į</w:t>
      </w:r>
      <w:r w:rsidR="00CA4A6D">
        <w:rPr>
          <w:bCs/>
          <w:szCs w:val="24"/>
        </w:rPr>
        <w:t xml:space="preserve"> plenarinę se</w:t>
      </w:r>
      <w:r w:rsidR="00F17F06">
        <w:rPr>
          <w:bCs/>
          <w:szCs w:val="24"/>
        </w:rPr>
        <w:t>s</w:t>
      </w:r>
      <w:r w:rsidR="00CA4A6D">
        <w:rPr>
          <w:bCs/>
          <w:szCs w:val="24"/>
        </w:rPr>
        <w:t xml:space="preserve">iją, </w:t>
      </w:r>
      <w:r w:rsidR="00434D52" w:rsidRPr="00434D52">
        <w:rPr>
          <w:bCs/>
          <w:szCs w:val="24"/>
        </w:rPr>
        <w:t>6 se</w:t>
      </w:r>
      <w:r w:rsidR="00F17F06">
        <w:rPr>
          <w:bCs/>
          <w:szCs w:val="24"/>
        </w:rPr>
        <w:t>s</w:t>
      </w:r>
      <w:r w:rsidR="00434D52" w:rsidRPr="00434D52">
        <w:rPr>
          <w:bCs/>
          <w:szCs w:val="24"/>
        </w:rPr>
        <w:t>ijas pagal pranešimų tematikas bei atskirą se</w:t>
      </w:r>
      <w:r w:rsidR="00F17F06">
        <w:rPr>
          <w:bCs/>
          <w:szCs w:val="24"/>
        </w:rPr>
        <w:t>s</w:t>
      </w:r>
      <w:r w:rsidR="00434D52" w:rsidRPr="00434D52">
        <w:rPr>
          <w:bCs/>
          <w:szCs w:val="24"/>
        </w:rPr>
        <w:t>iją stendiniams pranešimams</w:t>
      </w:r>
      <w:r w:rsidR="00AE0854">
        <w:rPr>
          <w:bCs/>
          <w:szCs w:val="24"/>
        </w:rPr>
        <w:t xml:space="preserve">. </w:t>
      </w:r>
      <w:r w:rsidR="00434D52" w:rsidRPr="00434D52">
        <w:rPr>
          <w:bCs/>
          <w:szCs w:val="24"/>
        </w:rPr>
        <w:t xml:space="preserve">Šiais metais konferencijoje </w:t>
      </w:r>
      <w:r w:rsidR="00104509">
        <w:rPr>
          <w:bCs/>
          <w:szCs w:val="24"/>
        </w:rPr>
        <w:t>dalyvavo</w:t>
      </w:r>
      <w:r w:rsidR="00434D52" w:rsidRPr="00434D52">
        <w:rPr>
          <w:bCs/>
          <w:szCs w:val="24"/>
        </w:rPr>
        <w:t xml:space="preserve"> 170 dalyvių</w:t>
      </w:r>
      <w:r w:rsidR="00276361">
        <w:rPr>
          <w:bCs/>
          <w:szCs w:val="24"/>
        </w:rPr>
        <w:t>.</w:t>
      </w:r>
    </w:p>
    <w:p w14:paraId="76B4AF81" w14:textId="54FCE178" w:rsidR="009B57FB" w:rsidRDefault="007B569B" w:rsidP="00AD6CBA">
      <w:pPr>
        <w:jc w:val="both"/>
        <w:rPr>
          <w:bCs/>
          <w:szCs w:val="24"/>
        </w:rPr>
      </w:pPr>
      <w:r>
        <w:rPr>
          <w:bCs/>
          <w:szCs w:val="24"/>
        </w:rPr>
        <w:t>Šios konferencijos metu buvo perskaitytas pranešimas</w:t>
      </w:r>
      <w:r w:rsidR="00A70D77">
        <w:rPr>
          <w:bCs/>
          <w:szCs w:val="24"/>
        </w:rPr>
        <w:t xml:space="preserve"> </w:t>
      </w:r>
      <w:r>
        <w:rPr>
          <w:bCs/>
          <w:szCs w:val="24"/>
        </w:rPr>
        <w:t>tema:“</w:t>
      </w:r>
      <w:bookmarkStart w:id="4" w:name="_Hlk211509093"/>
      <w:r w:rsidR="00B60668">
        <w:rPr>
          <w:bCs/>
          <w:szCs w:val="24"/>
        </w:rPr>
        <w:t xml:space="preserve">Fatigue Evaluation of </w:t>
      </w:r>
      <w:r w:rsidR="008708E0">
        <w:rPr>
          <w:bCs/>
          <w:szCs w:val="24"/>
        </w:rPr>
        <w:t xml:space="preserve">Tank Semi-Trailer </w:t>
      </w:r>
      <w:r w:rsidR="00926B9C">
        <w:rPr>
          <w:bCs/>
          <w:szCs w:val="24"/>
        </w:rPr>
        <w:t xml:space="preserve">Frane </w:t>
      </w:r>
      <w:r w:rsidR="00461BC3">
        <w:rPr>
          <w:bCs/>
          <w:szCs w:val="24"/>
        </w:rPr>
        <w:t>M</w:t>
      </w:r>
      <w:r w:rsidR="00926B9C">
        <w:rPr>
          <w:bCs/>
          <w:szCs w:val="24"/>
        </w:rPr>
        <w:t xml:space="preserve">ade </w:t>
      </w:r>
      <w:r w:rsidR="008E378A">
        <w:rPr>
          <w:bCs/>
          <w:szCs w:val="24"/>
        </w:rPr>
        <w:t xml:space="preserve">of </w:t>
      </w:r>
      <w:r w:rsidR="0041091F">
        <w:rPr>
          <w:bCs/>
          <w:szCs w:val="24"/>
        </w:rPr>
        <w:t>Duplex stainless Steel</w:t>
      </w:r>
      <w:bookmarkEnd w:id="4"/>
      <w:r w:rsidR="0041091F">
        <w:rPr>
          <w:bCs/>
          <w:szCs w:val="24"/>
        </w:rPr>
        <w:t xml:space="preserve">“. </w:t>
      </w:r>
      <w:r w:rsidR="00120F13">
        <w:rPr>
          <w:bCs/>
          <w:szCs w:val="24"/>
        </w:rPr>
        <w:t>Šiame pr</w:t>
      </w:r>
      <w:r w:rsidR="00060EC5">
        <w:rPr>
          <w:bCs/>
          <w:szCs w:val="24"/>
        </w:rPr>
        <w:t>a</w:t>
      </w:r>
      <w:r w:rsidR="00120F13">
        <w:rPr>
          <w:bCs/>
          <w:szCs w:val="24"/>
        </w:rPr>
        <w:t>nešime bu</w:t>
      </w:r>
      <w:r w:rsidR="000D1FE0">
        <w:rPr>
          <w:bCs/>
          <w:szCs w:val="24"/>
        </w:rPr>
        <w:t>vo</w:t>
      </w:r>
      <w:r w:rsidR="00120F13">
        <w:rPr>
          <w:bCs/>
          <w:szCs w:val="24"/>
        </w:rPr>
        <w:t xml:space="preserve"> pristaty</w:t>
      </w:r>
      <w:r w:rsidR="00060EC5">
        <w:rPr>
          <w:bCs/>
          <w:szCs w:val="24"/>
        </w:rPr>
        <w:t xml:space="preserve">tas </w:t>
      </w:r>
      <w:r w:rsidR="00095997">
        <w:rPr>
          <w:bCs/>
          <w:szCs w:val="24"/>
        </w:rPr>
        <w:t xml:space="preserve">komponentų struktūrinio vientisumo ir ilgaamžiškumo </w:t>
      </w:r>
      <w:r w:rsidR="000D1FE0">
        <w:rPr>
          <w:bCs/>
          <w:szCs w:val="24"/>
        </w:rPr>
        <w:t xml:space="preserve">įvertinimas. </w:t>
      </w:r>
      <w:r w:rsidR="00930E13">
        <w:rPr>
          <w:bCs/>
          <w:szCs w:val="24"/>
        </w:rPr>
        <w:t>Pranešimo pagrindu paruošta publikacija</w:t>
      </w:r>
      <w:r w:rsidR="00357DCC">
        <w:rPr>
          <w:bCs/>
          <w:szCs w:val="24"/>
        </w:rPr>
        <w:t xml:space="preserve"> </w:t>
      </w:r>
      <w:r w:rsidR="00532B9B">
        <w:rPr>
          <w:bCs/>
          <w:szCs w:val="24"/>
        </w:rPr>
        <w:t>R</w:t>
      </w:r>
      <w:r w:rsidR="001D3932">
        <w:rPr>
          <w:bCs/>
          <w:szCs w:val="24"/>
        </w:rPr>
        <w:t xml:space="preserve">. Janulionis, G. Dundulis, M. Šeporaitis. </w:t>
      </w:r>
      <w:r w:rsidR="001D3932" w:rsidRPr="001D3932">
        <w:rPr>
          <w:bCs/>
          <w:szCs w:val="24"/>
        </w:rPr>
        <w:t>Fatigue Evaluation of Tank Semi-Trailer Frane Made of Duplex stainless Steel</w:t>
      </w:r>
      <w:r w:rsidR="00EF1134">
        <w:rPr>
          <w:bCs/>
          <w:szCs w:val="24"/>
        </w:rPr>
        <w:t xml:space="preserve">, </w:t>
      </w:r>
      <w:r w:rsidR="005D382E" w:rsidRPr="005D382E">
        <w:rPr>
          <w:bCs/>
          <w:szCs w:val="24"/>
        </w:rPr>
        <w:t>Proceedings 34th International Conference on Metallurgy and Materials</w:t>
      </w:r>
      <w:r w:rsidR="005C6B3B" w:rsidRPr="005C6B3B">
        <w:rPr>
          <w:bCs/>
          <w:szCs w:val="24"/>
        </w:rPr>
        <w:t>, Orea Congress Hotel Brno, Czech Republic, EU</w:t>
      </w:r>
      <w:r w:rsidR="00C922CD">
        <w:rPr>
          <w:bCs/>
          <w:szCs w:val="24"/>
        </w:rPr>
        <w:t xml:space="preserve">, </w:t>
      </w:r>
      <w:r w:rsidR="00C922CD" w:rsidRPr="00C922CD">
        <w:rPr>
          <w:bCs/>
          <w:szCs w:val="24"/>
        </w:rPr>
        <w:t>May 21 - 23, 2025</w:t>
      </w:r>
      <w:r w:rsidR="00930E13">
        <w:rPr>
          <w:bCs/>
          <w:szCs w:val="24"/>
        </w:rPr>
        <w:t xml:space="preserve">, kuri </w:t>
      </w:r>
      <w:r w:rsidR="00B27FE0">
        <w:rPr>
          <w:bCs/>
          <w:szCs w:val="24"/>
        </w:rPr>
        <w:t xml:space="preserve">šiuo metu publikuota virtualiai (on-line) </w:t>
      </w:r>
      <w:r w:rsidR="000C2609">
        <w:rPr>
          <w:bCs/>
          <w:szCs w:val="24"/>
        </w:rPr>
        <w:t xml:space="preserve">konferencijos </w:t>
      </w:r>
      <w:r w:rsidR="005078AD">
        <w:rPr>
          <w:bCs/>
          <w:szCs w:val="24"/>
        </w:rPr>
        <w:t>pranešimų medžiagoje (Proceedings)</w:t>
      </w:r>
      <w:r w:rsidR="00C962B3">
        <w:rPr>
          <w:bCs/>
          <w:szCs w:val="24"/>
        </w:rPr>
        <w:t xml:space="preserve">, o publikacijos </w:t>
      </w:r>
      <w:r w:rsidR="00220A1A">
        <w:rPr>
          <w:bCs/>
          <w:szCs w:val="24"/>
        </w:rPr>
        <w:t xml:space="preserve">versija su pilnu bibliografiniu aprašu pasirodys iki </w:t>
      </w:r>
      <w:r w:rsidR="009B57FB">
        <w:rPr>
          <w:bCs/>
          <w:szCs w:val="24"/>
        </w:rPr>
        <w:t>2025 metų pabaigos.</w:t>
      </w:r>
      <w:r w:rsidR="00C962B3">
        <w:rPr>
          <w:bCs/>
          <w:szCs w:val="24"/>
        </w:rPr>
        <w:t xml:space="preserve"> </w:t>
      </w:r>
      <w:r w:rsidR="009147A0">
        <w:rPr>
          <w:bCs/>
          <w:szCs w:val="24"/>
        </w:rPr>
        <w:t xml:space="preserve">Publikacija </w:t>
      </w:r>
      <w:r w:rsidR="009B57FB">
        <w:rPr>
          <w:bCs/>
          <w:szCs w:val="24"/>
        </w:rPr>
        <w:t xml:space="preserve">galima rasti adresu: </w:t>
      </w:r>
      <w:hyperlink r:id="rId10" w:history="1">
        <w:r w:rsidR="009B57FB" w:rsidRPr="00BD6CF7">
          <w:rPr>
            <w:rStyle w:val="Hyperlink"/>
            <w:bCs/>
            <w:szCs w:val="24"/>
          </w:rPr>
          <w:t>https://www.confer.cz/metal/2025/5079-fatigue-evaluation-of-tank-semi-trailer-frame-made-of-duplex-steel</w:t>
        </w:r>
      </w:hyperlink>
      <w:r w:rsidR="00121CB1">
        <w:rPr>
          <w:bCs/>
          <w:szCs w:val="24"/>
        </w:rPr>
        <w:t xml:space="preserve"> .</w:t>
      </w:r>
    </w:p>
    <w:p w14:paraId="7542AE6C" w14:textId="56B3F414" w:rsidR="0012784C" w:rsidRDefault="00556BC2" w:rsidP="00AD6CBA">
      <w:pPr>
        <w:jc w:val="both"/>
        <w:rPr>
          <w:bCs/>
          <w:szCs w:val="24"/>
        </w:rPr>
      </w:pPr>
      <w:r>
        <w:rPr>
          <w:bCs/>
          <w:szCs w:val="24"/>
        </w:rPr>
        <w:t xml:space="preserve">Konferencijos metu buvo </w:t>
      </w:r>
      <w:r w:rsidR="005B37F0">
        <w:rPr>
          <w:bCs/>
          <w:szCs w:val="24"/>
        </w:rPr>
        <w:t>užmeg</w:t>
      </w:r>
      <w:r w:rsidR="001E16C0">
        <w:rPr>
          <w:bCs/>
          <w:szCs w:val="24"/>
        </w:rPr>
        <w:t>z</w:t>
      </w:r>
      <w:r w:rsidR="005B37F0">
        <w:rPr>
          <w:bCs/>
          <w:szCs w:val="24"/>
        </w:rPr>
        <w:t>ti ryšiai s</w:t>
      </w:r>
      <w:r w:rsidR="001E16C0">
        <w:rPr>
          <w:bCs/>
          <w:szCs w:val="24"/>
        </w:rPr>
        <w:t>u galimais planuojamos paraiškos partneriais iš:</w:t>
      </w:r>
    </w:p>
    <w:p w14:paraId="18A34D30" w14:textId="42952AD5" w:rsidR="00912F9B" w:rsidRDefault="00912F9B" w:rsidP="00912F9B">
      <w:pPr>
        <w:pStyle w:val="ListParagraph"/>
        <w:numPr>
          <w:ilvl w:val="0"/>
          <w:numId w:val="4"/>
        </w:numPr>
        <w:jc w:val="both"/>
        <w:rPr>
          <w:rFonts w:ascii="Times New Roman" w:hAnsi="Times New Roman"/>
          <w:bCs/>
          <w:sz w:val="24"/>
        </w:rPr>
      </w:pPr>
      <w:r>
        <w:rPr>
          <w:rFonts w:ascii="Times New Roman" w:hAnsi="Times New Roman"/>
          <w:bCs/>
          <w:sz w:val="24"/>
        </w:rPr>
        <w:t>Vilniaus Gedimino technikos universiteto (Vilnius</w:t>
      </w:r>
      <w:r w:rsidR="002C2ADD">
        <w:rPr>
          <w:rFonts w:ascii="Times New Roman" w:hAnsi="Times New Roman"/>
          <w:bCs/>
          <w:sz w:val="24"/>
        </w:rPr>
        <w:t xml:space="preserve"> </w:t>
      </w:r>
      <w:r>
        <w:rPr>
          <w:rFonts w:ascii="Times New Roman" w:hAnsi="Times New Roman"/>
          <w:bCs/>
          <w:sz w:val="24"/>
        </w:rPr>
        <w:t xml:space="preserve">Tech), mechanikos </w:t>
      </w:r>
      <w:r w:rsidR="006B03BA">
        <w:rPr>
          <w:rFonts w:ascii="Times New Roman" w:hAnsi="Times New Roman"/>
          <w:bCs/>
          <w:sz w:val="24"/>
        </w:rPr>
        <w:t>fakulteto</w:t>
      </w:r>
      <w:r>
        <w:rPr>
          <w:rFonts w:ascii="Times New Roman" w:hAnsi="Times New Roman"/>
          <w:bCs/>
          <w:sz w:val="24"/>
        </w:rPr>
        <w:t>;</w:t>
      </w:r>
    </w:p>
    <w:p w14:paraId="6A1C6428" w14:textId="6AA90C83" w:rsidR="00C20955" w:rsidRDefault="0015639F" w:rsidP="00912F9B">
      <w:pPr>
        <w:pStyle w:val="ListParagraph"/>
        <w:numPr>
          <w:ilvl w:val="0"/>
          <w:numId w:val="4"/>
        </w:numPr>
        <w:jc w:val="both"/>
        <w:rPr>
          <w:rFonts w:ascii="Times New Roman" w:hAnsi="Times New Roman"/>
          <w:bCs/>
          <w:sz w:val="24"/>
        </w:rPr>
      </w:pPr>
      <w:r>
        <w:rPr>
          <w:rFonts w:ascii="Times New Roman" w:hAnsi="Times New Roman"/>
          <w:bCs/>
          <w:sz w:val="24"/>
        </w:rPr>
        <w:t>Čekijos</w:t>
      </w:r>
      <w:r w:rsidR="00BC2F37">
        <w:rPr>
          <w:rFonts w:ascii="Times New Roman" w:hAnsi="Times New Roman"/>
          <w:bCs/>
          <w:sz w:val="24"/>
        </w:rPr>
        <w:t xml:space="preserve"> mokslinių instrumentų institut</w:t>
      </w:r>
      <w:r w:rsidR="00A95D02">
        <w:rPr>
          <w:rFonts w:ascii="Times New Roman" w:hAnsi="Times New Roman"/>
          <w:bCs/>
          <w:sz w:val="24"/>
        </w:rPr>
        <w:t>o</w:t>
      </w:r>
      <w:r>
        <w:rPr>
          <w:rFonts w:ascii="Times New Roman" w:hAnsi="Times New Roman"/>
          <w:bCs/>
          <w:sz w:val="24"/>
        </w:rPr>
        <w:t xml:space="preserve"> </w:t>
      </w:r>
      <w:r w:rsidR="00A95D02">
        <w:rPr>
          <w:rFonts w:ascii="Times New Roman" w:hAnsi="Times New Roman"/>
          <w:bCs/>
          <w:sz w:val="24"/>
        </w:rPr>
        <w:t>(</w:t>
      </w:r>
      <w:r w:rsidR="000F3A1E">
        <w:rPr>
          <w:rFonts w:ascii="Times New Roman" w:hAnsi="Times New Roman"/>
          <w:bCs/>
          <w:sz w:val="24"/>
        </w:rPr>
        <w:t>Institute of Scien</w:t>
      </w:r>
      <w:r w:rsidR="002D0B75">
        <w:rPr>
          <w:rFonts w:ascii="Times New Roman" w:hAnsi="Times New Roman"/>
          <w:bCs/>
          <w:sz w:val="24"/>
        </w:rPr>
        <w:t>tific Instruments of the CAS</w:t>
      </w:r>
      <w:r w:rsidR="00A95D02">
        <w:rPr>
          <w:rFonts w:ascii="Times New Roman" w:hAnsi="Times New Roman"/>
          <w:bCs/>
          <w:sz w:val="24"/>
        </w:rPr>
        <w:t>)</w:t>
      </w:r>
      <w:r>
        <w:rPr>
          <w:rFonts w:ascii="Times New Roman" w:hAnsi="Times New Roman"/>
          <w:bCs/>
          <w:sz w:val="24"/>
        </w:rPr>
        <w:t>;</w:t>
      </w:r>
    </w:p>
    <w:p w14:paraId="27913FC3" w14:textId="047C858D" w:rsidR="0015639F" w:rsidRDefault="009732FC" w:rsidP="00912F9B">
      <w:pPr>
        <w:pStyle w:val="ListParagraph"/>
        <w:numPr>
          <w:ilvl w:val="0"/>
          <w:numId w:val="4"/>
        </w:numPr>
        <w:jc w:val="both"/>
        <w:rPr>
          <w:rFonts w:ascii="Times New Roman" w:hAnsi="Times New Roman"/>
          <w:bCs/>
          <w:sz w:val="24"/>
        </w:rPr>
      </w:pPr>
      <w:r>
        <w:rPr>
          <w:rFonts w:ascii="Times New Roman" w:hAnsi="Times New Roman"/>
          <w:bCs/>
          <w:sz w:val="24"/>
        </w:rPr>
        <w:t>Lenkijos</w:t>
      </w:r>
      <w:r w:rsidR="005D1FB8">
        <w:rPr>
          <w:rFonts w:ascii="Times New Roman" w:hAnsi="Times New Roman"/>
          <w:bCs/>
          <w:sz w:val="24"/>
        </w:rPr>
        <w:t xml:space="preserve"> </w:t>
      </w:r>
      <w:r w:rsidR="005D1FB8" w:rsidRPr="005D1FB8">
        <w:rPr>
          <w:rFonts w:ascii="Times New Roman" w:hAnsi="Times New Roman"/>
          <w:bCs/>
          <w:sz w:val="24"/>
        </w:rPr>
        <w:t xml:space="preserve">Stanislovo Stašico </w:t>
      </w:r>
      <w:r w:rsidR="005D1FB8">
        <w:rPr>
          <w:rFonts w:ascii="Times New Roman" w:hAnsi="Times New Roman"/>
          <w:bCs/>
          <w:sz w:val="24"/>
        </w:rPr>
        <w:t>k</w:t>
      </w:r>
      <w:r w:rsidR="005D1FB8" w:rsidRPr="005D1FB8">
        <w:rPr>
          <w:rFonts w:ascii="Times New Roman" w:hAnsi="Times New Roman"/>
          <w:bCs/>
          <w:sz w:val="24"/>
        </w:rPr>
        <w:t xml:space="preserve">asybos ir metalurgijos </w:t>
      </w:r>
      <w:r w:rsidR="005D1FB8">
        <w:rPr>
          <w:rFonts w:ascii="Times New Roman" w:hAnsi="Times New Roman"/>
          <w:bCs/>
          <w:sz w:val="24"/>
        </w:rPr>
        <w:t>universiteto</w:t>
      </w:r>
      <w:r w:rsidR="005D1FB8" w:rsidRPr="005D1FB8">
        <w:rPr>
          <w:rFonts w:ascii="Times New Roman" w:hAnsi="Times New Roman"/>
          <w:bCs/>
          <w:sz w:val="24"/>
        </w:rPr>
        <w:t xml:space="preserve"> Krokuvoje</w:t>
      </w:r>
      <w:r>
        <w:rPr>
          <w:rFonts w:ascii="Times New Roman" w:hAnsi="Times New Roman"/>
          <w:bCs/>
          <w:sz w:val="24"/>
        </w:rPr>
        <w:t xml:space="preserve"> (AGH University of Krakow</w:t>
      </w:r>
      <w:r w:rsidR="00542BC9">
        <w:rPr>
          <w:rFonts w:ascii="Times New Roman" w:hAnsi="Times New Roman"/>
          <w:bCs/>
          <w:sz w:val="24"/>
        </w:rPr>
        <w:t>);</w:t>
      </w:r>
    </w:p>
    <w:p w14:paraId="6935780E" w14:textId="316CF577" w:rsidR="004B590F" w:rsidRDefault="004B590F" w:rsidP="00912F9B">
      <w:pPr>
        <w:pStyle w:val="ListParagraph"/>
        <w:numPr>
          <w:ilvl w:val="0"/>
          <w:numId w:val="4"/>
        </w:numPr>
        <w:jc w:val="both"/>
        <w:rPr>
          <w:rFonts w:ascii="Times New Roman" w:hAnsi="Times New Roman"/>
          <w:bCs/>
          <w:sz w:val="24"/>
        </w:rPr>
      </w:pPr>
      <w:r>
        <w:rPr>
          <w:rFonts w:ascii="Times New Roman" w:hAnsi="Times New Roman"/>
          <w:bCs/>
          <w:sz w:val="24"/>
        </w:rPr>
        <w:t>ir kt.</w:t>
      </w:r>
    </w:p>
    <w:p w14:paraId="44AB0427" w14:textId="77777777" w:rsidR="001E16C0" w:rsidRDefault="001E16C0" w:rsidP="00AD6CBA">
      <w:pPr>
        <w:jc w:val="both"/>
        <w:rPr>
          <w:bCs/>
          <w:szCs w:val="24"/>
        </w:rPr>
      </w:pPr>
    </w:p>
    <w:p w14:paraId="6BE3CC52" w14:textId="685787F8" w:rsidR="00AD6CBA" w:rsidRPr="00AD6CBA" w:rsidRDefault="00AD6CBA" w:rsidP="00AD6CBA">
      <w:pPr>
        <w:widowControl w:val="0"/>
        <w:jc w:val="both"/>
        <w:rPr>
          <w:szCs w:val="24"/>
        </w:rPr>
      </w:pPr>
      <w:r w:rsidRPr="00AD6CBA">
        <w:rPr>
          <w:bCs/>
          <w:szCs w:val="24"/>
        </w:rPr>
        <w:lastRenderedPageBreak/>
        <w:t xml:space="preserve">Projektas įgyvendintas pagal Sutartyje </w:t>
      </w:r>
      <w:r w:rsidRPr="00AD6CBA">
        <w:rPr>
          <w:b/>
          <w:bCs/>
          <w:szCs w:val="24"/>
        </w:rPr>
        <w:t>NR.</w:t>
      </w:r>
      <w:r w:rsidRPr="00AD6CBA">
        <w:rPr>
          <w:bCs/>
          <w:szCs w:val="24"/>
        </w:rPr>
        <w:t xml:space="preserve"> </w:t>
      </w:r>
      <w:r w:rsidRPr="00AD6CBA">
        <w:rPr>
          <w:b/>
          <w:bCs/>
          <w:iCs/>
          <w:szCs w:val="24"/>
        </w:rPr>
        <w:t>10-038-T-0</w:t>
      </w:r>
      <w:r w:rsidR="00007DE7">
        <w:rPr>
          <w:b/>
          <w:bCs/>
          <w:iCs/>
          <w:szCs w:val="24"/>
        </w:rPr>
        <w:t>094</w:t>
      </w:r>
      <w:r w:rsidRPr="00AD6CBA">
        <w:rPr>
          <w:b/>
          <w:bCs/>
          <w:iCs/>
          <w:szCs w:val="24"/>
        </w:rPr>
        <w:t xml:space="preserve">, </w:t>
      </w:r>
      <w:r w:rsidRPr="00AD6CBA">
        <w:rPr>
          <w:bCs/>
          <w:szCs w:val="24"/>
        </w:rPr>
        <w:t>2022-2030 metų plėtros programos valdytojos Lietuvos Respublikos švietimo, mokslo ir sporto ministerijos plėtros programos pažangos priemonės Nr. 12-001-01-02-01 „Stiprinti inovacijų ekosistemas mokslo centruose</w:t>
      </w:r>
      <w:r w:rsidRPr="00AD6CBA">
        <w:rPr>
          <w:szCs w:val="24"/>
        </w:rPr>
        <w:t>“ aprašo, patvirtinto</w:t>
      </w:r>
      <w:r w:rsidRPr="00AD6CBA">
        <w:rPr>
          <w:i/>
          <w:szCs w:val="24"/>
        </w:rPr>
        <w:t xml:space="preserve"> </w:t>
      </w:r>
      <w:r w:rsidRPr="00AD6CBA">
        <w:rPr>
          <w:szCs w:val="24"/>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AD6CBA">
        <w:rPr>
          <w:szCs w:val="24"/>
          <w:shd w:val="clear" w:color="auto" w:fill="FFFFFF"/>
        </w:rPr>
        <w:t xml:space="preserve">2022–2030 m. plėtros programos valdytojos Lietuvos Respublikos švietimo, mokslo ir sporto ministerijos mokslo plėtros programos </w:t>
      </w:r>
      <w:r w:rsidRPr="00AD6CBA">
        <w:rPr>
          <w:szCs w:val="24"/>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AD6CBA">
        <w:rPr>
          <w:iCs/>
          <w:szCs w:val="24"/>
        </w:rPr>
        <w:t xml:space="preserve"> (toliau – Taisyklės) </w:t>
      </w:r>
      <w:r w:rsidRPr="00AD6CBA">
        <w:rPr>
          <w:szCs w:val="24"/>
        </w:rPr>
        <w:t xml:space="preserve">ir (arba) Finansinių priemonių įgyvendinimo taisyklėse, </w:t>
      </w:r>
      <w:r w:rsidRPr="00AD6CBA">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AD6CBA">
        <w:rPr>
          <w:szCs w:val="24"/>
        </w:rPr>
        <w:t>,</w:t>
      </w:r>
      <w:r w:rsidRPr="00AD6CBA">
        <w:rPr>
          <w:i/>
          <w:iCs/>
          <w:szCs w:val="24"/>
        </w:rPr>
        <w:t xml:space="preserve"> </w:t>
      </w:r>
      <w:r w:rsidRPr="00AD6CBA">
        <w:rPr>
          <w:szCs w:val="24"/>
        </w:rPr>
        <w:t xml:space="preserve">ir juose nurodytuose ES ir Lietuvos Respublikos teisės aktuose nustatytas sąlygas ir tvarką. </w:t>
      </w:r>
    </w:p>
    <w:p w14:paraId="1D224A6C" w14:textId="77777777" w:rsidR="00AD6CBA" w:rsidRDefault="00AD6CBA" w:rsidP="00AD6CBA">
      <w:pPr>
        <w:jc w:val="both"/>
        <w:rPr>
          <w:bCs/>
          <w:szCs w:val="24"/>
        </w:rPr>
      </w:pPr>
      <w:r w:rsidRPr="00AD6CBA">
        <w:rPr>
          <w:bCs/>
          <w:szCs w:val="24"/>
        </w:rPr>
        <w:t>Projekto viešinimo sąlygos įgyvendintos pagal sutartyje nurodytus reikalavimus.</w:t>
      </w:r>
    </w:p>
    <w:p w14:paraId="529ABCEC" w14:textId="77777777" w:rsidR="00361FFB" w:rsidRDefault="00361FFB" w:rsidP="00AD6CBA">
      <w:pPr>
        <w:jc w:val="both"/>
        <w:rPr>
          <w:bCs/>
          <w:szCs w:val="24"/>
        </w:rPr>
      </w:pPr>
    </w:p>
    <w:p w14:paraId="4785982E" w14:textId="77777777" w:rsidR="00361FFB" w:rsidRPr="00361FFB" w:rsidRDefault="00361FFB" w:rsidP="00361FFB">
      <w:pPr>
        <w:rPr>
          <w:bCs/>
          <w:szCs w:val="24"/>
        </w:rPr>
      </w:pPr>
      <w:r w:rsidRPr="00361FFB">
        <w:rPr>
          <w:bCs/>
          <w:szCs w:val="24"/>
        </w:rPr>
        <w:t>Projekto vadovas</w:t>
      </w:r>
    </w:p>
    <w:p w14:paraId="6B2BEBFC" w14:textId="1D3990C2" w:rsidR="00361FFB" w:rsidRPr="00361FFB" w:rsidRDefault="003C3896" w:rsidP="00361FFB">
      <w:pPr>
        <w:rPr>
          <w:bCs/>
          <w:szCs w:val="24"/>
        </w:rPr>
      </w:pPr>
      <w:r>
        <w:rPr>
          <w:bCs/>
          <w:szCs w:val="24"/>
        </w:rPr>
        <w:t>Egidijus Babilas</w:t>
      </w:r>
    </w:p>
    <w:p w14:paraId="66182663" w14:textId="77777777" w:rsidR="00361FFB" w:rsidRPr="00AD6CBA" w:rsidRDefault="00361FFB" w:rsidP="00AD6CBA">
      <w:pPr>
        <w:jc w:val="both"/>
        <w:rPr>
          <w:bCs/>
          <w:szCs w:val="24"/>
        </w:rPr>
      </w:pPr>
    </w:p>
    <w:p w14:paraId="7D684495" w14:textId="77777777" w:rsidR="008360A7" w:rsidRPr="00AD6CBA" w:rsidRDefault="008360A7" w:rsidP="008360A7">
      <w:pPr>
        <w:rPr>
          <w:bCs/>
          <w:szCs w:val="24"/>
        </w:rPr>
      </w:pPr>
    </w:p>
    <w:p w14:paraId="241C0BDB" w14:textId="77777777" w:rsidR="008360A7" w:rsidRPr="00AD6CBA" w:rsidRDefault="008360A7" w:rsidP="008360A7">
      <w:pPr>
        <w:rPr>
          <w:bCs/>
          <w:szCs w:val="24"/>
        </w:rPr>
      </w:pPr>
    </w:p>
    <w:p w14:paraId="62FF909F" w14:textId="77777777" w:rsidR="008360A7" w:rsidRPr="00AD6CBA" w:rsidRDefault="008360A7" w:rsidP="008360A7">
      <w:pPr>
        <w:rPr>
          <w:bCs/>
          <w:szCs w:val="24"/>
        </w:rPr>
      </w:pPr>
    </w:p>
    <w:p w14:paraId="015C0938" w14:textId="77777777" w:rsidR="008360A7" w:rsidRPr="00AD6CBA" w:rsidRDefault="008360A7" w:rsidP="008360A7">
      <w:pPr>
        <w:rPr>
          <w:bCs/>
          <w:szCs w:val="24"/>
        </w:rPr>
      </w:pPr>
    </w:p>
    <w:p w14:paraId="42DA5A92" w14:textId="77777777" w:rsidR="008360A7" w:rsidRPr="00AD6CBA" w:rsidRDefault="008360A7" w:rsidP="008360A7">
      <w:pPr>
        <w:rPr>
          <w:bCs/>
          <w:szCs w:val="24"/>
        </w:rPr>
      </w:pPr>
    </w:p>
    <w:p w14:paraId="4DD179D7" w14:textId="77777777" w:rsidR="008360A7" w:rsidRPr="00AD6CBA" w:rsidRDefault="008360A7" w:rsidP="008360A7">
      <w:pPr>
        <w:rPr>
          <w:bCs/>
          <w:szCs w:val="24"/>
        </w:rPr>
      </w:pPr>
    </w:p>
    <w:p w14:paraId="783C1A7F" w14:textId="77777777" w:rsidR="008360A7" w:rsidRPr="00AD6CBA" w:rsidRDefault="008360A7" w:rsidP="008360A7">
      <w:pPr>
        <w:rPr>
          <w:bCs/>
          <w:szCs w:val="24"/>
        </w:rPr>
      </w:pPr>
    </w:p>
    <w:p w14:paraId="34D181D5" w14:textId="77777777" w:rsidR="008360A7" w:rsidRPr="00AD6CBA" w:rsidRDefault="008360A7" w:rsidP="008360A7">
      <w:pPr>
        <w:jc w:val="both"/>
        <w:rPr>
          <w:noProof/>
          <w:szCs w:val="24"/>
        </w:rPr>
      </w:pPr>
    </w:p>
    <w:p w14:paraId="646EA06B" w14:textId="77777777" w:rsidR="008360A7" w:rsidRPr="00AD6CBA" w:rsidRDefault="008360A7" w:rsidP="008360A7">
      <w:pPr>
        <w:suppressAutoHyphens/>
        <w:autoSpaceDE w:val="0"/>
        <w:autoSpaceDN w:val="0"/>
        <w:adjustRightInd w:val="0"/>
        <w:textAlignment w:val="center"/>
        <w:rPr>
          <w:noProof/>
          <w:szCs w:val="24"/>
        </w:rPr>
      </w:pPr>
      <w:r w:rsidRPr="00AD6CBA">
        <w:rPr>
          <w:noProof/>
          <w:szCs w:val="24"/>
        </w:rPr>
        <w:drawing>
          <wp:inline distT="0" distB="0" distL="0" distR="0" wp14:anchorId="4AD57564" wp14:editId="7A055870">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030D1320" w14:textId="77777777" w:rsidR="008360A7" w:rsidRPr="00AD6CBA" w:rsidRDefault="008360A7" w:rsidP="008360A7">
      <w:pPr>
        <w:suppressAutoHyphens/>
        <w:autoSpaceDE w:val="0"/>
        <w:autoSpaceDN w:val="0"/>
        <w:adjustRightInd w:val="0"/>
        <w:jc w:val="center"/>
        <w:textAlignment w:val="center"/>
        <w:rPr>
          <w:noProof/>
          <w:szCs w:val="24"/>
        </w:rPr>
      </w:pPr>
    </w:p>
    <w:p w14:paraId="27A35578" w14:textId="77777777" w:rsidR="008360A7" w:rsidRPr="00AD6CBA" w:rsidRDefault="008360A7" w:rsidP="008360A7">
      <w:pPr>
        <w:suppressAutoHyphens/>
        <w:autoSpaceDE w:val="0"/>
        <w:autoSpaceDN w:val="0"/>
        <w:adjustRightInd w:val="0"/>
        <w:textAlignment w:val="center"/>
        <w:rPr>
          <w:noProof/>
          <w:szCs w:val="24"/>
        </w:rPr>
      </w:pPr>
      <w:r w:rsidRPr="00AD6CBA">
        <w:rPr>
          <w:bCs/>
          <w:szCs w:val="24"/>
        </w:rPr>
        <w:t>Finansuoja Europos Sąjunga NextGenerationEU</w:t>
      </w:r>
    </w:p>
    <w:p w14:paraId="4012A1D5" w14:textId="77777777" w:rsidR="008360A7" w:rsidRPr="00AD6CBA" w:rsidRDefault="008360A7" w:rsidP="008360A7">
      <w:pPr>
        <w:suppressAutoHyphens/>
        <w:autoSpaceDE w:val="0"/>
        <w:autoSpaceDN w:val="0"/>
        <w:adjustRightInd w:val="0"/>
        <w:jc w:val="center"/>
        <w:textAlignment w:val="center"/>
        <w:rPr>
          <w:noProof/>
          <w:szCs w:val="24"/>
        </w:rPr>
      </w:pPr>
    </w:p>
    <w:p w14:paraId="6E633CF9" w14:textId="77777777" w:rsidR="00EF1785" w:rsidRPr="00C705F0" w:rsidRDefault="00EF1785" w:rsidP="008360A7">
      <w:pPr>
        <w:pStyle w:val="Header"/>
        <w:jc w:val="right"/>
        <w:rPr>
          <w:rFonts w:ascii="Times New Roman" w:hAnsi="Times New Roman" w:cs="Times New Roman"/>
          <w:bCs/>
          <w:sz w:val="28"/>
          <w:szCs w:val="28"/>
        </w:rPr>
      </w:pPr>
    </w:p>
    <w:sectPr w:rsidR="00EF1785" w:rsidRPr="00C705F0" w:rsidSect="007272AB">
      <w:headerReference w:type="default" r:id="rId12"/>
      <w:footerReference w:type="default" r:id="rId13"/>
      <w:headerReference w:type="first" r:id="rId14"/>
      <w:footerReference w:type="first" r:id="rId1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CC80" w14:textId="77777777" w:rsidR="000379D8" w:rsidRDefault="000379D8" w:rsidP="00FF1B8F">
      <w:r>
        <w:separator/>
      </w:r>
    </w:p>
  </w:endnote>
  <w:endnote w:type="continuationSeparator" w:id="0">
    <w:p w14:paraId="676BC6C2" w14:textId="77777777" w:rsidR="000379D8" w:rsidRDefault="000379D8" w:rsidP="00FF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AFC" w14:textId="49D9AF68" w:rsidR="00B13059" w:rsidRDefault="00B13059" w:rsidP="00B13059">
    <w:pPr>
      <w:jc w:val="center"/>
      <w:rPr>
        <w:rFonts w:asciiTheme="majorBidi" w:hAnsiTheme="majorBidi" w:cstheme="majorBidi"/>
        <w:szCs w:val="24"/>
      </w:rPr>
    </w:pPr>
    <w:bookmarkStart w:id="2" w:name="_Hlk122596552"/>
    <w:bookmarkStart w:id="3" w:name="_Hlk122596553"/>
    <w:r>
      <w:rPr>
        <w:noProof/>
      </w:rPr>
      <w:drawing>
        <wp:inline distT="0" distB="0" distL="0" distR="0" wp14:anchorId="2C6F23EA" wp14:editId="616560D3">
          <wp:extent cx="6120765" cy="518160"/>
          <wp:effectExtent l="0" t="0" r="0" b="0"/>
          <wp:docPr id="14939126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p>
  <w:p w14:paraId="3F2B0219" w14:textId="1F63824E" w:rsidR="00EF1785" w:rsidRDefault="00EF1785" w:rsidP="00B13059">
    <w:pPr>
      <w:jc w:val="center"/>
      <w:rPr>
        <w:rFonts w:asciiTheme="majorBidi" w:hAnsiTheme="majorBidi" w:cstheme="majorBidi"/>
        <w:szCs w:val="24"/>
      </w:rPr>
    </w:pPr>
    <w:r>
      <w:rPr>
        <w:rFonts w:asciiTheme="majorBidi" w:hAnsiTheme="majorBidi" w:cstheme="majorBidi"/>
        <w:szCs w:val="24"/>
      </w:rPr>
      <w:t>Kaunas, 202</w:t>
    </w:r>
    <w:r w:rsidR="003F194D">
      <w:rPr>
        <w:rFonts w:asciiTheme="majorBidi" w:hAnsiTheme="majorBidi" w:cstheme="majorBidi"/>
        <w:szCs w:val="24"/>
      </w:rPr>
      <w:t>5</w:t>
    </w:r>
  </w:p>
  <w:p w14:paraId="3DD195DD" w14:textId="5A8E901C" w:rsidR="00B13059" w:rsidRDefault="00B83382" w:rsidP="00EF1785">
    <w:pPr>
      <w:ind w:firstLine="426"/>
      <w:rPr>
        <w:rFonts w:asciiTheme="majorBidi" w:hAnsiTheme="majorBidi" w:cstheme="majorBidi"/>
        <w:szCs w:val="24"/>
      </w:rPr>
    </w:pPr>
    <w:r>
      <w:rPr>
        <w:noProof/>
      </w:rPr>
      <w:drawing>
        <wp:inline distT="0" distB="0" distL="0" distR="0" wp14:anchorId="59858475" wp14:editId="56205420">
          <wp:extent cx="820800" cy="547200"/>
          <wp:effectExtent l="0" t="0" r="0" b="5715"/>
          <wp:docPr id="18336679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00" cy="547200"/>
                  </a:xfrm>
                  <a:prstGeom prst="rect">
                    <a:avLst/>
                  </a:prstGeom>
                  <a:noFill/>
                  <a:ln>
                    <a:noFill/>
                  </a:ln>
                </pic:spPr>
              </pic:pic>
            </a:graphicData>
          </a:graphic>
        </wp:inline>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A2F7" w14:textId="11ED15B4" w:rsidR="007272AB" w:rsidRDefault="007272AB" w:rsidP="00B13059">
    <w:pPr>
      <w:jc w:val="center"/>
      <w:rPr>
        <w:rFonts w:asciiTheme="majorBidi" w:hAnsiTheme="majorBidi" w:cstheme="majorBidi"/>
        <w:szCs w:val="24"/>
      </w:rPr>
    </w:pPr>
  </w:p>
  <w:p w14:paraId="56D9B24F" w14:textId="2691E83F" w:rsidR="007272AB" w:rsidRDefault="007272AB" w:rsidP="00EF1785">
    <w:pPr>
      <w:ind w:firstLine="426"/>
      <w:rPr>
        <w:rFonts w:asciiTheme="majorBidi" w:hAnsiTheme="majorBidi" w:cstheme="maj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311" w14:textId="77777777" w:rsidR="008360A7" w:rsidRDefault="0083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ED0B" w14:textId="77777777" w:rsidR="000379D8" w:rsidRDefault="000379D8" w:rsidP="00FF1B8F">
      <w:r>
        <w:separator/>
      </w:r>
    </w:p>
  </w:footnote>
  <w:footnote w:type="continuationSeparator" w:id="0">
    <w:p w14:paraId="6BCC3B7C" w14:textId="77777777" w:rsidR="000379D8" w:rsidRDefault="000379D8" w:rsidP="00FF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3EF" w14:textId="33BFF31E" w:rsidR="00FF1B8F" w:rsidRDefault="00002100" w:rsidP="00FF1B8F">
    <w:pPr>
      <w:pStyle w:val="Header"/>
      <w:tabs>
        <w:tab w:val="left" w:pos="2383"/>
        <w:tab w:val="center" w:pos="4819"/>
      </w:tabs>
      <w:jc w:val="center"/>
    </w:pPr>
    <w:bookmarkStart w:id="0" w:name="_Hlk122596531"/>
    <w:bookmarkStart w:id="1" w:name="_Hlk122596532"/>
    <w:r>
      <w:rPr>
        <w:noProof/>
      </w:rPr>
      <w:drawing>
        <wp:inline distT="0" distB="0" distL="0" distR="0" wp14:anchorId="11242E6A" wp14:editId="34155C18">
          <wp:extent cx="640080" cy="640080"/>
          <wp:effectExtent l="0" t="0" r="7620" b="7620"/>
          <wp:docPr id="1197889447" name="Paveikslėlis 3" descr="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LEI.png"/>
                  <pic:cNvPicPr>
                    <a:picLocks noChangeAspect="1"/>
                  </pic:cNvPicPr>
                </pic:nvPicPr>
                <pic:blipFill>
                  <a:blip r:embed="rId1"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14:paraId="65DE9BC4" w14:textId="42F40144" w:rsidR="00002100" w:rsidRDefault="00002100" w:rsidP="00002100">
    <w:pPr>
      <w:pStyle w:val="Header"/>
      <w:tabs>
        <w:tab w:val="left" w:pos="2383"/>
        <w:tab w:val="center" w:pos="4819"/>
      </w:tabs>
      <w:spacing w:before="60"/>
      <w:jc w:val="center"/>
      <w:rPr>
        <w:b/>
        <w:bCs/>
        <w:sz w:val="24"/>
        <w:szCs w:val="24"/>
      </w:rPr>
    </w:pPr>
    <w:r w:rsidRPr="00002100">
      <w:rPr>
        <w:b/>
        <w:bCs/>
        <w:sz w:val="24"/>
        <w:szCs w:val="24"/>
      </w:rPr>
      <w:t>LIETUVOS ENERGETIKOS INSTITUTAS</w:t>
    </w:r>
  </w:p>
  <w:p w14:paraId="3E59A3AF" w14:textId="251006AD" w:rsidR="00B13059" w:rsidRDefault="00B13059" w:rsidP="00B83382">
    <w:pPr>
      <w:pStyle w:val="Header"/>
      <w:tabs>
        <w:tab w:val="left" w:pos="2383"/>
        <w:tab w:val="center" w:pos="4819"/>
      </w:tabs>
      <w:spacing w:before="60"/>
      <w:ind w:right="567"/>
      <w:jc w:val="right"/>
    </w:pPr>
    <w:r>
      <w:rPr>
        <w:noProof/>
      </w:rPr>
      <w:drawing>
        <wp:inline distT="0" distB="0" distL="0" distR="0" wp14:anchorId="4A65E575" wp14:editId="72DCE7A5">
          <wp:extent cx="6120765" cy="518160"/>
          <wp:effectExtent l="0" t="0" r="0" b="0"/>
          <wp:docPr id="16518698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D1E3" w14:textId="3D55716C" w:rsidR="008360A7" w:rsidRDefault="008360A7" w:rsidP="00FF1B8F">
    <w:pPr>
      <w:pStyle w:val="Header"/>
      <w:tabs>
        <w:tab w:val="left" w:pos="2383"/>
        <w:tab w:val="center" w:pos="4819"/>
      </w:tabs>
      <w:jc w:val="center"/>
    </w:pPr>
  </w:p>
  <w:p w14:paraId="62D8B1E4" w14:textId="4C5393AF" w:rsidR="008360A7" w:rsidRDefault="008360A7" w:rsidP="00B83382">
    <w:pPr>
      <w:pStyle w:val="Header"/>
      <w:tabs>
        <w:tab w:val="left" w:pos="2383"/>
        <w:tab w:val="center" w:pos="4819"/>
      </w:tabs>
      <w:spacing w:before="60"/>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4FF4" w14:textId="77777777" w:rsidR="008360A7" w:rsidRDefault="0083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A5C28"/>
    <w:multiLevelType w:val="hybridMultilevel"/>
    <w:tmpl w:val="475C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1B60A5"/>
    <w:multiLevelType w:val="hybridMultilevel"/>
    <w:tmpl w:val="B1C08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666FE4"/>
    <w:multiLevelType w:val="hybridMultilevel"/>
    <w:tmpl w:val="78803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5451199">
    <w:abstractNumId w:val="3"/>
  </w:num>
  <w:num w:numId="2" w16cid:durableId="235824138">
    <w:abstractNumId w:val="0"/>
  </w:num>
  <w:num w:numId="3" w16cid:durableId="918516831">
    <w:abstractNumId w:val="1"/>
  </w:num>
  <w:num w:numId="4" w16cid:durableId="1974017693">
    <w:abstractNumId w:val="2"/>
  </w:num>
  <w:num w:numId="5" w16cid:durableId="1253396793">
    <w:abstractNumId w:val="4"/>
  </w:num>
  <w:num w:numId="6" w16cid:durableId="1408918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1E"/>
    <w:rsid w:val="00002100"/>
    <w:rsid w:val="00007DE7"/>
    <w:rsid w:val="000262A9"/>
    <w:rsid w:val="000379D8"/>
    <w:rsid w:val="00044DB2"/>
    <w:rsid w:val="00055856"/>
    <w:rsid w:val="00056941"/>
    <w:rsid w:val="00060EC5"/>
    <w:rsid w:val="00095997"/>
    <w:rsid w:val="000B1CED"/>
    <w:rsid w:val="000B22D3"/>
    <w:rsid w:val="000C2609"/>
    <w:rsid w:val="000D1FE0"/>
    <w:rsid w:val="000F3A1E"/>
    <w:rsid w:val="00104509"/>
    <w:rsid w:val="00110211"/>
    <w:rsid w:val="00120F13"/>
    <w:rsid w:val="00121CB1"/>
    <w:rsid w:val="0012784C"/>
    <w:rsid w:val="00144084"/>
    <w:rsid w:val="00146FEE"/>
    <w:rsid w:val="0015639F"/>
    <w:rsid w:val="001D3932"/>
    <w:rsid w:val="001E16C0"/>
    <w:rsid w:val="001E5586"/>
    <w:rsid w:val="001F7405"/>
    <w:rsid w:val="00220A1A"/>
    <w:rsid w:val="00230854"/>
    <w:rsid w:val="0024211D"/>
    <w:rsid w:val="00247E15"/>
    <w:rsid w:val="00276361"/>
    <w:rsid w:val="0029556D"/>
    <w:rsid w:val="002A097C"/>
    <w:rsid w:val="002C2ADD"/>
    <w:rsid w:val="002D0B75"/>
    <w:rsid w:val="002E7EF7"/>
    <w:rsid w:val="002F4B00"/>
    <w:rsid w:val="00317370"/>
    <w:rsid w:val="00333564"/>
    <w:rsid w:val="003335A7"/>
    <w:rsid w:val="003400FA"/>
    <w:rsid w:val="003439D9"/>
    <w:rsid w:val="00357DCC"/>
    <w:rsid w:val="00360B65"/>
    <w:rsid w:val="00361FFB"/>
    <w:rsid w:val="003776E6"/>
    <w:rsid w:val="003923AD"/>
    <w:rsid w:val="003B27C2"/>
    <w:rsid w:val="003B447F"/>
    <w:rsid w:val="003C3896"/>
    <w:rsid w:val="003D6B68"/>
    <w:rsid w:val="003D7A2F"/>
    <w:rsid w:val="003F194D"/>
    <w:rsid w:val="0041091F"/>
    <w:rsid w:val="00433E9D"/>
    <w:rsid w:val="00434D52"/>
    <w:rsid w:val="00436F1B"/>
    <w:rsid w:val="004442E5"/>
    <w:rsid w:val="00461BC3"/>
    <w:rsid w:val="00470801"/>
    <w:rsid w:val="004B590F"/>
    <w:rsid w:val="004E4344"/>
    <w:rsid w:val="005078AD"/>
    <w:rsid w:val="00532B9B"/>
    <w:rsid w:val="00542BC9"/>
    <w:rsid w:val="00551A6C"/>
    <w:rsid w:val="00556BC2"/>
    <w:rsid w:val="005571B6"/>
    <w:rsid w:val="00571FAD"/>
    <w:rsid w:val="00586296"/>
    <w:rsid w:val="005962DD"/>
    <w:rsid w:val="005B37F0"/>
    <w:rsid w:val="005C5C8E"/>
    <w:rsid w:val="005C6B3B"/>
    <w:rsid w:val="005D1FB8"/>
    <w:rsid w:val="005D3585"/>
    <w:rsid w:val="005D382E"/>
    <w:rsid w:val="005D4144"/>
    <w:rsid w:val="005F0707"/>
    <w:rsid w:val="00601148"/>
    <w:rsid w:val="00614052"/>
    <w:rsid w:val="006142D2"/>
    <w:rsid w:val="0062067C"/>
    <w:rsid w:val="00655B34"/>
    <w:rsid w:val="00671C07"/>
    <w:rsid w:val="006B03BA"/>
    <w:rsid w:val="006B4DF6"/>
    <w:rsid w:val="00716F69"/>
    <w:rsid w:val="007272AB"/>
    <w:rsid w:val="0073517C"/>
    <w:rsid w:val="00767873"/>
    <w:rsid w:val="0077643B"/>
    <w:rsid w:val="007A109E"/>
    <w:rsid w:val="007B569B"/>
    <w:rsid w:val="00806B51"/>
    <w:rsid w:val="00813ADE"/>
    <w:rsid w:val="008360A7"/>
    <w:rsid w:val="00860812"/>
    <w:rsid w:val="008708E0"/>
    <w:rsid w:val="008741E9"/>
    <w:rsid w:val="00895ADD"/>
    <w:rsid w:val="008A526A"/>
    <w:rsid w:val="008E378A"/>
    <w:rsid w:val="008E5671"/>
    <w:rsid w:val="008F5E66"/>
    <w:rsid w:val="00912F9B"/>
    <w:rsid w:val="009147A0"/>
    <w:rsid w:val="00926B9C"/>
    <w:rsid w:val="00930E13"/>
    <w:rsid w:val="009732FC"/>
    <w:rsid w:val="00986F64"/>
    <w:rsid w:val="009953F2"/>
    <w:rsid w:val="009A408E"/>
    <w:rsid w:val="009B57FB"/>
    <w:rsid w:val="009E6628"/>
    <w:rsid w:val="00A03021"/>
    <w:rsid w:val="00A052C2"/>
    <w:rsid w:val="00A06CD9"/>
    <w:rsid w:val="00A233E1"/>
    <w:rsid w:val="00A40332"/>
    <w:rsid w:val="00A70D77"/>
    <w:rsid w:val="00A75A2C"/>
    <w:rsid w:val="00A92701"/>
    <w:rsid w:val="00A95D02"/>
    <w:rsid w:val="00AA3682"/>
    <w:rsid w:val="00AB27A0"/>
    <w:rsid w:val="00AD6CBA"/>
    <w:rsid w:val="00AE0854"/>
    <w:rsid w:val="00B13059"/>
    <w:rsid w:val="00B1412F"/>
    <w:rsid w:val="00B27FE0"/>
    <w:rsid w:val="00B37047"/>
    <w:rsid w:val="00B60668"/>
    <w:rsid w:val="00B83382"/>
    <w:rsid w:val="00B977B7"/>
    <w:rsid w:val="00BC18C7"/>
    <w:rsid w:val="00BC2F37"/>
    <w:rsid w:val="00C026CE"/>
    <w:rsid w:val="00C20955"/>
    <w:rsid w:val="00C47CB8"/>
    <w:rsid w:val="00C50964"/>
    <w:rsid w:val="00C705F0"/>
    <w:rsid w:val="00C922CD"/>
    <w:rsid w:val="00C962B3"/>
    <w:rsid w:val="00CA4A6D"/>
    <w:rsid w:val="00CB57B4"/>
    <w:rsid w:val="00CC7346"/>
    <w:rsid w:val="00CE17CE"/>
    <w:rsid w:val="00CF06FC"/>
    <w:rsid w:val="00CF1CFB"/>
    <w:rsid w:val="00CF6A43"/>
    <w:rsid w:val="00CF7A78"/>
    <w:rsid w:val="00D0096C"/>
    <w:rsid w:val="00D01C10"/>
    <w:rsid w:val="00D0281D"/>
    <w:rsid w:val="00D2425F"/>
    <w:rsid w:val="00D359D7"/>
    <w:rsid w:val="00D4352C"/>
    <w:rsid w:val="00D505F7"/>
    <w:rsid w:val="00D61959"/>
    <w:rsid w:val="00DE2239"/>
    <w:rsid w:val="00DF2B1E"/>
    <w:rsid w:val="00EA7371"/>
    <w:rsid w:val="00EC3E8F"/>
    <w:rsid w:val="00ED7DD5"/>
    <w:rsid w:val="00EF1056"/>
    <w:rsid w:val="00EF1134"/>
    <w:rsid w:val="00EF1785"/>
    <w:rsid w:val="00F17F06"/>
    <w:rsid w:val="00F23B96"/>
    <w:rsid w:val="00F45D47"/>
    <w:rsid w:val="00F64CF5"/>
    <w:rsid w:val="00F735CD"/>
    <w:rsid w:val="00F82B0F"/>
    <w:rsid w:val="00F9783F"/>
    <w:rsid w:val="00FE713A"/>
    <w:rsid w:val="00FF1B8F"/>
    <w:rsid w:val="00FF6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C435C"/>
  <w15:chartTrackingRefBased/>
  <w15:docId w15:val="{2F841C40-5D03-447A-91CB-04704EDC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A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F1B8F"/>
  </w:style>
  <w:style w:type="paragraph" w:styleId="Footer">
    <w:name w:val="footer"/>
    <w:basedOn w:val="Normal"/>
    <w:link w:val="Foot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1B8F"/>
  </w:style>
  <w:style w:type="paragraph" w:customStyle="1" w:styleId="a">
    <w:basedOn w:val="Normal"/>
    <w:next w:val="Subtitle"/>
    <w:qFormat/>
    <w:rsid w:val="00AB27A0"/>
    <w:pPr>
      <w:jc w:val="center"/>
    </w:pPr>
    <w:rPr>
      <w:i/>
      <w:sz w:val="28"/>
    </w:rPr>
  </w:style>
  <w:style w:type="paragraph" w:styleId="Subtitle">
    <w:name w:val="Subtitle"/>
    <w:basedOn w:val="Normal"/>
    <w:next w:val="Normal"/>
    <w:link w:val="SubtitleChar"/>
    <w:uiPriority w:val="11"/>
    <w:qFormat/>
    <w:rsid w:val="00AB27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27A0"/>
    <w:rPr>
      <w:rFonts w:eastAsiaTheme="minorEastAsia"/>
      <w:color w:val="5A5A5A" w:themeColor="text1" w:themeTint="A5"/>
      <w:spacing w:val="15"/>
      <w:lang w:val="lt-LT"/>
    </w:rPr>
  </w:style>
  <w:style w:type="paragraph" w:styleId="ListParagraph">
    <w:name w:val="List Paragraph"/>
    <w:basedOn w:val="Normal"/>
    <w:uiPriority w:val="34"/>
    <w:qFormat/>
    <w:rsid w:val="008360A7"/>
    <w:pPr>
      <w:ind w:left="720"/>
      <w:contextualSpacing/>
    </w:pPr>
    <w:rPr>
      <w:rFonts w:ascii="Gotham Book" w:hAnsi="Gotham Book"/>
      <w:sz w:val="20"/>
      <w:szCs w:val="24"/>
      <w:lang w:eastAsia="lt-LT"/>
    </w:rPr>
  </w:style>
  <w:style w:type="character" w:styleId="CommentReference">
    <w:name w:val="annotation reference"/>
    <w:basedOn w:val="DefaultParagraphFont"/>
    <w:uiPriority w:val="99"/>
    <w:semiHidden/>
    <w:unhideWhenUsed/>
    <w:rsid w:val="008360A7"/>
    <w:rPr>
      <w:sz w:val="16"/>
      <w:szCs w:val="16"/>
    </w:rPr>
  </w:style>
  <w:style w:type="paragraph" w:styleId="CommentText">
    <w:name w:val="annotation text"/>
    <w:basedOn w:val="Normal"/>
    <w:link w:val="CommentTextChar"/>
    <w:uiPriority w:val="99"/>
    <w:unhideWhenUsed/>
    <w:rsid w:val="008360A7"/>
    <w:rPr>
      <w:rFonts w:ascii="Gotham Book" w:hAnsi="Gotham Book"/>
      <w:sz w:val="20"/>
      <w:lang w:eastAsia="lt-LT"/>
    </w:rPr>
  </w:style>
  <w:style w:type="character" w:customStyle="1" w:styleId="CommentTextChar">
    <w:name w:val="Comment Text Char"/>
    <w:basedOn w:val="DefaultParagraphFont"/>
    <w:link w:val="CommentText"/>
    <w:uiPriority w:val="99"/>
    <w:rsid w:val="008360A7"/>
    <w:rPr>
      <w:rFonts w:ascii="Gotham Book" w:eastAsia="Times New Roman" w:hAnsi="Gotham Book" w:cs="Times New Roman"/>
      <w:sz w:val="20"/>
      <w:szCs w:val="20"/>
      <w:lang w:val="lt-LT" w:eastAsia="lt-LT"/>
    </w:rPr>
  </w:style>
  <w:style w:type="character" w:styleId="Hyperlink">
    <w:name w:val="Hyperlink"/>
    <w:basedOn w:val="DefaultParagraphFont"/>
    <w:uiPriority w:val="99"/>
    <w:unhideWhenUsed/>
    <w:rsid w:val="009B57FB"/>
    <w:rPr>
      <w:color w:val="0563C1" w:themeColor="hyperlink"/>
      <w:u w:val="single"/>
    </w:rPr>
  </w:style>
  <w:style w:type="character" w:styleId="UnresolvedMention">
    <w:name w:val="Unresolved Mention"/>
    <w:basedOn w:val="DefaultParagraphFont"/>
    <w:uiPriority w:val="99"/>
    <w:semiHidden/>
    <w:unhideWhenUsed/>
    <w:rsid w:val="009B5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onfer.cz/metal/2025/5079-fatigue-evaluation-of-tank-semi-trailer-frame-made-of-duplex-stee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A0D7-6B35-42CA-82E4-CD511D6E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3</Pages>
  <Words>645</Words>
  <Characters>4973</Characters>
  <Application>Microsoft Office Word</Application>
  <DocSecurity>0</DocSecurity>
  <Lines>103</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Remigijus Janulionis</cp:lastModifiedBy>
  <cp:revision>134</cp:revision>
  <cp:lastPrinted>2022-12-21T11:23:00Z</cp:lastPrinted>
  <dcterms:created xsi:type="dcterms:W3CDTF">2025-08-21T12:31:00Z</dcterms:created>
  <dcterms:modified xsi:type="dcterms:W3CDTF">2025-10-16T11:43:00Z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39c79122-4e30-4471-8476-32ae0ba2cfcf</vt:lpwstr>
  </property>
</Properties>
</file>