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E7074" w14:textId="77777777" w:rsidR="00644846" w:rsidRPr="00185687" w:rsidRDefault="00644846" w:rsidP="00644846">
      <w:pPr>
        <w:ind w:firstLine="705"/>
        <w:textAlignment w:val="baseline"/>
        <w:rPr>
          <w:rFonts w:ascii="Segoe UI" w:hAnsi="Segoe UI" w:cs="Segoe UI"/>
          <w:sz w:val="18"/>
          <w:szCs w:val="18"/>
        </w:rPr>
      </w:pPr>
      <w:r w:rsidRPr="00185687">
        <w:rPr>
          <w:rFonts w:ascii="Times New Roman" w:hAnsi="Times New Roman"/>
          <w:sz w:val="24"/>
        </w:rPr>
        <w:t> </w:t>
      </w:r>
    </w:p>
    <w:p w14:paraId="7ACCC071" w14:textId="77777777" w:rsidR="00063298" w:rsidRPr="00185687" w:rsidRDefault="00063298" w:rsidP="00063298">
      <w:pPr>
        <w:rPr>
          <w:color w:val="000000"/>
          <w:sz w:val="22"/>
          <w:szCs w:val="22"/>
        </w:rPr>
      </w:pPr>
    </w:p>
    <w:p w14:paraId="1BFFB8FF" w14:textId="77777777" w:rsidR="00DE41DA" w:rsidRPr="00185687" w:rsidRDefault="00DE41DA" w:rsidP="00DE41DA">
      <w:pPr>
        <w:autoSpaceDE w:val="0"/>
        <w:autoSpaceDN w:val="0"/>
        <w:adjustRightInd w:val="0"/>
        <w:jc w:val="center"/>
        <w:rPr>
          <w:b/>
          <w:sz w:val="22"/>
          <w:szCs w:val="22"/>
        </w:rPr>
      </w:pPr>
      <w:r w:rsidRPr="00185687">
        <w:rPr>
          <w:b/>
          <w:sz w:val="22"/>
          <w:szCs w:val="22"/>
        </w:rPr>
        <w:t xml:space="preserve">PROJEKTO </w:t>
      </w:r>
      <w:r w:rsidRPr="00185687">
        <w:rPr>
          <w:b/>
          <w:sz w:val="22"/>
          <w:szCs w:val="22"/>
          <w:u w:val="dotted"/>
        </w:rPr>
        <w:t>„</w:t>
      </w:r>
      <w:r w:rsidRPr="00185687">
        <w:rPr>
          <w:b/>
          <w:sz w:val="22"/>
          <w:szCs w:val="22"/>
        </w:rPr>
        <w:t>PATIKRINTI MTEP PROJEKTO IDĖJĄ BEI PASIRUOŠTI TEIKTI HORIZON EUROPE EXCELLENCE HUB PROJEKTO PARAIŠKĄ“</w:t>
      </w:r>
    </w:p>
    <w:p w14:paraId="3C68D18C" w14:textId="77777777" w:rsidR="00DE41DA" w:rsidRPr="00185687" w:rsidRDefault="00DE41DA" w:rsidP="00DE41DA">
      <w:pPr>
        <w:widowControl w:val="0"/>
        <w:jc w:val="center"/>
        <w:rPr>
          <w:b/>
          <w:sz w:val="22"/>
          <w:szCs w:val="22"/>
        </w:rPr>
      </w:pPr>
      <w:r w:rsidRPr="00185687">
        <w:rPr>
          <w:b/>
          <w:color w:val="000000" w:themeColor="text1"/>
          <w:sz w:val="22"/>
          <w:szCs w:val="22"/>
        </w:rPr>
        <w:t>NR. 10-038-T-0046 SUTARTĮ</w:t>
      </w:r>
    </w:p>
    <w:p w14:paraId="1C3BC992" w14:textId="77777777" w:rsidR="00A21B84" w:rsidRPr="00185687" w:rsidRDefault="00A21B84" w:rsidP="00A21B84">
      <w:pPr>
        <w:widowControl w:val="0"/>
        <w:jc w:val="center"/>
        <w:rPr>
          <w:bCs/>
          <w:sz w:val="22"/>
          <w:szCs w:val="22"/>
        </w:rPr>
      </w:pPr>
    </w:p>
    <w:p w14:paraId="3CB0941F" w14:textId="77777777" w:rsidR="00A21B84" w:rsidRPr="00185687" w:rsidRDefault="00A21B84" w:rsidP="00A21B84">
      <w:pPr>
        <w:widowControl w:val="0"/>
        <w:jc w:val="center"/>
        <w:rPr>
          <w:bCs/>
          <w:sz w:val="22"/>
          <w:szCs w:val="22"/>
        </w:rPr>
      </w:pPr>
    </w:p>
    <w:p w14:paraId="5D2F37EF" w14:textId="77777777" w:rsidR="00A21B84" w:rsidRPr="00185687" w:rsidRDefault="00A21B84" w:rsidP="00A21B84">
      <w:pPr>
        <w:widowControl w:val="0"/>
        <w:jc w:val="center"/>
        <w:rPr>
          <w:b/>
          <w:bCs/>
          <w:sz w:val="22"/>
          <w:szCs w:val="22"/>
        </w:rPr>
      </w:pPr>
      <w:r w:rsidRPr="00185687">
        <w:rPr>
          <w:b/>
          <w:bCs/>
          <w:sz w:val="22"/>
          <w:szCs w:val="22"/>
        </w:rPr>
        <w:t>VEIKLOS ATASKAITA</w:t>
      </w:r>
    </w:p>
    <w:p w14:paraId="7781C162" w14:textId="77777777" w:rsidR="00A21B84" w:rsidRPr="00185687" w:rsidRDefault="00A21B84" w:rsidP="00A21B84">
      <w:pPr>
        <w:widowControl w:val="0"/>
        <w:jc w:val="center"/>
        <w:rPr>
          <w:bCs/>
          <w:sz w:val="22"/>
          <w:szCs w:val="22"/>
        </w:rPr>
      </w:pPr>
      <w:r w:rsidRPr="00185687">
        <w:rPr>
          <w:bCs/>
          <w:sz w:val="22"/>
          <w:szCs w:val="22"/>
        </w:rPr>
        <w:t>2024 m</w:t>
      </w:r>
      <w:r w:rsidR="00BE6288" w:rsidRPr="00185687">
        <w:rPr>
          <w:bCs/>
          <w:sz w:val="22"/>
          <w:szCs w:val="22"/>
        </w:rPr>
        <w:t>.</w:t>
      </w:r>
      <w:r w:rsidRPr="00185687">
        <w:rPr>
          <w:bCs/>
          <w:sz w:val="22"/>
          <w:szCs w:val="22"/>
        </w:rPr>
        <w:t xml:space="preserve"> </w:t>
      </w:r>
      <w:r w:rsidR="00DE41DA" w:rsidRPr="00185687">
        <w:rPr>
          <w:bCs/>
          <w:sz w:val="22"/>
          <w:szCs w:val="22"/>
        </w:rPr>
        <w:t>gruodžio 30</w:t>
      </w:r>
      <w:r w:rsidRPr="00185687">
        <w:rPr>
          <w:bCs/>
          <w:sz w:val="22"/>
          <w:szCs w:val="22"/>
        </w:rPr>
        <w:t xml:space="preserve"> d.</w:t>
      </w:r>
    </w:p>
    <w:p w14:paraId="47E4CC94" w14:textId="77777777" w:rsidR="00A21B84" w:rsidRPr="00185687" w:rsidRDefault="00A21B84" w:rsidP="00A21B84">
      <w:pPr>
        <w:widowControl w:val="0"/>
        <w:jc w:val="both"/>
        <w:rPr>
          <w:bCs/>
          <w:sz w:val="22"/>
          <w:szCs w:val="22"/>
        </w:rPr>
      </w:pPr>
    </w:p>
    <w:p w14:paraId="2F892CE6" w14:textId="77777777" w:rsidR="000D33A0" w:rsidRPr="00185687" w:rsidRDefault="000D33A0" w:rsidP="00A21B84">
      <w:pPr>
        <w:jc w:val="both"/>
        <w:rPr>
          <w:b/>
          <w:bCs/>
          <w:sz w:val="22"/>
          <w:szCs w:val="22"/>
        </w:rPr>
      </w:pPr>
    </w:p>
    <w:p w14:paraId="3C8C32F2" w14:textId="77777777" w:rsidR="00A21B84" w:rsidRPr="00185687" w:rsidRDefault="00A21B84" w:rsidP="00A21B84">
      <w:pPr>
        <w:jc w:val="both"/>
        <w:rPr>
          <w:b/>
          <w:sz w:val="22"/>
          <w:szCs w:val="22"/>
        </w:rPr>
      </w:pPr>
      <w:r w:rsidRPr="00185687">
        <w:rPr>
          <w:b/>
          <w:bCs/>
          <w:sz w:val="22"/>
          <w:szCs w:val="22"/>
        </w:rPr>
        <w:t>Projekto pavadinimas:</w:t>
      </w:r>
      <w:r w:rsidRPr="00185687">
        <w:rPr>
          <w:bCs/>
          <w:sz w:val="22"/>
          <w:szCs w:val="22"/>
        </w:rPr>
        <w:t xml:space="preserve"> </w:t>
      </w:r>
      <w:r w:rsidR="00DE41DA" w:rsidRPr="00185687">
        <w:rPr>
          <w:b/>
          <w:sz w:val="22"/>
          <w:szCs w:val="22"/>
        </w:rPr>
        <w:t xml:space="preserve">Patikrinti MTEP projekto idėją bei pasiruošti teikti </w:t>
      </w:r>
      <w:proofErr w:type="spellStart"/>
      <w:r w:rsidR="00DE41DA" w:rsidRPr="00185687">
        <w:rPr>
          <w:b/>
          <w:sz w:val="22"/>
          <w:szCs w:val="22"/>
        </w:rPr>
        <w:t>Horizon</w:t>
      </w:r>
      <w:proofErr w:type="spellEnd"/>
      <w:r w:rsidR="00DE41DA" w:rsidRPr="00185687">
        <w:rPr>
          <w:b/>
          <w:sz w:val="22"/>
          <w:szCs w:val="22"/>
        </w:rPr>
        <w:t xml:space="preserve"> </w:t>
      </w:r>
      <w:proofErr w:type="spellStart"/>
      <w:r w:rsidR="00DE41DA" w:rsidRPr="00185687">
        <w:rPr>
          <w:b/>
          <w:sz w:val="22"/>
          <w:szCs w:val="22"/>
        </w:rPr>
        <w:t>Europe</w:t>
      </w:r>
      <w:proofErr w:type="spellEnd"/>
      <w:r w:rsidR="00DE41DA" w:rsidRPr="00185687">
        <w:rPr>
          <w:b/>
          <w:sz w:val="22"/>
          <w:szCs w:val="22"/>
        </w:rPr>
        <w:t xml:space="preserve"> </w:t>
      </w:r>
      <w:proofErr w:type="spellStart"/>
      <w:r w:rsidR="00DE41DA" w:rsidRPr="00185687">
        <w:rPr>
          <w:b/>
          <w:sz w:val="22"/>
          <w:szCs w:val="22"/>
        </w:rPr>
        <w:t>Excellence</w:t>
      </w:r>
      <w:proofErr w:type="spellEnd"/>
      <w:r w:rsidR="00DE41DA" w:rsidRPr="00185687">
        <w:rPr>
          <w:b/>
          <w:sz w:val="22"/>
          <w:szCs w:val="22"/>
        </w:rPr>
        <w:t xml:space="preserve"> </w:t>
      </w:r>
      <w:proofErr w:type="spellStart"/>
      <w:r w:rsidR="00DE41DA" w:rsidRPr="00185687">
        <w:rPr>
          <w:b/>
          <w:sz w:val="22"/>
          <w:szCs w:val="22"/>
        </w:rPr>
        <w:t>Hub</w:t>
      </w:r>
      <w:proofErr w:type="spellEnd"/>
      <w:r w:rsidR="00DE41DA" w:rsidRPr="00185687">
        <w:rPr>
          <w:b/>
          <w:sz w:val="22"/>
          <w:szCs w:val="22"/>
        </w:rPr>
        <w:t xml:space="preserve"> projekto paraišką</w:t>
      </w:r>
    </w:p>
    <w:p w14:paraId="698B3B03" w14:textId="77777777" w:rsidR="00DE41DA" w:rsidRPr="00185687" w:rsidRDefault="00DE41DA" w:rsidP="00A21B84">
      <w:pPr>
        <w:jc w:val="both"/>
      </w:pPr>
      <w:r w:rsidRPr="00185687">
        <w:t xml:space="preserve">Tikslas - </w:t>
      </w:r>
    </w:p>
    <w:p w14:paraId="1D63DEC6" w14:textId="77777777" w:rsidR="00A21B84" w:rsidRPr="00185687" w:rsidRDefault="00A21B84" w:rsidP="00A21B84">
      <w:pPr>
        <w:widowControl w:val="0"/>
        <w:rPr>
          <w:bCs/>
          <w:sz w:val="22"/>
          <w:szCs w:val="22"/>
        </w:rPr>
      </w:pPr>
    </w:p>
    <w:p w14:paraId="1B660F00" w14:textId="77777777" w:rsidR="00A21B84" w:rsidRPr="00185687" w:rsidRDefault="00A21B84" w:rsidP="00A21B84">
      <w:pPr>
        <w:widowControl w:val="0"/>
        <w:rPr>
          <w:b/>
          <w:bCs/>
          <w:sz w:val="22"/>
          <w:szCs w:val="22"/>
        </w:rPr>
      </w:pPr>
      <w:r w:rsidRPr="00185687">
        <w:rPr>
          <w:b/>
          <w:bCs/>
          <w:sz w:val="22"/>
          <w:szCs w:val="22"/>
        </w:rPr>
        <w:t xml:space="preserve">Skirtas finansavimas: </w:t>
      </w:r>
      <w:r w:rsidR="00FE1C6C" w:rsidRPr="00185687">
        <w:rPr>
          <w:bCs/>
          <w:sz w:val="22"/>
          <w:szCs w:val="22"/>
        </w:rPr>
        <w:t>10 151,83 Eur</w:t>
      </w:r>
    </w:p>
    <w:p w14:paraId="355A27E6" w14:textId="77777777" w:rsidR="000D33A0" w:rsidRPr="00185687" w:rsidRDefault="000D33A0" w:rsidP="00A21B84">
      <w:pPr>
        <w:widowControl w:val="0"/>
        <w:rPr>
          <w:b/>
          <w:bCs/>
          <w:sz w:val="22"/>
          <w:szCs w:val="22"/>
        </w:rPr>
      </w:pPr>
    </w:p>
    <w:p w14:paraId="5EB98589" w14:textId="77777777" w:rsidR="00A21B84" w:rsidRPr="00185687" w:rsidRDefault="00A21B84" w:rsidP="00A21B84">
      <w:pPr>
        <w:widowControl w:val="0"/>
        <w:rPr>
          <w:b/>
          <w:bCs/>
          <w:sz w:val="22"/>
          <w:szCs w:val="22"/>
        </w:rPr>
      </w:pPr>
      <w:r w:rsidRPr="00185687">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7"/>
        <w:gridCol w:w="7897"/>
      </w:tblGrid>
      <w:tr w:rsidR="00A21B84" w:rsidRPr="00185687" w14:paraId="6E98CA4F" w14:textId="77777777" w:rsidTr="00A21B84">
        <w:tc>
          <w:tcPr>
            <w:tcW w:w="1458" w:type="dxa"/>
          </w:tcPr>
          <w:p w14:paraId="0E44B097" w14:textId="77777777" w:rsidR="00A21B84" w:rsidRPr="00185687" w:rsidRDefault="00A21B84" w:rsidP="00A21B84">
            <w:pPr>
              <w:widowControl w:val="0"/>
              <w:rPr>
                <w:bCs/>
                <w:sz w:val="22"/>
                <w:szCs w:val="22"/>
              </w:rPr>
            </w:pPr>
            <w:r w:rsidRPr="00185687">
              <w:rPr>
                <w:bCs/>
                <w:sz w:val="22"/>
                <w:szCs w:val="22"/>
              </w:rPr>
              <w:t>Pradžia</w:t>
            </w:r>
          </w:p>
        </w:tc>
        <w:tc>
          <w:tcPr>
            <w:tcW w:w="8112" w:type="dxa"/>
          </w:tcPr>
          <w:p w14:paraId="7C373FD5" w14:textId="77777777" w:rsidR="00A21B84" w:rsidRPr="00185687" w:rsidRDefault="00DE41DA" w:rsidP="00A21B84">
            <w:pPr>
              <w:widowControl w:val="0"/>
              <w:rPr>
                <w:bCs/>
                <w:sz w:val="22"/>
                <w:szCs w:val="22"/>
              </w:rPr>
            </w:pPr>
            <w:r w:rsidRPr="00185687">
              <w:rPr>
                <w:bCs/>
                <w:sz w:val="22"/>
                <w:szCs w:val="22"/>
              </w:rPr>
              <w:t>2023 m. lapkritis</w:t>
            </w:r>
          </w:p>
        </w:tc>
      </w:tr>
      <w:tr w:rsidR="00A21B84" w:rsidRPr="00185687" w14:paraId="41EE84AE" w14:textId="77777777" w:rsidTr="00A21B84">
        <w:tc>
          <w:tcPr>
            <w:tcW w:w="1458" w:type="dxa"/>
          </w:tcPr>
          <w:p w14:paraId="76962352" w14:textId="77777777" w:rsidR="00A21B84" w:rsidRPr="00185687" w:rsidRDefault="00A21B84" w:rsidP="00A21B84">
            <w:pPr>
              <w:widowControl w:val="0"/>
              <w:rPr>
                <w:bCs/>
                <w:sz w:val="22"/>
                <w:szCs w:val="22"/>
              </w:rPr>
            </w:pPr>
            <w:r w:rsidRPr="00185687">
              <w:rPr>
                <w:bCs/>
                <w:sz w:val="22"/>
                <w:szCs w:val="22"/>
              </w:rPr>
              <w:t>Pabaiga</w:t>
            </w:r>
          </w:p>
        </w:tc>
        <w:tc>
          <w:tcPr>
            <w:tcW w:w="8112" w:type="dxa"/>
          </w:tcPr>
          <w:p w14:paraId="78D5ECE8" w14:textId="77777777" w:rsidR="00A21B84" w:rsidRPr="00185687" w:rsidRDefault="00A21B84" w:rsidP="00A21B84">
            <w:pPr>
              <w:widowControl w:val="0"/>
              <w:rPr>
                <w:bCs/>
                <w:sz w:val="22"/>
                <w:szCs w:val="22"/>
              </w:rPr>
            </w:pPr>
            <w:r w:rsidRPr="00185687">
              <w:rPr>
                <w:bCs/>
                <w:sz w:val="22"/>
                <w:szCs w:val="22"/>
              </w:rPr>
              <w:t xml:space="preserve">2024 m. </w:t>
            </w:r>
            <w:r w:rsidR="00DE41DA" w:rsidRPr="00185687">
              <w:rPr>
                <w:bCs/>
                <w:sz w:val="22"/>
                <w:szCs w:val="22"/>
              </w:rPr>
              <w:t>gegužė</w:t>
            </w:r>
          </w:p>
        </w:tc>
      </w:tr>
    </w:tbl>
    <w:p w14:paraId="7664DF8C" w14:textId="77777777" w:rsidR="00A21B84" w:rsidRPr="00185687" w:rsidRDefault="00A21B84" w:rsidP="00A21B84">
      <w:pPr>
        <w:widowControl w:val="0"/>
        <w:rPr>
          <w:bCs/>
          <w:sz w:val="22"/>
          <w:szCs w:val="22"/>
        </w:rPr>
      </w:pPr>
    </w:p>
    <w:p w14:paraId="16E103FC" w14:textId="77777777" w:rsidR="00A21B84" w:rsidRPr="00185687" w:rsidRDefault="00A21B84" w:rsidP="00A21B84">
      <w:pPr>
        <w:widowControl w:val="0"/>
        <w:rPr>
          <w:b/>
          <w:bCs/>
          <w:sz w:val="22"/>
          <w:szCs w:val="22"/>
        </w:rPr>
      </w:pPr>
      <w:r w:rsidRPr="00185687">
        <w:rPr>
          <w:b/>
          <w:bCs/>
          <w:sz w:val="22"/>
          <w:szCs w:val="22"/>
        </w:rPr>
        <w:t>Projekto tikslas:</w:t>
      </w:r>
    </w:p>
    <w:p w14:paraId="5162936B" w14:textId="77777777" w:rsidR="00A21B84" w:rsidRPr="00185687" w:rsidRDefault="00DE41DA" w:rsidP="00DE41DA">
      <w:pPr>
        <w:widowControl w:val="0"/>
        <w:jc w:val="both"/>
        <w:rPr>
          <w:bCs/>
          <w:sz w:val="22"/>
          <w:szCs w:val="22"/>
        </w:rPr>
      </w:pPr>
      <w:r w:rsidRPr="00185687">
        <w:rPr>
          <w:bCs/>
          <w:sz w:val="22"/>
          <w:szCs w:val="22"/>
        </w:rPr>
        <w:t>Patikrinti MTEP projekto idėją bei pasiruošti teikti paraišką projektui pagal programos „Europos horizontas“ kvietimą HORIZON-WIDERA-2023-ACCESS-07 „</w:t>
      </w:r>
      <w:proofErr w:type="spellStart"/>
      <w:r w:rsidRPr="00185687">
        <w:rPr>
          <w:bCs/>
          <w:sz w:val="22"/>
          <w:szCs w:val="22"/>
        </w:rPr>
        <w:t>Excellence</w:t>
      </w:r>
      <w:proofErr w:type="spellEnd"/>
      <w:r w:rsidRPr="00185687">
        <w:rPr>
          <w:bCs/>
          <w:sz w:val="22"/>
          <w:szCs w:val="22"/>
        </w:rPr>
        <w:t xml:space="preserve"> </w:t>
      </w:r>
      <w:proofErr w:type="spellStart"/>
      <w:r w:rsidRPr="00185687">
        <w:rPr>
          <w:bCs/>
          <w:sz w:val="22"/>
          <w:szCs w:val="22"/>
        </w:rPr>
        <w:t>HUBs</w:t>
      </w:r>
      <w:proofErr w:type="spellEnd"/>
      <w:r w:rsidRPr="00185687">
        <w:rPr>
          <w:bCs/>
          <w:sz w:val="22"/>
          <w:szCs w:val="22"/>
        </w:rPr>
        <w:t>“ 2024 m.</w:t>
      </w:r>
    </w:p>
    <w:p w14:paraId="4DBE448A" w14:textId="77777777" w:rsidR="00A12292" w:rsidRPr="00185687" w:rsidRDefault="00A12292" w:rsidP="00A21B84">
      <w:pPr>
        <w:jc w:val="both"/>
        <w:rPr>
          <w:b/>
          <w:bCs/>
          <w:sz w:val="22"/>
          <w:szCs w:val="22"/>
        </w:rPr>
      </w:pPr>
    </w:p>
    <w:p w14:paraId="175845B7" w14:textId="77777777" w:rsidR="00A21B84" w:rsidRPr="00185687" w:rsidRDefault="00A21B84" w:rsidP="00A21B84">
      <w:pPr>
        <w:jc w:val="both"/>
        <w:rPr>
          <w:bCs/>
          <w:sz w:val="22"/>
          <w:szCs w:val="22"/>
        </w:rPr>
      </w:pPr>
      <w:r w:rsidRPr="00185687">
        <w:rPr>
          <w:b/>
          <w:bCs/>
          <w:sz w:val="22"/>
          <w:szCs w:val="22"/>
        </w:rPr>
        <w:t xml:space="preserve">Projekto įgyvendinimo metu vykdyta veikla: </w:t>
      </w:r>
      <w:r w:rsidRPr="00185687">
        <w:rPr>
          <w:bCs/>
          <w:sz w:val="22"/>
          <w:szCs w:val="22"/>
        </w:rPr>
        <w:t>projekto įgyvendinimo metu buvo parengta paraiška pagal</w:t>
      </w:r>
      <w:r w:rsidR="00FE1C6C" w:rsidRPr="00185687">
        <w:rPr>
          <w:bCs/>
          <w:sz w:val="22"/>
          <w:szCs w:val="22"/>
        </w:rPr>
        <w:t xml:space="preserve"> programos „Europos horizontas“ kvietimą</w:t>
      </w:r>
      <w:r w:rsidRPr="00185687">
        <w:rPr>
          <w:bCs/>
          <w:sz w:val="22"/>
          <w:szCs w:val="22"/>
        </w:rPr>
        <w:t xml:space="preserve"> </w:t>
      </w:r>
      <w:r w:rsidR="00FE1C6C" w:rsidRPr="00185687">
        <w:rPr>
          <w:bCs/>
          <w:sz w:val="22"/>
          <w:szCs w:val="22"/>
        </w:rPr>
        <w:t>HORIZON-WIDERA-2023-ACCESS-07 „</w:t>
      </w:r>
      <w:proofErr w:type="spellStart"/>
      <w:r w:rsidR="00FE1C6C" w:rsidRPr="00185687">
        <w:rPr>
          <w:bCs/>
          <w:sz w:val="22"/>
          <w:szCs w:val="22"/>
        </w:rPr>
        <w:t>Excellence</w:t>
      </w:r>
      <w:proofErr w:type="spellEnd"/>
      <w:r w:rsidR="00FE1C6C" w:rsidRPr="00185687">
        <w:rPr>
          <w:bCs/>
          <w:sz w:val="22"/>
          <w:szCs w:val="22"/>
        </w:rPr>
        <w:t xml:space="preserve"> </w:t>
      </w:r>
      <w:proofErr w:type="spellStart"/>
      <w:r w:rsidR="00FE1C6C" w:rsidRPr="00185687">
        <w:rPr>
          <w:bCs/>
          <w:sz w:val="22"/>
          <w:szCs w:val="22"/>
        </w:rPr>
        <w:t>HUBs</w:t>
      </w:r>
      <w:proofErr w:type="spellEnd"/>
      <w:r w:rsidR="00FE1C6C" w:rsidRPr="00185687">
        <w:rPr>
          <w:bCs/>
          <w:sz w:val="22"/>
          <w:szCs w:val="22"/>
        </w:rPr>
        <w:t>“ 2024 m.</w:t>
      </w:r>
    </w:p>
    <w:p w14:paraId="30774051" w14:textId="77777777" w:rsidR="00A21B84" w:rsidRPr="00185687" w:rsidRDefault="00A21B84" w:rsidP="00A21B84">
      <w:pPr>
        <w:jc w:val="both"/>
        <w:rPr>
          <w:bCs/>
          <w:sz w:val="22"/>
          <w:szCs w:val="22"/>
        </w:rPr>
      </w:pPr>
    </w:p>
    <w:p w14:paraId="69EB3E29" w14:textId="77777777" w:rsidR="00A12292" w:rsidRPr="00185687" w:rsidRDefault="0093354F" w:rsidP="00A21B84">
      <w:pPr>
        <w:jc w:val="both"/>
        <w:rPr>
          <w:bCs/>
          <w:sz w:val="22"/>
          <w:szCs w:val="22"/>
        </w:rPr>
      </w:pPr>
      <w:r w:rsidRPr="00185687">
        <w:rPr>
          <w:bCs/>
          <w:sz w:val="22"/>
          <w:szCs w:val="22"/>
        </w:rPr>
        <w:t>Įgyvendinant projektą ,,</w:t>
      </w:r>
      <w:r w:rsidRPr="00185687">
        <w:rPr>
          <w:b/>
          <w:sz w:val="22"/>
          <w:szCs w:val="22"/>
        </w:rPr>
        <w:t xml:space="preserve">Patikrinti MTEP projekto idėją bei pasiruošti teikti </w:t>
      </w:r>
      <w:proofErr w:type="spellStart"/>
      <w:r w:rsidRPr="00185687">
        <w:rPr>
          <w:b/>
          <w:sz w:val="22"/>
          <w:szCs w:val="22"/>
        </w:rPr>
        <w:t>Horizon</w:t>
      </w:r>
      <w:proofErr w:type="spellEnd"/>
      <w:r w:rsidRPr="00185687">
        <w:rPr>
          <w:b/>
          <w:sz w:val="22"/>
          <w:szCs w:val="22"/>
        </w:rPr>
        <w:t xml:space="preserve"> </w:t>
      </w:r>
      <w:proofErr w:type="spellStart"/>
      <w:r w:rsidRPr="00185687">
        <w:rPr>
          <w:b/>
          <w:sz w:val="22"/>
          <w:szCs w:val="22"/>
        </w:rPr>
        <w:t>Europe</w:t>
      </w:r>
      <w:proofErr w:type="spellEnd"/>
      <w:r w:rsidRPr="00185687">
        <w:rPr>
          <w:b/>
          <w:sz w:val="22"/>
          <w:szCs w:val="22"/>
        </w:rPr>
        <w:t xml:space="preserve"> </w:t>
      </w:r>
      <w:proofErr w:type="spellStart"/>
      <w:r w:rsidRPr="00185687">
        <w:rPr>
          <w:b/>
          <w:sz w:val="22"/>
          <w:szCs w:val="22"/>
        </w:rPr>
        <w:t>Excellence</w:t>
      </w:r>
      <w:proofErr w:type="spellEnd"/>
      <w:r w:rsidRPr="00185687">
        <w:rPr>
          <w:b/>
          <w:sz w:val="22"/>
          <w:szCs w:val="22"/>
        </w:rPr>
        <w:t xml:space="preserve"> </w:t>
      </w:r>
      <w:proofErr w:type="spellStart"/>
      <w:r w:rsidRPr="00185687">
        <w:rPr>
          <w:b/>
          <w:sz w:val="22"/>
          <w:szCs w:val="22"/>
        </w:rPr>
        <w:t>Hub</w:t>
      </w:r>
      <w:proofErr w:type="spellEnd"/>
      <w:r w:rsidRPr="00185687">
        <w:rPr>
          <w:b/>
          <w:sz w:val="22"/>
          <w:szCs w:val="22"/>
        </w:rPr>
        <w:t xml:space="preserve"> projekto paraišką“ pagal sutartį Nr. 10-038-T-0046</w:t>
      </w:r>
      <w:r w:rsidRPr="00185687">
        <w:rPr>
          <w:bCs/>
          <w:sz w:val="22"/>
          <w:szCs w:val="22"/>
        </w:rPr>
        <w:t xml:space="preserve"> buvo įsigytos ekspertų konsultacijos ir kitos paslaugos, padėjusios parengti paraišką ir gauti paraiškos parengimui būtinas žinias pagal programos „Europos horizontas“ kvietimą HORIZON-WIDERA-2023-ACCESS-07 „</w:t>
      </w:r>
      <w:proofErr w:type="spellStart"/>
      <w:r w:rsidRPr="00185687">
        <w:rPr>
          <w:bCs/>
          <w:sz w:val="22"/>
          <w:szCs w:val="22"/>
        </w:rPr>
        <w:t>Excellence</w:t>
      </w:r>
      <w:proofErr w:type="spellEnd"/>
      <w:r w:rsidRPr="00185687">
        <w:rPr>
          <w:bCs/>
          <w:sz w:val="22"/>
          <w:szCs w:val="22"/>
        </w:rPr>
        <w:t xml:space="preserve"> </w:t>
      </w:r>
      <w:proofErr w:type="spellStart"/>
      <w:r w:rsidRPr="00185687">
        <w:rPr>
          <w:bCs/>
          <w:sz w:val="22"/>
          <w:szCs w:val="22"/>
        </w:rPr>
        <w:t>HUBs</w:t>
      </w:r>
      <w:proofErr w:type="spellEnd"/>
      <w:r w:rsidRPr="00185687">
        <w:rPr>
          <w:bCs/>
          <w:sz w:val="22"/>
          <w:szCs w:val="22"/>
        </w:rPr>
        <w:t xml:space="preserve">“ vykdyti tarpdisciplininį projektą. </w:t>
      </w:r>
    </w:p>
    <w:p w14:paraId="00BCA9D4" w14:textId="77777777" w:rsidR="00A12292" w:rsidRPr="00185687" w:rsidRDefault="00A12292" w:rsidP="00A21B84">
      <w:pPr>
        <w:jc w:val="both"/>
        <w:rPr>
          <w:bCs/>
          <w:sz w:val="22"/>
          <w:szCs w:val="22"/>
        </w:rPr>
      </w:pPr>
    </w:p>
    <w:p w14:paraId="60CBD1F3" w14:textId="77777777" w:rsidR="00A12292" w:rsidRPr="00185687" w:rsidRDefault="0093354F" w:rsidP="00A21B84">
      <w:pPr>
        <w:jc w:val="both"/>
        <w:rPr>
          <w:bCs/>
          <w:sz w:val="22"/>
          <w:szCs w:val="22"/>
        </w:rPr>
      </w:pPr>
      <w:r w:rsidRPr="00185687">
        <w:rPr>
          <w:bCs/>
          <w:sz w:val="22"/>
          <w:szCs w:val="22"/>
        </w:rPr>
        <w:t>Projekto</w:t>
      </w:r>
      <w:r w:rsidR="00A12292" w:rsidRPr="00185687">
        <w:rPr>
          <w:bCs/>
          <w:sz w:val="22"/>
          <w:szCs w:val="22"/>
        </w:rPr>
        <w:t xml:space="preserve"> pagal programos „Europos horizontas“ kvietimą HORIZON-WIDERA-2023-ACCESS-07 „</w:t>
      </w:r>
      <w:proofErr w:type="spellStart"/>
      <w:r w:rsidR="00A12292" w:rsidRPr="00185687">
        <w:rPr>
          <w:bCs/>
          <w:sz w:val="22"/>
          <w:szCs w:val="22"/>
        </w:rPr>
        <w:t>Excellence</w:t>
      </w:r>
      <w:proofErr w:type="spellEnd"/>
      <w:r w:rsidR="00A12292" w:rsidRPr="00185687">
        <w:rPr>
          <w:bCs/>
          <w:sz w:val="22"/>
          <w:szCs w:val="22"/>
        </w:rPr>
        <w:t xml:space="preserve"> </w:t>
      </w:r>
      <w:proofErr w:type="spellStart"/>
      <w:r w:rsidR="00A12292" w:rsidRPr="00185687">
        <w:rPr>
          <w:bCs/>
          <w:sz w:val="22"/>
          <w:szCs w:val="22"/>
        </w:rPr>
        <w:t>HUBs</w:t>
      </w:r>
      <w:proofErr w:type="spellEnd"/>
      <w:r w:rsidR="00A12292" w:rsidRPr="00185687">
        <w:rPr>
          <w:bCs/>
          <w:sz w:val="22"/>
          <w:szCs w:val="22"/>
        </w:rPr>
        <w:t xml:space="preserve">“ </w:t>
      </w:r>
      <w:r w:rsidRPr="00185687">
        <w:rPr>
          <w:bCs/>
          <w:sz w:val="22"/>
          <w:szCs w:val="22"/>
        </w:rPr>
        <w:t xml:space="preserve"> paraiška bu</w:t>
      </w:r>
      <w:r w:rsidR="00A12292" w:rsidRPr="00185687">
        <w:rPr>
          <w:bCs/>
          <w:sz w:val="22"/>
          <w:szCs w:val="22"/>
        </w:rPr>
        <w:t>vo</w:t>
      </w:r>
      <w:r w:rsidRPr="00185687">
        <w:rPr>
          <w:bCs/>
          <w:sz w:val="22"/>
          <w:szCs w:val="22"/>
        </w:rPr>
        <w:t xml:space="preserve"> rengiama su HILASE lazerių centru Čekijoje ir kitais privalomais partneriais. </w:t>
      </w:r>
    </w:p>
    <w:p w14:paraId="0642505E" w14:textId="77777777" w:rsidR="00A12292" w:rsidRPr="00185687" w:rsidRDefault="00A12292" w:rsidP="00A21B84">
      <w:pPr>
        <w:jc w:val="both"/>
        <w:rPr>
          <w:bCs/>
          <w:sz w:val="22"/>
          <w:szCs w:val="22"/>
        </w:rPr>
      </w:pPr>
    </w:p>
    <w:p w14:paraId="3911D31B" w14:textId="77777777" w:rsidR="00A12292" w:rsidRPr="00185687" w:rsidRDefault="00A12292" w:rsidP="00A21B84">
      <w:pPr>
        <w:jc w:val="both"/>
        <w:rPr>
          <w:bCs/>
          <w:sz w:val="22"/>
          <w:szCs w:val="22"/>
        </w:rPr>
      </w:pPr>
      <w:r w:rsidRPr="00185687">
        <w:rPr>
          <w:bCs/>
          <w:sz w:val="22"/>
          <w:szCs w:val="22"/>
        </w:rPr>
        <w:t xml:space="preserve">Minimu Europos Horizontas programos </w:t>
      </w:r>
      <w:r w:rsidR="0093354F" w:rsidRPr="00185687">
        <w:rPr>
          <w:bCs/>
          <w:sz w:val="22"/>
          <w:szCs w:val="22"/>
        </w:rPr>
        <w:t>Projektu siekiama sukurti</w:t>
      </w:r>
      <w:r w:rsidRPr="00185687">
        <w:rPr>
          <w:bCs/>
          <w:sz w:val="22"/>
          <w:szCs w:val="22"/>
        </w:rPr>
        <w:t>:</w:t>
      </w:r>
    </w:p>
    <w:p w14:paraId="7BDC8C0B" w14:textId="77777777" w:rsidR="00A12292" w:rsidRPr="00185687" w:rsidRDefault="0093354F" w:rsidP="00A21B84">
      <w:pPr>
        <w:jc w:val="both"/>
        <w:rPr>
          <w:bCs/>
          <w:sz w:val="22"/>
          <w:szCs w:val="22"/>
        </w:rPr>
      </w:pPr>
      <w:r w:rsidRPr="00185687">
        <w:rPr>
          <w:bCs/>
          <w:sz w:val="22"/>
          <w:szCs w:val="22"/>
        </w:rPr>
        <w:t xml:space="preserve"> 1. Sukurti ilgalaikę strateginę ir tvarią Lietuvos ir Čekijos regionų plėtrą, pagrįstą mokslo ir inovacijų skatinimu pažangių lazerinių technologijų ir skaitmeninimo srityje. </w:t>
      </w:r>
      <w:r w:rsidRPr="00185687">
        <w:rPr>
          <w:bCs/>
          <w:sz w:val="22"/>
          <w:szCs w:val="22"/>
        </w:rPr>
        <w:lastRenderedPageBreak/>
        <w:t xml:space="preserve">2. Sukurti ir plėtoti bendrą tvirtą lazerinių technologijų ir skaitmeninimo platformą, kuria būtų siekiama plėtoti bendrus mokslinių tyrimų projektus ir novatoriškas koncepcijas, galinčias žymiai sustiprinti akademinio ir pramonės bendradarbiavimą Europos ir tarptautiniu lygiu. </w:t>
      </w:r>
    </w:p>
    <w:p w14:paraId="56F58F03" w14:textId="77777777" w:rsidR="00A12292" w:rsidRPr="00185687" w:rsidRDefault="0093354F" w:rsidP="00A21B84">
      <w:pPr>
        <w:jc w:val="both"/>
        <w:rPr>
          <w:bCs/>
          <w:sz w:val="22"/>
          <w:szCs w:val="22"/>
        </w:rPr>
      </w:pPr>
      <w:r w:rsidRPr="00185687">
        <w:rPr>
          <w:bCs/>
          <w:sz w:val="22"/>
          <w:szCs w:val="22"/>
        </w:rPr>
        <w:t xml:space="preserve">3. Stiprinti inovacijų kultūrą abiejuose regionuose per švietimą, mokymą, paramą lyderystei ir verslumui bei plėtojant žmogiškuosius išteklius. </w:t>
      </w:r>
    </w:p>
    <w:p w14:paraId="257C3A3C" w14:textId="77777777" w:rsidR="00A12292" w:rsidRPr="00185687" w:rsidRDefault="0093354F" w:rsidP="00A21B84">
      <w:pPr>
        <w:jc w:val="both"/>
        <w:rPr>
          <w:bCs/>
          <w:sz w:val="22"/>
          <w:szCs w:val="22"/>
        </w:rPr>
      </w:pPr>
      <w:r w:rsidRPr="00185687">
        <w:rPr>
          <w:bCs/>
          <w:sz w:val="22"/>
          <w:szCs w:val="22"/>
        </w:rPr>
        <w:t>4. Skatinti didesnį inovatyvių technologijų įsisavinimą, gilinant mokslo ir verslo ryšius bei sukuriant tinkamas sąlygas žinių perdavimui, bendriems projektams ir ilgalaikėms partnerystėms.</w:t>
      </w:r>
    </w:p>
    <w:p w14:paraId="29D2E8F7" w14:textId="77777777" w:rsidR="00A12292" w:rsidRPr="00185687" w:rsidRDefault="0093354F" w:rsidP="00A21B84">
      <w:pPr>
        <w:jc w:val="both"/>
        <w:rPr>
          <w:bCs/>
          <w:sz w:val="22"/>
          <w:szCs w:val="22"/>
        </w:rPr>
      </w:pPr>
      <w:r w:rsidRPr="00185687">
        <w:rPr>
          <w:bCs/>
          <w:sz w:val="22"/>
          <w:szCs w:val="22"/>
        </w:rPr>
        <w:t xml:space="preserve">5. Kurti ir plėtoti tvirtas ekosistemas abiejose pusėse, siekiant paremti pradedančias įmones, atsiskyrusias įmones, MVĮ, susijusias su projekto specializacija, remiant dalijimąsi patirtimi, geriausios praktikos mainais ir dotacijų finansavimu. 6. Didinti lazerinių technologijų ir skaitmeninimo matomumą. Pagal kvietimo aprašą būtina pasirengti bendrus mokslinių tyrimų projektus ir novatoriškas koncepcijas, galinčias žymiai sustiprinti akademinio ir pramonės bendradarbiavimą Europos ir tarptautiniu lygiu. </w:t>
      </w:r>
    </w:p>
    <w:p w14:paraId="1B40050E" w14:textId="77777777" w:rsidR="00A12292" w:rsidRPr="00185687" w:rsidRDefault="00A12292" w:rsidP="00A21B84">
      <w:pPr>
        <w:jc w:val="both"/>
        <w:rPr>
          <w:bCs/>
          <w:sz w:val="22"/>
          <w:szCs w:val="22"/>
        </w:rPr>
      </w:pPr>
      <w:r w:rsidRPr="00185687">
        <w:rPr>
          <w:bCs/>
          <w:sz w:val="22"/>
          <w:szCs w:val="22"/>
        </w:rPr>
        <w:t>Projekte taip pat suplanuoti</w:t>
      </w:r>
      <w:r w:rsidR="0093354F" w:rsidRPr="00185687">
        <w:rPr>
          <w:bCs/>
          <w:sz w:val="22"/>
          <w:szCs w:val="22"/>
        </w:rPr>
        <w:t xml:space="preserve"> pilotiniai lazerinių technologijų projektai (preliminarūs pavadinimai): </w:t>
      </w:r>
    </w:p>
    <w:p w14:paraId="020E9BD8" w14:textId="77777777" w:rsidR="00A12292" w:rsidRPr="00185687" w:rsidRDefault="0093354F" w:rsidP="00A21B84">
      <w:pPr>
        <w:jc w:val="both"/>
        <w:rPr>
          <w:bCs/>
          <w:sz w:val="22"/>
          <w:szCs w:val="22"/>
        </w:rPr>
      </w:pPr>
      <w:r w:rsidRPr="00185687">
        <w:rPr>
          <w:bCs/>
          <w:sz w:val="22"/>
          <w:szCs w:val="22"/>
        </w:rPr>
        <w:t xml:space="preserve">1) pažangių lazerinių technologijų panaudojimas tvariai gamybai; </w:t>
      </w:r>
    </w:p>
    <w:p w14:paraId="057D51F6" w14:textId="77777777" w:rsidR="00A12292" w:rsidRPr="00185687" w:rsidRDefault="0093354F" w:rsidP="00A21B84">
      <w:pPr>
        <w:jc w:val="both"/>
        <w:rPr>
          <w:bCs/>
          <w:sz w:val="22"/>
          <w:szCs w:val="22"/>
        </w:rPr>
      </w:pPr>
      <w:r w:rsidRPr="00185687">
        <w:rPr>
          <w:bCs/>
          <w:sz w:val="22"/>
          <w:szCs w:val="22"/>
        </w:rPr>
        <w:t xml:space="preserve">2) Lazerinės technologijos ES Lustų akto uždaviniams; </w:t>
      </w:r>
    </w:p>
    <w:p w14:paraId="33BE0F74" w14:textId="77777777" w:rsidR="00A12292" w:rsidRPr="00185687" w:rsidRDefault="0093354F" w:rsidP="00A21B84">
      <w:pPr>
        <w:jc w:val="both"/>
        <w:rPr>
          <w:bCs/>
          <w:sz w:val="22"/>
          <w:szCs w:val="22"/>
        </w:rPr>
      </w:pPr>
      <w:r w:rsidRPr="00185687">
        <w:rPr>
          <w:bCs/>
          <w:sz w:val="22"/>
          <w:szCs w:val="22"/>
        </w:rPr>
        <w:t xml:space="preserve">3) Lazerių taikymas biotechnologijose ir biomedicinoje; </w:t>
      </w:r>
    </w:p>
    <w:p w14:paraId="1D63B1BF" w14:textId="77777777" w:rsidR="00A12292" w:rsidRPr="00185687" w:rsidRDefault="0093354F" w:rsidP="00A21B84">
      <w:pPr>
        <w:jc w:val="both"/>
        <w:rPr>
          <w:bCs/>
          <w:sz w:val="22"/>
          <w:szCs w:val="22"/>
        </w:rPr>
      </w:pPr>
      <w:r w:rsidRPr="00185687">
        <w:rPr>
          <w:bCs/>
          <w:sz w:val="22"/>
          <w:szCs w:val="22"/>
        </w:rPr>
        <w:t xml:space="preserve">4) skaitmeninių ir 3D spausdinimo technologijų panaudojimas, kuriant lazerines sistemas. </w:t>
      </w:r>
    </w:p>
    <w:p w14:paraId="14A6A419" w14:textId="77777777" w:rsidR="00A12292" w:rsidRPr="00185687" w:rsidRDefault="00A12292" w:rsidP="00A21B84">
      <w:pPr>
        <w:jc w:val="both"/>
        <w:rPr>
          <w:bCs/>
          <w:sz w:val="22"/>
          <w:szCs w:val="22"/>
        </w:rPr>
      </w:pPr>
    </w:p>
    <w:p w14:paraId="57F21BA6" w14:textId="77777777" w:rsidR="00A12292" w:rsidRPr="00185687" w:rsidRDefault="0093354F" w:rsidP="00A21B84">
      <w:pPr>
        <w:jc w:val="both"/>
        <w:rPr>
          <w:bCs/>
          <w:sz w:val="22"/>
          <w:szCs w:val="22"/>
        </w:rPr>
      </w:pPr>
      <w:r w:rsidRPr="00185687">
        <w:rPr>
          <w:bCs/>
          <w:sz w:val="22"/>
          <w:szCs w:val="22"/>
        </w:rPr>
        <w:t>Projekto paraiškos parengimui bu</w:t>
      </w:r>
      <w:r w:rsidR="00A12292" w:rsidRPr="00185687">
        <w:rPr>
          <w:bCs/>
          <w:sz w:val="22"/>
          <w:szCs w:val="22"/>
        </w:rPr>
        <w:t>vo</w:t>
      </w:r>
      <w:r w:rsidRPr="00185687">
        <w:rPr>
          <w:bCs/>
          <w:sz w:val="22"/>
          <w:szCs w:val="22"/>
        </w:rPr>
        <w:t xml:space="preserve"> naudojamasi konsultantų iš AMIRES paslaugomis, vykdomi parengiamieji moksliniai tyrimai pradiniams rezultatams projekto MTEP veikloms gauti projekte pasiektinų techninių rezultatų apibrėžimui</w:t>
      </w:r>
      <w:r w:rsidR="00A12292" w:rsidRPr="00185687">
        <w:rPr>
          <w:bCs/>
          <w:sz w:val="22"/>
          <w:szCs w:val="22"/>
        </w:rPr>
        <w:t>.</w:t>
      </w:r>
    </w:p>
    <w:p w14:paraId="7E1B9936" w14:textId="77777777" w:rsidR="00A12292" w:rsidRPr="00185687" w:rsidRDefault="00A12292" w:rsidP="00A21B84">
      <w:pPr>
        <w:jc w:val="both"/>
        <w:rPr>
          <w:bCs/>
          <w:sz w:val="22"/>
          <w:szCs w:val="22"/>
        </w:rPr>
      </w:pPr>
    </w:p>
    <w:p w14:paraId="03D1B657" w14:textId="77777777" w:rsidR="00185687" w:rsidRPr="00185687" w:rsidRDefault="00185687" w:rsidP="00A21B84">
      <w:pPr>
        <w:jc w:val="both"/>
        <w:rPr>
          <w:bCs/>
          <w:sz w:val="22"/>
          <w:szCs w:val="22"/>
        </w:rPr>
      </w:pPr>
    </w:p>
    <w:p w14:paraId="1F4CD5B0" w14:textId="77777777" w:rsidR="00A12292" w:rsidRPr="00185687" w:rsidRDefault="00A12292" w:rsidP="00A21B84">
      <w:pPr>
        <w:jc w:val="both"/>
        <w:rPr>
          <w:bCs/>
          <w:sz w:val="22"/>
          <w:szCs w:val="22"/>
        </w:rPr>
      </w:pPr>
      <w:proofErr w:type="spellStart"/>
      <w:r w:rsidRPr="00185687">
        <w:rPr>
          <w:bCs/>
          <w:sz w:val="22"/>
          <w:szCs w:val="22"/>
        </w:rPr>
        <w:t>Amires</w:t>
      </w:r>
      <w:proofErr w:type="spellEnd"/>
      <w:r w:rsidRPr="00185687">
        <w:rPr>
          <w:bCs/>
          <w:sz w:val="22"/>
          <w:szCs w:val="22"/>
        </w:rPr>
        <w:t xml:space="preserve"> suteiktų paslaugų turinys:</w:t>
      </w:r>
      <w:r w:rsidR="0093354F" w:rsidRPr="00185687">
        <w:rPr>
          <w:bCs/>
          <w:sz w:val="22"/>
          <w:szCs w:val="22"/>
        </w:rPr>
        <w:t xml:space="preserve"> </w:t>
      </w:r>
    </w:p>
    <w:p w14:paraId="61AE8F9C" w14:textId="77777777" w:rsidR="00A12292" w:rsidRPr="00185687" w:rsidRDefault="0093354F" w:rsidP="00A12292">
      <w:pPr>
        <w:pStyle w:val="ListParagraph"/>
        <w:numPr>
          <w:ilvl w:val="0"/>
          <w:numId w:val="4"/>
        </w:numPr>
        <w:jc w:val="both"/>
        <w:rPr>
          <w:rFonts w:ascii="Gotham Book" w:hAnsi="Gotham Book"/>
          <w:bCs/>
          <w:lang w:val="lt-LT"/>
        </w:rPr>
      </w:pPr>
      <w:r w:rsidRPr="00185687">
        <w:rPr>
          <w:rFonts w:ascii="Gotham Book" w:hAnsi="Gotham Book"/>
          <w:bCs/>
          <w:lang w:val="lt-LT"/>
        </w:rPr>
        <w:t xml:space="preserve">konsultacijos dėl bendros projekto koncepcijos, rengimo laiko ir papildomo indėlio poreikio; </w:t>
      </w:r>
    </w:p>
    <w:p w14:paraId="00C8493D" w14:textId="77777777" w:rsidR="00A12292" w:rsidRPr="00185687" w:rsidRDefault="00A12292" w:rsidP="00A12292">
      <w:pPr>
        <w:pStyle w:val="ListParagraph"/>
        <w:numPr>
          <w:ilvl w:val="0"/>
          <w:numId w:val="4"/>
        </w:numPr>
        <w:jc w:val="both"/>
        <w:rPr>
          <w:rFonts w:ascii="Gotham Book" w:hAnsi="Gotham Book"/>
          <w:bCs/>
          <w:lang w:val="lt-LT"/>
        </w:rPr>
      </w:pPr>
      <w:r w:rsidRPr="00185687">
        <w:rPr>
          <w:rFonts w:ascii="Gotham Book" w:hAnsi="Gotham Book"/>
          <w:bCs/>
          <w:lang w:val="lt-LT"/>
        </w:rPr>
        <w:t>p</w:t>
      </w:r>
      <w:r w:rsidR="0093354F" w:rsidRPr="00185687">
        <w:rPr>
          <w:rFonts w:ascii="Gotham Book" w:hAnsi="Gotham Book"/>
          <w:bCs/>
          <w:lang w:val="lt-LT"/>
        </w:rPr>
        <w:t>arama projekto koncepcijos ir/arba tikslų, bei kompetencijos skyriaus struktūros apibrėžimui;</w:t>
      </w:r>
    </w:p>
    <w:p w14:paraId="1EAE5C6A" w14:textId="77777777" w:rsidR="00A12292" w:rsidRPr="00185687" w:rsidRDefault="00A12292" w:rsidP="00A12292">
      <w:pPr>
        <w:pStyle w:val="ListParagraph"/>
        <w:numPr>
          <w:ilvl w:val="0"/>
          <w:numId w:val="4"/>
        </w:numPr>
        <w:jc w:val="both"/>
        <w:rPr>
          <w:rFonts w:ascii="Gotham Book" w:hAnsi="Gotham Book"/>
          <w:bCs/>
          <w:lang w:val="lt-LT"/>
        </w:rPr>
      </w:pPr>
      <w:r w:rsidRPr="00185687">
        <w:rPr>
          <w:rFonts w:ascii="Gotham Book" w:hAnsi="Gotham Book"/>
          <w:bCs/>
          <w:lang w:val="lt-LT"/>
        </w:rPr>
        <w:t>s</w:t>
      </w:r>
      <w:r w:rsidR="0093354F" w:rsidRPr="00185687">
        <w:rPr>
          <w:rFonts w:ascii="Gotham Book" w:hAnsi="Gotham Book"/>
          <w:bCs/>
          <w:lang w:val="lt-LT"/>
        </w:rPr>
        <w:t xml:space="preserve">truktūrizavimas ir atsakomybė už poveikio ir įgyvendinimo skyriaus rengimą (su koordinatoriaus pagalba); </w:t>
      </w:r>
    </w:p>
    <w:p w14:paraId="221C0B47" w14:textId="77777777" w:rsidR="00A12292" w:rsidRPr="00185687" w:rsidRDefault="00A12292" w:rsidP="00A12292">
      <w:pPr>
        <w:pStyle w:val="ListParagraph"/>
        <w:numPr>
          <w:ilvl w:val="0"/>
          <w:numId w:val="4"/>
        </w:numPr>
        <w:jc w:val="both"/>
        <w:rPr>
          <w:rFonts w:ascii="Gotham Book" w:hAnsi="Gotham Book"/>
          <w:bCs/>
          <w:lang w:val="lt-LT"/>
        </w:rPr>
      </w:pPr>
      <w:r w:rsidRPr="00185687">
        <w:rPr>
          <w:rFonts w:ascii="Gotham Book" w:hAnsi="Gotham Book"/>
          <w:bCs/>
          <w:lang w:val="lt-LT"/>
        </w:rPr>
        <w:t>p</w:t>
      </w:r>
      <w:r w:rsidR="0093354F" w:rsidRPr="00185687">
        <w:rPr>
          <w:rFonts w:ascii="Gotham Book" w:hAnsi="Gotham Book"/>
          <w:bCs/>
          <w:lang w:val="lt-LT"/>
        </w:rPr>
        <w:t xml:space="preserve">arama administracinėms formoms ir biudžeto rengimui bei sudarymui; </w:t>
      </w:r>
    </w:p>
    <w:p w14:paraId="28E96DAF" w14:textId="77777777" w:rsidR="00A12292" w:rsidRPr="00185687" w:rsidRDefault="00A12292" w:rsidP="00A12292">
      <w:pPr>
        <w:pStyle w:val="ListParagraph"/>
        <w:numPr>
          <w:ilvl w:val="0"/>
          <w:numId w:val="4"/>
        </w:numPr>
        <w:jc w:val="both"/>
        <w:rPr>
          <w:rFonts w:ascii="Gotham Book" w:hAnsi="Gotham Book"/>
          <w:bCs/>
          <w:lang w:val="lt-LT"/>
        </w:rPr>
      </w:pPr>
      <w:r w:rsidRPr="00185687">
        <w:rPr>
          <w:rFonts w:ascii="Gotham Book" w:hAnsi="Gotham Book"/>
          <w:bCs/>
          <w:lang w:val="lt-LT"/>
        </w:rPr>
        <w:t>p</w:t>
      </w:r>
      <w:r w:rsidR="0093354F" w:rsidRPr="00185687">
        <w:rPr>
          <w:rFonts w:ascii="Gotham Book" w:hAnsi="Gotham Book"/>
          <w:bCs/>
          <w:lang w:val="lt-LT"/>
        </w:rPr>
        <w:t xml:space="preserve">agalba teikiant projektus per Europos Komisijos elektroninę priemonę laiku ir nustatytu terminu; </w:t>
      </w:r>
    </w:p>
    <w:p w14:paraId="1E21AE54" w14:textId="77777777" w:rsidR="00A12292" w:rsidRPr="00185687" w:rsidRDefault="0093354F" w:rsidP="00A12292">
      <w:pPr>
        <w:pStyle w:val="ListParagraph"/>
        <w:numPr>
          <w:ilvl w:val="0"/>
          <w:numId w:val="4"/>
        </w:numPr>
        <w:jc w:val="both"/>
        <w:rPr>
          <w:rFonts w:ascii="Gotham Book" w:hAnsi="Gotham Book"/>
          <w:bCs/>
          <w:lang w:val="lt-LT"/>
        </w:rPr>
      </w:pPr>
      <w:proofErr w:type="spellStart"/>
      <w:r w:rsidRPr="00185687">
        <w:rPr>
          <w:rFonts w:ascii="Gotham Book" w:hAnsi="Gotham Book"/>
          <w:bCs/>
          <w:lang w:val="lt-LT"/>
        </w:rPr>
        <w:t>Ad</w:t>
      </w:r>
      <w:proofErr w:type="spellEnd"/>
      <w:r w:rsidRPr="00185687">
        <w:rPr>
          <w:rFonts w:ascii="Gotham Book" w:hAnsi="Gotham Book"/>
          <w:bCs/>
          <w:lang w:val="lt-LT"/>
        </w:rPr>
        <w:t xml:space="preserve"> </w:t>
      </w:r>
      <w:proofErr w:type="spellStart"/>
      <w:r w:rsidRPr="00185687">
        <w:rPr>
          <w:rFonts w:ascii="Gotham Book" w:hAnsi="Gotham Book"/>
          <w:bCs/>
          <w:lang w:val="lt-LT"/>
        </w:rPr>
        <w:t>hoc</w:t>
      </w:r>
      <w:proofErr w:type="spellEnd"/>
      <w:r w:rsidRPr="00185687">
        <w:rPr>
          <w:rFonts w:ascii="Gotham Book" w:hAnsi="Gotham Book"/>
          <w:bCs/>
          <w:lang w:val="lt-LT"/>
        </w:rPr>
        <w:t xml:space="preserve"> telefoninės konsultacijos dėl konkrečių klausimų, kurie gali kilti rengiant projektą). </w:t>
      </w:r>
    </w:p>
    <w:p w14:paraId="0D297CE3" w14:textId="77777777" w:rsidR="00A12292" w:rsidRPr="00185687" w:rsidRDefault="00A12292" w:rsidP="00185687">
      <w:pPr>
        <w:jc w:val="both"/>
        <w:rPr>
          <w:bCs/>
          <w:sz w:val="22"/>
          <w:szCs w:val="22"/>
        </w:rPr>
      </w:pPr>
      <w:r w:rsidRPr="00185687">
        <w:rPr>
          <w:bCs/>
          <w:sz w:val="22"/>
          <w:szCs w:val="22"/>
        </w:rPr>
        <w:t xml:space="preserve">Taip pat įgyvendinti vizitai į Briuselį, Belgiją, - partnerių paieškos renginį bei į konferenciją </w:t>
      </w:r>
      <w:proofErr w:type="spellStart"/>
      <w:r w:rsidRPr="00185687">
        <w:rPr>
          <w:bCs/>
          <w:sz w:val="22"/>
          <w:szCs w:val="22"/>
        </w:rPr>
        <w:t>High</w:t>
      </w:r>
      <w:proofErr w:type="spellEnd"/>
      <w:r w:rsidRPr="00185687">
        <w:rPr>
          <w:bCs/>
          <w:sz w:val="22"/>
          <w:szCs w:val="22"/>
        </w:rPr>
        <w:t xml:space="preserve"> Power </w:t>
      </w:r>
      <w:proofErr w:type="spellStart"/>
      <w:r w:rsidRPr="00185687">
        <w:rPr>
          <w:bCs/>
          <w:sz w:val="22"/>
          <w:szCs w:val="22"/>
        </w:rPr>
        <w:t>Laser</w:t>
      </w:r>
      <w:proofErr w:type="spellEnd"/>
      <w:r w:rsidRPr="00185687">
        <w:rPr>
          <w:bCs/>
          <w:sz w:val="22"/>
          <w:szCs w:val="22"/>
        </w:rPr>
        <w:t xml:space="preserve"> </w:t>
      </w:r>
      <w:proofErr w:type="spellStart"/>
      <w:r w:rsidRPr="00185687">
        <w:rPr>
          <w:bCs/>
          <w:sz w:val="22"/>
          <w:szCs w:val="22"/>
        </w:rPr>
        <w:t>Ablation</w:t>
      </w:r>
      <w:proofErr w:type="spellEnd"/>
      <w:r w:rsidRPr="00185687">
        <w:rPr>
          <w:bCs/>
          <w:sz w:val="22"/>
          <w:szCs w:val="22"/>
        </w:rPr>
        <w:t xml:space="preserve"> Santa Fe, JAV.  </w:t>
      </w:r>
    </w:p>
    <w:p w14:paraId="0BA8BA51" w14:textId="77777777" w:rsidR="00A12292" w:rsidRPr="00A07DE8" w:rsidRDefault="00A12292" w:rsidP="00A12292">
      <w:pPr>
        <w:jc w:val="both"/>
        <w:rPr>
          <w:bCs/>
          <w:sz w:val="22"/>
          <w:szCs w:val="22"/>
        </w:rPr>
      </w:pPr>
    </w:p>
    <w:p w14:paraId="38F50EF2" w14:textId="3C16BC45" w:rsidR="00A07DE8" w:rsidRPr="00A07DE8" w:rsidRDefault="00A07DE8" w:rsidP="00A07DE8">
      <w:pPr>
        <w:jc w:val="both"/>
        <w:rPr>
          <w:bCs/>
          <w:sz w:val="22"/>
          <w:szCs w:val="22"/>
        </w:rPr>
      </w:pPr>
      <w:r w:rsidRPr="00A07DE8">
        <w:rPr>
          <w:bCs/>
          <w:sz w:val="22"/>
          <w:szCs w:val="22"/>
        </w:rPr>
        <w:t>Konferencijoje ,,</w:t>
      </w:r>
      <w:proofErr w:type="spellStart"/>
      <w:r w:rsidRPr="00A07DE8">
        <w:rPr>
          <w:bCs/>
          <w:sz w:val="22"/>
          <w:szCs w:val="22"/>
        </w:rPr>
        <w:t>High</w:t>
      </w:r>
      <w:proofErr w:type="spellEnd"/>
      <w:r w:rsidRPr="00A07DE8">
        <w:rPr>
          <w:bCs/>
          <w:sz w:val="22"/>
          <w:szCs w:val="22"/>
        </w:rPr>
        <w:t xml:space="preserve"> Power </w:t>
      </w:r>
      <w:proofErr w:type="spellStart"/>
      <w:r w:rsidRPr="00A07DE8">
        <w:rPr>
          <w:bCs/>
          <w:sz w:val="22"/>
          <w:szCs w:val="22"/>
        </w:rPr>
        <w:t>Laser</w:t>
      </w:r>
      <w:proofErr w:type="spellEnd"/>
      <w:r w:rsidRPr="00A07DE8">
        <w:rPr>
          <w:bCs/>
          <w:sz w:val="22"/>
          <w:szCs w:val="22"/>
        </w:rPr>
        <w:t xml:space="preserve"> </w:t>
      </w:r>
      <w:proofErr w:type="spellStart"/>
      <w:r w:rsidRPr="00A07DE8">
        <w:rPr>
          <w:bCs/>
          <w:sz w:val="22"/>
          <w:szCs w:val="22"/>
        </w:rPr>
        <w:t>Ablation</w:t>
      </w:r>
      <w:proofErr w:type="spellEnd"/>
      <w:r w:rsidRPr="00A07DE8">
        <w:rPr>
          <w:bCs/>
          <w:sz w:val="22"/>
          <w:szCs w:val="22"/>
        </w:rPr>
        <w:t>“</w:t>
      </w:r>
      <w:r>
        <w:rPr>
          <w:bCs/>
          <w:sz w:val="22"/>
          <w:szCs w:val="22"/>
        </w:rPr>
        <w:t xml:space="preserve"> (</w:t>
      </w:r>
      <w:r w:rsidRPr="00A07DE8">
        <w:rPr>
          <w:bCs/>
          <w:sz w:val="22"/>
          <w:szCs w:val="22"/>
        </w:rPr>
        <w:t>Santa Fe, JAV</w:t>
      </w:r>
      <w:r>
        <w:rPr>
          <w:bCs/>
          <w:sz w:val="22"/>
          <w:szCs w:val="22"/>
        </w:rPr>
        <w:t>)</w:t>
      </w:r>
      <w:r w:rsidRPr="00A07DE8">
        <w:rPr>
          <w:bCs/>
          <w:sz w:val="22"/>
          <w:szCs w:val="22"/>
        </w:rPr>
        <w:t xml:space="preserve"> vyko specializuotas susitikimas, kuriame dalyvavo šios srities mokslininkai. Jos metu buvo pristatyti naujausi lazeri</w:t>
      </w:r>
      <w:r w:rsidRPr="00A07DE8">
        <w:rPr>
          <w:rFonts w:hint="eastAsia"/>
          <w:bCs/>
          <w:sz w:val="22"/>
          <w:szCs w:val="22"/>
        </w:rPr>
        <w:t>ų</w:t>
      </w:r>
      <w:r w:rsidRPr="00A07DE8">
        <w:rPr>
          <w:bCs/>
          <w:sz w:val="22"/>
          <w:szCs w:val="22"/>
        </w:rPr>
        <w:t xml:space="preserve"> technologij</w:t>
      </w:r>
      <w:r w:rsidRPr="00A07DE8">
        <w:rPr>
          <w:rFonts w:hint="eastAsia"/>
          <w:bCs/>
          <w:sz w:val="22"/>
          <w:szCs w:val="22"/>
        </w:rPr>
        <w:t>ų</w:t>
      </w:r>
      <w:r w:rsidRPr="00A07DE8">
        <w:rPr>
          <w:bCs/>
          <w:sz w:val="22"/>
          <w:szCs w:val="22"/>
        </w:rPr>
        <w:t xml:space="preserve"> pasiekimai ir j</w:t>
      </w:r>
      <w:r w:rsidRPr="00A07DE8">
        <w:rPr>
          <w:rFonts w:hint="eastAsia"/>
          <w:bCs/>
          <w:sz w:val="22"/>
          <w:szCs w:val="22"/>
        </w:rPr>
        <w:t>ų</w:t>
      </w:r>
      <w:r w:rsidRPr="00A07DE8">
        <w:rPr>
          <w:bCs/>
          <w:sz w:val="22"/>
          <w:szCs w:val="22"/>
        </w:rPr>
        <w:t xml:space="preserve"> taikymo galimyb</w:t>
      </w:r>
      <w:r w:rsidRPr="00A07DE8">
        <w:rPr>
          <w:rFonts w:hint="eastAsia"/>
          <w:bCs/>
          <w:sz w:val="22"/>
          <w:szCs w:val="22"/>
        </w:rPr>
        <w:t>ė</w:t>
      </w:r>
      <w:r w:rsidRPr="00A07DE8">
        <w:rPr>
          <w:bCs/>
          <w:sz w:val="22"/>
          <w:szCs w:val="22"/>
        </w:rPr>
        <w:t>s. Taip pat buvo diskutuota apie bendros lazerini</w:t>
      </w:r>
      <w:r w:rsidRPr="00A07DE8">
        <w:rPr>
          <w:rFonts w:hint="eastAsia"/>
          <w:bCs/>
          <w:sz w:val="22"/>
          <w:szCs w:val="22"/>
        </w:rPr>
        <w:t>ų</w:t>
      </w:r>
      <w:r w:rsidRPr="00A07DE8">
        <w:rPr>
          <w:bCs/>
          <w:sz w:val="22"/>
          <w:szCs w:val="22"/>
        </w:rPr>
        <w:t xml:space="preserve"> technologij</w:t>
      </w:r>
      <w:r w:rsidRPr="00A07DE8">
        <w:rPr>
          <w:rFonts w:hint="eastAsia"/>
          <w:bCs/>
          <w:sz w:val="22"/>
          <w:szCs w:val="22"/>
        </w:rPr>
        <w:t>ų</w:t>
      </w:r>
      <w:r w:rsidRPr="00A07DE8">
        <w:rPr>
          <w:bCs/>
          <w:sz w:val="22"/>
          <w:szCs w:val="22"/>
        </w:rPr>
        <w:t xml:space="preserve"> ir skaitmeninimo platformos k</w:t>
      </w:r>
      <w:r w:rsidRPr="00A07DE8">
        <w:rPr>
          <w:rFonts w:hint="eastAsia"/>
          <w:bCs/>
          <w:sz w:val="22"/>
          <w:szCs w:val="22"/>
        </w:rPr>
        <w:t>ū</w:t>
      </w:r>
      <w:r w:rsidRPr="00A07DE8">
        <w:rPr>
          <w:bCs/>
          <w:sz w:val="22"/>
          <w:szCs w:val="22"/>
        </w:rPr>
        <w:t>rimo ir pl</w:t>
      </w:r>
      <w:r w:rsidRPr="00A07DE8">
        <w:rPr>
          <w:rFonts w:hint="eastAsia"/>
          <w:bCs/>
          <w:sz w:val="22"/>
          <w:szCs w:val="22"/>
        </w:rPr>
        <w:t>ė</w:t>
      </w:r>
      <w:r w:rsidRPr="00A07DE8">
        <w:rPr>
          <w:bCs/>
          <w:sz w:val="22"/>
          <w:szCs w:val="22"/>
        </w:rPr>
        <w:t>tojimo perspektyvas, kuri gal</w:t>
      </w:r>
      <w:r w:rsidRPr="00A07DE8">
        <w:rPr>
          <w:rFonts w:hint="eastAsia"/>
          <w:bCs/>
          <w:sz w:val="22"/>
          <w:szCs w:val="22"/>
        </w:rPr>
        <w:t>ė</w:t>
      </w:r>
      <w:r w:rsidRPr="00A07DE8">
        <w:rPr>
          <w:bCs/>
          <w:sz w:val="22"/>
          <w:szCs w:val="22"/>
        </w:rPr>
        <w:t>t</w:t>
      </w:r>
      <w:r w:rsidRPr="00A07DE8">
        <w:rPr>
          <w:rFonts w:hint="eastAsia"/>
          <w:bCs/>
          <w:sz w:val="22"/>
          <w:szCs w:val="22"/>
        </w:rPr>
        <w:t>ų</w:t>
      </w:r>
      <w:r w:rsidRPr="00A07DE8">
        <w:rPr>
          <w:bCs/>
          <w:sz w:val="22"/>
          <w:szCs w:val="22"/>
        </w:rPr>
        <w:t xml:space="preserve"> prisid</w:t>
      </w:r>
      <w:r w:rsidRPr="00A07DE8">
        <w:rPr>
          <w:rFonts w:hint="eastAsia"/>
          <w:bCs/>
          <w:sz w:val="22"/>
          <w:szCs w:val="22"/>
        </w:rPr>
        <w:t>ė</w:t>
      </w:r>
      <w:r w:rsidRPr="00A07DE8">
        <w:rPr>
          <w:bCs/>
          <w:sz w:val="22"/>
          <w:szCs w:val="22"/>
        </w:rPr>
        <w:t>ti prie bendr</w:t>
      </w:r>
      <w:r w:rsidRPr="00A07DE8">
        <w:rPr>
          <w:rFonts w:hint="eastAsia"/>
          <w:bCs/>
          <w:sz w:val="22"/>
          <w:szCs w:val="22"/>
        </w:rPr>
        <w:t>ų</w:t>
      </w:r>
      <w:r w:rsidRPr="00A07DE8">
        <w:rPr>
          <w:bCs/>
          <w:sz w:val="22"/>
          <w:szCs w:val="22"/>
        </w:rPr>
        <w:t xml:space="preserve"> mokslini</w:t>
      </w:r>
      <w:r w:rsidRPr="00A07DE8">
        <w:rPr>
          <w:rFonts w:hint="eastAsia"/>
          <w:bCs/>
          <w:sz w:val="22"/>
          <w:szCs w:val="22"/>
        </w:rPr>
        <w:t>ų</w:t>
      </w:r>
      <w:r w:rsidRPr="00A07DE8">
        <w:rPr>
          <w:bCs/>
          <w:sz w:val="22"/>
          <w:szCs w:val="22"/>
        </w:rPr>
        <w:t xml:space="preserve"> tyrim</w:t>
      </w:r>
      <w:r w:rsidRPr="00A07DE8">
        <w:rPr>
          <w:rFonts w:hint="eastAsia"/>
          <w:bCs/>
          <w:sz w:val="22"/>
          <w:szCs w:val="22"/>
        </w:rPr>
        <w:t>ų</w:t>
      </w:r>
      <w:r w:rsidRPr="00A07DE8">
        <w:rPr>
          <w:bCs/>
          <w:sz w:val="22"/>
          <w:szCs w:val="22"/>
        </w:rPr>
        <w:t xml:space="preserve"> projekt</w:t>
      </w:r>
      <w:r w:rsidRPr="00A07DE8">
        <w:rPr>
          <w:rFonts w:hint="eastAsia"/>
          <w:bCs/>
          <w:sz w:val="22"/>
          <w:szCs w:val="22"/>
        </w:rPr>
        <w:t>ų</w:t>
      </w:r>
      <w:r w:rsidRPr="00A07DE8">
        <w:rPr>
          <w:bCs/>
          <w:sz w:val="22"/>
          <w:szCs w:val="22"/>
        </w:rPr>
        <w:t xml:space="preserve"> bei novatorišk</w:t>
      </w:r>
      <w:r w:rsidRPr="00A07DE8">
        <w:rPr>
          <w:rFonts w:hint="eastAsia"/>
          <w:bCs/>
          <w:sz w:val="22"/>
          <w:szCs w:val="22"/>
        </w:rPr>
        <w:t>ų</w:t>
      </w:r>
      <w:r w:rsidRPr="00A07DE8">
        <w:rPr>
          <w:bCs/>
          <w:sz w:val="22"/>
          <w:szCs w:val="22"/>
        </w:rPr>
        <w:t xml:space="preserve"> koncepcij</w:t>
      </w:r>
      <w:r w:rsidRPr="00A07DE8">
        <w:rPr>
          <w:rFonts w:hint="eastAsia"/>
          <w:bCs/>
          <w:sz w:val="22"/>
          <w:szCs w:val="22"/>
        </w:rPr>
        <w:t>ų</w:t>
      </w:r>
      <w:r w:rsidRPr="00A07DE8">
        <w:rPr>
          <w:bCs/>
          <w:sz w:val="22"/>
          <w:szCs w:val="22"/>
        </w:rPr>
        <w:t xml:space="preserve"> vystymo, siekiant sustiprinti akademin</w:t>
      </w:r>
      <w:r w:rsidRPr="00A07DE8">
        <w:rPr>
          <w:rFonts w:hint="eastAsia"/>
          <w:bCs/>
          <w:sz w:val="22"/>
          <w:szCs w:val="22"/>
        </w:rPr>
        <w:t>į</w:t>
      </w:r>
      <w:r w:rsidRPr="00A07DE8">
        <w:rPr>
          <w:bCs/>
          <w:sz w:val="22"/>
          <w:szCs w:val="22"/>
        </w:rPr>
        <w:t xml:space="preserve"> ir pramonin</w:t>
      </w:r>
      <w:r w:rsidRPr="00A07DE8">
        <w:rPr>
          <w:rFonts w:hint="eastAsia"/>
          <w:bCs/>
          <w:sz w:val="22"/>
          <w:szCs w:val="22"/>
        </w:rPr>
        <w:t>į</w:t>
      </w:r>
      <w:r w:rsidRPr="00A07DE8">
        <w:rPr>
          <w:bCs/>
          <w:sz w:val="22"/>
          <w:szCs w:val="22"/>
        </w:rPr>
        <w:t xml:space="preserve"> bendradarbiavimą tiek Europos, tiek tarptautiniu mastu. Ši konferencija prisid</w:t>
      </w:r>
      <w:r w:rsidRPr="00A07DE8">
        <w:rPr>
          <w:rFonts w:hint="eastAsia"/>
          <w:bCs/>
          <w:sz w:val="22"/>
          <w:szCs w:val="22"/>
        </w:rPr>
        <w:t>ė</w:t>
      </w:r>
      <w:r w:rsidRPr="00A07DE8">
        <w:rPr>
          <w:bCs/>
          <w:sz w:val="22"/>
          <w:szCs w:val="22"/>
        </w:rPr>
        <w:t>jo prie projekto tiksl</w:t>
      </w:r>
      <w:r w:rsidRPr="00A07DE8">
        <w:rPr>
          <w:rFonts w:hint="eastAsia"/>
          <w:bCs/>
          <w:sz w:val="22"/>
          <w:szCs w:val="22"/>
        </w:rPr>
        <w:t>ų</w:t>
      </w:r>
      <w:r w:rsidRPr="00A07DE8">
        <w:rPr>
          <w:bCs/>
          <w:sz w:val="22"/>
          <w:szCs w:val="22"/>
        </w:rPr>
        <w:t xml:space="preserve"> </w:t>
      </w:r>
      <w:r w:rsidRPr="00A07DE8">
        <w:rPr>
          <w:rFonts w:hint="eastAsia"/>
          <w:bCs/>
          <w:sz w:val="22"/>
          <w:szCs w:val="22"/>
        </w:rPr>
        <w:t>į</w:t>
      </w:r>
      <w:r w:rsidRPr="00A07DE8">
        <w:rPr>
          <w:bCs/>
          <w:sz w:val="22"/>
          <w:szCs w:val="22"/>
        </w:rPr>
        <w:t xml:space="preserve">gyvendinimo, suteikdama galimybę </w:t>
      </w:r>
      <w:r w:rsidRPr="00A07DE8">
        <w:rPr>
          <w:rFonts w:hint="eastAsia"/>
          <w:bCs/>
          <w:sz w:val="22"/>
          <w:szCs w:val="22"/>
        </w:rPr>
        <w:t>į</w:t>
      </w:r>
      <w:r w:rsidRPr="00A07DE8">
        <w:rPr>
          <w:bCs/>
          <w:sz w:val="22"/>
          <w:szCs w:val="22"/>
        </w:rPr>
        <w:t>vertinti pažangi</w:t>
      </w:r>
      <w:r w:rsidRPr="00A07DE8">
        <w:rPr>
          <w:rFonts w:hint="eastAsia"/>
          <w:bCs/>
          <w:sz w:val="22"/>
          <w:szCs w:val="22"/>
        </w:rPr>
        <w:t>ų</w:t>
      </w:r>
      <w:r w:rsidRPr="00A07DE8">
        <w:rPr>
          <w:bCs/>
          <w:sz w:val="22"/>
          <w:szCs w:val="22"/>
        </w:rPr>
        <w:t xml:space="preserve"> lazeri</w:t>
      </w:r>
      <w:r w:rsidRPr="00A07DE8">
        <w:rPr>
          <w:rFonts w:hint="eastAsia"/>
          <w:bCs/>
          <w:sz w:val="22"/>
          <w:szCs w:val="22"/>
        </w:rPr>
        <w:t>ų</w:t>
      </w:r>
      <w:r w:rsidRPr="00A07DE8">
        <w:rPr>
          <w:bCs/>
          <w:sz w:val="22"/>
          <w:szCs w:val="22"/>
        </w:rPr>
        <w:t xml:space="preserve"> technologij</w:t>
      </w:r>
      <w:r w:rsidRPr="00A07DE8">
        <w:rPr>
          <w:rFonts w:hint="eastAsia"/>
          <w:bCs/>
          <w:sz w:val="22"/>
          <w:szCs w:val="22"/>
        </w:rPr>
        <w:t>ų</w:t>
      </w:r>
      <w:r w:rsidRPr="00A07DE8">
        <w:rPr>
          <w:bCs/>
          <w:sz w:val="22"/>
          <w:szCs w:val="22"/>
        </w:rPr>
        <w:t xml:space="preserve"> taikymo galimybes ir patikrinti MTEP id</w:t>
      </w:r>
      <w:r w:rsidRPr="00A07DE8">
        <w:rPr>
          <w:rFonts w:hint="eastAsia"/>
          <w:bCs/>
          <w:sz w:val="22"/>
          <w:szCs w:val="22"/>
        </w:rPr>
        <w:t>ė</w:t>
      </w:r>
      <w:r w:rsidRPr="00A07DE8">
        <w:rPr>
          <w:bCs/>
          <w:sz w:val="22"/>
          <w:szCs w:val="22"/>
        </w:rPr>
        <w:t>ją.</w:t>
      </w:r>
    </w:p>
    <w:p w14:paraId="2C4B213F" w14:textId="77777777" w:rsidR="00A07DE8" w:rsidRPr="00A07DE8" w:rsidRDefault="00A07DE8" w:rsidP="00A07DE8">
      <w:pPr>
        <w:jc w:val="both"/>
        <w:rPr>
          <w:bCs/>
          <w:sz w:val="22"/>
          <w:szCs w:val="22"/>
        </w:rPr>
      </w:pPr>
      <w:r w:rsidRPr="00A07DE8">
        <w:rPr>
          <w:bCs/>
          <w:sz w:val="22"/>
          <w:szCs w:val="22"/>
        </w:rPr>
        <w:lastRenderedPageBreak/>
        <w:t>Briuselyje, Belgijoje, vykusiame ECS tarpininkavimo ir partneryst</w:t>
      </w:r>
      <w:r w:rsidRPr="00A07DE8">
        <w:rPr>
          <w:rFonts w:hint="eastAsia"/>
          <w:bCs/>
          <w:sz w:val="22"/>
          <w:szCs w:val="22"/>
        </w:rPr>
        <w:t>ė</w:t>
      </w:r>
      <w:r w:rsidRPr="00A07DE8">
        <w:rPr>
          <w:bCs/>
          <w:sz w:val="22"/>
          <w:szCs w:val="22"/>
        </w:rPr>
        <w:t>s paieškos renginyje buvo integruotos pramon</w:t>
      </w:r>
      <w:r w:rsidRPr="00A07DE8">
        <w:rPr>
          <w:rFonts w:hint="eastAsia"/>
          <w:bCs/>
          <w:sz w:val="22"/>
          <w:szCs w:val="22"/>
        </w:rPr>
        <w:t>ė</w:t>
      </w:r>
      <w:r w:rsidRPr="00A07DE8">
        <w:rPr>
          <w:bCs/>
          <w:sz w:val="22"/>
          <w:szCs w:val="22"/>
        </w:rPr>
        <w:t>s asociacij</w:t>
      </w:r>
      <w:r w:rsidRPr="00A07DE8">
        <w:rPr>
          <w:rFonts w:hint="eastAsia"/>
          <w:bCs/>
          <w:sz w:val="22"/>
          <w:szCs w:val="22"/>
        </w:rPr>
        <w:t>ų</w:t>
      </w:r>
      <w:r w:rsidRPr="00A07DE8">
        <w:rPr>
          <w:bCs/>
          <w:sz w:val="22"/>
          <w:szCs w:val="22"/>
        </w:rPr>
        <w:t xml:space="preserve"> AENEAS, </w:t>
      </w:r>
      <w:proofErr w:type="spellStart"/>
      <w:r w:rsidRPr="00A07DE8">
        <w:rPr>
          <w:bCs/>
          <w:sz w:val="22"/>
          <w:szCs w:val="22"/>
        </w:rPr>
        <w:t>EPoSS</w:t>
      </w:r>
      <w:proofErr w:type="spellEnd"/>
      <w:r w:rsidRPr="00A07DE8">
        <w:rPr>
          <w:bCs/>
          <w:sz w:val="22"/>
          <w:szCs w:val="22"/>
        </w:rPr>
        <w:t xml:space="preserve"> ir INSIDE veiklos, sukuriant unikalią platformą, skirtą elektronini</w:t>
      </w:r>
      <w:r w:rsidRPr="00A07DE8">
        <w:rPr>
          <w:rFonts w:hint="eastAsia"/>
          <w:bCs/>
          <w:sz w:val="22"/>
          <w:szCs w:val="22"/>
        </w:rPr>
        <w:t>ų</w:t>
      </w:r>
      <w:r w:rsidRPr="00A07DE8">
        <w:rPr>
          <w:bCs/>
          <w:sz w:val="22"/>
          <w:szCs w:val="22"/>
        </w:rPr>
        <w:t xml:space="preserve"> komponent</w:t>
      </w:r>
      <w:r w:rsidRPr="00A07DE8">
        <w:rPr>
          <w:rFonts w:hint="eastAsia"/>
          <w:bCs/>
          <w:sz w:val="22"/>
          <w:szCs w:val="22"/>
        </w:rPr>
        <w:t>ų</w:t>
      </w:r>
      <w:r w:rsidRPr="00A07DE8">
        <w:rPr>
          <w:bCs/>
          <w:sz w:val="22"/>
          <w:szCs w:val="22"/>
        </w:rPr>
        <w:t xml:space="preserve"> ir sistem</w:t>
      </w:r>
      <w:r w:rsidRPr="00A07DE8">
        <w:rPr>
          <w:rFonts w:hint="eastAsia"/>
          <w:bCs/>
          <w:sz w:val="22"/>
          <w:szCs w:val="22"/>
        </w:rPr>
        <w:t>ų</w:t>
      </w:r>
      <w:r w:rsidRPr="00A07DE8">
        <w:rPr>
          <w:bCs/>
          <w:sz w:val="22"/>
          <w:szCs w:val="22"/>
        </w:rPr>
        <w:t xml:space="preserve"> projektini</w:t>
      </w:r>
      <w:r w:rsidRPr="00A07DE8">
        <w:rPr>
          <w:rFonts w:hint="eastAsia"/>
          <w:bCs/>
          <w:sz w:val="22"/>
          <w:szCs w:val="22"/>
        </w:rPr>
        <w:t>ų</w:t>
      </w:r>
      <w:r w:rsidRPr="00A07DE8">
        <w:rPr>
          <w:bCs/>
          <w:sz w:val="22"/>
          <w:szCs w:val="22"/>
        </w:rPr>
        <w:t xml:space="preserve"> pasi</w:t>
      </w:r>
      <w:r w:rsidRPr="00A07DE8">
        <w:rPr>
          <w:rFonts w:hint="eastAsia"/>
          <w:bCs/>
          <w:sz w:val="22"/>
          <w:szCs w:val="22"/>
        </w:rPr>
        <w:t>ū</w:t>
      </w:r>
      <w:r w:rsidRPr="00A07DE8">
        <w:rPr>
          <w:bCs/>
          <w:sz w:val="22"/>
          <w:szCs w:val="22"/>
        </w:rPr>
        <w:t>lym</w:t>
      </w:r>
      <w:r w:rsidRPr="00A07DE8">
        <w:rPr>
          <w:rFonts w:hint="eastAsia"/>
          <w:bCs/>
          <w:sz w:val="22"/>
          <w:szCs w:val="22"/>
        </w:rPr>
        <w:t>ų</w:t>
      </w:r>
      <w:r w:rsidRPr="00A07DE8">
        <w:rPr>
          <w:bCs/>
          <w:sz w:val="22"/>
          <w:szCs w:val="22"/>
        </w:rPr>
        <w:t xml:space="preserve"> pristatymui bei diskusijoms. Ši iniciatyva sujung</w:t>
      </w:r>
      <w:r w:rsidRPr="00A07DE8">
        <w:rPr>
          <w:rFonts w:hint="eastAsia"/>
          <w:bCs/>
          <w:sz w:val="22"/>
          <w:szCs w:val="22"/>
        </w:rPr>
        <w:t>ė</w:t>
      </w:r>
      <w:r w:rsidRPr="00A07DE8">
        <w:rPr>
          <w:bCs/>
          <w:sz w:val="22"/>
          <w:szCs w:val="22"/>
        </w:rPr>
        <w:t xml:space="preserve"> </w:t>
      </w:r>
      <w:r w:rsidRPr="00A07DE8">
        <w:rPr>
          <w:rFonts w:hint="eastAsia"/>
          <w:bCs/>
          <w:sz w:val="22"/>
          <w:szCs w:val="22"/>
        </w:rPr>
        <w:t>į</w:t>
      </w:r>
      <w:r w:rsidRPr="00A07DE8">
        <w:rPr>
          <w:bCs/>
          <w:sz w:val="22"/>
          <w:szCs w:val="22"/>
        </w:rPr>
        <w:t>vairi</w:t>
      </w:r>
      <w:r w:rsidRPr="00A07DE8">
        <w:rPr>
          <w:rFonts w:hint="eastAsia"/>
          <w:bCs/>
          <w:sz w:val="22"/>
          <w:szCs w:val="22"/>
        </w:rPr>
        <w:t>ų</w:t>
      </w:r>
      <w:r w:rsidRPr="00A07DE8">
        <w:rPr>
          <w:bCs/>
          <w:sz w:val="22"/>
          <w:szCs w:val="22"/>
        </w:rPr>
        <w:t xml:space="preserve"> šali</w:t>
      </w:r>
      <w:r w:rsidRPr="00A07DE8">
        <w:rPr>
          <w:rFonts w:hint="eastAsia"/>
          <w:bCs/>
          <w:sz w:val="22"/>
          <w:szCs w:val="22"/>
        </w:rPr>
        <w:t>ų</w:t>
      </w:r>
      <w:r w:rsidRPr="00A07DE8">
        <w:rPr>
          <w:bCs/>
          <w:sz w:val="22"/>
          <w:szCs w:val="22"/>
        </w:rPr>
        <w:t xml:space="preserve"> mokslininkus, pramon</w:t>
      </w:r>
      <w:r w:rsidRPr="00A07DE8">
        <w:rPr>
          <w:rFonts w:hint="eastAsia"/>
          <w:bCs/>
          <w:sz w:val="22"/>
          <w:szCs w:val="22"/>
        </w:rPr>
        <w:t>ė</w:t>
      </w:r>
      <w:r w:rsidRPr="00A07DE8">
        <w:rPr>
          <w:bCs/>
          <w:sz w:val="22"/>
          <w:szCs w:val="22"/>
        </w:rPr>
        <w:t>s ekspertus ir technologij</w:t>
      </w:r>
      <w:r w:rsidRPr="00A07DE8">
        <w:rPr>
          <w:rFonts w:hint="eastAsia"/>
          <w:bCs/>
          <w:sz w:val="22"/>
          <w:szCs w:val="22"/>
        </w:rPr>
        <w:t>ų</w:t>
      </w:r>
      <w:r w:rsidRPr="00A07DE8">
        <w:rPr>
          <w:bCs/>
          <w:sz w:val="22"/>
          <w:szCs w:val="22"/>
        </w:rPr>
        <w:t xml:space="preserve"> lyderius, skatindama žini</w:t>
      </w:r>
      <w:r w:rsidRPr="00A07DE8">
        <w:rPr>
          <w:rFonts w:hint="eastAsia"/>
          <w:bCs/>
          <w:sz w:val="22"/>
          <w:szCs w:val="22"/>
        </w:rPr>
        <w:t>ų</w:t>
      </w:r>
      <w:r w:rsidRPr="00A07DE8">
        <w:rPr>
          <w:bCs/>
          <w:sz w:val="22"/>
          <w:szCs w:val="22"/>
        </w:rPr>
        <w:t xml:space="preserve"> mainus ir id</w:t>
      </w:r>
      <w:r w:rsidRPr="00A07DE8">
        <w:rPr>
          <w:rFonts w:hint="eastAsia"/>
          <w:bCs/>
          <w:sz w:val="22"/>
          <w:szCs w:val="22"/>
        </w:rPr>
        <w:t>ė</w:t>
      </w:r>
      <w:r w:rsidRPr="00A07DE8">
        <w:rPr>
          <w:bCs/>
          <w:sz w:val="22"/>
          <w:szCs w:val="22"/>
        </w:rPr>
        <w:t>j</w:t>
      </w:r>
      <w:r w:rsidRPr="00A07DE8">
        <w:rPr>
          <w:rFonts w:hint="eastAsia"/>
          <w:bCs/>
          <w:sz w:val="22"/>
          <w:szCs w:val="22"/>
        </w:rPr>
        <w:t>ų</w:t>
      </w:r>
      <w:r w:rsidRPr="00A07DE8">
        <w:rPr>
          <w:bCs/>
          <w:sz w:val="22"/>
          <w:szCs w:val="22"/>
        </w:rPr>
        <w:t xml:space="preserve"> generavimą, kas yra esminis žingsnis kuriant pažangias technologijas ir inovacijas.</w:t>
      </w:r>
    </w:p>
    <w:p w14:paraId="594744BA" w14:textId="77777777" w:rsidR="00A07DE8" w:rsidRPr="00A07DE8" w:rsidRDefault="00A07DE8" w:rsidP="00A07DE8">
      <w:pPr>
        <w:jc w:val="both"/>
        <w:rPr>
          <w:bCs/>
          <w:sz w:val="22"/>
          <w:szCs w:val="22"/>
        </w:rPr>
      </w:pPr>
      <w:r w:rsidRPr="00A07DE8">
        <w:rPr>
          <w:bCs/>
          <w:sz w:val="22"/>
          <w:szCs w:val="22"/>
        </w:rPr>
        <w:t>Renginyje pristatyta projekto id</w:t>
      </w:r>
      <w:r w:rsidRPr="00A07DE8">
        <w:rPr>
          <w:rFonts w:hint="eastAsia"/>
          <w:bCs/>
          <w:sz w:val="22"/>
          <w:szCs w:val="22"/>
        </w:rPr>
        <w:t>ė</w:t>
      </w:r>
      <w:r w:rsidRPr="00A07DE8">
        <w:rPr>
          <w:bCs/>
          <w:sz w:val="22"/>
          <w:szCs w:val="22"/>
        </w:rPr>
        <w:t>ja atskleid</w:t>
      </w:r>
      <w:r w:rsidRPr="00A07DE8">
        <w:rPr>
          <w:rFonts w:hint="eastAsia"/>
          <w:bCs/>
          <w:sz w:val="22"/>
          <w:szCs w:val="22"/>
        </w:rPr>
        <w:t>ė</w:t>
      </w:r>
      <w:r w:rsidRPr="00A07DE8">
        <w:rPr>
          <w:bCs/>
          <w:sz w:val="22"/>
          <w:szCs w:val="22"/>
        </w:rPr>
        <w:t xml:space="preserve"> potencialą tapti svarbia priemone, prisidedančia prie elektronini</w:t>
      </w:r>
      <w:r w:rsidRPr="00A07DE8">
        <w:rPr>
          <w:rFonts w:hint="eastAsia"/>
          <w:bCs/>
          <w:sz w:val="22"/>
          <w:szCs w:val="22"/>
        </w:rPr>
        <w:t>ų</w:t>
      </w:r>
      <w:r w:rsidRPr="00A07DE8">
        <w:rPr>
          <w:bCs/>
          <w:sz w:val="22"/>
          <w:szCs w:val="22"/>
        </w:rPr>
        <w:t xml:space="preserve"> komponent</w:t>
      </w:r>
      <w:r w:rsidRPr="00A07DE8">
        <w:rPr>
          <w:rFonts w:hint="eastAsia"/>
          <w:bCs/>
          <w:sz w:val="22"/>
          <w:szCs w:val="22"/>
        </w:rPr>
        <w:t>ų</w:t>
      </w:r>
      <w:r w:rsidRPr="00A07DE8">
        <w:rPr>
          <w:bCs/>
          <w:sz w:val="22"/>
          <w:szCs w:val="22"/>
        </w:rPr>
        <w:t xml:space="preserve"> ir sistem</w:t>
      </w:r>
      <w:r w:rsidRPr="00A07DE8">
        <w:rPr>
          <w:rFonts w:hint="eastAsia"/>
          <w:bCs/>
          <w:sz w:val="22"/>
          <w:szCs w:val="22"/>
        </w:rPr>
        <w:t>ų</w:t>
      </w:r>
      <w:r w:rsidRPr="00A07DE8">
        <w:rPr>
          <w:bCs/>
          <w:sz w:val="22"/>
          <w:szCs w:val="22"/>
        </w:rPr>
        <w:t xml:space="preserve"> pl</w:t>
      </w:r>
      <w:r w:rsidRPr="00A07DE8">
        <w:rPr>
          <w:rFonts w:hint="eastAsia"/>
          <w:bCs/>
          <w:sz w:val="22"/>
          <w:szCs w:val="22"/>
        </w:rPr>
        <w:t>ė</w:t>
      </w:r>
      <w:r w:rsidRPr="00A07DE8">
        <w:rPr>
          <w:bCs/>
          <w:sz w:val="22"/>
          <w:szCs w:val="22"/>
        </w:rPr>
        <w:t>tros, bei pad</w:t>
      </w:r>
      <w:r w:rsidRPr="00A07DE8">
        <w:rPr>
          <w:rFonts w:hint="eastAsia"/>
          <w:bCs/>
          <w:sz w:val="22"/>
          <w:szCs w:val="22"/>
        </w:rPr>
        <w:t>ė</w:t>
      </w:r>
      <w:r w:rsidRPr="00A07DE8">
        <w:rPr>
          <w:bCs/>
          <w:sz w:val="22"/>
          <w:szCs w:val="22"/>
        </w:rPr>
        <w:t>jo užmegzti naujas partnerystes su kitomis mokslin</w:t>
      </w:r>
      <w:r w:rsidRPr="00A07DE8">
        <w:rPr>
          <w:rFonts w:hint="eastAsia"/>
          <w:bCs/>
          <w:sz w:val="22"/>
          <w:szCs w:val="22"/>
        </w:rPr>
        <w:t>ė</w:t>
      </w:r>
      <w:r w:rsidRPr="00A07DE8">
        <w:rPr>
          <w:bCs/>
          <w:sz w:val="22"/>
          <w:szCs w:val="22"/>
        </w:rPr>
        <w:t>mis ir pramon</w:t>
      </w:r>
      <w:r w:rsidRPr="00A07DE8">
        <w:rPr>
          <w:rFonts w:hint="eastAsia"/>
          <w:bCs/>
          <w:sz w:val="22"/>
          <w:szCs w:val="22"/>
        </w:rPr>
        <w:t>ė</w:t>
      </w:r>
      <w:r w:rsidRPr="00A07DE8">
        <w:rPr>
          <w:bCs/>
          <w:sz w:val="22"/>
          <w:szCs w:val="22"/>
        </w:rPr>
        <w:t>s organizacijomis. Diskusij</w:t>
      </w:r>
      <w:r w:rsidRPr="00A07DE8">
        <w:rPr>
          <w:rFonts w:hint="eastAsia"/>
          <w:bCs/>
          <w:sz w:val="22"/>
          <w:szCs w:val="22"/>
        </w:rPr>
        <w:t>ų</w:t>
      </w:r>
      <w:r w:rsidRPr="00A07DE8">
        <w:rPr>
          <w:bCs/>
          <w:sz w:val="22"/>
          <w:szCs w:val="22"/>
        </w:rPr>
        <w:t xml:space="preserve"> metu buvo pabr</w:t>
      </w:r>
      <w:r w:rsidRPr="00A07DE8">
        <w:rPr>
          <w:rFonts w:hint="eastAsia"/>
          <w:bCs/>
          <w:sz w:val="22"/>
          <w:szCs w:val="22"/>
        </w:rPr>
        <w:t>ėž</w:t>
      </w:r>
      <w:r w:rsidRPr="00A07DE8">
        <w:rPr>
          <w:bCs/>
          <w:sz w:val="22"/>
          <w:szCs w:val="22"/>
        </w:rPr>
        <w:t>ta technologinio bendradarbiavimo svarba, siekiant sukurti daugiašalius tarptautinius projektus, kurie ne tik skatint</w:t>
      </w:r>
      <w:r w:rsidRPr="00A07DE8">
        <w:rPr>
          <w:rFonts w:hint="eastAsia"/>
          <w:bCs/>
          <w:sz w:val="22"/>
          <w:szCs w:val="22"/>
        </w:rPr>
        <w:t>ų</w:t>
      </w:r>
      <w:r w:rsidRPr="00A07DE8">
        <w:rPr>
          <w:bCs/>
          <w:sz w:val="22"/>
          <w:szCs w:val="22"/>
        </w:rPr>
        <w:t xml:space="preserve"> inovacijas, bet ir užtikrint</w:t>
      </w:r>
      <w:r w:rsidRPr="00A07DE8">
        <w:rPr>
          <w:rFonts w:hint="eastAsia"/>
          <w:bCs/>
          <w:sz w:val="22"/>
          <w:szCs w:val="22"/>
        </w:rPr>
        <w:t>ų</w:t>
      </w:r>
      <w:r w:rsidRPr="00A07DE8">
        <w:rPr>
          <w:bCs/>
          <w:sz w:val="22"/>
          <w:szCs w:val="22"/>
        </w:rPr>
        <w:t xml:space="preserve"> j</w:t>
      </w:r>
      <w:r w:rsidRPr="00A07DE8">
        <w:rPr>
          <w:rFonts w:hint="eastAsia"/>
          <w:bCs/>
          <w:sz w:val="22"/>
          <w:szCs w:val="22"/>
        </w:rPr>
        <w:t>ų</w:t>
      </w:r>
      <w:r w:rsidRPr="00A07DE8">
        <w:rPr>
          <w:bCs/>
          <w:sz w:val="22"/>
          <w:szCs w:val="22"/>
        </w:rPr>
        <w:t xml:space="preserve"> </w:t>
      </w:r>
      <w:r w:rsidRPr="00A07DE8">
        <w:rPr>
          <w:rFonts w:hint="eastAsia"/>
          <w:bCs/>
          <w:sz w:val="22"/>
          <w:szCs w:val="22"/>
        </w:rPr>
        <w:t>į</w:t>
      </w:r>
      <w:r w:rsidRPr="00A07DE8">
        <w:rPr>
          <w:bCs/>
          <w:sz w:val="22"/>
          <w:szCs w:val="22"/>
        </w:rPr>
        <w:t>gyvendinimą realiame pramoniniame kontekste.</w:t>
      </w:r>
    </w:p>
    <w:p w14:paraId="21762B26" w14:textId="77777777" w:rsidR="00185687" w:rsidRPr="00185687" w:rsidRDefault="00185687" w:rsidP="00A12292">
      <w:pPr>
        <w:jc w:val="both"/>
        <w:rPr>
          <w:bCs/>
        </w:rPr>
      </w:pPr>
      <w:bookmarkStart w:id="0" w:name="_GoBack"/>
      <w:bookmarkEnd w:id="0"/>
    </w:p>
    <w:p w14:paraId="4D62154A" w14:textId="77777777" w:rsidR="00A12292" w:rsidRPr="00185687" w:rsidRDefault="00A12292" w:rsidP="00A21B84">
      <w:pPr>
        <w:jc w:val="both"/>
        <w:rPr>
          <w:bCs/>
          <w:sz w:val="22"/>
          <w:szCs w:val="22"/>
        </w:rPr>
      </w:pPr>
      <w:r w:rsidRPr="00185687">
        <w:rPr>
          <w:bCs/>
          <w:sz w:val="22"/>
          <w:szCs w:val="22"/>
        </w:rPr>
        <w:t>Šiuo projektu ,,</w:t>
      </w:r>
      <w:r w:rsidRPr="00185687">
        <w:rPr>
          <w:b/>
          <w:sz w:val="22"/>
          <w:szCs w:val="22"/>
        </w:rPr>
        <w:t xml:space="preserve">Patikrinti MTEP projekto idėją bei pasiruošti teikti </w:t>
      </w:r>
      <w:proofErr w:type="spellStart"/>
      <w:r w:rsidRPr="00185687">
        <w:rPr>
          <w:b/>
          <w:sz w:val="22"/>
          <w:szCs w:val="22"/>
        </w:rPr>
        <w:t>Horizon</w:t>
      </w:r>
      <w:proofErr w:type="spellEnd"/>
      <w:r w:rsidRPr="00185687">
        <w:rPr>
          <w:b/>
          <w:sz w:val="22"/>
          <w:szCs w:val="22"/>
        </w:rPr>
        <w:t xml:space="preserve"> </w:t>
      </w:r>
      <w:proofErr w:type="spellStart"/>
      <w:r w:rsidRPr="00185687">
        <w:rPr>
          <w:b/>
          <w:sz w:val="22"/>
          <w:szCs w:val="22"/>
        </w:rPr>
        <w:t>Europe</w:t>
      </w:r>
      <w:proofErr w:type="spellEnd"/>
      <w:r w:rsidRPr="00185687">
        <w:rPr>
          <w:b/>
          <w:sz w:val="22"/>
          <w:szCs w:val="22"/>
        </w:rPr>
        <w:t xml:space="preserve"> </w:t>
      </w:r>
      <w:proofErr w:type="spellStart"/>
      <w:r w:rsidRPr="00185687">
        <w:rPr>
          <w:b/>
          <w:sz w:val="22"/>
          <w:szCs w:val="22"/>
        </w:rPr>
        <w:t>Excellence</w:t>
      </w:r>
      <w:proofErr w:type="spellEnd"/>
      <w:r w:rsidRPr="00185687">
        <w:rPr>
          <w:b/>
          <w:sz w:val="22"/>
          <w:szCs w:val="22"/>
        </w:rPr>
        <w:t xml:space="preserve"> </w:t>
      </w:r>
      <w:proofErr w:type="spellStart"/>
      <w:r w:rsidRPr="00185687">
        <w:rPr>
          <w:b/>
          <w:sz w:val="22"/>
          <w:szCs w:val="22"/>
        </w:rPr>
        <w:t>Hub</w:t>
      </w:r>
      <w:proofErr w:type="spellEnd"/>
      <w:r w:rsidRPr="00185687">
        <w:rPr>
          <w:b/>
          <w:sz w:val="22"/>
          <w:szCs w:val="22"/>
        </w:rPr>
        <w:t xml:space="preserve"> projekto paraišką“ pagal sutartį Nr. 10-038-T-0046</w:t>
      </w:r>
      <w:r w:rsidRPr="00185687">
        <w:rPr>
          <w:bCs/>
          <w:sz w:val="22"/>
          <w:szCs w:val="22"/>
        </w:rPr>
        <w:t xml:space="preserve"> buvo įgyvendinta</w:t>
      </w:r>
      <w:r w:rsidR="0093354F" w:rsidRPr="00185687">
        <w:rPr>
          <w:bCs/>
          <w:sz w:val="22"/>
          <w:szCs w:val="22"/>
        </w:rPr>
        <w:t xml:space="preserve"> </w:t>
      </w:r>
      <w:r w:rsidRPr="00185687">
        <w:rPr>
          <w:bCs/>
          <w:sz w:val="22"/>
          <w:szCs w:val="22"/>
        </w:rPr>
        <w:t>dalis</w:t>
      </w:r>
      <w:r w:rsidR="0093354F" w:rsidRPr="00185687">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14:paraId="46D79279" w14:textId="2CCD70D4" w:rsidR="0093354F" w:rsidRDefault="00A12292" w:rsidP="00A21B84">
      <w:pPr>
        <w:jc w:val="both"/>
        <w:rPr>
          <w:bCs/>
          <w:sz w:val="22"/>
          <w:szCs w:val="22"/>
        </w:rPr>
      </w:pPr>
      <w:r w:rsidRPr="00185687">
        <w:rPr>
          <w:bCs/>
          <w:sz w:val="22"/>
          <w:szCs w:val="22"/>
        </w:rPr>
        <w:t>Taip pat prisidėta</w:t>
      </w:r>
      <w:r w:rsidR="0093354F" w:rsidRPr="00185687">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w:t>
      </w:r>
      <w:proofErr w:type="spellStart"/>
      <w:r w:rsidR="0093354F" w:rsidRPr="00185687">
        <w:rPr>
          <w:bCs/>
          <w:sz w:val="22"/>
          <w:szCs w:val="22"/>
        </w:rPr>
        <w:t>akceleravimo</w:t>
      </w:r>
      <w:proofErr w:type="spellEnd"/>
      <w:r w:rsidR="0093354F" w:rsidRPr="00185687">
        <w:rPr>
          <w:bCs/>
          <w:sz w:val="22"/>
          <w:szCs w:val="22"/>
        </w:rPr>
        <w:t xml:space="preserve"> veiksmų planą.“ </w:t>
      </w:r>
    </w:p>
    <w:p w14:paraId="62E6526D" w14:textId="77777777" w:rsidR="00A07DE8" w:rsidRDefault="00A07DE8" w:rsidP="00A636A5">
      <w:pPr>
        <w:jc w:val="both"/>
        <w:rPr>
          <w:bCs/>
          <w:sz w:val="22"/>
          <w:szCs w:val="22"/>
        </w:rPr>
      </w:pPr>
    </w:p>
    <w:p w14:paraId="4AF33FA5" w14:textId="02F0973B" w:rsidR="00A636A5" w:rsidRPr="00A07DE8" w:rsidRDefault="00A636A5" w:rsidP="00A636A5">
      <w:pPr>
        <w:jc w:val="both"/>
        <w:rPr>
          <w:bCs/>
          <w:sz w:val="22"/>
          <w:szCs w:val="22"/>
        </w:rPr>
      </w:pPr>
      <w:r w:rsidRPr="00A636A5">
        <w:rPr>
          <w:bCs/>
          <w:sz w:val="22"/>
          <w:szCs w:val="22"/>
        </w:rPr>
        <w:t>Šio projekto</w:t>
      </w:r>
      <w:r w:rsidRPr="00A07DE8">
        <w:rPr>
          <w:bCs/>
          <w:sz w:val="22"/>
          <w:szCs w:val="22"/>
        </w:rPr>
        <w:t xml:space="preserve"> įgyvendinimo metu, patikrinus MTEP idėją, buvo pateikta paraiška pagal programos ,,Europos Horizontas“ kvietimą Nr. HORIZON-WIDERA-2023-ACCESS-07 „</w:t>
      </w:r>
      <w:proofErr w:type="spellStart"/>
      <w:r w:rsidRPr="00A07DE8">
        <w:rPr>
          <w:bCs/>
          <w:sz w:val="22"/>
          <w:szCs w:val="22"/>
        </w:rPr>
        <w:t>Excellence</w:t>
      </w:r>
      <w:proofErr w:type="spellEnd"/>
      <w:r w:rsidRPr="00A07DE8">
        <w:rPr>
          <w:bCs/>
          <w:sz w:val="22"/>
          <w:szCs w:val="22"/>
        </w:rPr>
        <w:t xml:space="preserve"> </w:t>
      </w:r>
      <w:proofErr w:type="spellStart"/>
      <w:r w:rsidRPr="00A07DE8">
        <w:rPr>
          <w:bCs/>
          <w:sz w:val="22"/>
          <w:szCs w:val="22"/>
        </w:rPr>
        <w:t>HUBs</w:t>
      </w:r>
      <w:proofErr w:type="spellEnd"/>
      <w:r w:rsidRPr="00A07DE8">
        <w:rPr>
          <w:bCs/>
          <w:sz w:val="22"/>
          <w:szCs w:val="22"/>
        </w:rPr>
        <w:t>. Paraiška buvo įvertinta teigiamai ir pasirašyta dotacijos sutartis.</w:t>
      </w:r>
    </w:p>
    <w:p w14:paraId="4072AF09" w14:textId="77777777" w:rsidR="0093354F" w:rsidRPr="00185687" w:rsidRDefault="0093354F" w:rsidP="00A21B84">
      <w:pPr>
        <w:jc w:val="both"/>
        <w:rPr>
          <w:bCs/>
          <w:sz w:val="22"/>
          <w:szCs w:val="22"/>
        </w:rPr>
      </w:pPr>
    </w:p>
    <w:p w14:paraId="0AB1BE3F" w14:textId="77777777" w:rsidR="000D33A0" w:rsidRPr="00185687" w:rsidRDefault="000D33A0" w:rsidP="00BE6288">
      <w:pPr>
        <w:widowControl w:val="0"/>
        <w:jc w:val="both"/>
        <w:rPr>
          <w:bCs/>
          <w:sz w:val="22"/>
          <w:szCs w:val="22"/>
        </w:rPr>
      </w:pPr>
    </w:p>
    <w:p w14:paraId="5FDC1F6C" w14:textId="77777777" w:rsidR="00A21B84" w:rsidRPr="00185687" w:rsidRDefault="00A21B84" w:rsidP="00BE6288">
      <w:pPr>
        <w:widowControl w:val="0"/>
        <w:jc w:val="both"/>
        <w:rPr>
          <w:sz w:val="22"/>
          <w:szCs w:val="22"/>
        </w:rPr>
      </w:pPr>
      <w:r w:rsidRPr="00185687">
        <w:rPr>
          <w:bCs/>
          <w:sz w:val="22"/>
          <w:szCs w:val="22"/>
        </w:rPr>
        <w:t>Projektas įgyvendin</w:t>
      </w:r>
      <w:r w:rsidR="00BE6288" w:rsidRPr="00185687">
        <w:rPr>
          <w:bCs/>
          <w:sz w:val="22"/>
          <w:szCs w:val="22"/>
        </w:rPr>
        <w:t>ta</w:t>
      </w:r>
      <w:r w:rsidRPr="00185687">
        <w:rPr>
          <w:bCs/>
          <w:sz w:val="22"/>
          <w:szCs w:val="22"/>
        </w:rPr>
        <w:t>s pagal Sutartyje</w:t>
      </w:r>
      <w:r w:rsidR="00BE6288" w:rsidRPr="00185687">
        <w:rPr>
          <w:bCs/>
          <w:sz w:val="22"/>
          <w:szCs w:val="22"/>
        </w:rPr>
        <w:t xml:space="preserve"> </w:t>
      </w:r>
      <w:r w:rsidR="00BE6288" w:rsidRPr="00185687">
        <w:rPr>
          <w:b/>
          <w:bCs/>
          <w:sz w:val="22"/>
          <w:szCs w:val="22"/>
        </w:rPr>
        <w:t>NR.</w:t>
      </w:r>
      <w:r w:rsidR="00BE6288" w:rsidRPr="00185687">
        <w:rPr>
          <w:bCs/>
          <w:sz w:val="22"/>
          <w:szCs w:val="22"/>
        </w:rPr>
        <w:t xml:space="preserve"> </w:t>
      </w:r>
      <w:r w:rsidR="00BE6288" w:rsidRPr="00185687">
        <w:rPr>
          <w:b/>
          <w:bCs/>
          <w:iCs/>
          <w:sz w:val="22"/>
          <w:szCs w:val="22"/>
        </w:rPr>
        <w:t>10-038-T-00</w:t>
      </w:r>
      <w:r w:rsidR="00FE1C6C" w:rsidRPr="00185687">
        <w:rPr>
          <w:b/>
          <w:bCs/>
          <w:iCs/>
          <w:sz w:val="22"/>
          <w:szCs w:val="22"/>
        </w:rPr>
        <w:t>46</w:t>
      </w:r>
      <w:r w:rsidR="00BE6288" w:rsidRPr="00185687">
        <w:rPr>
          <w:b/>
          <w:bCs/>
          <w:iCs/>
          <w:sz w:val="22"/>
          <w:szCs w:val="22"/>
        </w:rPr>
        <w:t xml:space="preserve">, </w:t>
      </w:r>
      <w:r w:rsidRPr="00185687">
        <w:rPr>
          <w:bCs/>
          <w:sz w:val="22"/>
          <w:szCs w:val="22"/>
        </w:rPr>
        <w:t>2022-2030 metų plėtros programos valdytojos Lietuvos Respublikos švietimo, mokslo ir sporto ministerijos plėtros programos pažangos priemonės Nr. 12-001-01-02-01 „Stiprinti inovacijų ekosistemas mokslo centruose</w:t>
      </w:r>
      <w:r w:rsidRPr="00185687">
        <w:rPr>
          <w:sz w:val="22"/>
          <w:szCs w:val="22"/>
        </w:rPr>
        <w:t>“ aprašo, patvirtinto</w:t>
      </w:r>
      <w:r w:rsidRPr="00185687">
        <w:rPr>
          <w:i/>
          <w:sz w:val="22"/>
          <w:szCs w:val="22"/>
        </w:rPr>
        <w:t xml:space="preserve"> </w:t>
      </w:r>
      <w:r w:rsidRPr="00185687">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85687">
        <w:rPr>
          <w:sz w:val="22"/>
          <w:szCs w:val="22"/>
          <w:shd w:val="clear" w:color="auto" w:fill="FFFFFF"/>
        </w:rPr>
        <w:t xml:space="preserve">2022–2030 m. plėtros programos valdytojos Lietuvos Respublikos švietimo, mokslo ir sporto ministerijos mokslo plėtros programos </w:t>
      </w:r>
      <w:r w:rsidRPr="00185687">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85687">
        <w:rPr>
          <w:iCs/>
          <w:sz w:val="22"/>
          <w:szCs w:val="22"/>
        </w:rPr>
        <w:t xml:space="preserve"> (toliau – Taisyklės) </w:t>
      </w:r>
      <w:r w:rsidRPr="00185687">
        <w:rPr>
          <w:sz w:val="22"/>
          <w:szCs w:val="22"/>
        </w:rPr>
        <w:t xml:space="preserve">ir (arba) Finansinių priemonių įgyvendinimo taisyklėse, </w:t>
      </w:r>
      <w:r w:rsidRPr="00185687">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85687">
        <w:rPr>
          <w:sz w:val="22"/>
          <w:szCs w:val="22"/>
        </w:rPr>
        <w:t>,</w:t>
      </w:r>
      <w:r w:rsidRPr="00185687">
        <w:rPr>
          <w:i/>
          <w:iCs/>
          <w:sz w:val="22"/>
          <w:szCs w:val="22"/>
        </w:rPr>
        <w:t xml:space="preserve"> </w:t>
      </w:r>
      <w:r w:rsidRPr="00185687">
        <w:rPr>
          <w:sz w:val="22"/>
          <w:szCs w:val="22"/>
        </w:rPr>
        <w:t xml:space="preserve">ir juose nurodytuose ES ir Lietuvos Respublikos teisės aktuose nustatytas sąlygas ir tvarką. </w:t>
      </w:r>
    </w:p>
    <w:p w14:paraId="1AAE5657" w14:textId="77777777" w:rsidR="00BE6288" w:rsidRPr="00185687" w:rsidRDefault="00BE6288" w:rsidP="00BE6288">
      <w:pPr>
        <w:jc w:val="both"/>
        <w:rPr>
          <w:bCs/>
          <w:sz w:val="22"/>
          <w:szCs w:val="22"/>
        </w:rPr>
      </w:pPr>
    </w:p>
    <w:p w14:paraId="2D3314DC" w14:textId="77777777" w:rsidR="000D33A0" w:rsidRPr="00185687" w:rsidRDefault="000D33A0" w:rsidP="00BE6288">
      <w:pPr>
        <w:jc w:val="both"/>
        <w:rPr>
          <w:bCs/>
          <w:sz w:val="22"/>
          <w:szCs w:val="22"/>
        </w:rPr>
      </w:pPr>
    </w:p>
    <w:p w14:paraId="1BB3F9D1" w14:textId="77777777" w:rsidR="00063298" w:rsidRPr="00185687" w:rsidRDefault="00BE6288" w:rsidP="00BE6288">
      <w:pPr>
        <w:jc w:val="both"/>
        <w:rPr>
          <w:color w:val="000000"/>
          <w:sz w:val="22"/>
          <w:szCs w:val="22"/>
        </w:rPr>
      </w:pPr>
      <w:r w:rsidRPr="00185687">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185687" w14:paraId="0F2A9EC1" w14:textId="77777777" w:rsidTr="00CB0FDC">
        <w:tc>
          <w:tcPr>
            <w:tcW w:w="5755" w:type="dxa"/>
          </w:tcPr>
          <w:p w14:paraId="62837BC0" w14:textId="77777777" w:rsidR="00BE6288" w:rsidRPr="00185687" w:rsidRDefault="00BE6288" w:rsidP="00BE6288">
            <w:pPr>
              <w:jc w:val="both"/>
              <w:rPr>
                <w:color w:val="000000"/>
                <w:sz w:val="22"/>
                <w:szCs w:val="22"/>
              </w:rPr>
            </w:pPr>
            <w:r w:rsidRPr="00185687">
              <w:rPr>
                <w:bCs/>
                <w:iCs/>
                <w:sz w:val="22"/>
                <w:szCs w:val="22"/>
              </w:rPr>
              <w:lastRenderedPageBreak/>
              <w:t xml:space="preserve">Per 20 darbo dienų nuo projekto sutarties pasirašymo projekto vykdytojo internetinėje svetainėje </w:t>
            </w:r>
            <w:hyperlink r:id="rId7" w:history="1">
              <w:r w:rsidRPr="00185687">
                <w:rPr>
                  <w:rStyle w:val="Hyperlink"/>
                  <w:bCs/>
                  <w:iCs/>
                  <w:sz w:val="22"/>
                  <w:szCs w:val="22"/>
                </w:rPr>
                <w:t>www.ftmc.lt</w:t>
              </w:r>
            </w:hyperlink>
            <w:r w:rsidRPr="00185687">
              <w:rPr>
                <w:bCs/>
                <w:iCs/>
                <w:sz w:val="22"/>
                <w:szCs w:val="22"/>
              </w:rPr>
              <w:t xml:space="preserve"> bus skelbiamas projekto aprašymas, apibūdinant projektu sprendžiamą problemą ir projekto tikslą, aprašant suplanuotas projekto veiklas (</w:t>
            </w:r>
            <w:proofErr w:type="spellStart"/>
            <w:r w:rsidRPr="00185687">
              <w:rPr>
                <w:bCs/>
                <w:iCs/>
                <w:sz w:val="22"/>
                <w:szCs w:val="22"/>
              </w:rPr>
              <w:t>poveikles</w:t>
            </w:r>
            <w:proofErr w:type="spellEnd"/>
            <w:r w:rsidRPr="00185687">
              <w:rPr>
                <w:bCs/>
                <w:iCs/>
                <w:sz w:val="22"/>
                <w:szCs w:val="22"/>
              </w:rPr>
              <w:t>), pristatant suplanuotus rezultatus ir informuojant apie Europos Sąjungos finansavimą.</w:t>
            </w:r>
          </w:p>
        </w:tc>
        <w:tc>
          <w:tcPr>
            <w:tcW w:w="3589" w:type="dxa"/>
          </w:tcPr>
          <w:p w14:paraId="692F50C2" w14:textId="77777777" w:rsidR="00BE6288" w:rsidRPr="00185687" w:rsidRDefault="00BE6288" w:rsidP="00BE6288">
            <w:pPr>
              <w:jc w:val="both"/>
              <w:rPr>
                <w:color w:val="000000"/>
                <w:sz w:val="22"/>
                <w:szCs w:val="22"/>
              </w:rPr>
            </w:pPr>
            <w:r w:rsidRPr="00185687">
              <w:rPr>
                <w:color w:val="000000"/>
                <w:sz w:val="22"/>
                <w:szCs w:val="22"/>
              </w:rPr>
              <w:t xml:space="preserve">Paskelbta </w:t>
            </w:r>
            <w:hyperlink r:id="rId8" w:history="1">
              <w:r w:rsidRPr="00185687">
                <w:rPr>
                  <w:rStyle w:val="Hyperlink"/>
                  <w:sz w:val="22"/>
                  <w:szCs w:val="22"/>
                </w:rPr>
                <w:t>www.ftmc.lt</w:t>
              </w:r>
            </w:hyperlink>
          </w:p>
          <w:p w14:paraId="573A24C7" w14:textId="77777777" w:rsidR="00BE6288" w:rsidRPr="00185687" w:rsidRDefault="00BE6288" w:rsidP="00BE6288">
            <w:pPr>
              <w:jc w:val="both"/>
              <w:rPr>
                <w:color w:val="000000"/>
                <w:sz w:val="22"/>
                <w:szCs w:val="22"/>
              </w:rPr>
            </w:pPr>
          </w:p>
          <w:p w14:paraId="6CA1BB42" w14:textId="77777777" w:rsidR="00BE6288" w:rsidRPr="00185687" w:rsidRDefault="00CE0A33" w:rsidP="00BE6288">
            <w:pPr>
              <w:jc w:val="both"/>
              <w:rPr>
                <w:color w:val="000000"/>
                <w:sz w:val="22"/>
                <w:szCs w:val="22"/>
              </w:rPr>
            </w:pPr>
            <w:hyperlink r:id="rId9" w:history="1">
              <w:r w:rsidR="00BE6288" w:rsidRPr="00185687">
                <w:rPr>
                  <w:rStyle w:val="Hyperlink"/>
                  <w:sz w:val="22"/>
                  <w:szCs w:val="22"/>
                </w:rPr>
                <w:t>https://www.ftmc.lt/startiniai-mtep-projektai-sekmingam-dalyvavimui-europos-horizontas-kvietimuose</w:t>
              </w:r>
            </w:hyperlink>
          </w:p>
          <w:p w14:paraId="1399D26F" w14:textId="77777777" w:rsidR="00BE6288" w:rsidRPr="00185687" w:rsidRDefault="00BE6288" w:rsidP="00BE6288">
            <w:pPr>
              <w:jc w:val="both"/>
              <w:rPr>
                <w:color w:val="000000"/>
                <w:sz w:val="22"/>
                <w:szCs w:val="22"/>
              </w:rPr>
            </w:pPr>
          </w:p>
        </w:tc>
      </w:tr>
      <w:tr w:rsidR="00BE6288" w:rsidRPr="00185687" w14:paraId="12A51FD8" w14:textId="77777777" w:rsidTr="00CB0FDC">
        <w:tc>
          <w:tcPr>
            <w:tcW w:w="5755" w:type="dxa"/>
          </w:tcPr>
          <w:p w14:paraId="71190EF4" w14:textId="77777777" w:rsidR="00BE6288" w:rsidRPr="00185687" w:rsidRDefault="00BE6288" w:rsidP="00BE6288">
            <w:pPr>
              <w:jc w:val="both"/>
              <w:rPr>
                <w:color w:val="000000"/>
                <w:sz w:val="22"/>
                <w:szCs w:val="22"/>
              </w:rPr>
            </w:pPr>
            <w:r w:rsidRPr="00185687">
              <w:rPr>
                <w:bCs/>
                <w:sz w:val="22"/>
                <w:szCs w:val="22"/>
              </w:rPr>
              <w:t xml:space="preserve">Per 20 darbo dienų nuo projekto sutarties pasirašymo projekto vykdytojo FB socialiniame tinkle tikslinė auditorija bus informuota apie Europos Sąjungos finansavimą nurodant visą pavadinimą </w:t>
            </w:r>
            <w:r w:rsidRPr="00185687">
              <w:rPr>
                <w:bCs/>
                <w:iCs/>
                <w:sz w:val="22"/>
                <w:szCs w:val="22"/>
              </w:rPr>
              <w:t xml:space="preserve">„Bendrai finansuoja </w:t>
            </w:r>
            <w:r w:rsidRPr="00185687">
              <w:rPr>
                <w:bCs/>
                <w:iCs/>
                <w:sz w:val="22"/>
                <w:szCs w:val="22"/>
                <w:shd w:val="clear" w:color="auto" w:fill="FFFFFF"/>
              </w:rPr>
              <w:t>Europos Sąjunga</w:t>
            </w:r>
            <w:r w:rsidRPr="00185687">
              <w:rPr>
                <w:bCs/>
                <w:iCs/>
                <w:sz w:val="22"/>
                <w:szCs w:val="22"/>
              </w:rPr>
              <w:t>“.</w:t>
            </w:r>
          </w:p>
        </w:tc>
        <w:tc>
          <w:tcPr>
            <w:tcW w:w="3589" w:type="dxa"/>
          </w:tcPr>
          <w:p w14:paraId="695F935C" w14:textId="77777777" w:rsidR="00BE6288" w:rsidRPr="00185687" w:rsidRDefault="00BE6288" w:rsidP="00BE6288">
            <w:pPr>
              <w:jc w:val="both"/>
              <w:rPr>
                <w:color w:val="000000"/>
                <w:sz w:val="22"/>
                <w:szCs w:val="22"/>
              </w:rPr>
            </w:pPr>
            <w:r w:rsidRPr="00185687">
              <w:rPr>
                <w:color w:val="000000"/>
                <w:sz w:val="22"/>
                <w:szCs w:val="22"/>
              </w:rPr>
              <w:t>Paskelbta FTMC FB puslapyje, nuotrauka CPVA pateikta</w:t>
            </w:r>
          </w:p>
        </w:tc>
      </w:tr>
      <w:tr w:rsidR="00BE6288" w:rsidRPr="00185687" w14:paraId="727E014D" w14:textId="77777777" w:rsidTr="00CB0FDC">
        <w:trPr>
          <w:trHeight w:val="980"/>
        </w:trPr>
        <w:tc>
          <w:tcPr>
            <w:tcW w:w="5755" w:type="dxa"/>
          </w:tcPr>
          <w:p w14:paraId="63C358C4" w14:textId="77777777" w:rsidR="00BE6288" w:rsidRPr="00185687" w:rsidRDefault="00BE6288" w:rsidP="00981F8F">
            <w:pPr>
              <w:tabs>
                <w:tab w:val="left" w:pos="851"/>
                <w:tab w:val="left" w:pos="1418"/>
              </w:tabs>
              <w:spacing w:line="259" w:lineRule="auto"/>
              <w:jc w:val="both"/>
              <w:rPr>
                <w:color w:val="000000"/>
                <w:sz w:val="22"/>
                <w:szCs w:val="22"/>
              </w:rPr>
            </w:pPr>
            <w:r w:rsidRPr="00185687">
              <w:rPr>
                <w:bCs/>
                <w:sz w:val="22"/>
                <w:szCs w:val="22"/>
              </w:rPr>
              <w:t>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w:t>
            </w:r>
            <w:proofErr w:type="spellStart"/>
            <w:r w:rsidRPr="00185687">
              <w:rPr>
                <w:bCs/>
                <w:sz w:val="22"/>
                <w:szCs w:val="22"/>
              </w:rPr>
              <w:t>poveikles</w:t>
            </w:r>
            <w:proofErr w:type="spellEnd"/>
            <w:r w:rsidRPr="00185687">
              <w:rPr>
                <w:bCs/>
                <w:sz w:val="22"/>
                <w:szCs w:val="22"/>
              </w:rPr>
              <w:t xml:space="preserve">) bei rezultatus) ir paskelbiama apie Europos Sąjungos finansavimą. </w:t>
            </w:r>
          </w:p>
        </w:tc>
        <w:tc>
          <w:tcPr>
            <w:tcW w:w="3589" w:type="dxa"/>
          </w:tcPr>
          <w:p w14:paraId="583132FD" w14:textId="77777777" w:rsidR="00BE6288" w:rsidRPr="00185687" w:rsidRDefault="00BE6288" w:rsidP="00BE6288">
            <w:pPr>
              <w:jc w:val="both"/>
              <w:rPr>
                <w:color w:val="000000"/>
                <w:sz w:val="22"/>
                <w:szCs w:val="22"/>
              </w:rPr>
            </w:pPr>
            <w:r w:rsidRPr="00185687">
              <w:rPr>
                <w:color w:val="000000"/>
                <w:sz w:val="22"/>
                <w:szCs w:val="22"/>
              </w:rPr>
              <w:t>A3 formato pranešimas (plakatas) pakabintas, nuotrauka CPVA pateikta</w:t>
            </w:r>
          </w:p>
        </w:tc>
      </w:tr>
      <w:tr w:rsidR="00CB0FDC" w:rsidRPr="00185687" w14:paraId="3FC7B366" w14:textId="77777777" w:rsidTr="00CB0FDC">
        <w:trPr>
          <w:trHeight w:val="980"/>
        </w:trPr>
        <w:tc>
          <w:tcPr>
            <w:tcW w:w="5755" w:type="dxa"/>
          </w:tcPr>
          <w:p w14:paraId="50B6C853" w14:textId="77BB8DD9" w:rsidR="00CB0FDC" w:rsidRPr="00185687" w:rsidRDefault="00CB0FDC" w:rsidP="00D44F3D">
            <w:pPr>
              <w:tabs>
                <w:tab w:val="left" w:pos="851"/>
                <w:tab w:val="left" w:pos="1418"/>
              </w:tabs>
              <w:spacing w:line="259" w:lineRule="auto"/>
              <w:jc w:val="both"/>
              <w:rPr>
                <w:color w:val="000000"/>
                <w:sz w:val="22"/>
                <w:szCs w:val="22"/>
              </w:rPr>
            </w:pPr>
            <w:r w:rsidRPr="00CB0FDC">
              <w:rPr>
                <w:color w:val="000000"/>
                <w:sz w:val="22"/>
                <w:szCs w:val="22"/>
              </w:rPr>
              <w:t>Tinkamas, naudojant Europos Sąjungos emblemą ir vartojant atitinkamą teigin</w:t>
            </w:r>
            <w:r w:rsidRPr="00CB0FDC">
              <w:rPr>
                <w:rFonts w:hint="eastAsia"/>
                <w:color w:val="000000"/>
                <w:sz w:val="22"/>
                <w:szCs w:val="22"/>
              </w:rPr>
              <w:t>į</w:t>
            </w:r>
            <w:r w:rsidRPr="00CB0FDC">
              <w:rPr>
                <w:color w:val="000000"/>
                <w:sz w:val="22"/>
                <w:szCs w:val="22"/>
              </w:rPr>
              <w:t>, komunikavimas apie tai, kad finansuojama Europos Sąjungos l</w:t>
            </w:r>
            <w:r w:rsidRPr="00CB0FDC">
              <w:rPr>
                <w:rFonts w:hint="eastAsia"/>
                <w:color w:val="000000"/>
                <w:sz w:val="22"/>
                <w:szCs w:val="22"/>
              </w:rPr>
              <w:t>ėš</w:t>
            </w:r>
            <w:r w:rsidRPr="00CB0FDC">
              <w:rPr>
                <w:color w:val="000000"/>
                <w:sz w:val="22"/>
                <w:szCs w:val="22"/>
              </w:rPr>
              <w:t>omis, visose komunikacijos priemon</w:t>
            </w:r>
            <w:r w:rsidRPr="00CB0FDC">
              <w:rPr>
                <w:rFonts w:hint="eastAsia"/>
                <w:color w:val="000000"/>
                <w:sz w:val="22"/>
                <w:szCs w:val="22"/>
              </w:rPr>
              <w:t>ė</w:t>
            </w:r>
            <w:r w:rsidRPr="00CB0FDC">
              <w:rPr>
                <w:color w:val="000000"/>
                <w:sz w:val="22"/>
                <w:szCs w:val="22"/>
              </w:rPr>
              <w:t>se ir tikslinei auditorijai skirtuose dokumentuose.</w:t>
            </w:r>
          </w:p>
        </w:tc>
        <w:tc>
          <w:tcPr>
            <w:tcW w:w="3589" w:type="dxa"/>
          </w:tcPr>
          <w:p w14:paraId="0F3001F4" w14:textId="20547941" w:rsidR="00CB0FDC" w:rsidRPr="00185687" w:rsidRDefault="00CB0FDC" w:rsidP="00D44F3D">
            <w:pPr>
              <w:jc w:val="both"/>
              <w:rPr>
                <w:color w:val="000000"/>
                <w:sz w:val="22"/>
                <w:szCs w:val="22"/>
              </w:rPr>
            </w:pPr>
            <w:r>
              <w:rPr>
                <w:color w:val="000000"/>
                <w:sz w:val="22"/>
                <w:szCs w:val="22"/>
              </w:rPr>
              <w:t>Visose taikomose komunikacijos priemonėse naudojama ES finansavimo žyma</w:t>
            </w:r>
          </w:p>
        </w:tc>
      </w:tr>
    </w:tbl>
    <w:p w14:paraId="6704EEAA" w14:textId="77777777" w:rsidR="00BE6288" w:rsidRPr="00185687" w:rsidRDefault="00BE6288" w:rsidP="00BE6288">
      <w:pPr>
        <w:ind w:firstLine="709"/>
        <w:jc w:val="both"/>
        <w:rPr>
          <w:color w:val="000000"/>
          <w:sz w:val="22"/>
          <w:szCs w:val="22"/>
        </w:rPr>
      </w:pPr>
    </w:p>
    <w:p w14:paraId="4344EE29" w14:textId="77777777" w:rsidR="00063298" w:rsidRPr="00185687" w:rsidRDefault="00063298" w:rsidP="00063298">
      <w:pPr>
        <w:ind w:firstLine="709"/>
        <w:rPr>
          <w:bCs/>
          <w:sz w:val="22"/>
          <w:szCs w:val="22"/>
        </w:rPr>
      </w:pPr>
    </w:p>
    <w:p w14:paraId="46718525" w14:textId="77777777" w:rsidR="00063298" w:rsidRPr="00185687" w:rsidRDefault="00BE6288" w:rsidP="00063298">
      <w:pPr>
        <w:rPr>
          <w:bCs/>
          <w:sz w:val="22"/>
          <w:szCs w:val="22"/>
        </w:rPr>
      </w:pPr>
      <w:r w:rsidRPr="00185687">
        <w:rPr>
          <w:bCs/>
          <w:sz w:val="22"/>
          <w:szCs w:val="22"/>
        </w:rPr>
        <w:t>Projekto vadovas</w:t>
      </w:r>
    </w:p>
    <w:p w14:paraId="0C0DA5A6" w14:textId="77777777" w:rsidR="00BE6288" w:rsidRPr="00185687" w:rsidRDefault="00BE6288" w:rsidP="00063298">
      <w:pPr>
        <w:rPr>
          <w:bCs/>
          <w:sz w:val="22"/>
          <w:szCs w:val="22"/>
        </w:rPr>
      </w:pPr>
      <w:r w:rsidRPr="00185687">
        <w:rPr>
          <w:bCs/>
          <w:sz w:val="22"/>
          <w:szCs w:val="22"/>
        </w:rPr>
        <w:t>Gediminas Račiukaitis</w:t>
      </w:r>
    </w:p>
    <w:p w14:paraId="0298968B" w14:textId="77777777" w:rsidR="00BE6288" w:rsidRPr="00185687" w:rsidRDefault="00BE6288" w:rsidP="00063298">
      <w:pPr>
        <w:rPr>
          <w:bCs/>
          <w:sz w:val="22"/>
          <w:szCs w:val="22"/>
        </w:rPr>
      </w:pPr>
    </w:p>
    <w:p w14:paraId="32D3FFAE" w14:textId="77777777" w:rsidR="00BE6288" w:rsidRPr="00185687" w:rsidRDefault="00BE6288" w:rsidP="00063298">
      <w:pPr>
        <w:rPr>
          <w:bCs/>
          <w:sz w:val="22"/>
          <w:szCs w:val="22"/>
        </w:rPr>
      </w:pPr>
    </w:p>
    <w:p w14:paraId="0A047E00" w14:textId="77777777" w:rsidR="00BE6288" w:rsidRPr="00185687" w:rsidRDefault="00BE6288" w:rsidP="00063298">
      <w:pPr>
        <w:rPr>
          <w:bCs/>
          <w:sz w:val="22"/>
          <w:szCs w:val="22"/>
        </w:rPr>
      </w:pPr>
    </w:p>
    <w:p w14:paraId="69626A90" w14:textId="77777777" w:rsidR="00BE6288" w:rsidRPr="00185687" w:rsidRDefault="00BE6288" w:rsidP="00063298">
      <w:pPr>
        <w:rPr>
          <w:bCs/>
          <w:sz w:val="22"/>
          <w:szCs w:val="22"/>
        </w:rPr>
      </w:pPr>
    </w:p>
    <w:p w14:paraId="7F9F08B9" w14:textId="77777777" w:rsidR="00BE6288" w:rsidRPr="00185687" w:rsidRDefault="00BE6288" w:rsidP="00063298">
      <w:pPr>
        <w:rPr>
          <w:bCs/>
          <w:sz w:val="22"/>
          <w:szCs w:val="22"/>
        </w:rPr>
      </w:pPr>
    </w:p>
    <w:p w14:paraId="131EAF6D" w14:textId="77777777" w:rsidR="00BE6288" w:rsidRPr="00185687" w:rsidRDefault="00BE6288" w:rsidP="00063298">
      <w:pPr>
        <w:rPr>
          <w:bCs/>
          <w:sz w:val="22"/>
          <w:szCs w:val="22"/>
        </w:rPr>
      </w:pPr>
    </w:p>
    <w:p w14:paraId="1B3C92C9" w14:textId="77777777" w:rsidR="00BE6288" w:rsidRPr="00185687" w:rsidRDefault="00BE6288" w:rsidP="00063298">
      <w:pPr>
        <w:rPr>
          <w:bCs/>
          <w:sz w:val="22"/>
          <w:szCs w:val="22"/>
        </w:rPr>
      </w:pPr>
    </w:p>
    <w:p w14:paraId="7DD7E69B" w14:textId="77777777" w:rsidR="00BE6288" w:rsidRPr="00185687" w:rsidRDefault="00BE6288" w:rsidP="00063298">
      <w:pPr>
        <w:rPr>
          <w:bCs/>
          <w:sz w:val="22"/>
          <w:szCs w:val="22"/>
        </w:rPr>
      </w:pPr>
    </w:p>
    <w:p w14:paraId="5EB6D459" w14:textId="77777777" w:rsidR="00BE6288" w:rsidRPr="00185687" w:rsidRDefault="00BE6288" w:rsidP="00063298">
      <w:pPr>
        <w:rPr>
          <w:bCs/>
          <w:sz w:val="22"/>
          <w:szCs w:val="22"/>
        </w:rPr>
      </w:pPr>
    </w:p>
    <w:p w14:paraId="26FD46E8" w14:textId="77777777" w:rsidR="00BE6288" w:rsidRPr="00185687" w:rsidRDefault="00BE6288" w:rsidP="00063298">
      <w:pPr>
        <w:rPr>
          <w:bCs/>
          <w:sz w:val="22"/>
          <w:szCs w:val="22"/>
        </w:rPr>
      </w:pPr>
    </w:p>
    <w:p w14:paraId="5D95ED53" w14:textId="77777777" w:rsidR="00BE6288" w:rsidRPr="00185687" w:rsidRDefault="00BE6288" w:rsidP="00063298">
      <w:pPr>
        <w:rPr>
          <w:bCs/>
          <w:sz w:val="22"/>
          <w:szCs w:val="22"/>
        </w:rPr>
      </w:pPr>
    </w:p>
    <w:p w14:paraId="5BBE6816" w14:textId="77777777" w:rsidR="00BE6288" w:rsidRPr="00185687" w:rsidRDefault="00BE6288" w:rsidP="00063298">
      <w:pPr>
        <w:rPr>
          <w:bCs/>
          <w:sz w:val="22"/>
          <w:szCs w:val="22"/>
        </w:rPr>
      </w:pPr>
    </w:p>
    <w:p w14:paraId="32ABF327" w14:textId="77777777" w:rsidR="00063298" w:rsidRPr="00185687" w:rsidRDefault="00063298" w:rsidP="00063298">
      <w:pPr>
        <w:rPr>
          <w:rFonts w:ascii="Times New Roman" w:hAnsi="Times New Roman"/>
        </w:rPr>
      </w:pPr>
    </w:p>
    <w:p w14:paraId="099BECDF" w14:textId="77777777" w:rsidR="00063298" w:rsidRPr="00185687" w:rsidRDefault="00063298" w:rsidP="00063298">
      <w:pPr>
        <w:jc w:val="both"/>
        <w:rPr>
          <w:rFonts w:ascii="Times New Roman" w:hAnsi="Times New Roman"/>
          <w:noProof/>
        </w:rPr>
      </w:pPr>
    </w:p>
    <w:p w14:paraId="3DDAE85A" w14:textId="77777777" w:rsidR="00063298" w:rsidRPr="00185687" w:rsidRDefault="00BE6288" w:rsidP="00BE6288">
      <w:pPr>
        <w:suppressAutoHyphens/>
        <w:autoSpaceDE w:val="0"/>
        <w:autoSpaceDN w:val="0"/>
        <w:adjustRightInd w:val="0"/>
        <w:textAlignment w:val="center"/>
        <w:rPr>
          <w:rFonts w:ascii="Times New Roman" w:hAnsi="Times New Roman"/>
          <w:noProof/>
        </w:rPr>
      </w:pPr>
      <w:r w:rsidRPr="00185687">
        <w:rPr>
          <w:noProof/>
          <w:sz w:val="22"/>
          <w:szCs w:val="22"/>
        </w:rPr>
        <w:drawing>
          <wp:inline distT="0" distB="0" distL="0" distR="0" wp14:anchorId="309EB5A3" wp14:editId="53AAFFA9">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12108729"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1F1DE7CB" w14:textId="77777777" w:rsidR="0056586C" w:rsidRPr="00185687" w:rsidRDefault="00BE6288" w:rsidP="00BE6288">
      <w:pPr>
        <w:suppressAutoHyphens/>
        <w:autoSpaceDE w:val="0"/>
        <w:autoSpaceDN w:val="0"/>
        <w:adjustRightInd w:val="0"/>
        <w:textAlignment w:val="center"/>
        <w:rPr>
          <w:rFonts w:ascii="Times New Roman" w:hAnsi="Times New Roman"/>
          <w:noProof/>
        </w:rPr>
      </w:pPr>
      <w:r w:rsidRPr="00185687">
        <w:rPr>
          <w:bCs/>
          <w:sz w:val="22"/>
          <w:szCs w:val="22"/>
        </w:rPr>
        <w:t xml:space="preserve">Finansuoja Europos Sąjunga </w:t>
      </w:r>
      <w:proofErr w:type="spellStart"/>
      <w:r w:rsidRPr="00185687">
        <w:rPr>
          <w:bCs/>
          <w:sz w:val="22"/>
          <w:szCs w:val="22"/>
        </w:rPr>
        <w:t>NextGenerationEU</w:t>
      </w:r>
      <w:proofErr w:type="spellEnd"/>
    </w:p>
    <w:p w14:paraId="59521D8D"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3E449D03" w14:textId="77777777" w:rsidR="00063298" w:rsidRPr="00185687" w:rsidRDefault="00063298" w:rsidP="00063298">
      <w:pPr>
        <w:rPr>
          <w:color w:val="000000"/>
          <w:sz w:val="22"/>
          <w:szCs w:val="22"/>
        </w:rPr>
      </w:pPr>
    </w:p>
    <w:p w14:paraId="6948606B" w14:textId="77777777" w:rsidR="00063298" w:rsidRPr="00185687" w:rsidRDefault="00063298" w:rsidP="00063298">
      <w:pPr>
        <w:rPr>
          <w:color w:val="000000"/>
          <w:sz w:val="22"/>
          <w:szCs w:val="22"/>
        </w:rPr>
      </w:pPr>
    </w:p>
    <w:p w14:paraId="18A7CB08" w14:textId="77777777" w:rsidR="00063298" w:rsidRPr="00185687" w:rsidRDefault="00063298" w:rsidP="00063298">
      <w:pPr>
        <w:rPr>
          <w:color w:val="000000"/>
          <w:sz w:val="22"/>
          <w:szCs w:val="22"/>
        </w:rPr>
      </w:pPr>
    </w:p>
    <w:p w14:paraId="7824A36E" w14:textId="77777777" w:rsidR="00063298" w:rsidRPr="00185687" w:rsidRDefault="00BE6288" w:rsidP="00063298">
      <w:pPr>
        <w:rPr>
          <w:color w:val="000000"/>
          <w:sz w:val="22"/>
          <w:szCs w:val="22"/>
        </w:rPr>
      </w:pPr>
      <w:r w:rsidRPr="00185687">
        <w:rPr>
          <w:color w:val="000000"/>
          <w:sz w:val="22"/>
          <w:szCs w:val="22"/>
        </w:rPr>
        <w:t xml:space="preserve"> </w:t>
      </w:r>
    </w:p>
    <w:sectPr w:rsidR="00063298" w:rsidRPr="00185687" w:rsidSect="00F83AB3">
      <w:headerReference w:type="even" r:id="rId11"/>
      <w:headerReference w:type="default" r:id="rId12"/>
      <w:headerReference w:type="first" r:id="rId13"/>
      <w:footerReference w:type="first" r:id="rId14"/>
      <w:pgSz w:w="11906" w:h="16838" w:code="9"/>
      <w:pgMar w:top="1701" w:right="851" w:bottom="567"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92DB" w14:textId="77777777" w:rsidR="00CE0A33" w:rsidRDefault="00CE0A33">
      <w:r>
        <w:separator/>
      </w:r>
    </w:p>
  </w:endnote>
  <w:endnote w:type="continuationSeparator" w:id="0">
    <w:p w14:paraId="3D29D382" w14:textId="77777777" w:rsidR="00CE0A33" w:rsidRDefault="00CE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929C" w14:textId="77777777" w:rsidR="002025FD" w:rsidRDefault="00D55887" w:rsidP="00D55887">
    <w:pPr>
      <w:pStyle w:val="Header"/>
      <w:tabs>
        <w:tab w:val="left" w:pos="6943"/>
        <w:tab w:val="right" w:pos="9354"/>
      </w:tabs>
    </w:pPr>
    <w:r>
      <w:tab/>
    </w:r>
    <w:r>
      <w:tab/>
    </w:r>
    <w:r>
      <w:tab/>
    </w:r>
    <w:r w:rsidR="00344BB7">
      <w:rPr>
        <w:noProof/>
      </w:rPr>
      <w:drawing>
        <wp:inline distT="0" distB="0" distL="0" distR="0" wp14:anchorId="42200A0B" wp14:editId="622E18C4">
          <wp:extent cx="714375"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EA4F" w14:textId="77777777" w:rsidR="00CE0A33" w:rsidRDefault="00CE0A33">
      <w:r>
        <w:separator/>
      </w:r>
    </w:p>
  </w:footnote>
  <w:footnote w:type="continuationSeparator" w:id="0">
    <w:p w14:paraId="3A41B8DD" w14:textId="77777777" w:rsidR="00CE0A33" w:rsidRDefault="00CE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F5A2" w14:textId="77777777"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14:paraId="72AE34CB" w14:textId="77777777"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E7C8" w14:textId="77777777"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14:paraId="545CC36A" w14:textId="77777777"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C5F3" w14:textId="77777777" w:rsidR="00F83AB3" w:rsidRDefault="009776AC">
    <w:pPr>
      <w:pStyle w:val="Header"/>
    </w:pPr>
    <w:r>
      <w:rPr>
        <w:noProof/>
      </w:rPr>
      <w:drawing>
        <wp:inline distT="0" distB="0" distL="0" distR="0" wp14:anchorId="27A89707" wp14:editId="09B6BA91">
          <wp:extent cx="5939790" cy="220281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63298"/>
    <w:rsid w:val="00096A71"/>
    <w:rsid w:val="000B3499"/>
    <w:rsid w:val="000D33A0"/>
    <w:rsid w:val="000D68F9"/>
    <w:rsid w:val="001141AF"/>
    <w:rsid w:val="00122F2B"/>
    <w:rsid w:val="00185687"/>
    <w:rsid w:val="001C78F9"/>
    <w:rsid w:val="001F734E"/>
    <w:rsid w:val="002025FD"/>
    <w:rsid w:val="002072B7"/>
    <w:rsid w:val="002618D7"/>
    <w:rsid w:val="00285E52"/>
    <w:rsid w:val="00294B3A"/>
    <w:rsid w:val="002A0CFD"/>
    <w:rsid w:val="002A1C52"/>
    <w:rsid w:val="002A43ED"/>
    <w:rsid w:val="002E08E6"/>
    <w:rsid w:val="00326B63"/>
    <w:rsid w:val="00344BB7"/>
    <w:rsid w:val="00372312"/>
    <w:rsid w:val="00383322"/>
    <w:rsid w:val="003A35EE"/>
    <w:rsid w:val="003A7C0A"/>
    <w:rsid w:val="003B6749"/>
    <w:rsid w:val="004016ED"/>
    <w:rsid w:val="004149A8"/>
    <w:rsid w:val="004A1913"/>
    <w:rsid w:val="00503821"/>
    <w:rsid w:val="00515F4D"/>
    <w:rsid w:val="00556FC6"/>
    <w:rsid w:val="00564B4F"/>
    <w:rsid w:val="0056586C"/>
    <w:rsid w:val="005A041F"/>
    <w:rsid w:val="0060062A"/>
    <w:rsid w:val="0062596C"/>
    <w:rsid w:val="00644846"/>
    <w:rsid w:val="00676BD2"/>
    <w:rsid w:val="006C5C51"/>
    <w:rsid w:val="006D78D9"/>
    <w:rsid w:val="007044F1"/>
    <w:rsid w:val="00723E1C"/>
    <w:rsid w:val="00726817"/>
    <w:rsid w:val="0075455A"/>
    <w:rsid w:val="00777D6F"/>
    <w:rsid w:val="00785C6F"/>
    <w:rsid w:val="007C4AC4"/>
    <w:rsid w:val="007E7E61"/>
    <w:rsid w:val="00800CB7"/>
    <w:rsid w:val="008313D8"/>
    <w:rsid w:val="008C5B20"/>
    <w:rsid w:val="0091140F"/>
    <w:rsid w:val="0093354F"/>
    <w:rsid w:val="009550E1"/>
    <w:rsid w:val="009776AC"/>
    <w:rsid w:val="00981F8F"/>
    <w:rsid w:val="00982F0D"/>
    <w:rsid w:val="009C1708"/>
    <w:rsid w:val="009C2622"/>
    <w:rsid w:val="009E12D7"/>
    <w:rsid w:val="00A07DE8"/>
    <w:rsid w:val="00A12292"/>
    <w:rsid w:val="00A17A65"/>
    <w:rsid w:val="00A21B84"/>
    <w:rsid w:val="00A31E90"/>
    <w:rsid w:val="00A62CB7"/>
    <w:rsid w:val="00A636A5"/>
    <w:rsid w:val="00A748D7"/>
    <w:rsid w:val="00AB50F7"/>
    <w:rsid w:val="00AD48B4"/>
    <w:rsid w:val="00B105B1"/>
    <w:rsid w:val="00B54B71"/>
    <w:rsid w:val="00BE6288"/>
    <w:rsid w:val="00C01944"/>
    <w:rsid w:val="00C84E8E"/>
    <w:rsid w:val="00C9521C"/>
    <w:rsid w:val="00CA55F7"/>
    <w:rsid w:val="00CB0FDC"/>
    <w:rsid w:val="00CC54FA"/>
    <w:rsid w:val="00CE0A33"/>
    <w:rsid w:val="00D55887"/>
    <w:rsid w:val="00DE41DA"/>
    <w:rsid w:val="00DF44A1"/>
    <w:rsid w:val="00DF4FBB"/>
    <w:rsid w:val="00E61DB6"/>
    <w:rsid w:val="00E82845"/>
    <w:rsid w:val="00EA0B6E"/>
    <w:rsid w:val="00EC329F"/>
    <w:rsid w:val="00EC5E9A"/>
    <w:rsid w:val="00F11E55"/>
    <w:rsid w:val="00F602B2"/>
    <w:rsid w:val="00F83AB3"/>
    <w:rsid w:val="00F86803"/>
    <w:rsid w:val="00FB26D4"/>
    <w:rsid w:val="00FE1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A0F20"/>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 w:id="21086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6742</Words>
  <Characters>3844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10565</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Aušra Vilutienė</cp:lastModifiedBy>
  <cp:revision>3</cp:revision>
  <cp:lastPrinted>2010-06-11T11:51:00Z</cp:lastPrinted>
  <dcterms:created xsi:type="dcterms:W3CDTF">2025-01-29T08:36:00Z</dcterms:created>
  <dcterms:modified xsi:type="dcterms:W3CDTF">2025-01-29T08:38:00Z</dcterms:modified>
</cp:coreProperties>
</file>