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483B" w14:textId="221ABBEC" w:rsidR="0062067C" w:rsidRPr="00B55FE6" w:rsidRDefault="00EF1785" w:rsidP="00EF1785">
      <w:pPr>
        <w:jc w:val="right"/>
        <w:rPr>
          <w:szCs w:val="24"/>
        </w:rPr>
      </w:pPr>
      <w:r w:rsidRPr="00B55FE6">
        <w:rPr>
          <w:szCs w:val="24"/>
          <w:lang w:val="en-US"/>
        </w:rPr>
        <w:t>S/</w:t>
      </w:r>
      <w:r w:rsidR="00AE1032" w:rsidRPr="00B55FE6">
        <w:rPr>
          <w:szCs w:val="24"/>
          <w:lang w:val="en-US"/>
        </w:rPr>
        <w:t>10-038-T-0147</w:t>
      </w:r>
    </w:p>
    <w:p w14:paraId="478214AA" w14:textId="77777777" w:rsidR="00AB27A0" w:rsidRPr="00B55FE6" w:rsidRDefault="00AB27A0" w:rsidP="00AB27A0">
      <w:pPr>
        <w:jc w:val="center"/>
        <w:rPr>
          <w:szCs w:val="24"/>
        </w:rPr>
      </w:pPr>
    </w:p>
    <w:p w14:paraId="645FA994" w14:textId="55E6FBEF" w:rsidR="00AB27A0" w:rsidRPr="00B55FE6" w:rsidRDefault="00AB27A0" w:rsidP="00AB27A0">
      <w:pPr>
        <w:jc w:val="center"/>
        <w:rPr>
          <w:szCs w:val="24"/>
        </w:rPr>
      </w:pPr>
    </w:p>
    <w:p w14:paraId="44F97B37" w14:textId="77777777" w:rsidR="00AB27A0" w:rsidRPr="00B55FE6" w:rsidRDefault="00AB27A0" w:rsidP="00AB27A0">
      <w:pPr>
        <w:jc w:val="center"/>
        <w:rPr>
          <w:szCs w:val="24"/>
        </w:rPr>
      </w:pPr>
    </w:p>
    <w:p w14:paraId="31F8CEC3" w14:textId="77777777" w:rsidR="00AB27A0" w:rsidRPr="00B55FE6" w:rsidRDefault="00AB27A0" w:rsidP="00AB27A0">
      <w:pPr>
        <w:pStyle w:val="a"/>
        <w:rPr>
          <w:sz w:val="24"/>
          <w:szCs w:val="24"/>
        </w:rPr>
      </w:pPr>
    </w:p>
    <w:p w14:paraId="2FDE83E5" w14:textId="77777777" w:rsidR="00AB27A0" w:rsidRPr="00B55FE6" w:rsidRDefault="00AB27A0" w:rsidP="00AB27A0">
      <w:pPr>
        <w:jc w:val="center"/>
        <w:rPr>
          <w:caps/>
          <w:szCs w:val="24"/>
        </w:rPr>
      </w:pPr>
    </w:p>
    <w:p w14:paraId="126F1C11" w14:textId="4B947E15" w:rsidR="00AB27A0" w:rsidRPr="00B55FE6" w:rsidRDefault="00AB27A0" w:rsidP="00AB27A0">
      <w:pPr>
        <w:jc w:val="center"/>
        <w:rPr>
          <w:caps/>
          <w:szCs w:val="24"/>
        </w:rPr>
      </w:pPr>
    </w:p>
    <w:p w14:paraId="111A3731" w14:textId="35C4047B" w:rsidR="00AB27A0" w:rsidRPr="00B55FE6" w:rsidRDefault="00AB27A0" w:rsidP="00AB27A0">
      <w:pPr>
        <w:jc w:val="center"/>
        <w:rPr>
          <w:bCs/>
          <w:caps/>
          <w:szCs w:val="24"/>
        </w:rPr>
      </w:pPr>
    </w:p>
    <w:p w14:paraId="3BECA692" w14:textId="77777777" w:rsidR="00AB27A0" w:rsidRPr="00B55FE6" w:rsidRDefault="00AB27A0" w:rsidP="00AB27A0">
      <w:pPr>
        <w:jc w:val="center"/>
        <w:rPr>
          <w:bCs/>
          <w:caps/>
          <w:szCs w:val="24"/>
        </w:rPr>
      </w:pPr>
    </w:p>
    <w:p w14:paraId="400C6332" w14:textId="4DDF9A74" w:rsidR="00AB27A0" w:rsidRPr="00B55FE6" w:rsidRDefault="003F194D" w:rsidP="00AB27A0">
      <w:pPr>
        <w:spacing w:after="60"/>
        <w:jc w:val="center"/>
        <w:rPr>
          <w:b/>
          <w:caps/>
          <w:sz w:val="28"/>
        </w:rPr>
      </w:pPr>
      <w:r w:rsidRPr="00B55FE6">
        <w:rPr>
          <w:b/>
          <w:caps/>
          <w:sz w:val="28"/>
        </w:rPr>
        <w:t>Projekto „</w:t>
      </w:r>
      <w:r w:rsidR="00AE1032" w:rsidRPr="00B55FE6">
        <w:rPr>
          <w:b/>
          <w:caps/>
          <w:sz w:val="28"/>
        </w:rPr>
        <w:t>MTEP idėjos tikrinimas - betono ekranavimo savybių (apsaugos nuo radiacinio spinduliavimo) tyrimas</w:t>
      </w:r>
      <w:r w:rsidRPr="00B55FE6">
        <w:rPr>
          <w:b/>
          <w:caps/>
          <w:sz w:val="28"/>
        </w:rPr>
        <w:t>“</w:t>
      </w:r>
    </w:p>
    <w:p w14:paraId="36464B42" w14:textId="77777777" w:rsidR="00AB27A0" w:rsidRPr="00B55FE6" w:rsidRDefault="00AB27A0" w:rsidP="00AB27A0">
      <w:pPr>
        <w:jc w:val="center"/>
        <w:rPr>
          <w:sz w:val="28"/>
        </w:rPr>
      </w:pPr>
    </w:p>
    <w:p w14:paraId="41C1F180" w14:textId="119D6E68" w:rsidR="00AB27A0" w:rsidRPr="00B55FE6" w:rsidRDefault="003F194D" w:rsidP="00AB27A0">
      <w:pPr>
        <w:jc w:val="center"/>
        <w:rPr>
          <w:i/>
          <w:iCs/>
          <w:sz w:val="28"/>
        </w:rPr>
      </w:pPr>
      <w:r w:rsidRPr="00B55FE6">
        <w:rPr>
          <w:i/>
          <w:iCs/>
          <w:sz w:val="28"/>
        </w:rPr>
        <w:t>Veiklos</w:t>
      </w:r>
      <w:r w:rsidR="00AB27A0" w:rsidRPr="00B55FE6">
        <w:rPr>
          <w:i/>
          <w:iCs/>
          <w:sz w:val="28"/>
        </w:rPr>
        <w:t xml:space="preserve"> ataskaita</w:t>
      </w:r>
    </w:p>
    <w:p w14:paraId="121BDD6D" w14:textId="77777777" w:rsidR="008360A7" w:rsidRPr="00B55FE6" w:rsidRDefault="008360A7" w:rsidP="00AB27A0">
      <w:pPr>
        <w:jc w:val="center"/>
        <w:rPr>
          <w:sz w:val="28"/>
          <w:lang w:val="de-DE"/>
        </w:rPr>
        <w:sectPr w:rsidR="008360A7" w:rsidRPr="00B55FE6" w:rsidSect="00EA7371">
          <w:headerReference w:type="default" r:id="rId8"/>
          <w:footerReference w:type="default" r:id="rId9"/>
          <w:pgSz w:w="11907" w:h="16840" w:code="9"/>
          <w:pgMar w:top="1134" w:right="851" w:bottom="1134" w:left="1701" w:header="1134" w:footer="851" w:gutter="0"/>
          <w:cols w:space="708"/>
          <w:docGrid w:linePitch="360"/>
        </w:sectPr>
      </w:pPr>
    </w:p>
    <w:p w14:paraId="5DB4ABD8" w14:textId="77777777" w:rsidR="00AB27A0" w:rsidRPr="00B55FE6" w:rsidRDefault="00AB27A0" w:rsidP="00AB27A0">
      <w:pPr>
        <w:jc w:val="center"/>
        <w:rPr>
          <w:szCs w:val="24"/>
        </w:rPr>
      </w:pPr>
    </w:p>
    <w:p w14:paraId="72521B1B" w14:textId="56893258" w:rsidR="008360A7" w:rsidRPr="00B55FE6" w:rsidRDefault="008360A7" w:rsidP="008360A7">
      <w:pPr>
        <w:widowControl w:val="0"/>
        <w:rPr>
          <w:szCs w:val="24"/>
        </w:rPr>
      </w:pPr>
      <w:r w:rsidRPr="00B55FE6">
        <w:rPr>
          <w:b/>
          <w:bCs/>
          <w:szCs w:val="24"/>
        </w:rPr>
        <w:t xml:space="preserve">Projekto įgyvendinimo laikotarpis: </w:t>
      </w:r>
      <w:r w:rsidRPr="00B55FE6">
        <w:rPr>
          <w:szCs w:val="24"/>
        </w:rPr>
        <w:t>2024-</w:t>
      </w:r>
      <w:r w:rsidR="00A54B3B" w:rsidRPr="00B55FE6">
        <w:rPr>
          <w:szCs w:val="24"/>
        </w:rPr>
        <w:t>1</w:t>
      </w:r>
      <w:r w:rsidRPr="00B55FE6">
        <w:rPr>
          <w:szCs w:val="24"/>
        </w:rPr>
        <w:t>0-0</w:t>
      </w:r>
      <w:r w:rsidR="00A54B3B" w:rsidRPr="00B55FE6">
        <w:rPr>
          <w:szCs w:val="24"/>
        </w:rPr>
        <w:t>1</w:t>
      </w:r>
      <w:r w:rsidRPr="00B55FE6">
        <w:rPr>
          <w:b/>
          <w:bCs/>
          <w:szCs w:val="24"/>
        </w:rPr>
        <w:t xml:space="preserve"> </w:t>
      </w:r>
      <w:r w:rsidRPr="00B55FE6">
        <w:rPr>
          <w:szCs w:val="24"/>
        </w:rPr>
        <w:t>– 2025-0</w:t>
      </w:r>
      <w:r w:rsidR="00A54B3B" w:rsidRPr="00B55FE6">
        <w:rPr>
          <w:szCs w:val="24"/>
        </w:rPr>
        <w:t>9</w:t>
      </w:r>
      <w:r w:rsidRPr="00B55FE6">
        <w:rPr>
          <w:szCs w:val="24"/>
        </w:rPr>
        <w:t>-3</w:t>
      </w:r>
      <w:r w:rsidR="00A54B3B" w:rsidRPr="00B55FE6">
        <w:rPr>
          <w:szCs w:val="24"/>
        </w:rPr>
        <w:t>0</w:t>
      </w:r>
    </w:p>
    <w:p w14:paraId="52E6CDBF" w14:textId="77777777" w:rsidR="008360A7" w:rsidRPr="00B55FE6" w:rsidRDefault="008360A7" w:rsidP="008360A7">
      <w:pPr>
        <w:widowControl w:val="0"/>
        <w:rPr>
          <w:b/>
          <w:bCs/>
          <w:szCs w:val="24"/>
        </w:rPr>
      </w:pPr>
    </w:p>
    <w:p w14:paraId="7B700ACD" w14:textId="77777777" w:rsidR="008360A7" w:rsidRPr="00B55FE6" w:rsidRDefault="008360A7" w:rsidP="008360A7">
      <w:pPr>
        <w:widowControl w:val="0"/>
        <w:rPr>
          <w:b/>
          <w:bCs/>
          <w:szCs w:val="24"/>
        </w:rPr>
      </w:pPr>
      <w:r w:rsidRPr="00B55FE6">
        <w:rPr>
          <w:b/>
          <w:bCs/>
          <w:szCs w:val="24"/>
        </w:rPr>
        <w:t>Projekto tikslas:</w:t>
      </w:r>
    </w:p>
    <w:p w14:paraId="145B4254" w14:textId="77777777" w:rsidR="008360A7" w:rsidRPr="00B55FE6" w:rsidRDefault="008360A7" w:rsidP="008360A7">
      <w:pPr>
        <w:widowControl w:val="0"/>
        <w:jc w:val="both"/>
        <w:rPr>
          <w:bCs/>
          <w:szCs w:val="24"/>
        </w:rPr>
      </w:pPr>
      <w:r w:rsidRPr="00B55FE6">
        <w:rPr>
          <w:bCs/>
          <w:szCs w:val="24"/>
        </w:rPr>
        <w:t>Pasiruošti teikti paraišką pagal programos „EURATOM“ kvietimus vykdant tarpdisciplininį projektą.</w:t>
      </w:r>
    </w:p>
    <w:p w14:paraId="0C0C3AB4" w14:textId="77777777" w:rsidR="008360A7" w:rsidRPr="00B55FE6" w:rsidRDefault="008360A7" w:rsidP="008360A7">
      <w:pPr>
        <w:jc w:val="both"/>
        <w:rPr>
          <w:b/>
          <w:bCs/>
          <w:szCs w:val="24"/>
        </w:rPr>
      </w:pPr>
    </w:p>
    <w:p w14:paraId="35E595A8" w14:textId="435B4732" w:rsidR="00AD6CBA" w:rsidRPr="00B55FE6" w:rsidRDefault="00AD6CBA" w:rsidP="00AD6CBA">
      <w:pPr>
        <w:jc w:val="both"/>
        <w:rPr>
          <w:bCs/>
          <w:szCs w:val="24"/>
        </w:rPr>
      </w:pPr>
      <w:r w:rsidRPr="00B55FE6">
        <w:rPr>
          <w:b/>
          <w:bCs/>
          <w:szCs w:val="24"/>
        </w:rPr>
        <w:t xml:space="preserve">Projekto įgyvendinimo metu vykdyta veikla: </w:t>
      </w:r>
      <w:r w:rsidRPr="00B55FE6">
        <w:rPr>
          <w:bCs/>
          <w:szCs w:val="24"/>
        </w:rPr>
        <w:t>projekto įgyvendinimo metu buvo atliekami pasirengimo darbai, padėsiantys parengti paraišką ir gauti paraiškos parengimui būtinas žinias pagal programos HORIZON-EURATOM būsimą kvietimą: „Eksploatuojamų branduolinių elektrinių ir tyrimo reaktorių sauga (</w:t>
      </w:r>
      <w:proofErr w:type="spellStart"/>
      <w:r w:rsidRPr="00B55FE6">
        <w:rPr>
          <w:bCs/>
          <w:szCs w:val="24"/>
        </w:rPr>
        <w:t>Safety</w:t>
      </w:r>
      <w:proofErr w:type="spellEnd"/>
      <w:r w:rsidRPr="00B55FE6">
        <w:rPr>
          <w:bCs/>
          <w:szCs w:val="24"/>
        </w:rPr>
        <w:t xml:space="preserve"> </w:t>
      </w:r>
      <w:proofErr w:type="spellStart"/>
      <w:r w:rsidRPr="00B55FE6">
        <w:rPr>
          <w:bCs/>
          <w:szCs w:val="24"/>
        </w:rPr>
        <w:t>of</w:t>
      </w:r>
      <w:proofErr w:type="spellEnd"/>
      <w:r w:rsidRPr="00B55FE6">
        <w:rPr>
          <w:bCs/>
          <w:szCs w:val="24"/>
        </w:rPr>
        <w:t xml:space="preserve"> </w:t>
      </w:r>
      <w:proofErr w:type="spellStart"/>
      <w:r w:rsidRPr="00B55FE6">
        <w:rPr>
          <w:bCs/>
          <w:szCs w:val="24"/>
        </w:rPr>
        <w:t>operating</w:t>
      </w:r>
      <w:proofErr w:type="spellEnd"/>
      <w:r w:rsidRPr="00B55FE6">
        <w:rPr>
          <w:bCs/>
          <w:szCs w:val="24"/>
        </w:rPr>
        <w:t xml:space="preserve"> </w:t>
      </w:r>
      <w:proofErr w:type="spellStart"/>
      <w:r w:rsidRPr="00B55FE6">
        <w:rPr>
          <w:bCs/>
          <w:szCs w:val="24"/>
        </w:rPr>
        <w:t>nuclear</w:t>
      </w:r>
      <w:proofErr w:type="spellEnd"/>
      <w:r w:rsidRPr="00B55FE6">
        <w:rPr>
          <w:bCs/>
          <w:szCs w:val="24"/>
        </w:rPr>
        <w:t xml:space="preserve"> </w:t>
      </w:r>
      <w:proofErr w:type="spellStart"/>
      <w:r w:rsidRPr="00B55FE6">
        <w:rPr>
          <w:bCs/>
          <w:szCs w:val="24"/>
        </w:rPr>
        <w:t>power</w:t>
      </w:r>
      <w:proofErr w:type="spellEnd"/>
      <w:r w:rsidRPr="00B55FE6">
        <w:rPr>
          <w:bCs/>
          <w:szCs w:val="24"/>
        </w:rPr>
        <w:t xml:space="preserve"> </w:t>
      </w:r>
      <w:proofErr w:type="spellStart"/>
      <w:r w:rsidRPr="00B55FE6">
        <w:rPr>
          <w:bCs/>
          <w:szCs w:val="24"/>
        </w:rPr>
        <w:t>plants</w:t>
      </w:r>
      <w:proofErr w:type="spellEnd"/>
      <w:r w:rsidRPr="00B55FE6">
        <w:rPr>
          <w:bCs/>
          <w:szCs w:val="24"/>
        </w:rPr>
        <w:t xml:space="preserve"> </w:t>
      </w:r>
      <w:proofErr w:type="spellStart"/>
      <w:r w:rsidRPr="00B55FE6">
        <w:rPr>
          <w:bCs/>
          <w:szCs w:val="24"/>
        </w:rPr>
        <w:t>and</w:t>
      </w:r>
      <w:proofErr w:type="spellEnd"/>
      <w:r w:rsidRPr="00B55FE6">
        <w:rPr>
          <w:bCs/>
          <w:szCs w:val="24"/>
        </w:rPr>
        <w:t xml:space="preserve"> </w:t>
      </w:r>
      <w:proofErr w:type="spellStart"/>
      <w:r w:rsidRPr="00B55FE6">
        <w:rPr>
          <w:bCs/>
          <w:szCs w:val="24"/>
        </w:rPr>
        <w:t>research</w:t>
      </w:r>
      <w:proofErr w:type="spellEnd"/>
      <w:r w:rsidRPr="00B55FE6">
        <w:rPr>
          <w:bCs/>
          <w:szCs w:val="24"/>
        </w:rPr>
        <w:t xml:space="preserve"> </w:t>
      </w:r>
      <w:proofErr w:type="spellStart"/>
      <w:r w:rsidRPr="00B55FE6">
        <w:rPr>
          <w:bCs/>
          <w:szCs w:val="24"/>
        </w:rPr>
        <w:t>reactors</w:t>
      </w:r>
      <w:proofErr w:type="spellEnd"/>
      <w:r w:rsidRPr="00B55FE6">
        <w:rPr>
          <w:bCs/>
          <w:szCs w:val="24"/>
        </w:rPr>
        <w:t>)“ vykdant tarpdisciplininį projektą.</w:t>
      </w:r>
    </w:p>
    <w:p w14:paraId="6F2F3C07" w14:textId="77777777" w:rsidR="00831A3B" w:rsidRPr="00B55FE6" w:rsidRDefault="00AD6CBA" w:rsidP="00AD6CBA">
      <w:pPr>
        <w:jc w:val="both"/>
      </w:pPr>
      <w:r w:rsidRPr="00B55FE6">
        <w:rPr>
          <w:bCs/>
          <w:szCs w:val="24"/>
        </w:rPr>
        <w:t xml:space="preserve">Kadangi </w:t>
      </w:r>
      <w:r w:rsidR="004115B2" w:rsidRPr="00B55FE6">
        <w:t xml:space="preserve">iš esmės visuose EURATOM mokslinių tyrimų ir mokymo programos kvietimuose yra minimai darbai, susiję su radioaktyviųjų atliekų tvarkymu ar jų kiekio sumažinimu, bei personalo apsauga nuo radiacinės spinduliuotės, susidarančios dėl radioaktyvių medžiagų, tad projektu metu atlikti betono ekranavimo savybių tyrimai veiksmingai prisidės prie </w:t>
      </w:r>
      <w:r w:rsidR="004115B2" w:rsidRPr="00B55FE6">
        <w:rPr>
          <w:bCs/>
          <w:szCs w:val="24"/>
        </w:rPr>
        <w:t xml:space="preserve">planuojamo teikti pagal HORIZON-EURATOM būsimą kvietimą projekto </w:t>
      </w:r>
      <w:r w:rsidR="004115B2" w:rsidRPr="00B55FE6">
        <w:t xml:space="preserve">tikslų.  </w:t>
      </w:r>
    </w:p>
    <w:p w14:paraId="7040993D" w14:textId="77777777" w:rsidR="00831A3B" w:rsidRPr="00B55FE6" w:rsidRDefault="00831A3B" w:rsidP="00AD6CBA">
      <w:pPr>
        <w:jc w:val="both"/>
      </w:pPr>
    </w:p>
    <w:p w14:paraId="43AB2FD0" w14:textId="21B82E1C" w:rsidR="00AD6CBA" w:rsidRPr="00B55FE6" w:rsidRDefault="00831A3B" w:rsidP="00AD6CBA">
      <w:pPr>
        <w:jc w:val="both"/>
        <w:rPr>
          <w:bCs/>
          <w:szCs w:val="24"/>
        </w:rPr>
      </w:pPr>
      <w:r w:rsidRPr="00B55FE6">
        <w:t>Darbo projekte metu</w:t>
      </w:r>
      <w:r w:rsidR="00AD6CBA" w:rsidRPr="00B55FE6">
        <w:rPr>
          <w:bCs/>
          <w:szCs w:val="24"/>
        </w:rPr>
        <w:t>:</w:t>
      </w:r>
    </w:p>
    <w:p w14:paraId="7E672237" w14:textId="6E5990EA" w:rsidR="00752139" w:rsidRPr="00B55FE6" w:rsidRDefault="00831A3B" w:rsidP="00AD6CBA">
      <w:pPr>
        <w:pStyle w:val="ListParagraph"/>
        <w:numPr>
          <w:ilvl w:val="0"/>
          <w:numId w:val="1"/>
        </w:numPr>
        <w:jc w:val="both"/>
        <w:rPr>
          <w:rFonts w:ascii="Times New Roman" w:hAnsi="Times New Roman"/>
          <w:bCs/>
          <w:sz w:val="24"/>
        </w:rPr>
      </w:pPr>
      <w:r w:rsidRPr="00B55FE6">
        <w:rPr>
          <w:rFonts w:ascii="Times New Roman" w:hAnsi="Times New Roman"/>
          <w:bCs/>
          <w:sz w:val="24"/>
        </w:rPr>
        <w:t xml:space="preserve">Buvo </w:t>
      </w:r>
      <w:r w:rsidR="00AD6CBA" w:rsidRPr="00B55FE6">
        <w:rPr>
          <w:rFonts w:ascii="Times New Roman" w:hAnsi="Times New Roman"/>
          <w:bCs/>
          <w:sz w:val="24"/>
        </w:rPr>
        <w:t xml:space="preserve">surinkta informacija apie </w:t>
      </w:r>
      <w:r w:rsidRPr="00B55FE6">
        <w:rPr>
          <w:rFonts w:ascii="Times New Roman" w:hAnsi="Times New Roman"/>
          <w:bCs/>
          <w:sz w:val="24"/>
        </w:rPr>
        <w:t>radioaktyviąsias atliekas atsirandančias branduolinių reaktorių išmontavimo (baigus elektrinės eksploataciją) metu</w:t>
      </w:r>
      <w:r w:rsidR="00063BB4" w:rsidRPr="00B55FE6">
        <w:rPr>
          <w:rFonts w:ascii="Times New Roman" w:hAnsi="Times New Roman"/>
          <w:bCs/>
          <w:sz w:val="24"/>
        </w:rPr>
        <w:t>;</w:t>
      </w:r>
    </w:p>
    <w:p w14:paraId="4DF76853" w14:textId="549B65D6" w:rsidR="00063BB4" w:rsidRPr="00B55FE6" w:rsidRDefault="00063BB4" w:rsidP="00AD6CBA">
      <w:pPr>
        <w:pStyle w:val="ListParagraph"/>
        <w:numPr>
          <w:ilvl w:val="0"/>
          <w:numId w:val="1"/>
        </w:numPr>
        <w:jc w:val="both"/>
        <w:rPr>
          <w:rFonts w:ascii="Times New Roman" w:hAnsi="Times New Roman"/>
          <w:bCs/>
          <w:sz w:val="24"/>
        </w:rPr>
      </w:pPr>
      <w:r w:rsidRPr="00B55FE6">
        <w:rPr>
          <w:rFonts w:ascii="Times New Roman" w:hAnsi="Times New Roman"/>
          <w:bCs/>
          <w:sz w:val="24"/>
        </w:rPr>
        <w:t xml:space="preserve">surinkta ir išnagrinėta atviruose šaltiniuose esama informacija apie specializuoto betono mišinius, skirtus labai svarbiam panaudojimui, tai yra ilgalaikiam pavojingų atliekų saugojimui. Taip siekiama sukurti specializuotą betoną ilgalaikiam pavojingų atliekų saugojimui: pavojingos atliekos galėtų būti </w:t>
      </w:r>
      <w:proofErr w:type="spellStart"/>
      <w:r w:rsidRPr="00B55FE6">
        <w:rPr>
          <w:rFonts w:ascii="Times New Roman" w:hAnsi="Times New Roman"/>
          <w:bCs/>
          <w:sz w:val="24"/>
        </w:rPr>
        <w:t>imobilizuojamos</w:t>
      </w:r>
      <w:proofErr w:type="spellEnd"/>
      <w:r w:rsidRPr="00B55FE6">
        <w:rPr>
          <w:rFonts w:ascii="Times New Roman" w:hAnsi="Times New Roman"/>
          <w:bCs/>
          <w:sz w:val="24"/>
        </w:rPr>
        <w:t xml:space="preserve"> iš šio betono išlietose talpyklose arba tiesiogiai betono masėje.</w:t>
      </w:r>
    </w:p>
    <w:p w14:paraId="58C8839E" w14:textId="7501134D" w:rsidR="00752139" w:rsidRPr="00B55FE6" w:rsidRDefault="00063BB4" w:rsidP="00B4132C">
      <w:pPr>
        <w:pStyle w:val="ListParagraph"/>
        <w:numPr>
          <w:ilvl w:val="0"/>
          <w:numId w:val="1"/>
        </w:numPr>
        <w:jc w:val="both"/>
        <w:rPr>
          <w:rFonts w:ascii="Times New Roman" w:hAnsi="Times New Roman"/>
          <w:bCs/>
          <w:sz w:val="24"/>
        </w:rPr>
      </w:pPr>
      <w:r w:rsidRPr="00B55FE6">
        <w:rPr>
          <w:rFonts w:ascii="Times New Roman" w:hAnsi="Times New Roman"/>
          <w:bCs/>
          <w:sz w:val="24"/>
        </w:rPr>
        <w:t>p</w:t>
      </w:r>
      <w:r w:rsidR="00752139" w:rsidRPr="00B55FE6">
        <w:rPr>
          <w:rFonts w:ascii="Times New Roman" w:hAnsi="Times New Roman"/>
          <w:bCs/>
          <w:sz w:val="24"/>
        </w:rPr>
        <w:t>rojekto eigoje mokslinė veikla tęsėsi skaitiniu pluoštinių betonų tipų modeliavimu</w:t>
      </w:r>
      <w:r w:rsidRPr="00B55FE6">
        <w:rPr>
          <w:rFonts w:ascii="Times New Roman" w:hAnsi="Times New Roman"/>
          <w:bCs/>
          <w:sz w:val="24"/>
        </w:rPr>
        <w:t xml:space="preserve">. Jis </w:t>
      </w:r>
      <w:r w:rsidR="00752139" w:rsidRPr="00B55FE6">
        <w:rPr>
          <w:rFonts w:ascii="Times New Roman" w:hAnsi="Times New Roman"/>
          <w:bCs/>
          <w:sz w:val="24"/>
        </w:rPr>
        <w:t xml:space="preserve">buvo suskirstytas į dvi modeliavimo užduotis: spinduliuotės ekranavimo savybių tyrimą ir mechaninių savybių modeliavimą.  </w:t>
      </w:r>
    </w:p>
    <w:p w14:paraId="62115D40" w14:textId="77777777" w:rsidR="00B70244" w:rsidRPr="00B55FE6" w:rsidRDefault="00B70244" w:rsidP="00AD6CBA">
      <w:pPr>
        <w:jc w:val="both"/>
        <w:rPr>
          <w:bCs/>
          <w:szCs w:val="24"/>
        </w:rPr>
      </w:pPr>
    </w:p>
    <w:p w14:paraId="18EE4BD5" w14:textId="77777777" w:rsidR="00C308DB" w:rsidRPr="00B55FE6" w:rsidRDefault="00C308DB" w:rsidP="00C308DB">
      <w:pPr>
        <w:widowControl w:val="0"/>
        <w:jc w:val="both"/>
        <w:rPr>
          <w:bCs/>
          <w:szCs w:val="24"/>
        </w:rPr>
      </w:pPr>
      <w:r w:rsidRPr="00B55FE6">
        <w:rPr>
          <w:bCs/>
          <w:szCs w:val="24"/>
        </w:rPr>
        <w:t>Projekto vykdymui LEI tyrėjų komanda buvo suformuota iš vyresniųjų mokslo darbuotojų, taip pat vykdyti projektą buvo įtraukti jaunieji mokslininkai. Tyrėjų dalyvavimas projekte padidino jų kompetencijas, tyrimų produktyvumą ir matomumą.</w:t>
      </w:r>
    </w:p>
    <w:p w14:paraId="4E2913ED" w14:textId="77777777" w:rsidR="00C308DB" w:rsidRPr="00B55FE6" w:rsidRDefault="00C308DB" w:rsidP="00CA5FDA">
      <w:pPr>
        <w:jc w:val="both"/>
        <w:rPr>
          <w:bCs/>
          <w:szCs w:val="24"/>
        </w:rPr>
      </w:pPr>
    </w:p>
    <w:p w14:paraId="3961AD65" w14:textId="136CC0B1" w:rsidR="00AD6CBA" w:rsidRPr="00B55FE6" w:rsidRDefault="00AD6CBA" w:rsidP="00CA5FDA">
      <w:pPr>
        <w:jc w:val="both"/>
        <w:rPr>
          <w:bCs/>
        </w:rPr>
      </w:pPr>
      <w:r w:rsidRPr="00B55FE6">
        <w:rPr>
          <w:bCs/>
          <w:szCs w:val="24"/>
        </w:rPr>
        <w:t>Ryšiai su galimais planuojamos rengti paraiškos partneriais buvo mezgami užsieninių komandiruočių metu. Projekto vykdymo laikotarpiu buvo nuvykta į</w:t>
      </w:r>
      <w:r w:rsidR="00CA5FDA" w:rsidRPr="00B55FE6">
        <w:rPr>
          <w:bCs/>
          <w:szCs w:val="24"/>
        </w:rPr>
        <w:t xml:space="preserve"> </w:t>
      </w:r>
      <w:r w:rsidR="008033A7" w:rsidRPr="00B55FE6">
        <w:rPr>
          <w:bCs/>
        </w:rPr>
        <w:t xml:space="preserve">11-ąją FISA - EURADWASTE konferenciją, skirtą branduolinių įrenginių pagrįstų skilimo reakcijomis saugos ir radioaktyvių atliekų tvarkymo klausimams. </w:t>
      </w:r>
    </w:p>
    <w:p w14:paraId="1A7577E5" w14:textId="77777777" w:rsidR="005D1922" w:rsidRPr="00B55FE6" w:rsidRDefault="005D1922" w:rsidP="00C6369F">
      <w:pPr>
        <w:jc w:val="both"/>
      </w:pPr>
    </w:p>
    <w:p w14:paraId="19076FF7" w14:textId="3B65D234" w:rsidR="005D1922" w:rsidRPr="00B55FE6" w:rsidRDefault="005D1922" w:rsidP="005D1922">
      <w:pPr>
        <w:jc w:val="both"/>
        <w:rPr>
          <w:bCs/>
          <w:szCs w:val="24"/>
        </w:rPr>
      </w:pPr>
      <w:r w:rsidRPr="00B55FE6">
        <w:rPr>
          <w:bCs/>
          <w:szCs w:val="24"/>
        </w:rPr>
        <w:t xml:space="preserve">FISA - EURADWASTE </w:t>
      </w:r>
      <w:r w:rsidR="007F2FC1" w:rsidRPr="00B55FE6">
        <w:rPr>
          <w:bCs/>
          <w:szCs w:val="24"/>
        </w:rPr>
        <w:t xml:space="preserve">konferencijos metu vyko 8 plenarinės ir 4 paralelinės sesijos. </w:t>
      </w:r>
      <w:r w:rsidRPr="00B55FE6">
        <w:rPr>
          <w:bCs/>
          <w:szCs w:val="24"/>
        </w:rPr>
        <w:t xml:space="preserve">Konferencijoje </w:t>
      </w:r>
      <w:r w:rsidR="007F2FC1" w:rsidRPr="00B55FE6">
        <w:rPr>
          <w:bCs/>
          <w:szCs w:val="24"/>
        </w:rPr>
        <w:t xml:space="preserve">mes </w:t>
      </w:r>
      <w:r w:rsidRPr="00B55FE6">
        <w:rPr>
          <w:bCs/>
          <w:szCs w:val="24"/>
        </w:rPr>
        <w:t>prista</w:t>
      </w:r>
      <w:r w:rsidR="007F2FC1" w:rsidRPr="00B55FE6">
        <w:rPr>
          <w:bCs/>
          <w:szCs w:val="24"/>
        </w:rPr>
        <w:t xml:space="preserve">tėme </w:t>
      </w:r>
      <w:r w:rsidRPr="00B55FE6">
        <w:rPr>
          <w:bCs/>
          <w:szCs w:val="24"/>
        </w:rPr>
        <w:t xml:space="preserve">stendinį pranešimą apie </w:t>
      </w:r>
      <w:r w:rsidR="007F2FC1" w:rsidRPr="00B55FE6">
        <w:rPr>
          <w:bCs/>
          <w:szCs w:val="24"/>
        </w:rPr>
        <w:t xml:space="preserve">specializuoto betono ekranavimo savybių (apsaugos nuo radiacinio spinduliavimo) </w:t>
      </w:r>
      <w:r w:rsidRPr="00B55FE6">
        <w:rPr>
          <w:bCs/>
          <w:szCs w:val="24"/>
        </w:rPr>
        <w:t>s</w:t>
      </w:r>
      <w:r w:rsidR="008033A7" w:rsidRPr="00B55FE6">
        <w:rPr>
          <w:bCs/>
          <w:szCs w:val="24"/>
        </w:rPr>
        <w:t xml:space="preserve">kaitinio modeliavimo </w:t>
      </w:r>
      <w:r w:rsidR="007F2FC1" w:rsidRPr="00B55FE6">
        <w:rPr>
          <w:bCs/>
          <w:szCs w:val="24"/>
        </w:rPr>
        <w:t xml:space="preserve">tyrimus </w:t>
      </w:r>
      <w:r w:rsidRPr="00B55FE6">
        <w:rPr>
          <w:bCs/>
          <w:szCs w:val="24"/>
        </w:rPr>
        <w:t xml:space="preserve"> atli</w:t>
      </w:r>
      <w:r w:rsidR="007F2FC1" w:rsidRPr="00B55FE6">
        <w:rPr>
          <w:bCs/>
          <w:szCs w:val="24"/>
        </w:rPr>
        <w:t xml:space="preserve">ekamus </w:t>
      </w:r>
      <w:r w:rsidRPr="00B55FE6">
        <w:rPr>
          <w:bCs/>
          <w:szCs w:val="24"/>
        </w:rPr>
        <w:t xml:space="preserve">projekto metu.  </w:t>
      </w:r>
      <w:r w:rsidR="007F2FC1" w:rsidRPr="00B55FE6">
        <w:rPr>
          <w:bCs/>
          <w:szCs w:val="24"/>
        </w:rPr>
        <w:t xml:space="preserve">Kalbant apie renginius susijusius su šiuo vykdytu projektu, buvo dalyvauta </w:t>
      </w:r>
      <w:r w:rsidR="00CA5FDA" w:rsidRPr="00B55FE6">
        <w:rPr>
          <w:bCs/>
          <w:szCs w:val="24"/>
        </w:rPr>
        <w:t>p</w:t>
      </w:r>
      <w:r w:rsidRPr="00B55FE6">
        <w:rPr>
          <w:bCs/>
          <w:szCs w:val="24"/>
        </w:rPr>
        <w:t>aralelin</w:t>
      </w:r>
      <w:r w:rsidR="00CA5FDA" w:rsidRPr="00B55FE6">
        <w:rPr>
          <w:bCs/>
          <w:szCs w:val="24"/>
        </w:rPr>
        <w:t xml:space="preserve">ėse </w:t>
      </w:r>
      <w:r w:rsidRPr="00B55FE6">
        <w:rPr>
          <w:bCs/>
          <w:szCs w:val="24"/>
        </w:rPr>
        <w:t>sesij</w:t>
      </w:r>
      <w:r w:rsidR="00CA5FDA" w:rsidRPr="00B55FE6">
        <w:rPr>
          <w:bCs/>
          <w:szCs w:val="24"/>
        </w:rPr>
        <w:t xml:space="preserve">ose, </w:t>
      </w:r>
      <w:r w:rsidRPr="00B55FE6">
        <w:rPr>
          <w:bCs/>
          <w:szCs w:val="24"/>
        </w:rPr>
        <w:t>bei dalyvau</w:t>
      </w:r>
      <w:r w:rsidR="00CA5FDA" w:rsidRPr="00B55FE6">
        <w:rPr>
          <w:bCs/>
          <w:szCs w:val="24"/>
        </w:rPr>
        <w:t>ta</w:t>
      </w:r>
      <w:r w:rsidRPr="00B55FE6">
        <w:rPr>
          <w:bCs/>
          <w:szCs w:val="24"/>
        </w:rPr>
        <w:t xml:space="preserve"> diskusijoje, kuri buvo organizuojama klausimų - atsakymų formoje. Sesijų temos varijavo nuo jaunimo pritraukimo į branduolinius tyrimus ar pramonę iki inovacijų branduolinėje pramonėje įgalinimo siekiant išlaikyti ES konkurencingumą</w:t>
      </w:r>
      <w:r w:rsidR="00CA5FDA" w:rsidRPr="00B55FE6">
        <w:rPr>
          <w:bCs/>
          <w:szCs w:val="24"/>
        </w:rPr>
        <w:t xml:space="preserve">. </w:t>
      </w:r>
      <w:r w:rsidRPr="00B55FE6">
        <w:rPr>
          <w:bCs/>
          <w:szCs w:val="24"/>
        </w:rPr>
        <w:t xml:space="preserve"> </w:t>
      </w:r>
    </w:p>
    <w:p w14:paraId="1B3BBD42" w14:textId="5C3FE3C6" w:rsidR="00CA5FDA" w:rsidRPr="00B55FE6" w:rsidRDefault="000110B6" w:rsidP="00CA5FDA">
      <w:pPr>
        <w:jc w:val="both"/>
        <w:rPr>
          <w:bCs/>
          <w:szCs w:val="24"/>
        </w:rPr>
      </w:pPr>
      <w:r>
        <w:rPr>
          <w:bCs/>
          <w:szCs w:val="24"/>
        </w:rPr>
        <w:t>A</w:t>
      </w:r>
      <w:r w:rsidR="00CA5FDA" w:rsidRPr="00B55FE6">
        <w:rPr>
          <w:bCs/>
          <w:szCs w:val="24"/>
        </w:rPr>
        <w:t>tnaujinti ir užmegzti nauji ryšiai su galimais planuojamos rengti paraiškos pagal programos „EURATOM“ kvietimus partneriais iš:</w:t>
      </w:r>
    </w:p>
    <w:p w14:paraId="5DD84A7E" w14:textId="77777777" w:rsidR="00CA5FDA" w:rsidRPr="00B55FE6" w:rsidRDefault="00CA5FDA" w:rsidP="00CA5FDA">
      <w:pPr>
        <w:pStyle w:val="ListParagraph"/>
        <w:numPr>
          <w:ilvl w:val="0"/>
          <w:numId w:val="2"/>
        </w:numPr>
        <w:jc w:val="both"/>
        <w:rPr>
          <w:rFonts w:ascii="Times New Roman" w:hAnsi="Times New Roman"/>
          <w:bCs/>
          <w:sz w:val="24"/>
        </w:rPr>
      </w:pPr>
      <w:r w:rsidRPr="00B55FE6">
        <w:rPr>
          <w:rFonts w:ascii="Times New Roman" w:hAnsi="Times New Roman"/>
          <w:bCs/>
          <w:sz w:val="24"/>
        </w:rPr>
        <w:t>Ispanijos energetikos, aplinkos ir technologijų tyrimų centro (CIEMAT);</w:t>
      </w:r>
    </w:p>
    <w:p w14:paraId="3F9C394D" w14:textId="77777777" w:rsidR="00CA5FDA" w:rsidRPr="00B55FE6" w:rsidRDefault="00CA5FDA" w:rsidP="00CA5FDA">
      <w:pPr>
        <w:pStyle w:val="ListParagraph"/>
        <w:numPr>
          <w:ilvl w:val="0"/>
          <w:numId w:val="2"/>
        </w:numPr>
        <w:jc w:val="both"/>
        <w:rPr>
          <w:rFonts w:ascii="Times New Roman" w:hAnsi="Times New Roman"/>
          <w:bCs/>
          <w:sz w:val="24"/>
        </w:rPr>
      </w:pPr>
      <w:proofErr w:type="spellStart"/>
      <w:r w:rsidRPr="00B55FE6">
        <w:rPr>
          <w:rFonts w:ascii="Times New Roman" w:hAnsi="Times New Roman"/>
          <w:bCs/>
          <w:sz w:val="24"/>
        </w:rPr>
        <w:lastRenderedPageBreak/>
        <w:t>Karlsrujės</w:t>
      </w:r>
      <w:proofErr w:type="spellEnd"/>
      <w:r w:rsidRPr="00B55FE6">
        <w:rPr>
          <w:rFonts w:ascii="Times New Roman" w:hAnsi="Times New Roman"/>
          <w:bCs/>
          <w:sz w:val="24"/>
        </w:rPr>
        <w:t xml:space="preserve"> technologijos instituto (KIT) neutronų fizikos ir reaktorių technologijos instituto;</w:t>
      </w:r>
    </w:p>
    <w:p w14:paraId="674F1909" w14:textId="363629D2" w:rsidR="00CA5FDA" w:rsidRPr="00B55FE6" w:rsidRDefault="00CA5FDA" w:rsidP="00CA5FDA">
      <w:pPr>
        <w:pStyle w:val="ListParagraph"/>
        <w:numPr>
          <w:ilvl w:val="0"/>
          <w:numId w:val="2"/>
        </w:numPr>
        <w:jc w:val="both"/>
        <w:rPr>
          <w:rFonts w:ascii="Times New Roman" w:hAnsi="Times New Roman"/>
          <w:bCs/>
          <w:sz w:val="24"/>
        </w:rPr>
      </w:pPr>
      <w:r w:rsidRPr="00B55FE6">
        <w:rPr>
          <w:rFonts w:ascii="Times New Roman" w:hAnsi="Times New Roman"/>
          <w:bCs/>
          <w:sz w:val="24"/>
        </w:rPr>
        <w:t xml:space="preserve">Vokietijos jėgainių ir reaktorių saugos draugijos (GRS) </w:t>
      </w:r>
      <w:proofErr w:type="spellStart"/>
      <w:r w:rsidRPr="00B55FE6">
        <w:rPr>
          <w:rFonts w:ascii="Times New Roman" w:hAnsi="Times New Roman"/>
          <w:bCs/>
          <w:sz w:val="24"/>
        </w:rPr>
        <w:t>GmbH</w:t>
      </w:r>
      <w:proofErr w:type="spellEnd"/>
      <w:r w:rsidRPr="00B55FE6">
        <w:rPr>
          <w:rFonts w:ascii="Times New Roman" w:hAnsi="Times New Roman"/>
          <w:bCs/>
          <w:sz w:val="24"/>
        </w:rPr>
        <w:t xml:space="preserve"> Saugos tyrimų skyriaus;</w:t>
      </w:r>
    </w:p>
    <w:p w14:paraId="608054D8" w14:textId="77777777" w:rsidR="00CA5FDA" w:rsidRPr="00B55FE6" w:rsidRDefault="00CA5FDA" w:rsidP="00CA5FDA">
      <w:pPr>
        <w:pStyle w:val="ListParagraph"/>
        <w:numPr>
          <w:ilvl w:val="0"/>
          <w:numId w:val="2"/>
        </w:numPr>
        <w:jc w:val="both"/>
        <w:rPr>
          <w:rFonts w:ascii="Times New Roman" w:hAnsi="Times New Roman"/>
          <w:bCs/>
          <w:sz w:val="24"/>
        </w:rPr>
      </w:pPr>
      <w:r w:rsidRPr="00B55FE6">
        <w:rPr>
          <w:rFonts w:ascii="Times New Roman" w:hAnsi="Times New Roman"/>
          <w:bCs/>
          <w:sz w:val="24"/>
        </w:rPr>
        <w:t>Bulgarijos Branduolinių tyrimų ir branduolinės energijos instituto (INRNE-BAS);</w:t>
      </w:r>
    </w:p>
    <w:p w14:paraId="60C5C69E" w14:textId="77777777" w:rsidR="00CA5FDA" w:rsidRPr="00B55FE6" w:rsidRDefault="00CA5FDA" w:rsidP="00CA5FDA">
      <w:pPr>
        <w:pStyle w:val="ListParagraph"/>
        <w:numPr>
          <w:ilvl w:val="0"/>
          <w:numId w:val="2"/>
        </w:numPr>
        <w:jc w:val="both"/>
        <w:rPr>
          <w:rFonts w:ascii="Times New Roman" w:hAnsi="Times New Roman"/>
          <w:bCs/>
          <w:sz w:val="24"/>
        </w:rPr>
      </w:pPr>
      <w:r w:rsidRPr="00B55FE6">
        <w:rPr>
          <w:rFonts w:ascii="Times New Roman" w:hAnsi="Times New Roman"/>
          <w:bCs/>
          <w:sz w:val="24"/>
        </w:rPr>
        <w:t xml:space="preserve">Ukrainos ribotos atsakomybės bendrovės </w:t>
      </w:r>
      <w:proofErr w:type="spellStart"/>
      <w:r w:rsidRPr="00B55FE6">
        <w:rPr>
          <w:rFonts w:ascii="Times New Roman" w:hAnsi="Times New Roman"/>
          <w:bCs/>
          <w:sz w:val="24"/>
        </w:rPr>
        <w:t>Energorisk</w:t>
      </w:r>
      <w:proofErr w:type="spellEnd"/>
      <w:r w:rsidRPr="00B55FE6">
        <w:rPr>
          <w:rFonts w:ascii="Times New Roman" w:hAnsi="Times New Roman"/>
          <w:bCs/>
          <w:sz w:val="24"/>
        </w:rPr>
        <w:t>;</w:t>
      </w:r>
    </w:p>
    <w:p w14:paraId="1E61764A" w14:textId="77777777" w:rsidR="00CA5FDA" w:rsidRPr="00B55FE6" w:rsidRDefault="00CA5FDA" w:rsidP="00CA5FDA">
      <w:pPr>
        <w:pStyle w:val="ListParagraph"/>
        <w:numPr>
          <w:ilvl w:val="0"/>
          <w:numId w:val="2"/>
        </w:numPr>
        <w:jc w:val="both"/>
        <w:rPr>
          <w:rFonts w:ascii="Times New Roman" w:hAnsi="Times New Roman"/>
          <w:bCs/>
          <w:sz w:val="24"/>
        </w:rPr>
      </w:pPr>
      <w:r w:rsidRPr="00B55FE6">
        <w:rPr>
          <w:rFonts w:ascii="Times New Roman" w:hAnsi="Times New Roman"/>
          <w:bCs/>
          <w:sz w:val="24"/>
        </w:rPr>
        <w:t xml:space="preserve">Šveicarijos Paulo </w:t>
      </w:r>
      <w:proofErr w:type="spellStart"/>
      <w:r w:rsidRPr="00B55FE6">
        <w:rPr>
          <w:rFonts w:ascii="Times New Roman" w:hAnsi="Times New Roman"/>
          <w:bCs/>
          <w:sz w:val="24"/>
        </w:rPr>
        <w:t>Sherrerio</w:t>
      </w:r>
      <w:proofErr w:type="spellEnd"/>
      <w:r w:rsidRPr="00B55FE6">
        <w:rPr>
          <w:rFonts w:ascii="Times New Roman" w:hAnsi="Times New Roman"/>
          <w:bCs/>
          <w:sz w:val="24"/>
        </w:rPr>
        <w:t xml:space="preserve"> instituto (PSI);</w:t>
      </w:r>
    </w:p>
    <w:p w14:paraId="1C03B506" w14:textId="77777777" w:rsidR="00CA5FDA" w:rsidRPr="00B55FE6" w:rsidRDefault="00CA5FDA" w:rsidP="00CA5FDA">
      <w:pPr>
        <w:pStyle w:val="ListParagraph"/>
        <w:numPr>
          <w:ilvl w:val="0"/>
          <w:numId w:val="2"/>
        </w:numPr>
        <w:jc w:val="both"/>
        <w:rPr>
          <w:rFonts w:ascii="Times New Roman" w:hAnsi="Times New Roman"/>
          <w:bCs/>
          <w:sz w:val="24"/>
        </w:rPr>
      </w:pPr>
      <w:r w:rsidRPr="00B55FE6">
        <w:rPr>
          <w:rFonts w:ascii="Times New Roman" w:hAnsi="Times New Roman"/>
          <w:bCs/>
          <w:sz w:val="24"/>
        </w:rPr>
        <w:t>Suomijos techninių tyrimų centro (VTT);</w:t>
      </w:r>
    </w:p>
    <w:p w14:paraId="55446D3D" w14:textId="1CE10703" w:rsidR="00CA5FDA" w:rsidRPr="00B55FE6" w:rsidRDefault="00CA5FDA" w:rsidP="00CA5FDA">
      <w:pPr>
        <w:pStyle w:val="ListParagraph"/>
        <w:numPr>
          <w:ilvl w:val="0"/>
          <w:numId w:val="2"/>
        </w:numPr>
        <w:jc w:val="both"/>
        <w:rPr>
          <w:rFonts w:ascii="Times New Roman" w:hAnsi="Times New Roman"/>
          <w:bCs/>
          <w:sz w:val="24"/>
        </w:rPr>
      </w:pPr>
      <w:r w:rsidRPr="00B55FE6">
        <w:rPr>
          <w:rFonts w:ascii="Times New Roman" w:hAnsi="Times New Roman"/>
          <w:bCs/>
          <w:sz w:val="24"/>
        </w:rPr>
        <w:t>Belgijos techninės pagalbos organizacijos (BEL V).</w:t>
      </w:r>
    </w:p>
    <w:p w14:paraId="462BD94A" w14:textId="77777777" w:rsidR="00CA5FDA" w:rsidRPr="00B55FE6" w:rsidRDefault="00CA5FDA" w:rsidP="005D1922">
      <w:pPr>
        <w:jc w:val="both"/>
      </w:pPr>
    </w:p>
    <w:p w14:paraId="6BE3CC52" w14:textId="1CD388B3" w:rsidR="00AD6CBA" w:rsidRPr="00B55FE6" w:rsidRDefault="00AD6CBA" w:rsidP="00AD6CBA">
      <w:pPr>
        <w:widowControl w:val="0"/>
        <w:jc w:val="both"/>
        <w:rPr>
          <w:szCs w:val="24"/>
        </w:rPr>
      </w:pPr>
      <w:r w:rsidRPr="00B55FE6">
        <w:rPr>
          <w:bCs/>
          <w:szCs w:val="24"/>
        </w:rPr>
        <w:t xml:space="preserve">Projektas įgyvendintas pagal Sutartyje </w:t>
      </w:r>
      <w:r w:rsidRPr="00B55FE6">
        <w:rPr>
          <w:b/>
          <w:bCs/>
          <w:szCs w:val="24"/>
        </w:rPr>
        <w:t>NR.</w:t>
      </w:r>
      <w:r w:rsidRPr="00B55FE6">
        <w:rPr>
          <w:bCs/>
          <w:szCs w:val="24"/>
        </w:rPr>
        <w:t xml:space="preserve"> </w:t>
      </w:r>
      <w:r w:rsidRPr="00B55FE6">
        <w:rPr>
          <w:b/>
          <w:bCs/>
          <w:iCs/>
          <w:szCs w:val="24"/>
        </w:rPr>
        <w:t>10-038-T-01</w:t>
      </w:r>
      <w:r w:rsidR="00C72311" w:rsidRPr="00B55FE6">
        <w:rPr>
          <w:b/>
          <w:bCs/>
          <w:iCs/>
          <w:szCs w:val="24"/>
        </w:rPr>
        <w:t>47</w:t>
      </w:r>
      <w:r w:rsidRPr="00B55FE6">
        <w:rPr>
          <w:b/>
          <w:bCs/>
          <w:iCs/>
          <w:szCs w:val="24"/>
        </w:rPr>
        <w:t xml:space="preserve">, </w:t>
      </w:r>
      <w:r w:rsidRPr="00B55FE6">
        <w:rPr>
          <w:bCs/>
          <w:szCs w:val="24"/>
        </w:rPr>
        <w:t>2022-2030 metų plėtros programos valdytojos Lietuvos Respublikos švietimo, mokslo ir sporto ministerijos plėtros programos pažangos priemonės Nr. 12-001-01-02-01 „Stiprinti inovacijų ekosistemas mokslo centruose</w:t>
      </w:r>
      <w:r w:rsidRPr="00B55FE6">
        <w:rPr>
          <w:szCs w:val="24"/>
        </w:rPr>
        <w:t>“ aprašo, patvirtinto</w:t>
      </w:r>
      <w:r w:rsidRPr="00B55FE6">
        <w:rPr>
          <w:i/>
          <w:szCs w:val="24"/>
        </w:rPr>
        <w:t xml:space="preserve"> </w:t>
      </w:r>
      <w:r w:rsidRPr="00B55FE6">
        <w:rPr>
          <w:szCs w:val="24"/>
        </w:rPr>
        <w:t>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B55FE6">
        <w:rPr>
          <w:szCs w:val="24"/>
          <w:shd w:val="clear" w:color="auto" w:fill="FFFFFF"/>
        </w:rPr>
        <w:t xml:space="preserve">2022–2030 m. plėtros programos valdytojos Lietuvos Respublikos švietimo, mokslo ir sporto ministerijos mokslo plėtros programos </w:t>
      </w:r>
      <w:r w:rsidRPr="00B55FE6">
        <w:rPr>
          <w:szCs w:val="24"/>
        </w:rPr>
        <w:t>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B55FE6">
        <w:rPr>
          <w:iCs/>
          <w:szCs w:val="24"/>
        </w:rPr>
        <w:t xml:space="preserve"> (toliau – Taisyklės) </w:t>
      </w:r>
      <w:r w:rsidRPr="00B55FE6">
        <w:rPr>
          <w:szCs w:val="24"/>
        </w:rPr>
        <w:t xml:space="preserve">ir (arba) Finansinių priemonių įgyvendinimo taisyklėse, </w:t>
      </w:r>
      <w:r w:rsidRPr="00B55FE6">
        <w:rPr>
          <w:iCs/>
          <w:szCs w:val="24"/>
        </w:rPr>
        <w:t>patvirtintose Lietuvos Respublikos finansų ministro 2022 m. birželio 22 d. įsakymu Nr. 1K-237 „Dėl 2021–2027 metų Europos Sąjungos fondų investicijų programos ir Ekonomikos gaivinimo ir atsparumo didinimo plano „Naujos kartos Lietuva“ įgyvendinimo“</w:t>
      </w:r>
      <w:r w:rsidRPr="00B55FE6">
        <w:rPr>
          <w:szCs w:val="24"/>
        </w:rPr>
        <w:t>,</w:t>
      </w:r>
      <w:r w:rsidRPr="00B55FE6">
        <w:rPr>
          <w:i/>
          <w:iCs/>
          <w:szCs w:val="24"/>
        </w:rPr>
        <w:t xml:space="preserve"> </w:t>
      </w:r>
      <w:r w:rsidRPr="00B55FE6">
        <w:rPr>
          <w:szCs w:val="24"/>
        </w:rPr>
        <w:t xml:space="preserve">ir juose nurodytuose ES ir Lietuvos Respublikos teisės aktuose nustatytas sąlygas ir tvarką. </w:t>
      </w:r>
    </w:p>
    <w:p w14:paraId="1D224A6C" w14:textId="77777777" w:rsidR="00AD6CBA" w:rsidRPr="00B55FE6" w:rsidRDefault="00AD6CBA" w:rsidP="00AD6CBA">
      <w:pPr>
        <w:jc w:val="both"/>
        <w:rPr>
          <w:bCs/>
          <w:szCs w:val="24"/>
        </w:rPr>
      </w:pPr>
      <w:r w:rsidRPr="00B55FE6">
        <w:rPr>
          <w:bCs/>
          <w:szCs w:val="24"/>
        </w:rPr>
        <w:t>Projekto viešinimo sąlygos įgyvendintos pagal sutartyje nurodytus reikalavimus.</w:t>
      </w:r>
    </w:p>
    <w:p w14:paraId="529ABCEC" w14:textId="77777777" w:rsidR="00361FFB" w:rsidRPr="00B55FE6" w:rsidRDefault="00361FFB" w:rsidP="00AD6CBA">
      <w:pPr>
        <w:jc w:val="both"/>
        <w:rPr>
          <w:bCs/>
          <w:szCs w:val="24"/>
        </w:rPr>
      </w:pPr>
    </w:p>
    <w:p w14:paraId="4785982E" w14:textId="77777777" w:rsidR="00361FFB" w:rsidRPr="00B55FE6" w:rsidRDefault="00361FFB" w:rsidP="00361FFB">
      <w:pPr>
        <w:rPr>
          <w:bCs/>
          <w:szCs w:val="24"/>
        </w:rPr>
      </w:pPr>
      <w:r w:rsidRPr="00B55FE6">
        <w:rPr>
          <w:bCs/>
          <w:szCs w:val="24"/>
        </w:rPr>
        <w:t>Projekto vadovas</w:t>
      </w:r>
    </w:p>
    <w:p w14:paraId="6B2BEBFC" w14:textId="67BB639B" w:rsidR="00361FFB" w:rsidRPr="00361FFB" w:rsidRDefault="008963F5" w:rsidP="00361FFB">
      <w:pPr>
        <w:rPr>
          <w:bCs/>
          <w:szCs w:val="24"/>
        </w:rPr>
      </w:pPr>
      <w:r w:rsidRPr="00B55FE6">
        <w:rPr>
          <w:bCs/>
          <w:szCs w:val="24"/>
        </w:rPr>
        <w:t>Mindaugas</w:t>
      </w:r>
      <w:r w:rsidR="00361FFB" w:rsidRPr="00B55FE6">
        <w:rPr>
          <w:bCs/>
          <w:szCs w:val="24"/>
        </w:rPr>
        <w:t xml:space="preserve"> V</w:t>
      </w:r>
      <w:r w:rsidRPr="00B55FE6">
        <w:rPr>
          <w:bCs/>
          <w:szCs w:val="24"/>
        </w:rPr>
        <w:t>a</w:t>
      </w:r>
      <w:r w:rsidR="00361FFB" w:rsidRPr="00B55FE6">
        <w:rPr>
          <w:bCs/>
          <w:szCs w:val="24"/>
        </w:rPr>
        <w:t>iš</w:t>
      </w:r>
      <w:r w:rsidRPr="00B55FE6">
        <w:rPr>
          <w:bCs/>
          <w:szCs w:val="24"/>
        </w:rPr>
        <w:t>noras</w:t>
      </w:r>
    </w:p>
    <w:p w14:paraId="66182663" w14:textId="77777777" w:rsidR="00361FFB" w:rsidRPr="00AD6CBA" w:rsidRDefault="00361FFB" w:rsidP="00AD6CBA">
      <w:pPr>
        <w:jc w:val="both"/>
        <w:rPr>
          <w:bCs/>
          <w:szCs w:val="24"/>
        </w:rPr>
      </w:pPr>
    </w:p>
    <w:p w14:paraId="241C0BDB" w14:textId="77777777" w:rsidR="008360A7" w:rsidRPr="00AD6CBA" w:rsidRDefault="008360A7" w:rsidP="008360A7">
      <w:pPr>
        <w:rPr>
          <w:bCs/>
          <w:szCs w:val="24"/>
        </w:rPr>
      </w:pPr>
    </w:p>
    <w:p w14:paraId="62FF909F" w14:textId="77777777" w:rsidR="008360A7" w:rsidRPr="00AD6CBA" w:rsidRDefault="008360A7" w:rsidP="008360A7">
      <w:pPr>
        <w:rPr>
          <w:bCs/>
          <w:szCs w:val="24"/>
        </w:rPr>
      </w:pPr>
    </w:p>
    <w:p w14:paraId="42DA5A92" w14:textId="77777777" w:rsidR="008360A7" w:rsidRPr="00AD6CBA" w:rsidRDefault="008360A7" w:rsidP="008360A7">
      <w:pPr>
        <w:rPr>
          <w:bCs/>
          <w:szCs w:val="24"/>
        </w:rPr>
      </w:pPr>
    </w:p>
    <w:p w14:paraId="4DD179D7" w14:textId="77777777" w:rsidR="008360A7" w:rsidRPr="00AD6CBA" w:rsidRDefault="008360A7" w:rsidP="008360A7">
      <w:pPr>
        <w:rPr>
          <w:bCs/>
          <w:szCs w:val="24"/>
        </w:rPr>
      </w:pPr>
    </w:p>
    <w:p w14:paraId="783C1A7F" w14:textId="77777777" w:rsidR="008360A7" w:rsidRPr="00AD6CBA" w:rsidRDefault="008360A7" w:rsidP="008360A7">
      <w:pPr>
        <w:rPr>
          <w:bCs/>
          <w:szCs w:val="24"/>
        </w:rPr>
      </w:pPr>
    </w:p>
    <w:p w14:paraId="34D181D5" w14:textId="77777777" w:rsidR="008360A7" w:rsidRPr="00AD6CBA" w:rsidRDefault="008360A7" w:rsidP="008360A7">
      <w:pPr>
        <w:jc w:val="both"/>
        <w:rPr>
          <w:noProof/>
          <w:szCs w:val="24"/>
        </w:rPr>
      </w:pPr>
    </w:p>
    <w:p w14:paraId="646EA06B" w14:textId="77777777" w:rsidR="008360A7" w:rsidRPr="00AD6CBA" w:rsidRDefault="008360A7" w:rsidP="008360A7">
      <w:pPr>
        <w:suppressAutoHyphens/>
        <w:autoSpaceDE w:val="0"/>
        <w:autoSpaceDN w:val="0"/>
        <w:adjustRightInd w:val="0"/>
        <w:textAlignment w:val="center"/>
        <w:rPr>
          <w:noProof/>
          <w:szCs w:val="24"/>
        </w:rPr>
      </w:pPr>
      <w:r w:rsidRPr="00AD6CBA">
        <w:rPr>
          <w:noProof/>
          <w:szCs w:val="24"/>
        </w:rPr>
        <w:drawing>
          <wp:inline distT="0" distB="0" distL="0" distR="0" wp14:anchorId="4AD57564" wp14:editId="7A055870">
            <wp:extent cx="5731510" cy="906145"/>
            <wp:effectExtent l="0" t="0" r="2540" b="8255"/>
            <wp:docPr id="412351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906145"/>
                    </a:xfrm>
                    <a:prstGeom prst="rect">
                      <a:avLst/>
                    </a:prstGeom>
                    <a:noFill/>
                    <a:ln>
                      <a:noFill/>
                    </a:ln>
                  </pic:spPr>
                </pic:pic>
              </a:graphicData>
            </a:graphic>
          </wp:inline>
        </w:drawing>
      </w:r>
    </w:p>
    <w:p w14:paraId="030D1320" w14:textId="77777777" w:rsidR="008360A7" w:rsidRPr="00AD6CBA" w:rsidRDefault="008360A7" w:rsidP="008360A7">
      <w:pPr>
        <w:suppressAutoHyphens/>
        <w:autoSpaceDE w:val="0"/>
        <w:autoSpaceDN w:val="0"/>
        <w:adjustRightInd w:val="0"/>
        <w:jc w:val="center"/>
        <w:textAlignment w:val="center"/>
        <w:rPr>
          <w:noProof/>
          <w:szCs w:val="24"/>
        </w:rPr>
      </w:pPr>
    </w:p>
    <w:p w14:paraId="6E633CF9" w14:textId="3A9DC481" w:rsidR="00EF1785" w:rsidRPr="00C705F0" w:rsidRDefault="008360A7" w:rsidP="00B55FE6">
      <w:pPr>
        <w:suppressAutoHyphens/>
        <w:autoSpaceDE w:val="0"/>
        <w:autoSpaceDN w:val="0"/>
        <w:adjustRightInd w:val="0"/>
        <w:textAlignment w:val="center"/>
        <w:rPr>
          <w:bCs/>
          <w:sz w:val="28"/>
          <w:szCs w:val="28"/>
        </w:rPr>
      </w:pPr>
      <w:r w:rsidRPr="00AD6CBA">
        <w:rPr>
          <w:bCs/>
          <w:szCs w:val="24"/>
        </w:rPr>
        <w:t xml:space="preserve">Finansuoja Europos Sąjunga </w:t>
      </w:r>
      <w:proofErr w:type="spellStart"/>
      <w:r w:rsidRPr="00AD6CBA">
        <w:rPr>
          <w:bCs/>
          <w:szCs w:val="24"/>
        </w:rPr>
        <w:t>NextGenerationEU</w:t>
      </w:r>
      <w:proofErr w:type="spellEnd"/>
    </w:p>
    <w:sectPr w:rsidR="00EF1785" w:rsidRPr="00C705F0" w:rsidSect="007272AB">
      <w:headerReference w:type="default" r:id="rId11"/>
      <w:footerReference w:type="default" r:id="rId12"/>
      <w:headerReference w:type="first" r:id="rId13"/>
      <w:footerReference w:type="first" r:id="rId1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000A" w14:textId="77777777" w:rsidR="00020A68" w:rsidRDefault="00020A68" w:rsidP="00FF1B8F">
      <w:r>
        <w:separator/>
      </w:r>
    </w:p>
  </w:endnote>
  <w:endnote w:type="continuationSeparator" w:id="0">
    <w:p w14:paraId="32388AD8" w14:textId="77777777" w:rsidR="00020A68" w:rsidRDefault="00020A68" w:rsidP="00FF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4AFC" w14:textId="49D9AF68" w:rsidR="00B13059" w:rsidRDefault="00B13059" w:rsidP="00B13059">
    <w:pPr>
      <w:jc w:val="center"/>
      <w:rPr>
        <w:rFonts w:asciiTheme="majorBidi" w:hAnsiTheme="majorBidi" w:cstheme="majorBidi"/>
        <w:szCs w:val="24"/>
      </w:rPr>
    </w:pPr>
    <w:bookmarkStart w:id="2" w:name="_Hlk122596552"/>
    <w:bookmarkStart w:id="3" w:name="_Hlk122596553"/>
    <w:r>
      <w:rPr>
        <w:noProof/>
      </w:rPr>
      <w:drawing>
        <wp:inline distT="0" distB="0" distL="0" distR="0" wp14:anchorId="2C6F23EA" wp14:editId="616560D3">
          <wp:extent cx="6120765" cy="518160"/>
          <wp:effectExtent l="0" t="0" r="0" b="0"/>
          <wp:docPr id="14939126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H="1">
                    <a:off x="0" y="0"/>
                    <a:ext cx="6120765" cy="518160"/>
                  </a:xfrm>
                  <a:prstGeom prst="rect">
                    <a:avLst/>
                  </a:prstGeom>
                </pic:spPr>
              </pic:pic>
            </a:graphicData>
          </a:graphic>
        </wp:inline>
      </w:drawing>
    </w:r>
  </w:p>
  <w:p w14:paraId="3F2B0219" w14:textId="1F63824E" w:rsidR="00EF1785" w:rsidRDefault="00EF1785" w:rsidP="00B13059">
    <w:pPr>
      <w:jc w:val="center"/>
      <w:rPr>
        <w:rFonts w:asciiTheme="majorBidi" w:hAnsiTheme="majorBidi" w:cstheme="majorBidi"/>
        <w:szCs w:val="24"/>
      </w:rPr>
    </w:pPr>
    <w:r>
      <w:rPr>
        <w:rFonts w:asciiTheme="majorBidi" w:hAnsiTheme="majorBidi" w:cstheme="majorBidi"/>
        <w:szCs w:val="24"/>
      </w:rPr>
      <w:t>Kaunas, 202</w:t>
    </w:r>
    <w:r w:rsidR="003F194D">
      <w:rPr>
        <w:rFonts w:asciiTheme="majorBidi" w:hAnsiTheme="majorBidi" w:cstheme="majorBidi"/>
        <w:szCs w:val="24"/>
      </w:rPr>
      <w:t>5</w:t>
    </w:r>
  </w:p>
  <w:p w14:paraId="3DD195DD" w14:textId="5A8E901C" w:rsidR="00B13059" w:rsidRDefault="00B83382" w:rsidP="00EF1785">
    <w:pPr>
      <w:ind w:firstLine="426"/>
      <w:rPr>
        <w:rFonts w:asciiTheme="majorBidi" w:hAnsiTheme="majorBidi" w:cstheme="majorBidi"/>
        <w:szCs w:val="24"/>
      </w:rPr>
    </w:pPr>
    <w:r>
      <w:rPr>
        <w:noProof/>
      </w:rPr>
      <w:drawing>
        <wp:inline distT="0" distB="0" distL="0" distR="0" wp14:anchorId="59858475" wp14:editId="56205420">
          <wp:extent cx="820800" cy="547200"/>
          <wp:effectExtent l="0" t="0" r="0" b="5715"/>
          <wp:docPr id="183366792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0800" cy="547200"/>
                  </a:xfrm>
                  <a:prstGeom prst="rect">
                    <a:avLst/>
                  </a:prstGeom>
                  <a:noFill/>
                  <a:ln>
                    <a:noFill/>
                  </a:ln>
                </pic:spPr>
              </pic:pic>
            </a:graphicData>
          </a:graphic>
        </wp:inline>
      </w:drawing>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A2F7" w14:textId="11ED15B4" w:rsidR="007272AB" w:rsidRDefault="007272AB" w:rsidP="00B13059">
    <w:pPr>
      <w:jc w:val="center"/>
      <w:rPr>
        <w:rFonts w:asciiTheme="majorBidi" w:hAnsiTheme="majorBidi" w:cstheme="majorBidi"/>
        <w:szCs w:val="24"/>
      </w:rPr>
    </w:pPr>
  </w:p>
  <w:p w14:paraId="56D9B24F" w14:textId="2691E83F" w:rsidR="007272AB" w:rsidRDefault="007272AB" w:rsidP="00EF1785">
    <w:pPr>
      <w:ind w:firstLine="426"/>
      <w:rPr>
        <w:rFonts w:asciiTheme="majorBidi" w:hAnsiTheme="majorBidi" w:cstheme="majorBid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A311" w14:textId="77777777" w:rsidR="008360A7" w:rsidRDefault="0083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DB74" w14:textId="77777777" w:rsidR="00020A68" w:rsidRDefault="00020A68" w:rsidP="00FF1B8F">
      <w:r>
        <w:separator/>
      </w:r>
    </w:p>
  </w:footnote>
  <w:footnote w:type="continuationSeparator" w:id="0">
    <w:p w14:paraId="033AAEB8" w14:textId="77777777" w:rsidR="00020A68" w:rsidRDefault="00020A68" w:rsidP="00FF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23EF" w14:textId="33BFF31E" w:rsidR="00FF1B8F" w:rsidRDefault="00002100" w:rsidP="00FF1B8F">
    <w:pPr>
      <w:pStyle w:val="Header"/>
      <w:tabs>
        <w:tab w:val="left" w:pos="2383"/>
        <w:tab w:val="center" w:pos="4819"/>
      </w:tabs>
      <w:jc w:val="center"/>
    </w:pPr>
    <w:bookmarkStart w:id="0" w:name="_Hlk122596531"/>
    <w:bookmarkStart w:id="1" w:name="_Hlk122596532"/>
    <w:r>
      <w:rPr>
        <w:noProof/>
      </w:rPr>
      <w:drawing>
        <wp:inline distT="0" distB="0" distL="0" distR="0" wp14:anchorId="11242E6A" wp14:editId="34155C18">
          <wp:extent cx="640080" cy="640080"/>
          <wp:effectExtent l="0" t="0" r="7620" b="7620"/>
          <wp:docPr id="1197889447" name="Paveikslėlis 3" descr="L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LEI.png"/>
                  <pic:cNvPicPr>
                    <a:picLocks noChangeAspect="1"/>
                  </pic:cNvPicPr>
                </pic:nvPicPr>
                <pic:blipFill>
                  <a:blip r:embed="rId1" cstate="print"/>
                  <a:srcRect/>
                  <a:stretch>
                    <a:fillRect/>
                  </a:stretch>
                </pic:blipFill>
                <pic:spPr bwMode="auto">
                  <a:xfrm>
                    <a:off x="0" y="0"/>
                    <a:ext cx="640080" cy="640080"/>
                  </a:xfrm>
                  <a:prstGeom prst="rect">
                    <a:avLst/>
                  </a:prstGeom>
                  <a:noFill/>
                  <a:ln w="9525">
                    <a:noFill/>
                    <a:miter lim="800000"/>
                    <a:headEnd/>
                    <a:tailEnd/>
                  </a:ln>
                </pic:spPr>
              </pic:pic>
            </a:graphicData>
          </a:graphic>
        </wp:inline>
      </w:drawing>
    </w:r>
  </w:p>
  <w:p w14:paraId="65DE9BC4" w14:textId="42F40144" w:rsidR="00002100" w:rsidRDefault="00002100" w:rsidP="00002100">
    <w:pPr>
      <w:pStyle w:val="Header"/>
      <w:tabs>
        <w:tab w:val="left" w:pos="2383"/>
        <w:tab w:val="center" w:pos="4819"/>
      </w:tabs>
      <w:spacing w:before="60"/>
      <w:jc w:val="center"/>
      <w:rPr>
        <w:b/>
        <w:bCs/>
        <w:sz w:val="24"/>
        <w:szCs w:val="24"/>
      </w:rPr>
    </w:pPr>
    <w:r w:rsidRPr="00002100">
      <w:rPr>
        <w:b/>
        <w:bCs/>
        <w:sz w:val="24"/>
        <w:szCs w:val="24"/>
      </w:rPr>
      <w:t>LIETUVOS ENERGETIKOS INSTITUTAS</w:t>
    </w:r>
  </w:p>
  <w:p w14:paraId="3E59A3AF" w14:textId="251006AD" w:rsidR="00B13059" w:rsidRDefault="00B13059" w:rsidP="00B83382">
    <w:pPr>
      <w:pStyle w:val="Header"/>
      <w:tabs>
        <w:tab w:val="left" w:pos="2383"/>
        <w:tab w:val="center" w:pos="4819"/>
      </w:tabs>
      <w:spacing w:before="60"/>
      <w:ind w:right="567"/>
      <w:jc w:val="right"/>
    </w:pPr>
    <w:r>
      <w:rPr>
        <w:noProof/>
      </w:rPr>
      <w:drawing>
        <wp:inline distT="0" distB="0" distL="0" distR="0" wp14:anchorId="4A65E575" wp14:editId="72DCE7A5">
          <wp:extent cx="6120765" cy="518160"/>
          <wp:effectExtent l="0" t="0" r="0" b="0"/>
          <wp:docPr id="165186980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H="1">
                    <a:off x="0" y="0"/>
                    <a:ext cx="6120765" cy="518160"/>
                  </a:xfrm>
                  <a:prstGeom prst="rect">
                    <a:avLst/>
                  </a:prstGeom>
                </pic:spPr>
              </pic:pic>
            </a:graphicData>
          </a:graphic>
        </wp:inline>
      </w:drawing>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D1E3" w14:textId="3D55716C" w:rsidR="008360A7" w:rsidRDefault="008360A7" w:rsidP="00FF1B8F">
    <w:pPr>
      <w:pStyle w:val="Header"/>
      <w:tabs>
        <w:tab w:val="left" w:pos="2383"/>
        <w:tab w:val="center" w:pos="4819"/>
      </w:tabs>
      <w:jc w:val="center"/>
    </w:pPr>
  </w:p>
  <w:p w14:paraId="62D8B1E4" w14:textId="4C5393AF" w:rsidR="008360A7" w:rsidRDefault="008360A7" w:rsidP="00B83382">
    <w:pPr>
      <w:pStyle w:val="Header"/>
      <w:tabs>
        <w:tab w:val="left" w:pos="2383"/>
        <w:tab w:val="center" w:pos="4819"/>
      </w:tabs>
      <w:spacing w:before="60"/>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4FF4" w14:textId="77777777" w:rsidR="008360A7" w:rsidRDefault="00836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3EB8"/>
    <w:multiLevelType w:val="hybridMultilevel"/>
    <w:tmpl w:val="B25298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403C95"/>
    <w:multiLevelType w:val="hybridMultilevel"/>
    <w:tmpl w:val="B8645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D466B"/>
    <w:multiLevelType w:val="hybridMultilevel"/>
    <w:tmpl w:val="6BA87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2D2887"/>
    <w:multiLevelType w:val="multilevel"/>
    <w:tmpl w:val="10BC3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C77151"/>
    <w:multiLevelType w:val="multilevel"/>
    <w:tmpl w:val="E2C68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75451199">
    <w:abstractNumId w:val="2"/>
  </w:num>
  <w:num w:numId="2" w16cid:durableId="235824138">
    <w:abstractNumId w:val="0"/>
  </w:num>
  <w:num w:numId="3" w16cid:durableId="918516831">
    <w:abstractNumId w:val="1"/>
  </w:num>
  <w:num w:numId="4" w16cid:durableId="658772521">
    <w:abstractNumId w:val="3"/>
  </w:num>
  <w:num w:numId="5" w16cid:durableId="2073581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1E"/>
    <w:rsid w:val="00002100"/>
    <w:rsid w:val="000110B6"/>
    <w:rsid w:val="00020A68"/>
    <w:rsid w:val="000262A9"/>
    <w:rsid w:val="00044DB2"/>
    <w:rsid w:val="00055856"/>
    <w:rsid w:val="00056941"/>
    <w:rsid w:val="00063BB4"/>
    <w:rsid w:val="000B22D3"/>
    <w:rsid w:val="000F6986"/>
    <w:rsid w:val="00110211"/>
    <w:rsid w:val="00124860"/>
    <w:rsid w:val="00146FEE"/>
    <w:rsid w:val="00161B2D"/>
    <w:rsid w:val="001E5586"/>
    <w:rsid w:val="001F7405"/>
    <w:rsid w:val="00247E15"/>
    <w:rsid w:val="002A097C"/>
    <w:rsid w:val="002B5843"/>
    <w:rsid w:val="002D1FFF"/>
    <w:rsid w:val="00333564"/>
    <w:rsid w:val="003400FA"/>
    <w:rsid w:val="003439D9"/>
    <w:rsid w:val="00361FFB"/>
    <w:rsid w:val="003B27C2"/>
    <w:rsid w:val="003B447F"/>
    <w:rsid w:val="003D7A2F"/>
    <w:rsid w:val="003E482E"/>
    <w:rsid w:val="003F194D"/>
    <w:rsid w:val="004115B2"/>
    <w:rsid w:val="004310D5"/>
    <w:rsid w:val="00445BD2"/>
    <w:rsid w:val="004A657B"/>
    <w:rsid w:val="004E4344"/>
    <w:rsid w:val="00586296"/>
    <w:rsid w:val="00597D8D"/>
    <w:rsid w:val="005C5C8E"/>
    <w:rsid w:val="005D1139"/>
    <w:rsid w:val="005D1922"/>
    <w:rsid w:val="005D3585"/>
    <w:rsid w:val="0062067C"/>
    <w:rsid w:val="00671C07"/>
    <w:rsid w:val="006931E2"/>
    <w:rsid w:val="007272AB"/>
    <w:rsid w:val="0073517C"/>
    <w:rsid w:val="00752139"/>
    <w:rsid w:val="007F2FC1"/>
    <w:rsid w:val="008033A7"/>
    <w:rsid w:val="00813ADE"/>
    <w:rsid w:val="00831A3B"/>
    <w:rsid w:val="008360A7"/>
    <w:rsid w:val="00860812"/>
    <w:rsid w:val="008963F5"/>
    <w:rsid w:val="008E5671"/>
    <w:rsid w:val="00986F64"/>
    <w:rsid w:val="009B06E1"/>
    <w:rsid w:val="009E6628"/>
    <w:rsid w:val="009F02A3"/>
    <w:rsid w:val="00A54B3B"/>
    <w:rsid w:val="00AB27A0"/>
    <w:rsid w:val="00AD6CBA"/>
    <w:rsid w:val="00AE1032"/>
    <w:rsid w:val="00B13059"/>
    <w:rsid w:val="00B1412F"/>
    <w:rsid w:val="00B37047"/>
    <w:rsid w:val="00B4132C"/>
    <w:rsid w:val="00B55FE6"/>
    <w:rsid w:val="00B70244"/>
    <w:rsid w:val="00B83382"/>
    <w:rsid w:val="00BC18C7"/>
    <w:rsid w:val="00C026CE"/>
    <w:rsid w:val="00C308DB"/>
    <w:rsid w:val="00C31235"/>
    <w:rsid w:val="00C5132B"/>
    <w:rsid w:val="00C6369F"/>
    <w:rsid w:val="00C705F0"/>
    <w:rsid w:val="00C72311"/>
    <w:rsid w:val="00C97B26"/>
    <w:rsid w:val="00CA5FDA"/>
    <w:rsid w:val="00CB57B4"/>
    <w:rsid w:val="00CB694A"/>
    <w:rsid w:val="00CC7346"/>
    <w:rsid w:val="00D0281D"/>
    <w:rsid w:val="00D82153"/>
    <w:rsid w:val="00DF2B1E"/>
    <w:rsid w:val="00EA7371"/>
    <w:rsid w:val="00EF1785"/>
    <w:rsid w:val="00F347C3"/>
    <w:rsid w:val="00F45D47"/>
    <w:rsid w:val="00F64CF5"/>
    <w:rsid w:val="00F82B0F"/>
    <w:rsid w:val="00FD3358"/>
    <w:rsid w:val="00FF1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C435C"/>
  <w15:chartTrackingRefBased/>
  <w15:docId w15:val="{2F841C40-5D03-447A-91CB-04704EDC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7A0"/>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B8F"/>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FF1B8F"/>
  </w:style>
  <w:style w:type="paragraph" w:styleId="Footer">
    <w:name w:val="footer"/>
    <w:basedOn w:val="Normal"/>
    <w:link w:val="FooterChar"/>
    <w:uiPriority w:val="99"/>
    <w:unhideWhenUsed/>
    <w:rsid w:val="00FF1B8F"/>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FF1B8F"/>
  </w:style>
  <w:style w:type="paragraph" w:customStyle="1" w:styleId="a">
    <w:basedOn w:val="Normal"/>
    <w:next w:val="Subtitle"/>
    <w:qFormat/>
    <w:rsid w:val="00AB27A0"/>
    <w:pPr>
      <w:jc w:val="center"/>
    </w:pPr>
    <w:rPr>
      <w:i/>
      <w:sz w:val="28"/>
    </w:rPr>
  </w:style>
  <w:style w:type="paragraph" w:styleId="Subtitle">
    <w:name w:val="Subtitle"/>
    <w:basedOn w:val="Normal"/>
    <w:next w:val="Normal"/>
    <w:link w:val="SubtitleChar"/>
    <w:uiPriority w:val="11"/>
    <w:qFormat/>
    <w:rsid w:val="00AB27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27A0"/>
    <w:rPr>
      <w:rFonts w:eastAsiaTheme="minorEastAsia"/>
      <w:color w:val="5A5A5A" w:themeColor="text1" w:themeTint="A5"/>
      <w:spacing w:val="15"/>
      <w:lang w:val="lt-LT"/>
    </w:rPr>
  </w:style>
  <w:style w:type="paragraph" w:styleId="ListParagraph">
    <w:name w:val="List Paragraph"/>
    <w:basedOn w:val="Normal"/>
    <w:uiPriority w:val="34"/>
    <w:qFormat/>
    <w:rsid w:val="008360A7"/>
    <w:pPr>
      <w:ind w:left="720"/>
      <w:contextualSpacing/>
    </w:pPr>
    <w:rPr>
      <w:rFonts w:ascii="Gotham Book" w:hAnsi="Gotham Book"/>
      <w:sz w:val="20"/>
      <w:szCs w:val="24"/>
      <w:lang w:eastAsia="lt-LT"/>
    </w:rPr>
  </w:style>
  <w:style w:type="character" w:styleId="CommentReference">
    <w:name w:val="annotation reference"/>
    <w:basedOn w:val="DefaultParagraphFont"/>
    <w:uiPriority w:val="99"/>
    <w:semiHidden/>
    <w:unhideWhenUsed/>
    <w:rsid w:val="008360A7"/>
    <w:rPr>
      <w:sz w:val="16"/>
      <w:szCs w:val="16"/>
    </w:rPr>
  </w:style>
  <w:style w:type="paragraph" w:styleId="CommentText">
    <w:name w:val="annotation text"/>
    <w:basedOn w:val="Normal"/>
    <w:link w:val="CommentTextChar"/>
    <w:uiPriority w:val="99"/>
    <w:unhideWhenUsed/>
    <w:rsid w:val="008360A7"/>
    <w:rPr>
      <w:rFonts w:ascii="Gotham Book" w:hAnsi="Gotham Book"/>
      <w:sz w:val="20"/>
      <w:lang w:eastAsia="lt-LT"/>
    </w:rPr>
  </w:style>
  <w:style w:type="character" w:customStyle="1" w:styleId="CommentTextChar">
    <w:name w:val="Comment Text Char"/>
    <w:basedOn w:val="DefaultParagraphFont"/>
    <w:link w:val="CommentText"/>
    <w:uiPriority w:val="99"/>
    <w:rsid w:val="008360A7"/>
    <w:rPr>
      <w:rFonts w:ascii="Gotham Book" w:eastAsia="Times New Roman" w:hAnsi="Gotham Book" w:cs="Times New Roman"/>
      <w:sz w:val="20"/>
      <w:szCs w:val="20"/>
      <w:lang w:val="lt-LT" w:eastAsia="lt-LT"/>
    </w:rPr>
  </w:style>
  <w:style w:type="paragraph" w:customStyle="1" w:styleId="western">
    <w:name w:val="western"/>
    <w:basedOn w:val="Normal"/>
    <w:uiPriority w:val="99"/>
    <w:rsid w:val="00C6369F"/>
    <w:pPr>
      <w:spacing w:before="100" w:beforeAutospacing="1" w:after="100" w:afterAutospacing="1"/>
    </w:pPr>
    <w:rPr>
      <w:rFonts w:eastAsia="SimSun"/>
      <w:szCs w:val="24"/>
      <w:lang w:eastAsia="lt-LT"/>
    </w:rPr>
  </w:style>
  <w:style w:type="paragraph" w:customStyle="1" w:styleId="prastasis">
    <w:name w:val="Įprastasis"/>
    <w:rsid w:val="009B06E1"/>
    <w:pPr>
      <w:suppressAutoHyphens/>
      <w:autoSpaceDN w:val="0"/>
      <w:spacing w:line="244" w:lineRule="auto"/>
      <w:textAlignment w:val="baseline"/>
    </w:pPr>
    <w:rPr>
      <w:rFonts w:ascii="Calibri" w:eastAsia="Calibri" w:hAnsi="Calibri" w:cs="Times New Roman"/>
      <w:kern w:val="3"/>
    </w:rPr>
  </w:style>
  <w:style w:type="character" w:customStyle="1" w:styleId="Numatytasispastraiposriftas">
    <w:name w:val="Numatytasis pastraipos šriftas"/>
    <w:rsid w:val="009B06E1"/>
  </w:style>
  <w:style w:type="character" w:customStyle="1" w:styleId="rynqvb">
    <w:name w:val="rynqvb"/>
    <w:basedOn w:val="Numatytasispastraiposriftas"/>
    <w:rsid w:val="009B06E1"/>
  </w:style>
  <w:style w:type="paragraph" w:customStyle="1" w:styleId="Sraopastraipa">
    <w:name w:val="Sąrašo pastraipa"/>
    <w:basedOn w:val="prastasis"/>
    <w:rsid w:val="009B06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A0D7-6B35-42CA-82E4-CD511D6E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Pages>
  <Words>3577</Words>
  <Characters>2040</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Šiaučiūnienė</dc:creator>
  <cp:keywords/>
  <dc:description/>
  <cp:lastModifiedBy>Mindaugas Vaišnoras</cp:lastModifiedBy>
  <cp:revision>24</cp:revision>
  <cp:lastPrinted>2022-12-21T11:23:00Z</cp:lastPrinted>
  <dcterms:created xsi:type="dcterms:W3CDTF">2025-10-07T07:34:00Z</dcterms:created>
  <dcterms:modified xsi:type="dcterms:W3CDTF">2025-10-10T12:18:00Z</dcterms:modified>
</cp:coreProperties>
</file>