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3D12" w:rsidRPr="00700E90" w:rsidRDefault="00AE5C40" w:rsidP="00C84981">
      <w:pPr>
        <w:spacing w:after="0" w:line="240" w:lineRule="auto"/>
        <w:rPr>
          <w:rFonts w:cs="Times New Roman"/>
        </w:rPr>
      </w:pPr>
      <w:r>
        <w:rPr>
          <w:rFonts w:cs="Times New Roman"/>
        </w:rPr>
        <w:tab/>
      </w:r>
    </w:p>
    <w:p w:rsidR="00743D12" w:rsidRPr="00C84981" w:rsidRDefault="00743D12" w:rsidP="00C84981">
      <w:pPr>
        <w:spacing w:after="0" w:line="240" w:lineRule="auto"/>
        <w:ind w:firstLine="567"/>
        <w:jc w:val="center"/>
        <w:rPr>
          <w:rFonts w:cs="Times New Roman"/>
          <w:b/>
          <w:sz w:val="32"/>
          <w:szCs w:val="32"/>
          <w:lang w:bidi="lt-LT"/>
        </w:rPr>
      </w:pPr>
      <w:r w:rsidRPr="00C84981">
        <w:rPr>
          <w:rFonts w:cs="Times New Roman"/>
          <w:b/>
          <w:sz w:val="32"/>
          <w:szCs w:val="32"/>
          <w:lang w:bidi="lt-LT"/>
        </w:rPr>
        <w:t>2021–2027 m. ES fond</w:t>
      </w:r>
      <w:r w:rsidR="00670442" w:rsidRPr="00C84981">
        <w:rPr>
          <w:rFonts w:cs="Times New Roman"/>
          <w:b/>
          <w:sz w:val="32"/>
          <w:szCs w:val="32"/>
          <w:lang w:bidi="lt-LT"/>
        </w:rPr>
        <w:t>ų investicijų programa Lietuvai</w:t>
      </w:r>
    </w:p>
    <w:p w:rsidR="002174B0" w:rsidRPr="00C84981" w:rsidRDefault="00743D12" w:rsidP="00C84981">
      <w:pPr>
        <w:spacing w:after="0" w:line="240" w:lineRule="auto"/>
        <w:rPr>
          <w:rFonts w:cs="Times New Roman"/>
        </w:rPr>
      </w:pPr>
      <w:r w:rsidRPr="00C84981">
        <w:rPr>
          <w:rFonts w:cs="Times New Roman"/>
        </w:rPr>
        <w:t xml:space="preserve">4. </w:t>
      </w:r>
      <w:r w:rsidRPr="00C84981">
        <w:rPr>
          <w:rFonts w:eastAsia="Calibri" w:cs="Times New Roman"/>
          <w:b/>
          <w:noProof/>
          <w:szCs w:val="20"/>
          <w:lang w:eastAsia="lt-LT" w:bidi="lt-LT"/>
        </w:rPr>
        <w:t>Reikiamos sąlygos</w:t>
      </w:r>
    </w:p>
    <w:tbl>
      <w:tblPr>
        <w:tblStyle w:val="Lentelstinklelis9"/>
        <w:tblW w:w="15735" w:type="dxa"/>
        <w:tblInd w:w="-459" w:type="dxa"/>
        <w:tblLayout w:type="fixed"/>
        <w:tblLook w:val="04A0" w:firstRow="1" w:lastRow="0" w:firstColumn="1" w:lastColumn="0" w:noHBand="0" w:noVBand="1"/>
      </w:tblPr>
      <w:tblGrid>
        <w:gridCol w:w="1276"/>
        <w:gridCol w:w="851"/>
        <w:gridCol w:w="1134"/>
        <w:gridCol w:w="1134"/>
        <w:gridCol w:w="2409"/>
        <w:gridCol w:w="1276"/>
        <w:gridCol w:w="2410"/>
        <w:gridCol w:w="5245"/>
      </w:tblGrid>
      <w:tr w:rsidR="00743D12" w:rsidRPr="00C84981" w:rsidTr="00851CC4">
        <w:trPr>
          <w:tblHeader/>
        </w:trPr>
        <w:tc>
          <w:tcPr>
            <w:tcW w:w="1276" w:type="dxa"/>
          </w:tcPr>
          <w:p w:rsidR="00743D12" w:rsidRPr="00C84981" w:rsidRDefault="00743D12" w:rsidP="00C84981">
            <w:pPr>
              <w:jc w:val="both"/>
              <w:rPr>
                <w:rFonts w:eastAsia="Times New Roman" w:cs="Times New Roman"/>
                <w:b/>
                <w:iCs/>
                <w:noProof/>
                <w:szCs w:val="20"/>
              </w:rPr>
            </w:pPr>
            <w:r w:rsidRPr="00C84981">
              <w:rPr>
                <w:rFonts w:eastAsia="Calibri" w:cs="Times New Roman"/>
                <w:b/>
                <w:noProof/>
                <w:szCs w:val="20"/>
              </w:rPr>
              <w:t>Reikiamos sąlygos</w:t>
            </w:r>
          </w:p>
        </w:tc>
        <w:tc>
          <w:tcPr>
            <w:tcW w:w="851" w:type="dxa"/>
          </w:tcPr>
          <w:p w:rsidR="00743D12" w:rsidRPr="00C84981" w:rsidRDefault="00743D12" w:rsidP="00C84981">
            <w:pPr>
              <w:jc w:val="both"/>
              <w:rPr>
                <w:rFonts w:eastAsia="Times New Roman" w:cs="Times New Roman"/>
                <w:b/>
                <w:iCs/>
                <w:noProof/>
                <w:szCs w:val="20"/>
              </w:rPr>
            </w:pPr>
            <w:r w:rsidRPr="00C84981">
              <w:rPr>
                <w:rFonts w:eastAsia="Calibri" w:cs="Times New Roman"/>
                <w:b/>
                <w:noProof/>
                <w:szCs w:val="20"/>
              </w:rPr>
              <w:t>Fondas</w:t>
            </w:r>
          </w:p>
        </w:tc>
        <w:tc>
          <w:tcPr>
            <w:tcW w:w="1134" w:type="dxa"/>
          </w:tcPr>
          <w:p w:rsidR="00743D12" w:rsidRPr="00C84981" w:rsidRDefault="00743D12" w:rsidP="00C84981">
            <w:pPr>
              <w:jc w:val="both"/>
              <w:rPr>
                <w:rFonts w:eastAsia="Times New Roman" w:cs="Times New Roman"/>
                <w:b/>
                <w:iCs/>
                <w:noProof/>
                <w:szCs w:val="20"/>
              </w:rPr>
            </w:pPr>
            <w:r w:rsidRPr="00C84981">
              <w:rPr>
                <w:rFonts w:eastAsia="Calibri" w:cs="Times New Roman"/>
                <w:b/>
                <w:noProof/>
                <w:szCs w:val="20"/>
              </w:rPr>
              <w:t>Konkretus uždavinys</w:t>
            </w:r>
          </w:p>
          <w:p w:rsidR="00743D12" w:rsidRPr="00C84981" w:rsidRDefault="00743D12" w:rsidP="00C84981">
            <w:pPr>
              <w:jc w:val="both"/>
              <w:rPr>
                <w:rFonts w:eastAsia="Times New Roman" w:cs="Times New Roman"/>
                <w:b/>
                <w:iCs/>
                <w:noProof/>
                <w:szCs w:val="20"/>
              </w:rPr>
            </w:pPr>
          </w:p>
        </w:tc>
        <w:tc>
          <w:tcPr>
            <w:tcW w:w="1134" w:type="dxa"/>
          </w:tcPr>
          <w:p w:rsidR="00743D12" w:rsidRPr="00C84981" w:rsidRDefault="00743D12" w:rsidP="00C84981">
            <w:pPr>
              <w:jc w:val="both"/>
              <w:rPr>
                <w:rFonts w:eastAsia="Times New Roman" w:cs="Times New Roman"/>
                <w:b/>
                <w:iCs/>
                <w:noProof/>
                <w:szCs w:val="20"/>
              </w:rPr>
            </w:pPr>
            <w:r w:rsidRPr="00C84981">
              <w:rPr>
                <w:rFonts w:eastAsia="Calibri" w:cs="Times New Roman"/>
                <w:b/>
                <w:noProof/>
                <w:szCs w:val="20"/>
              </w:rPr>
              <w:t>Reikiamos sąlygos įvykdymas</w:t>
            </w:r>
          </w:p>
        </w:tc>
        <w:tc>
          <w:tcPr>
            <w:tcW w:w="2409" w:type="dxa"/>
          </w:tcPr>
          <w:p w:rsidR="00743D12" w:rsidRPr="00C84981" w:rsidRDefault="00743D12" w:rsidP="00C84981">
            <w:pPr>
              <w:jc w:val="both"/>
              <w:rPr>
                <w:rFonts w:eastAsia="Times New Roman" w:cs="Times New Roman"/>
                <w:b/>
                <w:iCs/>
                <w:noProof/>
                <w:szCs w:val="20"/>
              </w:rPr>
            </w:pPr>
            <w:r w:rsidRPr="00C84981">
              <w:rPr>
                <w:rFonts w:eastAsia="Calibri" w:cs="Times New Roman"/>
                <w:b/>
                <w:noProof/>
                <w:szCs w:val="20"/>
              </w:rPr>
              <w:t xml:space="preserve">Kriterijai </w:t>
            </w:r>
          </w:p>
        </w:tc>
        <w:tc>
          <w:tcPr>
            <w:tcW w:w="1276" w:type="dxa"/>
          </w:tcPr>
          <w:p w:rsidR="00743D12" w:rsidRPr="00C84981" w:rsidRDefault="00743D12" w:rsidP="00C84981">
            <w:pPr>
              <w:jc w:val="both"/>
              <w:rPr>
                <w:rFonts w:eastAsia="Times New Roman" w:cs="Times New Roman"/>
                <w:b/>
                <w:iCs/>
                <w:noProof/>
                <w:szCs w:val="20"/>
              </w:rPr>
            </w:pPr>
            <w:r w:rsidRPr="00C84981">
              <w:rPr>
                <w:rFonts w:eastAsia="Calibri" w:cs="Times New Roman"/>
                <w:b/>
                <w:noProof/>
                <w:szCs w:val="20"/>
              </w:rPr>
              <w:t>Kriterijų tenkinimas</w:t>
            </w:r>
          </w:p>
        </w:tc>
        <w:tc>
          <w:tcPr>
            <w:tcW w:w="2410" w:type="dxa"/>
          </w:tcPr>
          <w:p w:rsidR="00743D12" w:rsidRPr="00C84981" w:rsidRDefault="00743D12" w:rsidP="00C84981">
            <w:pPr>
              <w:jc w:val="both"/>
              <w:rPr>
                <w:rFonts w:eastAsia="Times New Roman" w:cs="Times New Roman"/>
                <w:b/>
                <w:iCs/>
                <w:noProof/>
                <w:szCs w:val="20"/>
              </w:rPr>
            </w:pPr>
            <w:r w:rsidRPr="00C84981">
              <w:rPr>
                <w:rFonts w:eastAsia="Calibri" w:cs="Times New Roman"/>
                <w:b/>
                <w:noProof/>
                <w:szCs w:val="20"/>
              </w:rPr>
              <w:t xml:space="preserve">Nuoroda į atitinkamus dokumentus </w:t>
            </w:r>
          </w:p>
        </w:tc>
        <w:tc>
          <w:tcPr>
            <w:tcW w:w="5245" w:type="dxa"/>
          </w:tcPr>
          <w:p w:rsidR="00743D12" w:rsidRPr="00C84981" w:rsidRDefault="00743D12" w:rsidP="00C84981">
            <w:pPr>
              <w:jc w:val="both"/>
              <w:rPr>
                <w:rFonts w:eastAsia="Times New Roman" w:cs="Times New Roman"/>
                <w:b/>
                <w:iCs/>
                <w:noProof/>
                <w:szCs w:val="20"/>
              </w:rPr>
            </w:pPr>
            <w:r w:rsidRPr="00C84981">
              <w:rPr>
                <w:rFonts w:eastAsia="Calibri" w:cs="Times New Roman"/>
                <w:b/>
                <w:noProof/>
                <w:szCs w:val="20"/>
              </w:rPr>
              <w:t xml:space="preserve">Pagrindimas </w:t>
            </w:r>
          </w:p>
        </w:tc>
      </w:tr>
      <w:tr w:rsidR="00743D12" w:rsidRPr="00C84981" w:rsidTr="00851CC4">
        <w:tc>
          <w:tcPr>
            <w:tcW w:w="1276" w:type="dxa"/>
          </w:tcPr>
          <w:p w:rsidR="00743D12" w:rsidRPr="00C84981" w:rsidRDefault="00743D12" w:rsidP="00C84981">
            <w:pPr>
              <w:jc w:val="both"/>
              <w:rPr>
                <w:rFonts w:eastAsia="Times New Roman" w:cs="Times New Roman"/>
                <w:iCs/>
                <w:noProof/>
                <w:szCs w:val="20"/>
              </w:rPr>
            </w:pPr>
          </w:p>
        </w:tc>
        <w:tc>
          <w:tcPr>
            <w:tcW w:w="851" w:type="dxa"/>
          </w:tcPr>
          <w:p w:rsidR="00743D12" w:rsidRPr="00C84981" w:rsidRDefault="00743D12" w:rsidP="00C84981">
            <w:pPr>
              <w:jc w:val="both"/>
              <w:rPr>
                <w:rFonts w:eastAsia="Times New Roman" w:cs="Times New Roman"/>
                <w:iCs/>
                <w:noProof/>
                <w:szCs w:val="20"/>
              </w:rPr>
            </w:pPr>
          </w:p>
        </w:tc>
        <w:tc>
          <w:tcPr>
            <w:tcW w:w="1134" w:type="dxa"/>
          </w:tcPr>
          <w:p w:rsidR="00743D12" w:rsidRPr="00C84981" w:rsidRDefault="00743D12" w:rsidP="00C84981">
            <w:pPr>
              <w:jc w:val="both"/>
              <w:rPr>
                <w:rFonts w:eastAsia="Times New Roman" w:cs="Times New Roman"/>
                <w:iCs/>
                <w:noProof/>
                <w:szCs w:val="20"/>
              </w:rPr>
            </w:pPr>
          </w:p>
        </w:tc>
        <w:tc>
          <w:tcPr>
            <w:tcW w:w="1134" w:type="dxa"/>
          </w:tcPr>
          <w:p w:rsidR="00743D12" w:rsidRPr="00C84981" w:rsidRDefault="00743D12" w:rsidP="00C84981">
            <w:pPr>
              <w:jc w:val="both"/>
              <w:rPr>
                <w:rFonts w:eastAsia="Times New Roman" w:cs="Times New Roman"/>
                <w:iCs/>
                <w:noProof/>
                <w:szCs w:val="20"/>
              </w:rPr>
            </w:pPr>
            <w:r w:rsidRPr="00C84981">
              <w:rPr>
                <w:rFonts w:eastAsia="Calibri" w:cs="Times New Roman"/>
                <w:noProof/>
                <w:szCs w:val="20"/>
              </w:rPr>
              <w:t>Taip / Ne</w:t>
            </w:r>
          </w:p>
        </w:tc>
        <w:tc>
          <w:tcPr>
            <w:tcW w:w="2409" w:type="dxa"/>
          </w:tcPr>
          <w:p w:rsidR="00743D12" w:rsidRPr="00C84981" w:rsidRDefault="00743D12" w:rsidP="00C84981">
            <w:pPr>
              <w:jc w:val="both"/>
              <w:rPr>
                <w:rFonts w:eastAsia="Times New Roman" w:cs="Times New Roman"/>
                <w:iCs/>
                <w:noProof/>
                <w:szCs w:val="20"/>
              </w:rPr>
            </w:pPr>
            <w:r w:rsidRPr="00C84981">
              <w:rPr>
                <w:rFonts w:eastAsia="Calibri" w:cs="Times New Roman"/>
                <w:noProof/>
                <w:szCs w:val="20"/>
              </w:rPr>
              <w:t>1 kriterijus</w:t>
            </w:r>
          </w:p>
        </w:tc>
        <w:tc>
          <w:tcPr>
            <w:tcW w:w="1276" w:type="dxa"/>
          </w:tcPr>
          <w:p w:rsidR="00743D12" w:rsidRPr="00C84981" w:rsidRDefault="00743D12" w:rsidP="00C84981">
            <w:pPr>
              <w:jc w:val="both"/>
              <w:rPr>
                <w:rFonts w:eastAsia="Times New Roman" w:cs="Times New Roman"/>
                <w:iCs/>
                <w:noProof/>
                <w:szCs w:val="20"/>
              </w:rPr>
            </w:pPr>
            <w:r w:rsidRPr="00C84981">
              <w:rPr>
                <w:rFonts w:eastAsia="Calibri" w:cs="Times New Roman"/>
                <w:noProof/>
                <w:szCs w:val="20"/>
              </w:rPr>
              <w:t>taip / ne</w:t>
            </w:r>
          </w:p>
        </w:tc>
        <w:tc>
          <w:tcPr>
            <w:tcW w:w="2410" w:type="dxa"/>
          </w:tcPr>
          <w:p w:rsidR="00743D12" w:rsidRPr="00C84981" w:rsidRDefault="00743D12" w:rsidP="00C84981">
            <w:pPr>
              <w:jc w:val="both"/>
              <w:rPr>
                <w:rFonts w:eastAsia="Times New Roman" w:cs="Times New Roman"/>
                <w:iCs/>
                <w:noProof/>
                <w:szCs w:val="20"/>
              </w:rPr>
            </w:pPr>
            <w:r w:rsidRPr="00C84981">
              <w:rPr>
                <w:rFonts w:eastAsia="Calibri" w:cs="Times New Roman"/>
                <w:noProof/>
                <w:szCs w:val="20"/>
              </w:rPr>
              <w:t>[500]</w:t>
            </w:r>
          </w:p>
        </w:tc>
        <w:tc>
          <w:tcPr>
            <w:tcW w:w="5245" w:type="dxa"/>
          </w:tcPr>
          <w:p w:rsidR="00743D12" w:rsidRPr="00C84981" w:rsidRDefault="00743D12" w:rsidP="00C84981">
            <w:pPr>
              <w:jc w:val="both"/>
              <w:rPr>
                <w:rFonts w:eastAsia="Times New Roman" w:cs="Times New Roman"/>
                <w:iCs/>
                <w:noProof/>
                <w:szCs w:val="20"/>
              </w:rPr>
            </w:pPr>
            <w:r w:rsidRPr="00C84981">
              <w:rPr>
                <w:rFonts w:eastAsia="Calibri" w:cs="Times New Roman"/>
                <w:noProof/>
                <w:szCs w:val="20"/>
              </w:rPr>
              <w:t>[1 000]</w:t>
            </w:r>
          </w:p>
        </w:tc>
      </w:tr>
      <w:tr w:rsidR="003170B5" w:rsidRPr="00C84981" w:rsidTr="00851CC4">
        <w:tc>
          <w:tcPr>
            <w:tcW w:w="3261" w:type="dxa"/>
            <w:gridSpan w:val="3"/>
          </w:tcPr>
          <w:p w:rsidR="003170B5" w:rsidRPr="00C84981" w:rsidRDefault="003170B5" w:rsidP="00C84981">
            <w:pPr>
              <w:jc w:val="both"/>
              <w:rPr>
                <w:rFonts w:eastAsia="Times New Roman" w:cs="Times New Roman"/>
                <w:b/>
                <w:iCs/>
                <w:noProof/>
                <w:szCs w:val="20"/>
              </w:rPr>
            </w:pPr>
            <w:r w:rsidRPr="00C84981">
              <w:rPr>
                <w:rFonts w:eastAsia="Times New Roman" w:cs="Times New Roman"/>
                <w:b/>
                <w:iCs/>
                <w:noProof/>
                <w:szCs w:val="20"/>
              </w:rPr>
              <w:t>Horizontalios reikiamos salygos</w:t>
            </w:r>
          </w:p>
        </w:tc>
        <w:tc>
          <w:tcPr>
            <w:tcW w:w="1134" w:type="dxa"/>
          </w:tcPr>
          <w:p w:rsidR="003170B5" w:rsidRPr="00C84981" w:rsidRDefault="003170B5" w:rsidP="00C84981">
            <w:pPr>
              <w:jc w:val="both"/>
              <w:rPr>
                <w:rFonts w:eastAsia="Times New Roman" w:cs="Times New Roman"/>
                <w:iCs/>
                <w:noProof/>
                <w:szCs w:val="20"/>
              </w:rPr>
            </w:pPr>
          </w:p>
        </w:tc>
        <w:tc>
          <w:tcPr>
            <w:tcW w:w="2409" w:type="dxa"/>
          </w:tcPr>
          <w:p w:rsidR="003170B5" w:rsidRPr="00C84981" w:rsidRDefault="003170B5" w:rsidP="00C84981">
            <w:pPr>
              <w:jc w:val="both"/>
              <w:rPr>
                <w:rFonts w:eastAsia="Times New Roman" w:cs="Times New Roman"/>
                <w:iCs/>
                <w:noProof/>
                <w:szCs w:val="20"/>
              </w:rPr>
            </w:pPr>
          </w:p>
        </w:tc>
        <w:tc>
          <w:tcPr>
            <w:tcW w:w="1276" w:type="dxa"/>
          </w:tcPr>
          <w:p w:rsidR="003170B5" w:rsidRPr="00C84981" w:rsidRDefault="003170B5" w:rsidP="00C84981">
            <w:pPr>
              <w:jc w:val="both"/>
              <w:rPr>
                <w:rFonts w:eastAsia="Times New Roman" w:cs="Times New Roman"/>
                <w:iCs/>
                <w:noProof/>
                <w:szCs w:val="20"/>
              </w:rPr>
            </w:pPr>
          </w:p>
        </w:tc>
        <w:tc>
          <w:tcPr>
            <w:tcW w:w="2410" w:type="dxa"/>
          </w:tcPr>
          <w:p w:rsidR="003170B5" w:rsidRPr="00C84981" w:rsidRDefault="003170B5" w:rsidP="00C84981">
            <w:pPr>
              <w:jc w:val="both"/>
              <w:rPr>
                <w:rFonts w:eastAsia="Times New Roman" w:cs="Times New Roman"/>
                <w:iCs/>
                <w:noProof/>
                <w:szCs w:val="20"/>
              </w:rPr>
            </w:pPr>
          </w:p>
        </w:tc>
        <w:tc>
          <w:tcPr>
            <w:tcW w:w="5245" w:type="dxa"/>
          </w:tcPr>
          <w:p w:rsidR="003170B5" w:rsidRPr="00C84981" w:rsidRDefault="003170B5" w:rsidP="00C84981">
            <w:pPr>
              <w:jc w:val="both"/>
              <w:rPr>
                <w:rFonts w:eastAsia="Times New Roman" w:cs="Times New Roman"/>
                <w:iCs/>
                <w:noProof/>
                <w:szCs w:val="20"/>
              </w:rPr>
            </w:pPr>
          </w:p>
        </w:tc>
      </w:tr>
      <w:tr w:rsidR="00385958" w:rsidRPr="00C84981" w:rsidTr="00851CC4">
        <w:tc>
          <w:tcPr>
            <w:tcW w:w="1276" w:type="dxa"/>
            <w:vMerge w:val="restart"/>
          </w:tcPr>
          <w:p w:rsidR="00385958" w:rsidRDefault="00385958" w:rsidP="006B2548">
            <w:pPr>
              <w:pStyle w:val="ListParagraph"/>
              <w:numPr>
                <w:ilvl w:val="0"/>
                <w:numId w:val="1"/>
              </w:numPr>
              <w:tabs>
                <w:tab w:val="left" w:pos="175"/>
                <w:tab w:val="left" w:pos="684"/>
              </w:tabs>
              <w:ind w:left="0" w:firstLine="0"/>
              <w:rPr>
                <w:rFonts w:eastAsia="Times New Roman" w:cs="Times New Roman"/>
                <w:iCs/>
                <w:noProof/>
                <w:szCs w:val="20"/>
              </w:rPr>
            </w:pPr>
            <w:r w:rsidRPr="00C84981">
              <w:rPr>
                <w:rFonts w:eastAsia="Times New Roman" w:cs="Times New Roman"/>
                <w:iCs/>
                <w:noProof/>
                <w:szCs w:val="20"/>
              </w:rPr>
              <w:t>Veiksmingi viešųjų pirkimų rinkos stebėsenos mechanizmai</w:t>
            </w:r>
          </w:p>
          <w:p w:rsidR="00385958" w:rsidRPr="00C84981" w:rsidRDefault="00385958" w:rsidP="006B2548">
            <w:pPr>
              <w:pStyle w:val="ListParagraph"/>
              <w:tabs>
                <w:tab w:val="left" w:pos="175"/>
                <w:tab w:val="left" w:pos="684"/>
              </w:tabs>
              <w:ind w:left="0"/>
              <w:rPr>
                <w:rFonts w:eastAsia="Times New Roman" w:cs="Times New Roman"/>
                <w:iCs/>
                <w:noProof/>
                <w:szCs w:val="20"/>
              </w:rPr>
            </w:pPr>
          </w:p>
          <w:p w:rsidR="00385958" w:rsidRPr="00C84981" w:rsidRDefault="00385958" w:rsidP="006B2548">
            <w:pPr>
              <w:tabs>
                <w:tab w:val="left" w:pos="684"/>
              </w:tabs>
              <w:rPr>
                <w:rFonts w:eastAsia="Times New Roman" w:cs="Times New Roman"/>
                <w:iCs/>
                <w:noProof/>
                <w:szCs w:val="20"/>
              </w:rPr>
            </w:pPr>
            <w:r w:rsidRPr="00C84981">
              <w:rPr>
                <w:rFonts w:eastAsia="Times New Roman" w:cs="Times New Roman"/>
                <w:iCs/>
                <w:noProof/>
                <w:szCs w:val="20"/>
              </w:rPr>
              <w:t>(Effective monitoring mechanisms of the public procurement market)</w:t>
            </w:r>
          </w:p>
        </w:tc>
        <w:tc>
          <w:tcPr>
            <w:tcW w:w="851" w:type="dxa"/>
            <w:vMerge w:val="restart"/>
          </w:tcPr>
          <w:p w:rsidR="00385958" w:rsidRPr="00C84981" w:rsidRDefault="00385958" w:rsidP="00C84981">
            <w:pPr>
              <w:jc w:val="both"/>
              <w:rPr>
                <w:rFonts w:eastAsia="Times New Roman" w:cs="Times New Roman"/>
                <w:iCs/>
                <w:noProof/>
                <w:szCs w:val="20"/>
              </w:rPr>
            </w:pPr>
          </w:p>
        </w:tc>
        <w:tc>
          <w:tcPr>
            <w:tcW w:w="1134" w:type="dxa"/>
            <w:vMerge w:val="restart"/>
          </w:tcPr>
          <w:p w:rsidR="00385958" w:rsidRPr="00C84981" w:rsidRDefault="00385958" w:rsidP="00C84981">
            <w:pPr>
              <w:jc w:val="both"/>
              <w:rPr>
                <w:rFonts w:eastAsia="Times New Roman" w:cs="Times New Roman"/>
                <w:iCs/>
                <w:noProof/>
                <w:szCs w:val="20"/>
              </w:rPr>
            </w:pPr>
          </w:p>
        </w:tc>
        <w:tc>
          <w:tcPr>
            <w:tcW w:w="1134" w:type="dxa"/>
            <w:vMerge w:val="restart"/>
            <w:shd w:val="clear" w:color="auto" w:fill="auto"/>
          </w:tcPr>
          <w:p w:rsidR="00385958" w:rsidRPr="00C84981" w:rsidRDefault="00385958" w:rsidP="00C84981">
            <w:pPr>
              <w:jc w:val="both"/>
              <w:rPr>
                <w:rFonts w:eastAsia="Times New Roman" w:cs="Times New Roman"/>
                <w:iCs/>
                <w:noProof/>
                <w:szCs w:val="20"/>
              </w:rPr>
            </w:pPr>
            <w:r w:rsidRPr="00C84981">
              <w:rPr>
                <w:rFonts w:eastAsia="Times New Roman" w:cs="Times New Roman"/>
                <w:iCs/>
                <w:noProof/>
                <w:szCs w:val="20"/>
              </w:rPr>
              <w:t>Taip</w:t>
            </w:r>
          </w:p>
        </w:tc>
        <w:tc>
          <w:tcPr>
            <w:tcW w:w="2409" w:type="dxa"/>
          </w:tcPr>
          <w:p w:rsidR="000B536F" w:rsidRPr="003A5093" w:rsidRDefault="000B536F" w:rsidP="000B536F">
            <w:pPr>
              <w:spacing w:before="60" w:after="60"/>
              <w:rPr>
                <w:rFonts w:cs="Times New Roman"/>
                <w:szCs w:val="20"/>
              </w:rPr>
            </w:pPr>
            <w:r w:rsidRPr="003A5093">
              <w:rPr>
                <w:rFonts w:cs="Times New Roman"/>
                <w:szCs w:val="20"/>
              </w:rPr>
              <w:t>Įdiegti stebėsenos mechanizmai, taikomi visoms viešosioms sutartims ir jų skyrimui pagal fondus laikantis ES viešųjų pirkimų teisės aktų. Šiuo reikalavimu numatoma:</w:t>
            </w:r>
          </w:p>
          <w:p w:rsidR="000B536F" w:rsidRPr="003A5093" w:rsidRDefault="000B536F" w:rsidP="000B536F">
            <w:pPr>
              <w:rPr>
                <w:rFonts w:cs="Times New Roman"/>
                <w:szCs w:val="20"/>
              </w:rPr>
            </w:pPr>
            <w:r w:rsidRPr="003A5093">
              <w:rPr>
                <w:rFonts w:eastAsia="Calibri" w:cs="Times New Roman"/>
                <w:noProof/>
                <w:szCs w:val="20"/>
                <w:lang w:val="en-US"/>
              </w:rPr>
              <w:t xml:space="preserve"> 1</w:t>
            </w:r>
            <w:r w:rsidRPr="003A5093">
              <w:rPr>
                <w:rFonts w:eastAsia="Calibri" w:cs="Times New Roman"/>
                <w:noProof/>
                <w:szCs w:val="20"/>
              </w:rPr>
              <w:t xml:space="preserve">. </w:t>
            </w:r>
            <w:r w:rsidRPr="003A5093">
              <w:rPr>
                <w:rFonts w:cs="Times New Roman"/>
                <w:szCs w:val="20"/>
              </w:rPr>
              <w:t>tvarka, kuria užtikrinamas veiksmingų ir patikimų duomenų apie viešųjų pirkimų procedūras, kurių vertė viršija ES nustatytas ribas, rinkimas laikantis ataskaitų teikimo pareigų pagal Direktyvos 2014/24/ES 83 ir 84 straipsnius ir Direktyvos 2014/25/ES 99 ir 100 straipsniu;</w:t>
            </w:r>
          </w:p>
          <w:p w:rsidR="00CB5639" w:rsidRPr="003A5093" w:rsidRDefault="00CB5639" w:rsidP="006B2548">
            <w:pPr>
              <w:rPr>
                <w:rFonts w:eastAsia="Calibri" w:cs="Times New Roman"/>
                <w:noProof/>
                <w:szCs w:val="20"/>
                <w:lang w:val="en-US"/>
              </w:rPr>
            </w:pPr>
          </w:p>
          <w:p w:rsidR="000B536F" w:rsidRPr="003A5093" w:rsidRDefault="000B536F" w:rsidP="000B536F">
            <w:pPr>
              <w:pStyle w:val="Default"/>
              <w:rPr>
                <w:sz w:val="20"/>
                <w:szCs w:val="20"/>
                <w:lang w:val="en-US"/>
              </w:rPr>
            </w:pPr>
            <w:r w:rsidRPr="003A5093">
              <w:rPr>
                <w:sz w:val="20"/>
                <w:szCs w:val="20"/>
                <w:lang w:val="en-US"/>
              </w:rPr>
              <w:t xml:space="preserve">(Monitoring mechanisms are in place that cover all public contracts and their procurement under the Funds in line with EU procurement legislation. This requirement includes: </w:t>
            </w:r>
          </w:p>
          <w:p w:rsidR="00385958" w:rsidRPr="003A5093" w:rsidRDefault="000B536F" w:rsidP="00784A47">
            <w:pPr>
              <w:rPr>
                <w:rFonts w:eastAsia="Calibri" w:cs="Times New Roman"/>
                <w:noProof/>
                <w:szCs w:val="20"/>
                <w:lang w:val="en-US"/>
              </w:rPr>
            </w:pPr>
            <w:r w:rsidRPr="003A5093">
              <w:rPr>
                <w:rFonts w:cs="Times New Roman"/>
                <w:szCs w:val="20"/>
                <w:lang w:val="en-US"/>
              </w:rPr>
              <w:t xml:space="preserve">1. Arrangements to ensure compilation of effective and reliable data on public procurement procedures above the EU thresholds in accordance with reporting obligations under Article 83 and 84 of Directive 2014/24/EU and Article 99 and 100 of Directive 2014/25/EU. </w:t>
            </w:r>
            <w:r w:rsidRPr="003A5093">
              <w:rPr>
                <w:rFonts w:eastAsia="Calibri" w:cs="Times New Roman"/>
                <w:noProof/>
                <w:szCs w:val="20"/>
                <w:lang w:val="en-US"/>
              </w:rPr>
              <w:t>)</w:t>
            </w:r>
          </w:p>
        </w:tc>
        <w:tc>
          <w:tcPr>
            <w:tcW w:w="1276" w:type="dxa"/>
            <w:shd w:val="clear" w:color="auto" w:fill="auto"/>
          </w:tcPr>
          <w:p w:rsidR="00385958" w:rsidRPr="00C84981" w:rsidRDefault="00385958" w:rsidP="00C84981">
            <w:pPr>
              <w:jc w:val="both"/>
              <w:rPr>
                <w:rFonts w:eastAsia="Calibri" w:cs="Times New Roman"/>
                <w:noProof/>
                <w:szCs w:val="20"/>
              </w:rPr>
            </w:pPr>
            <w:r w:rsidRPr="00C84981">
              <w:rPr>
                <w:rFonts w:eastAsia="Calibri" w:cs="Times New Roman"/>
                <w:noProof/>
                <w:szCs w:val="20"/>
              </w:rPr>
              <w:t>Taip</w:t>
            </w:r>
          </w:p>
        </w:tc>
        <w:tc>
          <w:tcPr>
            <w:tcW w:w="2410" w:type="dxa"/>
          </w:tcPr>
          <w:p w:rsidR="00385958" w:rsidRPr="00D7094D" w:rsidRDefault="00627FD3" w:rsidP="00C84981">
            <w:pPr>
              <w:jc w:val="both"/>
              <w:rPr>
                <w:rFonts w:eastAsia="Times New Roman" w:cs="Times New Roman"/>
                <w:iCs/>
                <w:noProof/>
                <w:color w:val="0000CC"/>
                <w:szCs w:val="20"/>
              </w:rPr>
            </w:pPr>
            <w:hyperlink r:id="rId8" w:history="1">
              <w:r w:rsidR="00385958" w:rsidRPr="00CC684C">
                <w:rPr>
                  <w:rStyle w:val="Hyperlink"/>
                  <w:rFonts w:eastAsia="Times New Roman" w:cs="Times New Roman"/>
                  <w:iCs/>
                  <w:noProof/>
                  <w:szCs w:val="20"/>
                </w:rPr>
                <w:t>Lietuvos Respublikos viešųjų pirkimų įstatymas (VPĮ)</w:t>
              </w:r>
            </w:hyperlink>
            <w:r w:rsidR="00985A8D">
              <w:rPr>
                <w:rFonts w:eastAsia="Times New Roman" w:cs="Times New Roman"/>
                <w:iCs/>
                <w:noProof/>
                <w:szCs w:val="20"/>
              </w:rPr>
              <w:t>:</w:t>
            </w:r>
          </w:p>
          <w:p w:rsidR="00385958" w:rsidRPr="00C84981" w:rsidRDefault="00385958" w:rsidP="00C84981">
            <w:pPr>
              <w:jc w:val="both"/>
              <w:rPr>
                <w:rFonts w:eastAsia="Times New Roman" w:cs="Times New Roman"/>
                <w:iCs/>
                <w:noProof/>
                <w:szCs w:val="20"/>
              </w:rPr>
            </w:pPr>
            <w:r w:rsidRPr="00C84981">
              <w:rPr>
                <w:rFonts w:eastAsia="Times New Roman" w:cs="Times New Roman"/>
                <w:iCs/>
                <w:noProof/>
                <w:szCs w:val="20"/>
              </w:rPr>
              <w:t>•</w:t>
            </w:r>
            <w:r w:rsidR="007C78DA">
              <w:rPr>
                <w:rFonts w:eastAsia="Times New Roman" w:cs="Times New Roman"/>
                <w:iCs/>
                <w:noProof/>
                <w:szCs w:val="20"/>
              </w:rPr>
              <w:t xml:space="preserve"> </w:t>
            </w:r>
            <w:r w:rsidRPr="00C84981">
              <w:rPr>
                <w:rFonts w:eastAsia="Times New Roman" w:cs="Times New Roman"/>
                <w:iCs/>
                <w:noProof/>
                <w:szCs w:val="20"/>
              </w:rPr>
              <w:t>96 str. (Perkančiųjų organizacijų registracija ir pirkimų ataskaitos)</w:t>
            </w:r>
          </w:p>
          <w:p w:rsidR="00385958" w:rsidRPr="00C84981" w:rsidRDefault="00385958" w:rsidP="00C84981">
            <w:pPr>
              <w:jc w:val="both"/>
              <w:rPr>
                <w:rFonts w:eastAsia="Times New Roman" w:cs="Times New Roman"/>
                <w:iCs/>
                <w:noProof/>
                <w:szCs w:val="20"/>
              </w:rPr>
            </w:pPr>
            <w:r w:rsidRPr="00C84981">
              <w:rPr>
                <w:rFonts w:eastAsia="Times New Roman" w:cs="Times New Roman"/>
                <w:iCs/>
                <w:noProof/>
                <w:szCs w:val="20"/>
              </w:rPr>
              <w:t>• 98 str. (Pirkimų stebėsenos ataskaita)</w:t>
            </w:r>
          </w:p>
          <w:p w:rsidR="00385958" w:rsidRPr="00C84981" w:rsidRDefault="00627FD3" w:rsidP="00C84981">
            <w:pPr>
              <w:jc w:val="both"/>
              <w:rPr>
                <w:rFonts w:eastAsia="Times New Roman" w:cs="Times New Roman"/>
                <w:iCs/>
                <w:noProof/>
                <w:szCs w:val="20"/>
              </w:rPr>
            </w:pPr>
            <w:hyperlink r:id="rId9" w:history="1">
              <w:r w:rsidR="00385958" w:rsidRPr="00985A8D">
                <w:rPr>
                  <w:rStyle w:val="Hyperlink"/>
                  <w:rFonts w:eastAsia="Times New Roman" w:cs="Times New Roman"/>
                  <w:iCs/>
                  <w:noProof/>
                  <w:szCs w:val="20"/>
                </w:rPr>
                <w:t>Lietuvos Respublikos pirkimų, atliekamų vandentvarkos, energetikos, transporto ir pašto paslaugų srities perkančiųjų subjektų, įstatymas (PĮ)</w:t>
              </w:r>
            </w:hyperlink>
            <w:r w:rsidR="00385958" w:rsidRPr="00C84981">
              <w:rPr>
                <w:rFonts w:eastAsia="Times New Roman" w:cs="Times New Roman"/>
                <w:iCs/>
                <w:noProof/>
                <w:szCs w:val="20"/>
              </w:rPr>
              <w:t>:</w:t>
            </w:r>
          </w:p>
          <w:p w:rsidR="00385958" w:rsidRPr="00C84981" w:rsidRDefault="00385958" w:rsidP="00C84981">
            <w:pPr>
              <w:jc w:val="both"/>
              <w:rPr>
                <w:rFonts w:eastAsia="Times New Roman" w:cs="Times New Roman"/>
                <w:iCs/>
                <w:noProof/>
                <w:szCs w:val="20"/>
              </w:rPr>
            </w:pPr>
            <w:r w:rsidRPr="00C84981">
              <w:rPr>
                <w:rFonts w:eastAsia="Times New Roman" w:cs="Times New Roman"/>
                <w:iCs/>
                <w:noProof/>
                <w:szCs w:val="20"/>
              </w:rPr>
              <w:t>• 102 str. (to paties tipo norma kaip VPĮ)</w:t>
            </w:r>
          </w:p>
          <w:p w:rsidR="00385958" w:rsidRPr="00C84981" w:rsidRDefault="00385958" w:rsidP="00C84981">
            <w:pPr>
              <w:jc w:val="both"/>
              <w:rPr>
                <w:rFonts w:eastAsia="Times New Roman" w:cs="Times New Roman"/>
                <w:iCs/>
                <w:noProof/>
                <w:szCs w:val="20"/>
              </w:rPr>
            </w:pPr>
            <w:r w:rsidRPr="00C84981">
              <w:rPr>
                <w:rFonts w:eastAsia="Times New Roman" w:cs="Times New Roman"/>
                <w:iCs/>
                <w:noProof/>
                <w:szCs w:val="20"/>
              </w:rPr>
              <w:t>• 104 str. (to paties tipo norma kaip VPĮ)</w:t>
            </w:r>
          </w:p>
        </w:tc>
        <w:tc>
          <w:tcPr>
            <w:tcW w:w="5245" w:type="dxa"/>
          </w:tcPr>
          <w:p w:rsidR="00385958" w:rsidRPr="00C84981" w:rsidRDefault="00385958" w:rsidP="009A406A">
            <w:pPr>
              <w:jc w:val="both"/>
              <w:rPr>
                <w:rFonts w:cs="Times New Roman"/>
              </w:rPr>
            </w:pPr>
            <w:r w:rsidRPr="00C84981">
              <w:rPr>
                <w:rFonts w:cs="Times New Roman"/>
              </w:rPr>
              <w:t>VPĮ 96 str. Ir PĮ 102 str. nustato reikalavimą pateikti pirkimo procedūrų ataskaitas ir baigtinį sąrašą atvejų, kai tokios ataskaitos neteikiamos, taip pat nustato prievolę teikti metines pirkimų ataskaitas.</w:t>
            </w:r>
          </w:p>
          <w:p w:rsidR="000A197C" w:rsidRPr="00D40048" w:rsidRDefault="00385958" w:rsidP="000A197C">
            <w:pPr>
              <w:jc w:val="both"/>
              <w:rPr>
                <w:rFonts w:eastAsia="Times New Roman" w:cs="Times New Roman"/>
                <w:iCs/>
                <w:noProof/>
                <w:color w:val="000000" w:themeColor="text1"/>
                <w:szCs w:val="20"/>
              </w:rPr>
            </w:pPr>
            <w:r w:rsidRPr="00C84981">
              <w:rPr>
                <w:rFonts w:cs="Times New Roman"/>
              </w:rPr>
              <w:t xml:space="preserve">VPĮ 98 str. Ir PĮ 104 str. Nustato reikalavimą parengti ir pateikti pirkimų stebėsenos ataskaitą Europos Komisijai. Stebėsenos ataskaita teikiama pagal Europos Komisijos nustatytą formą ir viešai prieinama adresu: </w:t>
            </w:r>
            <w:hyperlink r:id="rId10" w:history="1">
              <w:r w:rsidR="000A197C" w:rsidRPr="00D40048">
                <w:rPr>
                  <w:rStyle w:val="Hyperlink"/>
                  <w:rFonts w:eastAsia="Times New Roman" w:cs="Times New Roman"/>
                  <w:iCs/>
                  <w:noProof/>
                  <w:color w:val="000000" w:themeColor="text1"/>
                  <w:szCs w:val="20"/>
                </w:rPr>
                <w:t>https://vpt.lrv.lt/lt/statistika-ir-analize/ataskaitos-europos-komisijai</w:t>
              </w:r>
            </w:hyperlink>
          </w:p>
          <w:p w:rsidR="00385958" w:rsidRPr="00C84981" w:rsidRDefault="00385958" w:rsidP="000A197C">
            <w:pPr>
              <w:jc w:val="both"/>
              <w:rPr>
                <w:rFonts w:eastAsia="Times New Roman" w:cs="Times New Roman"/>
                <w:iCs/>
                <w:noProof/>
                <w:szCs w:val="20"/>
              </w:rPr>
            </w:pPr>
          </w:p>
        </w:tc>
      </w:tr>
      <w:tr w:rsidR="00385958" w:rsidRPr="00C84981" w:rsidTr="00851CC4">
        <w:tc>
          <w:tcPr>
            <w:tcW w:w="1276" w:type="dxa"/>
            <w:vMerge/>
          </w:tcPr>
          <w:p w:rsidR="00385958" w:rsidRPr="00C84981" w:rsidRDefault="00385958" w:rsidP="00C84981">
            <w:pPr>
              <w:jc w:val="both"/>
              <w:rPr>
                <w:rFonts w:eastAsia="Times New Roman" w:cs="Times New Roman"/>
                <w:iCs/>
                <w:noProof/>
                <w:szCs w:val="20"/>
              </w:rPr>
            </w:pPr>
          </w:p>
        </w:tc>
        <w:tc>
          <w:tcPr>
            <w:tcW w:w="851" w:type="dxa"/>
            <w:vMerge/>
          </w:tcPr>
          <w:p w:rsidR="00385958" w:rsidRPr="00C84981" w:rsidRDefault="00385958" w:rsidP="00C84981">
            <w:pPr>
              <w:jc w:val="both"/>
              <w:rPr>
                <w:rFonts w:eastAsia="Times New Roman" w:cs="Times New Roman"/>
                <w:iCs/>
                <w:noProof/>
                <w:szCs w:val="20"/>
              </w:rPr>
            </w:pPr>
          </w:p>
        </w:tc>
        <w:tc>
          <w:tcPr>
            <w:tcW w:w="1134" w:type="dxa"/>
            <w:vMerge/>
          </w:tcPr>
          <w:p w:rsidR="00385958" w:rsidRPr="00C84981" w:rsidRDefault="00385958" w:rsidP="00C84981">
            <w:pPr>
              <w:jc w:val="both"/>
              <w:rPr>
                <w:rFonts w:eastAsia="Times New Roman" w:cs="Times New Roman"/>
                <w:iCs/>
                <w:noProof/>
                <w:szCs w:val="20"/>
              </w:rPr>
            </w:pPr>
          </w:p>
        </w:tc>
        <w:tc>
          <w:tcPr>
            <w:tcW w:w="1134" w:type="dxa"/>
            <w:vMerge/>
            <w:shd w:val="clear" w:color="auto" w:fill="auto"/>
          </w:tcPr>
          <w:p w:rsidR="00385958" w:rsidRPr="00C84981" w:rsidRDefault="00385958" w:rsidP="00C84981">
            <w:pPr>
              <w:jc w:val="both"/>
              <w:rPr>
                <w:rFonts w:eastAsia="Times New Roman" w:cs="Times New Roman"/>
                <w:iCs/>
                <w:noProof/>
                <w:szCs w:val="20"/>
              </w:rPr>
            </w:pPr>
          </w:p>
        </w:tc>
        <w:tc>
          <w:tcPr>
            <w:tcW w:w="2409" w:type="dxa"/>
          </w:tcPr>
          <w:p w:rsidR="003A5093" w:rsidRDefault="003A5093" w:rsidP="003A5093">
            <w:pPr>
              <w:spacing w:before="60" w:after="60"/>
            </w:pPr>
            <w:r>
              <w:t xml:space="preserve">2. </w:t>
            </w:r>
            <w:r w:rsidRPr="008D5C99">
              <w:t>tvarka, kuria užtikrinama, kad duomenys apima bent šiuos aspektus:</w:t>
            </w:r>
          </w:p>
          <w:p w:rsidR="003A5093" w:rsidRPr="008D5C99" w:rsidRDefault="003A5093" w:rsidP="003A5093">
            <w:pPr>
              <w:spacing w:before="60" w:after="60"/>
            </w:pPr>
            <w:r>
              <w:t xml:space="preserve">a) </w:t>
            </w:r>
            <w:r w:rsidRPr="008D5C99">
              <w:t>konkurencijos kokybę ir intensyvumą: konkursą laimėjusių dalyvių pavadinimus, pradinių konkurso dalyvių skaičių ir sutarties vertę;</w:t>
            </w:r>
          </w:p>
          <w:p w:rsidR="003A5093" w:rsidRPr="008D5C99" w:rsidRDefault="003A5093" w:rsidP="003A5093"/>
          <w:p w:rsidR="003A5093" w:rsidRDefault="003A5093" w:rsidP="00B258FD">
            <w:r>
              <w:t xml:space="preserve">(2.Arrangements to </w:t>
            </w:r>
            <w:proofErr w:type="spellStart"/>
            <w:r>
              <w:t>ensure</w:t>
            </w:r>
            <w:proofErr w:type="spellEnd"/>
            <w:r>
              <w:t xml:space="preserve"> </w:t>
            </w:r>
            <w:proofErr w:type="spellStart"/>
            <w:r>
              <w:t>the</w:t>
            </w:r>
            <w:proofErr w:type="spellEnd"/>
            <w:r>
              <w:t xml:space="preserve"> data </w:t>
            </w:r>
            <w:proofErr w:type="spellStart"/>
            <w:r>
              <w:t>cover</w:t>
            </w:r>
            <w:proofErr w:type="spellEnd"/>
            <w:r>
              <w:t xml:space="preserve"> at least the following elements: </w:t>
            </w:r>
          </w:p>
          <w:p w:rsidR="003A5093" w:rsidRDefault="003A5093" w:rsidP="00B258FD">
            <w:r>
              <w:t>a. Quality and intensity of competition: names of winning bidder, number of initial bidders and contractual value;)</w:t>
            </w:r>
          </w:p>
          <w:p w:rsidR="00385958" w:rsidRPr="00C84981" w:rsidRDefault="00385958" w:rsidP="00CB5639">
            <w:pPr>
              <w:rPr>
                <w:rFonts w:eastAsia="Calibri" w:cs="Times New Roman"/>
                <w:noProof/>
                <w:szCs w:val="20"/>
              </w:rPr>
            </w:pPr>
          </w:p>
        </w:tc>
        <w:tc>
          <w:tcPr>
            <w:tcW w:w="1276" w:type="dxa"/>
            <w:shd w:val="clear" w:color="auto" w:fill="auto"/>
          </w:tcPr>
          <w:p w:rsidR="00385958" w:rsidRPr="00C84981" w:rsidRDefault="00385958" w:rsidP="00C84981">
            <w:pPr>
              <w:jc w:val="both"/>
              <w:rPr>
                <w:rFonts w:eastAsia="Calibri" w:cs="Times New Roman"/>
                <w:noProof/>
                <w:szCs w:val="20"/>
              </w:rPr>
            </w:pPr>
            <w:r w:rsidRPr="00C84981">
              <w:rPr>
                <w:rFonts w:eastAsia="Calibri" w:cs="Times New Roman"/>
                <w:noProof/>
                <w:szCs w:val="20"/>
              </w:rPr>
              <w:t>Taip</w:t>
            </w:r>
          </w:p>
        </w:tc>
        <w:tc>
          <w:tcPr>
            <w:tcW w:w="2410" w:type="dxa"/>
          </w:tcPr>
          <w:p w:rsidR="00385958" w:rsidRPr="00014D21" w:rsidRDefault="00385958" w:rsidP="00C84981">
            <w:pPr>
              <w:jc w:val="both"/>
              <w:rPr>
                <w:rFonts w:cs="Times New Roman"/>
                <w:color w:val="0000FF" w:themeColor="hyperlink"/>
                <w:u w:val="single"/>
              </w:rPr>
            </w:pPr>
            <w:r w:rsidRPr="00C84981">
              <w:rPr>
                <w:rFonts w:cs="Times New Roman"/>
              </w:rPr>
              <w:t xml:space="preserve">Įgyvendinamasis teisės aktas – </w:t>
            </w:r>
            <w:hyperlink r:id="rId11" w:history="1">
              <w:r w:rsidRPr="00985A8D">
                <w:rPr>
                  <w:rStyle w:val="Hyperlink"/>
                  <w:rFonts w:cs="Times New Roman"/>
                </w:rPr>
                <w:t>Viešųjų pirkimų ir pirkimų ataskaitų rengimo ir teikimo tvarkos aprašas</w:t>
              </w:r>
            </w:hyperlink>
          </w:p>
        </w:tc>
        <w:tc>
          <w:tcPr>
            <w:tcW w:w="5245" w:type="dxa"/>
          </w:tcPr>
          <w:p w:rsidR="00385958" w:rsidRPr="00C84981" w:rsidRDefault="00385958" w:rsidP="00C84981">
            <w:pPr>
              <w:jc w:val="both"/>
              <w:rPr>
                <w:rFonts w:eastAsia="Times New Roman" w:cs="Times New Roman"/>
                <w:iCs/>
                <w:noProof/>
                <w:szCs w:val="20"/>
              </w:rPr>
            </w:pPr>
            <w:r w:rsidRPr="00C84981">
              <w:rPr>
                <w:rFonts w:eastAsia="Times New Roman" w:cs="Times New Roman"/>
                <w:iCs/>
                <w:noProof/>
                <w:szCs w:val="20"/>
              </w:rPr>
              <w:t>Šis teisės aktas nustato pareigą pateikti informaciją, nurodytą Direktyvos 2014/24/ES 84</w:t>
            </w:r>
            <w:r w:rsidR="003C5511">
              <w:rPr>
                <w:rFonts w:eastAsia="Times New Roman" w:cs="Times New Roman"/>
                <w:iCs/>
                <w:noProof/>
                <w:szCs w:val="20"/>
              </w:rPr>
              <w:t xml:space="preserve"> str. i</w:t>
            </w:r>
            <w:r w:rsidRPr="00C84981">
              <w:rPr>
                <w:rFonts w:eastAsia="Times New Roman" w:cs="Times New Roman"/>
                <w:iCs/>
                <w:noProof/>
                <w:szCs w:val="20"/>
              </w:rPr>
              <w:t xml:space="preserve">r </w:t>
            </w:r>
            <w:r w:rsidR="004D5089">
              <w:rPr>
                <w:rFonts w:eastAsia="Times New Roman" w:cs="Times New Roman"/>
                <w:iCs/>
                <w:noProof/>
                <w:szCs w:val="20"/>
              </w:rPr>
              <w:t>Direktyvos 2014/24/ES 100 str. P</w:t>
            </w:r>
            <w:r w:rsidRPr="00C84981">
              <w:rPr>
                <w:rFonts w:eastAsia="Times New Roman" w:cs="Times New Roman"/>
                <w:iCs/>
                <w:noProof/>
                <w:szCs w:val="20"/>
              </w:rPr>
              <w:t>ateikiama informacija apima visus aspektus, išva</w:t>
            </w:r>
            <w:r w:rsidR="004D5089">
              <w:rPr>
                <w:rFonts w:eastAsia="Times New Roman" w:cs="Times New Roman"/>
                <w:iCs/>
                <w:noProof/>
                <w:szCs w:val="20"/>
              </w:rPr>
              <w:t>rdintus šios formos stulpelyje „</w:t>
            </w:r>
            <w:r w:rsidRPr="00C84981">
              <w:rPr>
                <w:rFonts w:eastAsia="Times New Roman" w:cs="Times New Roman"/>
                <w:iCs/>
                <w:noProof/>
                <w:szCs w:val="20"/>
              </w:rPr>
              <w:t>Kriterijai”.</w:t>
            </w:r>
          </w:p>
          <w:p w:rsidR="00385958" w:rsidRPr="00C84981" w:rsidRDefault="00385958" w:rsidP="00C84981">
            <w:pPr>
              <w:jc w:val="both"/>
              <w:rPr>
                <w:rFonts w:eastAsia="Times New Roman" w:cs="Times New Roman"/>
                <w:iCs/>
                <w:noProof/>
                <w:szCs w:val="20"/>
              </w:rPr>
            </w:pPr>
            <w:r w:rsidRPr="00C84981">
              <w:rPr>
                <w:rFonts w:eastAsia="Times New Roman" w:cs="Times New Roman"/>
                <w:iCs/>
                <w:noProof/>
                <w:szCs w:val="20"/>
              </w:rPr>
              <w:t>Procedūrų atas</w:t>
            </w:r>
            <w:r w:rsidR="00D7094D">
              <w:rPr>
                <w:rFonts w:eastAsia="Times New Roman" w:cs="Times New Roman"/>
                <w:iCs/>
                <w:noProof/>
                <w:szCs w:val="20"/>
              </w:rPr>
              <w:t>kaitos viešai prieinamos adresu:</w:t>
            </w:r>
          </w:p>
          <w:p w:rsidR="00385958" w:rsidRPr="00C84981" w:rsidRDefault="00627FD3" w:rsidP="00014D21">
            <w:pPr>
              <w:jc w:val="both"/>
              <w:rPr>
                <w:rFonts w:eastAsia="Times New Roman" w:cs="Times New Roman"/>
                <w:iCs/>
                <w:noProof/>
                <w:szCs w:val="20"/>
              </w:rPr>
            </w:pPr>
            <w:hyperlink r:id="rId12" w:history="1">
              <w:r w:rsidR="00385958" w:rsidRPr="00C84981">
                <w:rPr>
                  <w:rStyle w:val="Hyperlink"/>
                  <w:rFonts w:eastAsia="Times New Roman" w:cs="Times New Roman"/>
                  <w:iCs/>
                  <w:noProof/>
                  <w:szCs w:val="20"/>
                </w:rPr>
                <w:t>https://cvpp.eviesiejipirkimai.lt/ReportsOrProtocol</w:t>
              </w:r>
            </w:hyperlink>
          </w:p>
        </w:tc>
      </w:tr>
      <w:tr w:rsidR="00385958" w:rsidRPr="00C84981" w:rsidTr="00851CC4">
        <w:tc>
          <w:tcPr>
            <w:tcW w:w="1276" w:type="dxa"/>
            <w:vMerge/>
          </w:tcPr>
          <w:p w:rsidR="00385958" w:rsidRPr="00C84981" w:rsidRDefault="00385958" w:rsidP="00C84981">
            <w:pPr>
              <w:jc w:val="both"/>
              <w:rPr>
                <w:rFonts w:eastAsia="Times New Roman" w:cs="Times New Roman"/>
                <w:iCs/>
                <w:noProof/>
                <w:szCs w:val="20"/>
              </w:rPr>
            </w:pPr>
          </w:p>
        </w:tc>
        <w:tc>
          <w:tcPr>
            <w:tcW w:w="851" w:type="dxa"/>
            <w:vMerge/>
          </w:tcPr>
          <w:p w:rsidR="00385958" w:rsidRPr="00C84981" w:rsidRDefault="00385958" w:rsidP="00C84981">
            <w:pPr>
              <w:jc w:val="both"/>
              <w:rPr>
                <w:rFonts w:eastAsia="Times New Roman" w:cs="Times New Roman"/>
                <w:iCs/>
                <w:noProof/>
                <w:szCs w:val="20"/>
              </w:rPr>
            </w:pPr>
          </w:p>
        </w:tc>
        <w:tc>
          <w:tcPr>
            <w:tcW w:w="1134" w:type="dxa"/>
            <w:vMerge/>
          </w:tcPr>
          <w:p w:rsidR="00385958" w:rsidRPr="00C84981" w:rsidRDefault="00385958" w:rsidP="00C84981">
            <w:pPr>
              <w:jc w:val="both"/>
              <w:rPr>
                <w:rFonts w:eastAsia="Times New Roman" w:cs="Times New Roman"/>
                <w:iCs/>
                <w:noProof/>
                <w:szCs w:val="20"/>
              </w:rPr>
            </w:pPr>
          </w:p>
        </w:tc>
        <w:tc>
          <w:tcPr>
            <w:tcW w:w="1134" w:type="dxa"/>
            <w:vMerge/>
            <w:shd w:val="clear" w:color="auto" w:fill="auto"/>
          </w:tcPr>
          <w:p w:rsidR="00385958" w:rsidRPr="00C84981" w:rsidRDefault="00385958" w:rsidP="00C84981">
            <w:pPr>
              <w:jc w:val="both"/>
              <w:rPr>
                <w:rFonts w:eastAsia="Times New Roman" w:cs="Times New Roman"/>
                <w:iCs/>
                <w:noProof/>
                <w:szCs w:val="20"/>
              </w:rPr>
            </w:pPr>
          </w:p>
        </w:tc>
        <w:tc>
          <w:tcPr>
            <w:tcW w:w="2409" w:type="dxa"/>
          </w:tcPr>
          <w:p w:rsidR="005611D7" w:rsidRPr="008D5C99" w:rsidRDefault="005611D7" w:rsidP="00B258FD">
            <w:r w:rsidRPr="008D5C99">
              <w:t>b)</w:t>
            </w:r>
            <w:r>
              <w:t xml:space="preserve"> i</w:t>
            </w:r>
            <w:r w:rsidRPr="008D5C99">
              <w:t>nformaciją apie galutinę kainą užbaigus procedūrą ir apie MVĮ, kaip tiesioginių konkurso dalyvių, dalyvavimą, kai nacionalinės sistemos teikia tokią informaciją;</w:t>
            </w:r>
          </w:p>
          <w:p w:rsidR="00CB5639" w:rsidRDefault="00CB5639" w:rsidP="00B258FD">
            <w:pPr>
              <w:rPr>
                <w:rFonts w:cs="Times New Roman"/>
                <w:bCs/>
                <w:szCs w:val="20"/>
                <w:lang w:val="en-US"/>
              </w:rPr>
            </w:pPr>
          </w:p>
          <w:p w:rsidR="005611D7" w:rsidRDefault="005611D7" w:rsidP="00B258FD">
            <w:r>
              <w:t>(b. Information on final price after completion</w:t>
            </w:r>
            <w:r>
              <w:br/>
              <w:t>and on participation of SMEs as direct bidders, where national systems provide such information.)</w:t>
            </w:r>
          </w:p>
          <w:p w:rsidR="00385958" w:rsidRDefault="00385958" w:rsidP="00C84981">
            <w:pPr>
              <w:jc w:val="both"/>
              <w:rPr>
                <w:rFonts w:eastAsia="Calibri" w:cs="Times New Roman"/>
                <w:b/>
                <w:noProof/>
                <w:szCs w:val="20"/>
              </w:rPr>
            </w:pPr>
          </w:p>
        </w:tc>
        <w:tc>
          <w:tcPr>
            <w:tcW w:w="1276" w:type="dxa"/>
            <w:shd w:val="clear" w:color="auto" w:fill="auto"/>
          </w:tcPr>
          <w:p w:rsidR="00385958" w:rsidRPr="00C84981" w:rsidRDefault="001162AC" w:rsidP="00C84981">
            <w:pPr>
              <w:jc w:val="both"/>
              <w:rPr>
                <w:rFonts w:eastAsia="Calibri" w:cs="Times New Roman"/>
                <w:noProof/>
                <w:szCs w:val="20"/>
              </w:rPr>
            </w:pPr>
            <w:r>
              <w:rPr>
                <w:rFonts w:eastAsia="Calibri" w:cs="Times New Roman"/>
                <w:noProof/>
                <w:szCs w:val="20"/>
              </w:rPr>
              <w:t>Taip</w:t>
            </w:r>
          </w:p>
        </w:tc>
        <w:tc>
          <w:tcPr>
            <w:tcW w:w="2410" w:type="dxa"/>
          </w:tcPr>
          <w:p w:rsidR="00385958" w:rsidRPr="00C84981" w:rsidRDefault="00385958" w:rsidP="00014D21">
            <w:pPr>
              <w:jc w:val="both"/>
              <w:rPr>
                <w:rFonts w:eastAsia="Times New Roman" w:cs="Times New Roman"/>
                <w:iCs/>
                <w:noProof/>
                <w:szCs w:val="20"/>
              </w:rPr>
            </w:pPr>
            <w:r w:rsidRPr="00C84981">
              <w:rPr>
                <w:rFonts w:eastAsia="Times New Roman" w:cs="Times New Roman"/>
                <w:iCs/>
                <w:noProof/>
                <w:szCs w:val="20"/>
              </w:rPr>
              <w:t>Pareigos teikti informaciją apie galutinę sutarties kainą, ja įvykdžius, nėra, tačiau sudarytos sutarties vertė nurodoma perkančiajai organizacijai skelbiant ataskaitas, skelbimus apie pirkimo sutarties sudarymą, skelbiant sudarytas sutartis sutarčių registre.</w:t>
            </w:r>
          </w:p>
          <w:p w:rsidR="00385958" w:rsidRPr="00C84981" w:rsidRDefault="00385958" w:rsidP="00014D21">
            <w:pPr>
              <w:jc w:val="both"/>
              <w:rPr>
                <w:rFonts w:eastAsia="Times New Roman" w:cs="Times New Roman"/>
                <w:iCs/>
                <w:noProof/>
                <w:szCs w:val="20"/>
              </w:rPr>
            </w:pPr>
            <w:r w:rsidRPr="00C84981">
              <w:rPr>
                <w:rFonts w:eastAsia="Times New Roman" w:cs="Times New Roman"/>
                <w:iCs/>
                <w:noProof/>
                <w:szCs w:val="20"/>
              </w:rPr>
              <w:t xml:space="preserve">Informacija apie MVĮ kaip tiesioginius pirkimo dalyvius surenkama per Europos bendrąjį viešųjų pirkimų dokumentą – tiekėjai pažymi aktualų laukelį pildydami EBVPD: </w:t>
            </w:r>
            <w:r w:rsidRPr="00AF0F2E">
              <w:rPr>
                <w:rFonts w:eastAsia="Times New Roman" w:cs="Times New Roman"/>
                <w:iCs/>
                <w:noProof/>
                <w:color w:val="0000CC"/>
                <w:szCs w:val="20"/>
              </w:rPr>
              <w:t>https://ebvpd.eviesiejipirkimai.lt/espd-web/filter?lang=en</w:t>
            </w:r>
            <w:r w:rsidRPr="00C84981">
              <w:rPr>
                <w:rFonts w:eastAsia="Times New Roman" w:cs="Times New Roman"/>
                <w:iCs/>
                <w:noProof/>
                <w:szCs w:val="20"/>
              </w:rPr>
              <w:t xml:space="preserve"> (II dalis: Informacija apie tiekėją).</w:t>
            </w:r>
          </w:p>
          <w:p w:rsidR="00385958" w:rsidRDefault="00385958" w:rsidP="00014D21">
            <w:pPr>
              <w:jc w:val="both"/>
              <w:rPr>
                <w:rFonts w:eastAsia="Times New Roman" w:cs="Times New Roman"/>
                <w:iCs/>
                <w:noProof/>
                <w:szCs w:val="20"/>
              </w:rPr>
            </w:pPr>
            <w:r w:rsidRPr="00C84981">
              <w:rPr>
                <w:rFonts w:eastAsia="Times New Roman" w:cs="Times New Roman"/>
                <w:iCs/>
                <w:noProof/>
                <w:szCs w:val="20"/>
              </w:rPr>
              <w:t>Atitinkamai, ši informacija vėliau pateikiama perkančiųjų organizacijų skelbimuose apie sudarytas sutartis tuo atveju, kai pirkimo vertė viršija tarptautinio pirkimo vertę.</w:t>
            </w:r>
          </w:p>
          <w:p w:rsidR="00385958" w:rsidRPr="00C84981" w:rsidRDefault="00385958" w:rsidP="00014D21">
            <w:pPr>
              <w:jc w:val="both"/>
              <w:rPr>
                <w:rFonts w:cs="Times New Roman"/>
              </w:rPr>
            </w:pPr>
          </w:p>
        </w:tc>
        <w:tc>
          <w:tcPr>
            <w:tcW w:w="5245" w:type="dxa"/>
          </w:tcPr>
          <w:p w:rsidR="00385958" w:rsidRPr="00014D21" w:rsidRDefault="00385958" w:rsidP="009A406A">
            <w:pPr>
              <w:pStyle w:val="CommentText"/>
              <w:jc w:val="both"/>
              <w:rPr>
                <w:rFonts w:cs="Times New Roman"/>
              </w:rPr>
            </w:pPr>
            <w:r w:rsidRPr="00C84981">
              <w:rPr>
                <w:rFonts w:cs="Times New Roman"/>
              </w:rPr>
              <w:t>Tiekėjas atsako į klausimą „Ar tiekėjas yra labai maža, maža ar vidutinė įmonė?“ pažymėdamas „Taip“ arba „Ne“.</w:t>
            </w:r>
          </w:p>
        </w:tc>
      </w:tr>
      <w:tr w:rsidR="00385958" w:rsidRPr="00C84981" w:rsidTr="00851CC4">
        <w:tc>
          <w:tcPr>
            <w:tcW w:w="1276" w:type="dxa"/>
            <w:vMerge/>
          </w:tcPr>
          <w:p w:rsidR="00385958" w:rsidRPr="00C84981" w:rsidRDefault="00385958" w:rsidP="00C84981">
            <w:pPr>
              <w:jc w:val="both"/>
              <w:rPr>
                <w:rFonts w:eastAsia="Times New Roman" w:cs="Times New Roman"/>
                <w:iCs/>
                <w:noProof/>
                <w:szCs w:val="20"/>
              </w:rPr>
            </w:pPr>
          </w:p>
        </w:tc>
        <w:tc>
          <w:tcPr>
            <w:tcW w:w="851" w:type="dxa"/>
            <w:vMerge/>
          </w:tcPr>
          <w:p w:rsidR="00385958" w:rsidRPr="00C84981" w:rsidRDefault="00385958" w:rsidP="00C84981">
            <w:pPr>
              <w:jc w:val="both"/>
              <w:rPr>
                <w:rFonts w:eastAsia="Times New Roman" w:cs="Times New Roman"/>
                <w:iCs/>
                <w:noProof/>
                <w:szCs w:val="20"/>
              </w:rPr>
            </w:pPr>
          </w:p>
        </w:tc>
        <w:tc>
          <w:tcPr>
            <w:tcW w:w="1134" w:type="dxa"/>
            <w:vMerge/>
          </w:tcPr>
          <w:p w:rsidR="00385958" w:rsidRPr="00C84981" w:rsidRDefault="00385958" w:rsidP="00C84981">
            <w:pPr>
              <w:jc w:val="both"/>
              <w:rPr>
                <w:rFonts w:eastAsia="Times New Roman" w:cs="Times New Roman"/>
                <w:iCs/>
                <w:noProof/>
                <w:szCs w:val="20"/>
              </w:rPr>
            </w:pPr>
          </w:p>
        </w:tc>
        <w:tc>
          <w:tcPr>
            <w:tcW w:w="1134" w:type="dxa"/>
            <w:vMerge/>
            <w:shd w:val="clear" w:color="auto" w:fill="auto"/>
          </w:tcPr>
          <w:p w:rsidR="00385958" w:rsidRPr="00C84981" w:rsidRDefault="00385958" w:rsidP="00C84981">
            <w:pPr>
              <w:jc w:val="both"/>
              <w:rPr>
                <w:rFonts w:eastAsia="Times New Roman" w:cs="Times New Roman"/>
                <w:iCs/>
                <w:noProof/>
                <w:szCs w:val="20"/>
              </w:rPr>
            </w:pPr>
          </w:p>
        </w:tc>
        <w:tc>
          <w:tcPr>
            <w:tcW w:w="2409" w:type="dxa"/>
          </w:tcPr>
          <w:p w:rsidR="00CB5639" w:rsidRDefault="005611D7" w:rsidP="005611D7">
            <w:pPr>
              <w:rPr>
                <w:rFonts w:eastAsia="Calibri" w:cs="Times New Roman"/>
                <w:noProof/>
                <w:szCs w:val="20"/>
              </w:rPr>
            </w:pPr>
            <w:r>
              <w:t xml:space="preserve">3. </w:t>
            </w:r>
            <w:r w:rsidRPr="008D5C99">
              <w:t>tvarka, kuria užtikrinama, kad kompetentingos nacionalinės institucijos stebėtų ir analizuotų duomenis pagal Direktyvos 2014/24/ES 83 straipsnio 2 dalį ir Direktyvos 2014/25/ES 99 straipsnio 2 dalį;</w:t>
            </w:r>
          </w:p>
          <w:p w:rsidR="00385958" w:rsidRDefault="00385958" w:rsidP="00784A47">
            <w:pPr>
              <w:rPr>
                <w:rFonts w:eastAsia="Calibri" w:cs="Times New Roman"/>
                <w:noProof/>
                <w:szCs w:val="20"/>
              </w:rPr>
            </w:pPr>
          </w:p>
          <w:p w:rsidR="005611D7" w:rsidRDefault="005611D7" w:rsidP="00B258FD">
            <w:r>
              <w:t>(3. Arrangements to ensure monitoring and analysis of the data by the competent national authorities in accordance with Article 83 (2) of Directive 2014/24/EU and Article 99(2) of Directive 2014/25/EU.)</w:t>
            </w:r>
          </w:p>
          <w:p w:rsidR="005611D7" w:rsidRPr="008D0AC3" w:rsidRDefault="005611D7" w:rsidP="00784A47">
            <w:pPr>
              <w:rPr>
                <w:rFonts w:eastAsia="Calibri" w:cs="Times New Roman"/>
                <w:b/>
                <w:noProof/>
                <w:szCs w:val="20"/>
                <w:u w:val="single"/>
              </w:rPr>
            </w:pPr>
          </w:p>
        </w:tc>
        <w:tc>
          <w:tcPr>
            <w:tcW w:w="1276" w:type="dxa"/>
            <w:shd w:val="clear" w:color="auto" w:fill="auto"/>
          </w:tcPr>
          <w:p w:rsidR="00385958" w:rsidRPr="00C84981" w:rsidRDefault="00385958" w:rsidP="00C84981">
            <w:pPr>
              <w:jc w:val="both"/>
              <w:rPr>
                <w:rFonts w:eastAsia="Calibri" w:cs="Times New Roman"/>
                <w:noProof/>
                <w:szCs w:val="20"/>
              </w:rPr>
            </w:pPr>
            <w:r w:rsidRPr="00C84981">
              <w:rPr>
                <w:rFonts w:eastAsia="Calibri" w:cs="Times New Roman"/>
                <w:noProof/>
                <w:szCs w:val="20"/>
              </w:rPr>
              <w:t>Taip</w:t>
            </w:r>
          </w:p>
        </w:tc>
        <w:tc>
          <w:tcPr>
            <w:tcW w:w="2410" w:type="dxa"/>
          </w:tcPr>
          <w:p w:rsidR="00385958" w:rsidRPr="00C84981" w:rsidRDefault="00627FD3" w:rsidP="00C84981">
            <w:pPr>
              <w:jc w:val="both"/>
              <w:rPr>
                <w:rStyle w:val="Hyperlink"/>
                <w:rFonts w:cs="Times New Roman"/>
              </w:rPr>
            </w:pPr>
            <w:hyperlink r:id="rId13" w:history="1">
              <w:r w:rsidR="00034CDC" w:rsidRPr="00CC684C">
                <w:rPr>
                  <w:rStyle w:val="Hyperlink"/>
                  <w:rFonts w:eastAsia="Times New Roman" w:cs="Times New Roman"/>
                  <w:iCs/>
                  <w:noProof/>
                  <w:szCs w:val="20"/>
                </w:rPr>
                <w:t>Lietuvos Respublikos viešųjų pirkimų įstatymas (VPĮ)</w:t>
              </w:r>
            </w:hyperlink>
            <w:r w:rsidR="00034CDC">
              <w:rPr>
                <w:rFonts w:cs="Times New Roman"/>
              </w:rPr>
              <w:t>:</w:t>
            </w:r>
          </w:p>
          <w:p w:rsidR="00385958" w:rsidRPr="00C84981" w:rsidRDefault="00385958" w:rsidP="00C84981">
            <w:pPr>
              <w:jc w:val="both"/>
              <w:rPr>
                <w:rFonts w:cs="Times New Roman"/>
              </w:rPr>
            </w:pPr>
            <w:r w:rsidRPr="00C84981">
              <w:rPr>
                <w:rFonts w:cs="Times New Roman"/>
              </w:rPr>
              <w:t>-VPĮ 95 str. 1 d. 5 p. (pareiga Viešųjų pirkimų tarnybai rinkti</w:t>
            </w:r>
            <w:r w:rsidRPr="00C84981">
              <w:rPr>
                <w:rFonts w:eastAsia="Times New Roman" w:cs="Times New Roman"/>
                <w:color w:val="000000"/>
              </w:rPr>
              <w:t>, kaupti ir analizuoti informaciją apie pirkimus, sudarytas pirkimų sutartis, preliminariąsias sutartis ir pirkimo sutarčių įvykdymo rezultatus, pirkimų ginčus, nustatytus pirkimų tvarkos pažeidimus ir pirkimų praktikoje pasitaikančias problemas. Šią informaciją, išskyrus konfidencialią informaciją, skelbti Viešųjų pirkimų tarnybos interneto svetainėje ir (arba) Centrinėje viešųjų pirkimų informacinėje sistemoje ir teikti Europos Komisijai, valstybės ir savivaldybių institucijoms ir įstaigoms);</w:t>
            </w:r>
          </w:p>
          <w:p w:rsidR="00385958" w:rsidRPr="00C84981" w:rsidRDefault="00385958" w:rsidP="00C84981">
            <w:pPr>
              <w:jc w:val="both"/>
              <w:rPr>
                <w:rFonts w:cs="Times New Roman"/>
              </w:rPr>
            </w:pPr>
            <w:r w:rsidRPr="00C84981">
              <w:rPr>
                <w:rFonts w:cs="Times New Roman"/>
              </w:rPr>
              <w:t>-VPĮ 95 str. 1 d. 6 p.</w:t>
            </w:r>
            <w:bookmarkStart w:id="0" w:name="part_b807a820c96a4dc1b68128bb4606d727"/>
            <w:bookmarkEnd w:id="0"/>
            <w:r w:rsidRPr="00C84981">
              <w:rPr>
                <w:rFonts w:cs="Times New Roman"/>
              </w:rPr>
              <w:t xml:space="preserve"> (pareiga Viešųjų pirkimų tarnybai </w:t>
            </w:r>
            <w:r w:rsidRPr="00C84981">
              <w:rPr>
                <w:rFonts w:eastAsia="Times New Roman" w:cs="Times New Roman"/>
                <w:color w:val="000000"/>
              </w:rPr>
              <w:t>analizuoti ir vertinti pirkimų sistemą, o pastebėjus jos trūkumų, rengti ir šio įstatymo 92 straipsnio 1 dalyje nurodytai ministerijai (</w:t>
            </w:r>
            <w:r w:rsidRPr="00C84981">
              <w:rPr>
                <w:rFonts w:eastAsia="Times New Roman" w:cs="Times New Roman"/>
                <w:i/>
                <w:iCs/>
                <w:color w:val="000000"/>
              </w:rPr>
              <w:t>Lietuvos Respublikos ekonomikos ir inovacijų ministerijai</w:t>
            </w:r>
            <w:r w:rsidRPr="00C84981">
              <w:rPr>
                <w:rFonts w:eastAsia="Times New Roman" w:cs="Times New Roman"/>
                <w:color w:val="000000"/>
              </w:rPr>
              <w:t>) teikti pasiūlymus, kaip ją tobulinti).</w:t>
            </w:r>
          </w:p>
          <w:p w:rsidR="00385958" w:rsidRPr="00C84981" w:rsidRDefault="00385958" w:rsidP="00C84981">
            <w:pPr>
              <w:jc w:val="both"/>
              <w:rPr>
                <w:rFonts w:eastAsia="Times New Roman" w:cs="Times New Roman"/>
                <w:iCs/>
                <w:noProof/>
                <w:szCs w:val="20"/>
              </w:rPr>
            </w:pPr>
          </w:p>
        </w:tc>
        <w:tc>
          <w:tcPr>
            <w:tcW w:w="5245" w:type="dxa"/>
          </w:tcPr>
          <w:p w:rsidR="00385958" w:rsidRPr="00C84981" w:rsidRDefault="00385958" w:rsidP="00C84981">
            <w:pPr>
              <w:jc w:val="both"/>
              <w:rPr>
                <w:rFonts w:cs="Times New Roman"/>
              </w:rPr>
            </w:pPr>
            <w:r w:rsidRPr="00C84981">
              <w:rPr>
                <w:rFonts w:cs="Times New Roman"/>
              </w:rPr>
              <w:t>Pažymėtina, kad atsižvelgiant į pirkimų praktikos problemas ir aktualijas:</w:t>
            </w:r>
          </w:p>
          <w:p w:rsidR="00385958" w:rsidRPr="00C84981" w:rsidRDefault="00385958" w:rsidP="00700E90">
            <w:pPr>
              <w:pStyle w:val="ListParagraph"/>
              <w:numPr>
                <w:ilvl w:val="0"/>
                <w:numId w:val="3"/>
              </w:numPr>
              <w:tabs>
                <w:tab w:val="left" w:pos="547"/>
              </w:tabs>
              <w:ind w:left="0" w:firstLine="264"/>
              <w:jc w:val="both"/>
              <w:rPr>
                <w:rFonts w:cs="Times New Roman"/>
              </w:rPr>
            </w:pPr>
            <w:r w:rsidRPr="00C84981">
              <w:rPr>
                <w:rFonts w:cs="Times New Roman"/>
              </w:rPr>
              <w:t>Nurodoma problematika ir teikiami konkretūs siūlymai LR EIM, Lietuvos Respublikos Seimo komitetams, kompetentingoms institucijoms (ministerijoms irk t.);</w:t>
            </w:r>
          </w:p>
          <w:p w:rsidR="001F0EE8" w:rsidRPr="001F0EE8" w:rsidRDefault="00385958" w:rsidP="00700E90">
            <w:pPr>
              <w:pStyle w:val="ListParagraph"/>
              <w:numPr>
                <w:ilvl w:val="0"/>
                <w:numId w:val="3"/>
              </w:numPr>
              <w:tabs>
                <w:tab w:val="left" w:pos="547"/>
              </w:tabs>
              <w:ind w:left="0" w:firstLine="264"/>
              <w:jc w:val="both"/>
              <w:rPr>
                <w:rFonts w:cs="Times New Roman"/>
              </w:rPr>
            </w:pPr>
            <w:r w:rsidRPr="001F0EE8">
              <w:rPr>
                <w:rFonts w:cs="Times New Roman"/>
              </w:rPr>
              <w:t>Atliekamos teminės viešųjų pirkimų</w:t>
            </w:r>
            <w:r w:rsidR="001F0EE8" w:rsidRPr="001F0EE8">
              <w:rPr>
                <w:rFonts w:cs="Times New Roman"/>
              </w:rPr>
              <w:t xml:space="preserve"> </w:t>
            </w:r>
            <w:hyperlink r:id="rId14" w:history="1">
              <w:r w:rsidR="001F0EE8" w:rsidRPr="003D3EEF">
                <w:rPr>
                  <w:rFonts w:ascii="Tms Rmn" w:hAnsi="Tms Rmn" w:cs="Tms Rmn"/>
                  <w:color w:val="0000FF"/>
                  <w:szCs w:val="20"/>
                </w:rPr>
                <w:t>analizės ir apžvalgos</w:t>
              </w:r>
            </w:hyperlink>
          </w:p>
          <w:p w:rsidR="00385958" w:rsidRPr="001F0EE8" w:rsidRDefault="00385958" w:rsidP="00700E90">
            <w:pPr>
              <w:pStyle w:val="ListParagraph"/>
              <w:numPr>
                <w:ilvl w:val="0"/>
                <w:numId w:val="3"/>
              </w:numPr>
              <w:tabs>
                <w:tab w:val="left" w:pos="547"/>
              </w:tabs>
              <w:ind w:left="0" w:firstLine="264"/>
              <w:jc w:val="both"/>
              <w:rPr>
                <w:rFonts w:cs="Times New Roman"/>
              </w:rPr>
            </w:pPr>
            <w:r w:rsidRPr="001F0EE8">
              <w:rPr>
                <w:rFonts w:cs="Times New Roman"/>
              </w:rPr>
              <w:t>Organizuojami mokymai, rengiama mokomoji ir metodinė medžiaga (gairės, informaciniai pranešimai, dažniausiai užduodami klausimai, kt.)</w:t>
            </w:r>
            <w:r w:rsidR="00C30CA1" w:rsidRPr="001F0EE8">
              <w:rPr>
                <w:rFonts w:cs="Times New Roman"/>
              </w:rPr>
              <w:t>.</w:t>
            </w:r>
          </w:p>
          <w:p w:rsidR="00C30CA1" w:rsidRPr="002F6CDD" w:rsidRDefault="00C30CA1" w:rsidP="00C30CA1">
            <w:pPr>
              <w:pStyle w:val="ListParagraph"/>
              <w:numPr>
                <w:ilvl w:val="0"/>
                <w:numId w:val="3"/>
              </w:numPr>
              <w:tabs>
                <w:tab w:val="left" w:pos="547"/>
              </w:tabs>
              <w:ind w:left="0" w:firstLine="360"/>
              <w:jc w:val="both"/>
              <w:rPr>
                <w:rFonts w:cs="Times New Roman"/>
              </w:rPr>
            </w:pPr>
            <w:r w:rsidRPr="002F6CDD">
              <w:rPr>
                <w:rFonts w:cs="Times New Roman"/>
              </w:rPr>
              <w:t>Siekiant efektyviau organizuoti viešuosius pirkimus ir užtikrinti didesnę konkurenciją pirkimuose, įgyvendinamas Viešųjų pirkimų profesionalumo stiprinimo planas, pagal kurį yra rengiamos rekomenduojamos pirkimų specialistų mokymo programos, mokymų medžiaga ir nuotolinio mokymo moduliai.</w:t>
            </w:r>
          </w:p>
          <w:p w:rsidR="003F12C8" w:rsidRPr="002F6CDD" w:rsidRDefault="003F12C8" w:rsidP="003F12C8">
            <w:pPr>
              <w:pStyle w:val="ListParagraph"/>
              <w:numPr>
                <w:ilvl w:val="0"/>
                <w:numId w:val="3"/>
              </w:numPr>
              <w:tabs>
                <w:tab w:val="left" w:pos="547"/>
              </w:tabs>
              <w:ind w:left="0" w:firstLine="360"/>
              <w:jc w:val="both"/>
              <w:rPr>
                <w:rFonts w:cs="Times New Roman"/>
              </w:rPr>
            </w:pPr>
            <w:r w:rsidRPr="002F6CDD">
              <w:rPr>
                <w:rFonts w:cs="Times New Roman"/>
              </w:rPr>
              <w:t>Įgyvendinus Viešųjų pirkimų profesionalumo stiprinimo planą, numatoma, kad į Viešųjų pirkimų mokymo programas bus įtrauktos temos dėl strateginių (žaliųjų, inovatyvių, socialiai atsakingų) viešųjų pirkimų organizavimo, rinkos tyrimų, techninių specifikacijų rengimo, pasiūlymų vertinimo ir pan., kurios yra reikalingos siekiant efektyviau organizuoti viešuosius pirkimus ir užtikrinti didesnę konkurenciją pirkimuose. Taip pat rengiamos naudingos metodologinės priemonės, ieškoma sprendimų, kaip motyvuoti perkančiąsias organizacijas ir pirkimų specialistus pirkimus atlikti efektyviau.</w:t>
            </w:r>
          </w:p>
          <w:p w:rsidR="003F12C8" w:rsidRPr="003F12C8" w:rsidRDefault="003F12C8" w:rsidP="003F12C8">
            <w:pPr>
              <w:tabs>
                <w:tab w:val="left" w:pos="547"/>
              </w:tabs>
              <w:ind w:left="360"/>
              <w:jc w:val="both"/>
              <w:rPr>
                <w:rFonts w:cs="Times New Roman"/>
              </w:rPr>
            </w:pPr>
          </w:p>
        </w:tc>
      </w:tr>
      <w:tr w:rsidR="00385958" w:rsidRPr="00C84981" w:rsidTr="00851CC4">
        <w:tc>
          <w:tcPr>
            <w:tcW w:w="1276" w:type="dxa"/>
            <w:vMerge/>
          </w:tcPr>
          <w:p w:rsidR="00385958" w:rsidRPr="00C84981" w:rsidRDefault="00385958" w:rsidP="00C84981">
            <w:pPr>
              <w:jc w:val="both"/>
              <w:rPr>
                <w:rFonts w:eastAsia="Times New Roman" w:cs="Times New Roman"/>
                <w:iCs/>
                <w:noProof/>
                <w:szCs w:val="20"/>
              </w:rPr>
            </w:pPr>
          </w:p>
        </w:tc>
        <w:tc>
          <w:tcPr>
            <w:tcW w:w="851" w:type="dxa"/>
            <w:vMerge/>
          </w:tcPr>
          <w:p w:rsidR="00385958" w:rsidRPr="00C84981" w:rsidRDefault="00385958" w:rsidP="00C84981">
            <w:pPr>
              <w:jc w:val="both"/>
              <w:rPr>
                <w:rFonts w:eastAsia="Times New Roman" w:cs="Times New Roman"/>
                <w:iCs/>
                <w:noProof/>
                <w:szCs w:val="20"/>
              </w:rPr>
            </w:pPr>
          </w:p>
        </w:tc>
        <w:tc>
          <w:tcPr>
            <w:tcW w:w="1134" w:type="dxa"/>
            <w:vMerge/>
          </w:tcPr>
          <w:p w:rsidR="00385958" w:rsidRPr="00C84981" w:rsidRDefault="00385958" w:rsidP="00C84981">
            <w:pPr>
              <w:jc w:val="both"/>
              <w:rPr>
                <w:rFonts w:eastAsia="Times New Roman" w:cs="Times New Roman"/>
                <w:iCs/>
                <w:noProof/>
                <w:szCs w:val="20"/>
              </w:rPr>
            </w:pPr>
          </w:p>
        </w:tc>
        <w:tc>
          <w:tcPr>
            <w:tcW w:w="1134" w:type="dxa"/>
            <w:vMerge/>
            <w:shd w:val="clear" w:color="auto" w:fill="auto"/>
          </w:tcPr>
          <w:p w:rsidR="00385958" w:rsidRPr="00C84981" w:rsidRDefault="00385958" w:rsidP="00C84981">
            <w:pPr>
              <w:jc w:val="both"/>
              <w:rPr>
                <w:rFonts w:eastAsia="Times New Roman" w:cs="Times New Roman"/>
                <w:iCs/>
                <w:noProof/>
                <w:szCs w:val="20"/>
              </w:rPr>
            </w:pPr>
          </w:p>
        </w:tc>
        <w:tc>
          <w:tcPr>
            <w:tcW w:w="2409" w:type="dxa"/>
          </w:tcPr>
          <w:p w:rsidR="005611D7" w:rsidRPr="008D5C99" w:rsidRDefault="005611D7" w:rsidP="00B258FD">
            <w:r>
              <w:t xml:space="preserve">4. </w:t>
            </w:r>
            <w:r w:rsidRPr="008D5C99">
              <w:t>tvarka, pagal kurią</w:t>
            </w:r>
            <w:r>
              <w:t xml:space="preserve"> </w:t>
            </w:r>
            <w:r w:rsidRPr="008D5C99">
              <w:t>analizės rezultatai skelbiami viešai pagal Direktyvos 2014/24/ES 83 straipsnio 3 dalį ir Direktyvos 2014/25/ES 99 straipsnio 3 dalį;</w:t>
            </w:r>
          </w:p>
          <w:p w:rsidR="00FD72C1" w:rsidRDefault="00FD72C1" w:rsidP="00B258FD">
            <w:pPr>
              <w:rPr>
                <w:rFonts w:eastAsia="Calibri" w:cs="Times New Roman"/>
                <w:noProof/>
                <w:szCs w:val="20"/>
              </w:rPr>
            </w:pPr>
          </w:p>
          <w:p w:rsidR="005611D7" w:rsidRDefault="005611D7" w:rsidP="00B258FD">
            <w:r>
              <w:t>(4. Arrangements to make the results of the analysis available to the public</w:t>
            </w:r>
            <w:r w:rsidR="00FA4EBC">
              <w:t xml:space="preserve"> in accordance with article 83(3</w:t>
            </w:r>
            <w:r>
              <w:t xml:space="preserve">) </w:t>
            </w:r>
            <w:proofErr w:type="spellStart"/>
            <w:r>
              <w:t>of</w:t>
            </w:r>
            <w:proofErr w:type="spellEnd"/>
            <w:r>
              <w:t xml:space="preserve"> </w:t>
            </w:r>
            <w:proofErr w:type="spellStart"/>
            <w:r>
              <w:t>Direc</w:t>
            </w:r>
            <w:r w:rsidR="00FA4EBC">
              <w:t>tive</w:t>
            </w:r>
            <w:proofErr w:type="spellEnd"/>
            <w:r w:rsidR="00FA4EBC">
              <w:t xml:space="preserve"> 2014/24/EU </w:t>
            </w:r>
            <w:proofErr w:type="spellStart"/>
            <w:r w:rsidR="00FA4EBC">
              <w:t>and</w:t>
            </w:r>
            <w:proofErr w:type="spellEnd"/>
            <w:r w:rsidR="00FA4EBC">
              <w:t xml:space="preserve"> </w:t>
            </w:r>
            <w:proofErr w:type="spellStart"/>
            <w:r w:rsidR="00FA4EBC">
              <w:t>Article</w:t>
            </w:r>
            <w:proofErr w:type="spellEnd"/>
            <w:r w:rsidR="00FA4EBC">
              <w:t xml:space="preserve"> 99(3</w:t>
            </w:r>
            <w:r>
              <w:t xml:space="preserve">) </w:t>
            </w:r>
            <w:proofErr w:type="spellStart"/>
            <w:r>
              <w:t>Directive</w:t>
            </w:r>
            <w:proofErr w:type="spellEnd"/>
            <w:r>
              <w:t xml:space="preserve"> 2014/25/EU.)</w:t>
            </w:r>
          </w:p>
          <w:p w:rsidR="00385958" w:rsidRPr="008D0AC3" w:rsidRDefault="00385958" w:rsidP="00E1396C">
            <w:pPr>
              <w:rPr>
                <w:rFonts w:eastAsia="Calibri" w:cs="Times New Roman"/>
                <w:b/>
                <w:noProof/>
                <w:szCs w:val="20"/>
                <w:u w:val="single"/>
              </w:rPr>
            </w:pPr>
          </w:p>
        </w:tc>
        <w:tc>
          <w:tcPr>
            <w:tcW w:w="1276" w:type="dxa"/>
          </w:tcPr>
          <w:p w:rsidR="00385958" w:rsidRPr="00C84981" w:rsidRDefault="00C067CE" w:rsidP="00C84981">
            <w:pPr>
              <w:jc w:val="both"/>
              <w:rPr>
                <w:rFonts w:eastAsia="Calibri" w:cs="Times New Roman"/>
                <w:noProof/>
                <w:szCs w:val="20"/>
              </w:rPr>
            </w:pPr>
            <w:r>
              <w:rPr>
                <w:rFonts w:eastAsia="Calibri" w:cs="Times New Roman"/>
                <w:noProof/>
                <w:szCs w:val="20"/>
              </w:rPr>
              <w:t>Taip</w:t>
            </w:r>
          </w:p>
        </w:tc>
        <w:tc>
          <w:tcPr>
            <w:tcW w:w="2410" w:type="dxa"/>
          </w:tcPr>
          <w:p w:rsidR="00034CDC" w:rsidRDefault="00627FD3" w:rsidP="00C84981">
            <w:pPr>
              <w:jc w:val="both"/>
              <w:rPr>
                <w:rStyle w:val="Hyperlink"/>
                <w:rFonts w:eastAsia="Times New Roman" w:cs="Times New Roman"/>
                <w:iCs/>
                <w:noProof/>
                <w:szCs w:val="20"/>
              </w:rPr>
            </w:pPr>
            <w:hyperlink r:id="rId15" w:history="1">
              <w:r w:rsidR="00034CDC" w:rsidRPr="00CC684C">
                <w:rPr>
                  <w:rStyle w:val="Hyperlink"/>
                  <w:rFonts w:eastAsia="Times New Roman" w:cs="Times New Roman"/>
                  <w:iCs/>
                  <w:noProof/>
                  <w:szCs w:val="20"/>
                </w:rPr>
                <w:t>Lietuvos Respublikos viešųjų pirkimų įstatymas (VPĮ)</w:t>
              </w:r>
            </w:hyperlink>
            <w:r w:rsidR="00034CDC">
              <w:rPr>
                <w:rStyle w:val="Hyperlink"/>
                <w:rFonts w:eastAsia="Times New Roman" w:cs="Times New Roman"/>
                <w:iCs/>
                <w:noProof/>
                <w:szCs w:val="20"/>
              </w:rPr>
              <w:t>:</w:t>
            </w:r>
          </w:p>
          <w:p w:rsidR="00385958" w:rsidRPr="00C84981" w:rsidRDefault="00385958" w:rsidP="00C84981">
            <w:pPr>
              <w:jc w:val="both"/>
              <w:rPr>
                <w:rFonts w:cs="Times New Roman"/>
              </w:rPr>
            </w:pPr>
            <w:r w:rsidRPr="00C84981">
              <w:rPr>
                <w:rFonts w:cs="Times New Roman"/>
              </w:rPr>
              <w:t>- 98 str. (Pirkimų stebėsenos ataskaita)</w:t>
            </w:r>
          </w:p>
          <w:p w:rsidR="00385958" w:rsidRPr="00C84981" w:rsidRDefault="00627FD3" w:rsidP="00C84981">
            <w:pPr>
              <w:jc w:val="both"/>
              <w:rPr>
                <w:rFonts w:cs="Times New Roman"/>
              </w:rPr>
            </w:pPr>
            <w:hyperlink r:id="rId16" w:history="1">
              <w:r w:rsidR="00EE3598" w:rsidRPr="00985A8D">
                <w:rPr>
                  <w:rStyle w:val="Hyperlink"/>
                  <w:rFonts w:eastAsia="Times New Roman" w:cs="Times New Roman"/>
                  <w:iCs/>
                  <w:noProof/>
                  <w:szCs w:val="20"/>
                </w:rPr>
                <w:t>Lietuvos Respublikos pirkimų, atliekamų vandentvarkos, energetikos, transporto ir pašto paslaugų srities perkančiųjų subjektų, įstatymas (PĮ)</w:t>
              </w:r>
            </w:hyperlink>
            <w:r w:rsidR="00385958" w:rsidRPr="00C84981">
              <w:rPr>
                <w:rFonts w:cs="Times New Roman"/>
              </w:rPr>
              <w:t>:</w:t>
            </w:r>
          </w:p>
          <w:p w:rsidR="00385958" w:rsidRPr="00C84981" w:rsidRDefault="00385958" w:rsidP="00C84981">
            <w:pPr>
              <w:pStyle w:val="CommentText"/>
              <w:rPr>
                <w:rFonts w:cs="Times New Roman"/>
                <w:szCs w:val="22"/>
              </w:rPr>
            </w:pPr>
            <w:r w:rsidRPr="00C84981">
              <w:rPr>
                <w:rFonts w:cs="Times New Roman"/>
                <w:szCs w:val="22"/>
              </w:rPr>
              <w:t>- 104 str. (to paties tipo norma kaip VPĮ)</w:t>
            </w:r>
          </w:p>
          <w:p w:rsidR="00385958" w:rsidRPr="00C84981" w:rsidRDefault="00385958" w:rsidP="00C84981">
            <w:pPr>
              <w:jc w:val="both"/>
              <w:rPr>
                <w:rFonts w:cs="Times New Roman"/>
              </w:rPr>
            </w:pPr>
          </w:p>
        </w:tc>
        <w:tc>
          <w:tcPr>
            <w:tcW w:w="5245" w:type="dxa"/>
          </w:tcPr>
          <w:p w:rsidR="00385958" w:rsidRPr="00C84981" w:rsidRDefault="001162AC" w:rsidP="00C84981">
            <w:pPr>
              <w:jc w:val="both"/>
              <w:rPr>
                <w:rFonts w:cs="Times New Roman"/>
              </w:rPr>
            </w:pPr>
            <w:r>
              <w:rPr>
                <w:rFonts w:cs="Times New Roman"/>
              </w:rPr>
              <w:t>VPĮ 98 str. Ir PĮ 104 str. n</w:t>
            </w:r>
            <w:r w:rsidR="00385958" w:rsidRPr="00C84981">
              <w:rPr>
                <w:rFonts w:cs="Times New Roman"/>
              </w:rPr>
              <w:t xml:space="preserve">ustato reikalavimą parengti ir pateikti pirkimų stebėsenos ataskaitą Europos Komisijai. Stebėsenos ataskaita teikiama pagal Europos Komisijos nustatytą formą ir viešai prieinama adresu: </w:t>
            </w:r>
            <w:hyperlink r:id="rId17" w:history="1">
              <w:r w:rsidR="00385958" w:rsidRPr="00C84981">
                <w:rPr>
                  <w:rStyle w:val="Hyperlink"/>
                  <w:rFonts w:cs="Times New Roman"/>
                </w:rPr>
                <w:t>http://vpt.lrv.lt/uploads/vpt/documents/files/Pirkimu_stebesenos_ataskaita_2017_m.pdf</w:t>
              </w:r>
            </w:hyperlink>
          </w:p>
        </w:tc>
      </w:tr>
      <w:tr w:rsidR="00385958" w:rsidRPr="00C84981" w:rsidTr="00851CC4">
        <w:tc>
          <w:tcPr>
            <w:tcW w:w="1276" w:type="dxa"/>
            <w:vMerge/>
          </w:tcPr>
          <w:p w:rsidR="00385958" w:rsidRPr="00C84981" w:rsidRDefault="00385958" w:rsidP="00C84981">
            <w:pPr>
              <w:jc w:val="both"/>
              <w:rPr>
                <w:rFonts w:eastAsia="Times New Roman" w:cs="Times New Roman"/>
                <w:iCs/>
                <w:noProof/>
                <w:szCs w:val="20"/>
              </w:rPr>
            </w:pPr>
          </w:p>
        </w:tc>
        <w:tc>
          <w:tcPr>
            <w:tcW w:w="851" w:type="dxa"/>
            <w:vMerge/>
          </w:tcPr>
          <w:p w:rsidR="00385958" w:rsidRPr="00C84981" w:rsidRDefault="00385958" w:rsidP="00C84981">
            <w:pPr>
              <w:jc w:val="both"/>
              <w:rPr>
                <w:rFonts w:eastAsia="Times New Roman" w:cs="Times New Roman"/>
                <w:iCs/>
                <w:noProof/>
                <w:szCs w:val="20"/>
              </w:rPr>
            </w:pPr>
          </w:p>
        </w:tc>
        <w:tc>
          <w:tcPr>
            <w:tcW w:w="1134" w:type="dxa"/>
            <w:vMerge/>
          </w:tcPr>
          <w:p w:rsidR="00385958" w:rsidRPr="00C84981" w:rsidRDefault="00385958" w:rsidP="00C84981">
            <w:pPr>
              <w:jc w:val="both"/>
              <w:rPr>
                <w:rFonts w:eastAsia="Times New Roman" w:cs="Times New Roman"/>
                <w:iCs/>
                <w:noProof/>
                <w:szCs w:val="20"/>
              </w:rPr>
            </w:pPr>
          </w:p>
        </w:tc>
        <w:tc>
          <w:tcPr>
            <w:tcW w:w="1134" w:type="dxa"/>
            <w:vMerge/>
            <w:shd w:val="clear" w:color="auto" w:fill="auto"/>
          </w:tcPr>
          <w:p w:rsidR="00385958" w:rsidRPr="00C84981" w:rsidRDefault="00385958" w:rsidP="00C84981">
            <w:pPr>
              <w:jc w:val="both"/>
              <w:rPr>
                <w:rFonts w:eastAsia="Times New Roman" w:cs="Times New Roman"/>
                <w:iCs/>
                <w:noProof/>
                <w:szCs w:val="20"/>
                <w:lang w:val="en-US"/>
              </w:rPr>
            </w:pPr>
          </w:p>
        </w:tc>
        <w:tc>
          <w:tcPr>
            <w:tcW w:w="2409" w:type="dxa"/>
          </w:tcPr>
          <w:p w:rsidR="00344434" w:rsidRPr="008D5C99" w:rsidRDefault="00344434" w:rsidP="00B258FD">
            <w:r>
              <w:t xml:space="preserve">5. </w:t>
            </w:r>
            <w:r w:rsidRPr="008D5C99">
              <w:t>tvarka, kuria užtikrinama, kad kompetentingoms nacionalinėms įstaigoms būtų pateikiama visa informacija, liudijanti apie įtariamus viešųjų pirkimų klastojimo atvejus, pagal Direktyvos 2014/24/ES 83 straipsnio 2 dalį ir Direktyvos 2014/25/ES 99 straipsnio 2 dalį.</w:t>
            </w:r>
          </w:p>
          <w:p w:rsidR="00FD72C1" w:rsidRDefault="00FD72C1" w:rsidP="00B258FD">
            <w:pPr>
              <w:rPr>
                <w:rFonts w:cs="Times New Roman"/>
                <w:szCs w:val="24"/>
                <w:lang w:val="en-US"/>
              </w:rPr>
            </w:pPr>
          </w:p>
          <w:p w:rsidR="009A406A" w:rsidRDefault="00E75F93" w:rsidP="002A5757">
            <w:r>
              <w:rPr>
                <w:rFonts w:cs="Times New Roman"/>
                <w:szCs w:val="24"/>
                <w:lang w:val="en-US"/>
              </w:rPr>
              <w:t>(</w:t>
            </w:r>
            <w:r w:rsidR="00344434">
              <w:t>5. Arrangements to ensure that all information pointing to suspected bid-rigging situations is communicated to the competent national bodies in accordance with Article 83 (2) of Directive 2014/24/EU and Article 99 (2) of Directive 2014/25/EU.)</w:t>
            </w:r>
          </w:p>
          <w:p w:rsidR="004C5FC1" w:rsidRPr="002A5757" w:rsidRDefault="004C5FC1" w:rsidP="002A5757"/>
        </w:tc>
        <w:tc>
          <w:tcPr>
            <w:tcW w:w="1276" w:type="dxa"/>
          </w:tcPr>
          <w:p w:rsidR="00385958" w:rsidRPr="00C84981" w:rsidRDefault="001162AC" w:rsidP="00C84981">
            <w:pPr>
              <w:jc w:val="both"/>
              <w:rPr>
                <w:rFonts w:eastAsia="Calibri" w:cs="Times New Roman"/>
                <w:noProof/>
                <w:szCs w:val="20"/>
              </w:rPr>
            </w:pPr>
            <w:r>
              <w:rPr>
                <w:rFonts w:eastAsia="Calibri" w:cs="Times New Roman"/>
                <w:noProof/>
                <w:szCs w:val="20"/>
              </w:rPr>
              <w:t>Taip</w:t>
            </w:r>
          </w:p>
        </w:tc>
        <w:tc>
          <w:tcPr>
            <w:tcW w:w="2410" w:type="dxa"/>
          </w:tcPr>
          <w:p w:rsidR="00034CDC" w:rsidRDefault="00627FD3" w:rsidP="00C84981">
            <w:pPr>
              <w:jc w:val="both"/>
              <w:rPr>
                <w:rFonts w:cs="Times New Roman"/>
              </w:rPr>
            </w:pPr>
            <w:hyperlink r:id="rId18" w:history="1">
              <w:r w:rsidR="00034CDC" w:rsidRPr="00CC684C">
                <w:rPr>
                  <w:rStyle w:val="Hyperlink"/>
                  <w:rFonts w:eastAsia="Times New Roman" w:cs="Times New Roman"/>
                  <w:iCs/>
                  <w:noProof/>
                  <w:szCs w:val="20"/>
                </w:rPr>
                <w:t>Lietuvos Respublikos viešųjų pirkimų įstatymas (VPĮ)</w:t>
              </w:r>
            </w:hyperlink>
            <w:r w:rsidR="00034CDC">
              <w:rPr>
                <w:rFonts w:cs="Times New Roman"/>
              </w:rPr>
              <w:t>:</w:t>
            </w:r>
          </w:p>
          <w:p w:rsidR="00385958" w:rsidRPr="00C84981" w:rsidRDefault="00385958" w:rsidP="00C84981">
            <w:pPr>
              <w:jc w:val="both"/>
              <w:rPr>
                <w:rFonts w:cs="Times New Roman"/>
              </w:rPr>
            </w:pPr>
            <w:r w:rsidRPr="00C84981">
              <w:rPr>
                <w:rFonts w:cs="Times New Roman"/>
              </w:rPr>
              <w:t>- 95 str. 2 d. 8 p. (Viešųjų pirkimų tarnybos teisė nustačius VPĮ pažeidimus ar galimus Konkurencijos įstatymo pažeidimus, korupcijos apraiškas ar dokumentų klastojimą, medžiagą tolesniam tyrimui perduoti teisėsaugos institucijoms ar kitoms valstybės institucijos nagrinėti pagal kompetenciją)</w:t>
            </w:r>
            <w:r w:rsidR="009A406A">
              <w:rPr>
                <w:rFonts w:cs="Times New Roman"/>
              </w:rPr>
              <w:t>.</w:t>
            </w:r>
          </w:p>
          <w:p w:rsidR="00385958" w:rsidRDefault="00385958" w:rsidP="00C84981">
            <w:pPr>
              <w:autoSpaceDE w:val="0"/>
              <w:autoSpaceDN w:val="0"/>
              <w:adjustRightInd w:val="0"/>
              <w:jc w:val="both"/>
              <w:rPr>
                <w:rFonts w:cs="Times New Roman"/>
                <w:color w:val="000000"/>
              </w:rPr>
            </w:pPr>
            <w:r w:rsidRPr="00C84981">
              <w:rPr>
                <w:rFonts w:cs="Times New Roman"/>
                <w:color w:val="000000"/>
              </w:rPr>
              <w:t>Taigi, jei atlikdama pirkimų analizę ar vertinimus Viešųjų pirkimų tarnyba pastebėtų požymius, leidžiančius spręsti, kad egzistuoja konkurenciją ribojantys susitarimai, apie tai būtų p</w:t>
            </w:r>
            <w:r w:rsidR="007B0AC9">
              <w:rPr>
                <w:rFonts w:cs="Times New Roman"/>
                <w:color w:val="000000"/>
              </w:rPr>
              <w:t>ranešama Konkurencijos tarybai.</w:t>
            </w:r>
          </w:p>
          <w:p w:rsidR="007B0AC9" w:rsidRPr="00C84981" w:rsidRDefault="007B0AC9" w:rsidP="00C84981">
            <w:pPr>
              <w:autoSpaceDE w:val="0"/>
              <w:autoSpaceDN w:val="0"/>
              <w:adjustRightInd w:val="0"/>
              <w:jc w:val="both"/>
              <w:rPr>
                <w:rFonts w:cs="Times New Roman"/>
                <w:color w:val="000000"/>
              </w:rPr>
            </w:pPr>
          </w:p>
        </w:tc>
        <w:tc>
          <w:tcPr>
            <w:tcW w:w="5245" w:type="dxa"/>
          </w:tcPr>
          <w:p w:rsidR="00385958" w:rsidRPr="009A406A" w:rsidRDefault="00385958" w:rsidP="00C84981">
            <w:pPr>
              <w:autoSpaceDE w:val="0"/>
              <w:autoSpaceDN w:val="0"/>
              <w:adjustRightInd w:val="0"/>
              <w:jc w:val="both"/>
              <w:rPr>
                <w:rFonts w:cs="Times New Roman"/>
              </w:rPr>
            </w:pPr>
            <w:r w:rsidRPr="00C84981">
              <w:rPr>
                <w:rFonts w:cs="Times New Roman"/>
                <w:color w:val="000000"/>
              </w:rPr>
              <w:t xml:space="preserve">2017 m. vasarį Viešųjų pirkimų tarnyba, Specialiųjų tyrimų tarnyba ir Konkurencijos taryba pasirašė trišalę bendradarbiavimo sutartį, </w:t>
            </w:r>
            <w:r w:rsidRPr="00C84981">
              <w:rPr>
                <w:rFonts w:cs="Times New Roman"/>
              </w:rPr>
              <w:t xml:space="preserve">kuri </w:t>
            </w:r>
            <w:r w:rsidRPr="00C84981">
              <w:rPr>
                <w:rFonts w:cs="Times New Roman"/>
                <w:spacing w:val="2"/>
                <w:shd w:val="clear" w:color="auto" w:fill="FFFFFF"/>
              </w:rPr>
              <w:t xml:space="preserve">leidžia efektyviau išnaudoti institucijų potencialą suteikiant tarpusavio ekspertinę pagalbą bei dalinantis reikšminga informacija atliekant tyrimus dėl korupcijos, viešųjų pirkimų pažeidimų ir konkurenciją ribojančių susitarimų viešuosiuose pirkimuose, taip pat keliant institucijų darbuotojų kvalifikaciją: </w:t>
            </w:r>
            <w:hyperlink r:id="rId19" w:history="1">
              <w:r w:rsidRPr="00C84981">
                <w:rPr>
                  <w:rStyle w:val="Hyperlink"/>
                  <w:rFonts w:cs="Times New Roman"/>
                </w:rPr>
                <w:t>https://vpt.lrv.lt/lt/naujienos/pasirasyta-trisale-bendradarbiavimo-sutartis</w:t>
              </w:r>
            </w:hyperlink>
          </w:p>
          <w:p w:rsidR="00385958" w:rsidRDefault="00385958" w:rsidP="00C84981">
            <w:pPr>
              <w:jc w:val="both"/>
              <w:rPr>
                <w:rFonts w:cs="Times New Roman"/>
                <w:color w:val="000000"/>
              </w:rPr>
            </w:pPr>
            <w:r w:rsidRPr="00C84981">
              <w:rPr>
                <w:rFonts w:cs="Times New Roman"/>
                <w:color w:val="000000"/>
              </w:rPr>
              <w:t>Be kita ko, perkančiosios organizacijos gali ir savarankiškai pranešti kompetentingai institucijai – Konkurencijos tarybai – apie įtariamus konkurenciją ribojančių susitarimų atvejus.</w:t>
            </w:r>
          </w:p>
          <w:p w:rsidR="007B0AC9" w:rsidRPr="007B0AC9" w:rsidRDefault="007B0AC9" w:rsidP="00C84981">
            <w:pPr>
              <w:jc w:val="both"/>
              <w:rPr>
                <w:rFonts w:cs="Times New Roman"/>
                <w:color w:val="FF0000"/>
              </w:rPr>
            </w:pPr>
          </w:p>
          <w:p w:rsidR="007B0AC9" w:rsidRPr="00D40048" w:rsidRDefault="007B0AC9" w:rsidP="007B0AC9">
            <w:pPr>
              <w:autoSpaceDE w:val="0"/>
              <w:autoSpaceDN w:val="0"/>
              <w:adjustRightInd w:val="0"/>
              <w:jc w:val="both"/>
              <w:rPr>
                <w:rFonts w:cs="Times New Roman"/>
                <w:color w:val="000000" w:themeColor="text1"/>
              </w:rPr>
            </w:pPr>
            <w:r w:rsidRPr="00D40048">
              <w:rPr>
                <w:rFonts w:cs="Times New Roman"/>
                <w:color w:val="000000" w:themeColor="text1"/>
              </w:rPr>
              <w:t>Šiame punkte pateikta informacija konkrečiai atspindi Direktyvos 2014/24/ES 83 straipsnio 2 dalyje pateiktą nuostatą, kad „</w:t>
            </w:r>
            <w:r w:rsidRPr="00D40048">
              <w:rPr>
                <w:i/>
                <w:iCs/>
                <w:color w:val="000000" w:themeColor="text1"/>
                <w:shd w:val="clear" w:color="auto" w:fill="FFFFFF"/>
              </w:rPr>
              <w:t>Kai stebėsenos institucijos ar struktūros savo iniciatyva arba gavusios informacijos nustato konkrečius pažeidimus ar sistemines problemas, jos įgaliojamos nurodyti tas problemas nacionalinėms audito institucijoms, teismams arba kitoms atitinkamoms valdžios institucijoms ar struktūroms, kaip antai ombudsmenui, nacionaliniams parlamentams ar jų komitetams.</w:t>
            </w:r>
            <w:r w:rsidRPr="00D40048">
              <w:rPr>
                <w:rFonts w:cs="Times New Roman"/>
                <w:i/>
                <w:iCs/>
                <w:color w:val="000000" w:themeColor="text1"/>
              </w:rPr>
              <w:t>“</w:t>
            </w:r>
            <w:r w:rsidRPr="00D40048">
              <w:rPr>
                <w:rFonts w:cs="Times New Roman"/>
                <w:color w:val="000000" w:themeColor="text1"/>
              </w:rPr>
              <w:t xml:space="preserve">. Pažymėtina, kad šiame direktyvos straipsnyje suteikiami įgaliojimai stebėsenos institucijoms, tačiau nėra nustatyta pareiga perkančiosioms organizacijoms („viešiesiems pirkėjams“) teikti informaciją apie įtariamus suderintus pasiūlymus kompetentingoms institucijoms.  Atitinkamai tokia pareiga „viešiesiems pirkėjams“ nėra nustatyta ir Lietuvos Respublikos viešųjų pirkimų įstatyme. Bet kuriuo atveju, pirkimų vykdytojams yra nustatytas privalomas pašalinimo pagrindas VPĮ 46 straipsnio 4 dalies 1 punkte „1) jis [tiekėjas] su kitais tiekėjais yra sudaręs susitarimų, kuriais siekiama iškreipti konkurenciją atliekamame pirkime, ir perkančioji organizacija dėl to turi įtikinamų duomenų“, o prireikus taikyti šį pašalinimo pagrindą pirkėjams konsultacijas teikia Konkurencijos taryba, kaip tai nustatyta VPĮ 92 straipsnio 4 dalyje, taigi šiai institucijai būtų teikiama atitinkama informacija tais atvejais, kai pirkėjas dėl šio pašalinimo pagrindo kreiptųsi konsultacijos. </w:t>
            </w:r>
          </w:p>
          <w:p w:rsidR="007B0AC9" w:rsidRPr="00D40048" w:rsidRDefault="007B0AC9" w:rsidP="007B0AC9">
            <w:pPr>
              <w:autoSpaceDE w:val="0"/>
              <w:autoSpaceDN w:val="0"/>
              <w:adjustRightInd w:val="0"/>
              <w:jc w:val="both"/>
              <w:rPr>
                <w:rFonts w:cs="Times New Roman"/>
                <w:color w:val="000000" w:themeColor="text1"/>
              </w:rPr>
            </w:pPr>
          </w:p>
          <w:p w:rsidR="007B0AC9" w:rsidRPr="00D40048" w:rsidRDefault="007B0AC9" w:rsidP="007B0AC9">
            <w:pPr>
              <w:autoSpaceDE w:val="0"/>
              <w:autoSpaceDN w:val="0"/>
              <w:adjustRightInd w:val="0"/>
              <w:jc w:val="both"/>
              <w:rPr>
                <w:rFonts w:cs="Times New Roman"/>
                <w:color w:val="000000" w:themeColor="text1"/>
              </w:rPr>
            </w:pPr>
            <w:r w:rsidRPr="00D40048">
              <w:rPr>
                <w:rFonts w:cs="Times New Roman"/>
                <w:color w:val="000000" w:themeColor="text1"/>
              </w:rPr>
              <w:t xml:space="preserve">Konkurencijos taryba taip pat savo interneto tinklapyje yra paskelbusi metodinės medžiagos šiais klausimais: </w:t>
            </w:r>
            <w:hyperlink r:id="rId20" w:history="1">
              <w:r w:rsidRPr="00D40048">
                <w:rPr>
                  <w:rStyle w:val="Hyperlink"/>
                  <w:rFonts w:cs="Times New Roman"/>
                  <w:color w:val="000000" w:themeColor="text1"/>
                </w:rPr>
                <w:t>https://www.kt.gov.lt/karteliai-viesuosiuose-pirkimuose-2</w:t>
              </w:r>
            </w:hyperlink>
          </w:p>
          <w:p w:rsidR="007B0AC9" w:rsidRPr="00D40048" w:rsidRDefault="007B0AC9" w:rsidP="007B0AC9">
            <w:pPr>
              <w:autoSpaceDE w:val="0"/>
              <w:autoSpaceDN w:val="0"/>
              <w:adjustRightInd w:val="0"/>
              <w:jc w:val="both"/>
              <w:rPr>
                <w:rFonts w:cs="Times New Roman"/>
                <w:color w:val="000000" w:themeColor="text1"/>
              </w:rPr>
            </w:pPr>
          </w:p>
          <w:p w:rsidR="007B0AC9" w:rsidRPr="00C84981" w:rsidRDefault="007B0AC9" w:rsidP="007B0AC9">
            <w:pPr>
              <w:jc w:val="both"/>
              <w:rPr>
                <w:rFonts w:cs="Times New Roman"/>
              </w:rPr>
            </w:pPr>
            <w:r w:rsidRPr="00D40048">
              <w:rPr>
                <w:rFonts w:cs="Times New Roman"/>
                <w:color w:val="000000" w:themeColor="text1"/>
              </w:rPr>
              <w:t xml:space="preserve">Tiekėjų, pažeidusią draudimą sudaryti draudžiamus konkurenciją ribojančius susitarimus, sąrašas skelbiamas Konkurencijos tarybos tinklapyje: </w:t>
            </w:r>
            <w:hyperlink r:id="rId21" w:history="1">
              <w:r w:rsidRPr="00D40048">
                <w:rPr>
                  <w:rStyle w:val="Hyperlink"/>
                  <w:rFonts w:cs="Times New Roman"/>
                  <w:color w:val="000000" w:themeColor="text1"/>
                </w:rPr>
                <w:t>https://kt.gov.lt/lt/atviri-duomenys/diskvalifikavimas-is-viesuju-pirkimu</w:t>
              </w:r>
            </w:hyperlink>
          </w:p>
        </w:tc>
      </w:tr>
      <w:tr w:rsidR="005F2540" w:rsidRPr="00C84981" w:rsidTr="00851CC4">
        <w:tc>
          <w:tcPr>
            <w:tcW w:w="1276" w:type="dxa"/>
            <w:vMerge w:val="restart"/>
          </w:tcPr>
          <w:p w:rsidR="005F2540" w:rsidRPr="00385958" w:rsidRDefault="005F2540" w:rsidP="006B2548">
            <w:pPr>
              <w:pStyle w:val="ListParagraph"/>
              <w:numPr>
                <w:ilvl w:val="0"/>
                <w:numId w:val="1"/>
              </w:numPr>
              <w:tabs>
                <w:tab w:val="left" w:pos="339"/>
              </w:tabs>
              <w:ind w:left="33" w:hanging="33"/>
              <w:rPr>
                <w:rFonts w:eastAsia="Times New Roman" w:cs="Times New Roman"/>
                <w:iCs/>
                <w:noProof/>
                <w:szCs w:val="20"/>
              </w:rPr>
            </w:pPr>
            <w:r w:rsidRPr="00385958">
              <w:rPr>
                <w:rFonts w:eastAsia="Times New Roman" w:cs="Times New Roman"/>
                <w:iCs/>
                <w:noProof/>
                <w:szCs w:val="20"/>
              </w:rPr>
              <w:t xml:space="preserve">Veiksmingo valstybės pagalbos taisyklių taikymo priemonės ir gebėjimai </w:t>
            </w:r>
          </w:p>
          <w:p w:rsidR="005F2540" w:rsidRPr="00385958" w:rsidRDefault="005F2540" w:rsidP="006B2548">
            <w:pPr>
              <w:rPr>
                <w:rFonts w:eastAsia="Times New Roman" w:cs="Times New Roman"/>
                <w:iCs/>
                <w:noProof/>
                <w:szCs w:val="20"/>
              </w:rPr>
            </w:pPr>
          </w:p>
          <w:p w:rsidR="005F2540" w:rsidRPr="00385958" w:rsidRDefault="005F2540" w:rsidP="006B2548">
            <w:pPr>
              <w:rPr>
                <w:rFonts w:cs="Times New Roman"/>
                <w:b/>
                <w:szCs w:val="20"/>
                <w:lang w:val="en-US"/>
              </w:rPr>
            </w:pPr>
            <w:r w:rsidRPr="00385958">
              <w:rPr>
                <w:rFonts w:eastAsia="Times New Roman" w:cs="Times New Roman"/>
                <w:iCs/>
                <w:noProof/>
                <w:szCs w:val="20"/>
              </w:rPr>
              <w:t>(</w:t>
            </w:r>
            <w:r w:rsidRPr="00385958">
              <w:rPr>
                <w:rFonts w:cs="Times New Roman"/>
                <w:szCs w:val="20"/>
                <w:lang w:val="en-US"/>
              </w:rPr>
              <w:t>Tools and capacity for effective application of State aid rules)</w:t>
            </w:r>
          </w:p>
          <w:p w:rsidR="005F2540" w:rsidRPr="00C84981" w:rsidRDefault="005F2540" w:rsidP="00C84981">
            <w:pPr>
              <w:jc w:val="both"/>
              <w:rPr>
                <w:rFonts w:eastAsia="Times New Roman" w:cs="Times New Roman"/>
                <w:iCs/>
                <w:noProof/>
                <w:szCs w:val="20"/>
              </w:rPr>
            </w:pPr>
          </w:p>
        </w:tc>
        <w:tc>
          <w:tcPr>
            <w:tcW w:w="851" w:type="dxa"/>
            <w:vMerge w:val="restart"/>
          </w:tcPr>
          <w:p w:rsidR="005F2540" w:rsidRPr="00C84981" w:rsidRDefault="005F2540" w:rsidP="00C84981">
            <w:pPr>
              <w:jc w:val="both"/>
              <w:rPr>
                <w:rFonts w:eastAsia="Times New Roman" w:cs="Times New Roman"/>
                <w:iCs/>
                <w:noProof/>
                <w:szCs w:val="20"/>
              </w:rPr>
            </w:pPr>
          </w:p>
        </w:tc>
        <w:tc>
          <w:tcPr>
            <w:tcW w:w="1134" w:type="dxa"/>
            <w:vMerge w:val="restart"/>
          </w:tcPr>
          <w:p w:rsidR="005F2540" w:rsidRPr="00C84981" w:rsidRDefault="005F2540" w:rsidP="00C84981">
            <w:pPr>
              <w:jc w:val="both"/>
              <w:rPr>
                <w:rFonts w:eastAsia="Times New Roman" w:cs="Times New Roman"/>
                <w:iCs/>
                <w:noProof/>
                <w:szCs w:val="20"/>
              </w:rPr>
            </w:pPr>
          </w:p>
        </w:tc>
        <w:tc>
          <w:tcPr>
            <w:tcW w:w="1134" w:type="dxa"/>
            <w:vMerge w:val="restart"/>
          </w:tcPr>
          <w:p w:rsidR="005F2540" w:rsidRPr="00C84981" w:rsidRDefault="006F4DD7" w:rsidP="00C84981">
            <w:pPr>
              <w:jc w:val="both"/>
              <w:rPr>
                <w:rFonts w:eastAsia="Times New Roman" w:cs="Times New Roman"/>
                <w:iCs/>
                <w:noProof/>
                <w:szCs w:val="20"/>
                <w:lang w:val="en-US"/>
              </w:rPr>
            </w:pPr>
            <w:r>
              <w:rPr>
                <w:rFonts w:eastAsia="Times New Roman" w:cs="Times New Roman"/>
                <w:iCs/>
                <w:noProof/>
                <w:szCs w:val="20"/>
                <w:lang w:val="en-US"/>
              </w:rPr>
              <w:t>Taip</w:t>
            </w:r>
          </w:p>
        </w:tc>
        <w:tc>
          <w:tcPr>
            <w:tcW w:w="2409" w:type="dxa"/>
          </w:tcPr>
          <w:p w:rsidR="00923085" w:rsidRPr="008D5C99" w:rsidRDefault="00923085" w:rsidP="00B258FD">
            <w:r w:rsidRPr="008D5C99">
              <w:t>Vadovaujančiosios institucijos turi priemonių ir yra pajėgios patikrinti, ar laikomasi valstybės pagalbos taisyklių:</w:t>
            </w:r>
          </w:p>
          <w:p w:rsidR="00923085" w:rsidRPr="008D5C99" w:rsidRDefault="00923085" w:rsidP="00B258FD">
            <w:r>
              <w:t xml:space="preserve">1. </w:t>
            </w:r>
            <w:r w:rsidRPr="008D5C99">
              <w:t>sunkumų patiriančių įmonių ir įmonių, kurioms taikomas reikalavimas grąžinti lėšas, atveju;</w:t>
            </w:r>
          </w:p>
          <w:p w:rsidR="005F2540" w:rsidRDefault="005F2540" w:rsidP="00B258FD">
            <w:pPr>
              <w:rPr>
                <w:rFonts w:cs="Times New Roman"/>
                <w:noProof/>
                <w:szCs w:val="20"/>
                <w:lang w:val="en-US"/>
              </w:rPr>
            </w:pPr>
          </w:p>
          <w:p w:rsidR="00B258FD" w:rsidRDefault="005F2540" w:rsidP="00B258FD">
            <w:r>
              <w:rPr>
                <w:rFonts w:cs="Times New Roman"/>
                <w:noProof/>
                <w:szCs w:val="20"/>
                <w:lang w:val="en-US"/>
              </w:rPr>
              <w:t>(</w:t>
            </w:r>
            <w:r w:rsidR="00B258FD">
              <w:t xml:space="preserve">Managing authorities have the tools and capacity to verify compliance with State aid rules: </w:t>
            </w:r>
          </w:p>
          <w:p w:rsidR="00B258FD" w:rsidRDefault="00B258FD" w:rsidP="00B258FD">
            <w:r w:rsidRPr="002A5757">
              <w:rPr>
                <w:rFonts w:eastAsia="Times New Roman" w:cs="Times New Roman"/>
                <w:szCs w:val="20"/>
                <w:lang w:val="en-US"/>
              </w:rPr>
              <w:t>1.</w:t>
            </w:r>
            <w:r>
              <w:t xml:space="preserve"> For undertakings in difficulty and undertakings under a recovery requirement.)</w:t>
            </w:r>
          </w:p>
          <w:p w:rsidR="005F2540" w:rsidRPr="00C84981" w:rsidRDefault="005F2540" w:rsidP="00B258FD">
            <w:pPr>
              <w:rPr>
                <w:rFonts w:cs="Times New Roman"/>
                <w:noProof/>
                <w:szCs w:val="20"/>
                <w:lang w:val="en-US"/>
              </w:rPr>
            </w:pPr>
          </w:p>
        </w:tc>
        <w:tc>
          <w:tcPr>
            <w:tcW w:w="1276" w:type="dxa"/>
          </w:tcPr>
          <w:p w:rsidR="005F2540" w:rsidRPr="00C84981" w:rsidRDefault="006F4DD7" w:rsidP="00C84981">
            <w:pPr>
              <w:jc w:val="both"/>
              <w:rPr>
                <w:rFonts w:eastAsia="Calibri" w:cs="Times New Roman"/>
                <w:noProof/>
                <w:szCs w:val="20"/>
              </w:rPr>
            </w:pPr>
            <w:r>
              <w:rPr>
                <w:rFonts w:eastAsia="Calibri" w:cs="Times New Roman"/>
                <w:noProof/>
                <w:szCs w:val="20"/>
              </w:rPr>
              <w:t>Taip</w:t>
            </w:r>
          </w:p>
        </w:tc>
        <w:tc>
          <w:tcPr>
            <w:tcW w:w="2410" w:type="dxa"/>
          </w:tcPr>
          <w:p w:rsidR="002A5757" w:rsidRPr="002A5757" w:rsidRDefault="002A5757" w:rsidP="002A5757">
            <w:pPr>
              <w:tabs>
                <w:tab w:val="left" w:pos="459"/>
              </w:tabs>
              <w:jc w:val="both"/>
              <w:rPr>
                <w:rFonts w:cs="Times New Roman"/>
                <w:szCs w:val="20"/>
              </w:rPr>
            </w:pPr>
            <w:r w:rsidRPr="002A5757">
              <w:rPr>
                <w:rFonts w:cs="Times New Roman"/>
                <w:szCs w:val="20"/>
              </w:rPr>
              <w:t>„Atsakomybės ir funkcijų paskirstymo tarp institucijų, įgyvendinant 2014–2020 metų Europos Sąjungos fondų investicijų veiksmų programą, taisyklės“, patvirtintos Lietuvos Respublikos Vyriausybės 2014 m. birželio 4 d. nutarimu Nr. 528:</w:t>
            </w:r>
          </w:p>
          <w:p w:rsidR="002A5757" w:rsidRPr="002A5757" w:rsidRDefault="00627FD3" w:rsidP="002A5757">
            <w:pPr>
              <w:tabs>
                <w:tab w:val="left" w:pos="459"/>
              </w:tabs>
              <w:jc w:val="both"/>
              <w:rPr>
                <w:rFonts w:cs="Times New Roman"/>
                <w:szCs w:val="20"/>
              </w:rPr>
            </w:pPr>
            <w:hyperlink r:id="rId22" w:history="1">
              <w:r w:rsidR="002A5757" w:rsidRPr="002A5757">
                <w:rPr>
                  <w:rStyle w:val="Hyperlink"/>
                  <w:rFonts w:cs="Times New Roman"/>
                  <w:szCs w:val="20"/>
                </w:rPr>
                <w:t>https://www.e-tar.lt/portal/lt/legalAct/35957860f54a11e39cfacd978b6fd9bb/asr</w:t>
              </w:r>
            </w:hyperlink>
          </w:p>
          <w:p w:rsidR="002A5757" w:rsidRPr="002A5757" w:rsidRDefault="002A5757" w:rsidP="002A5757">
            <w:pPr>
              <w:tabs>
                <w:tab w:val="left" w:pos="459"/>
              </w:tabs>
              <w:jc w:val="both"/>
              <w:rPr>
                <w:rFonts w:cs="Times New Roman"/>
                <w:szCs w:val="20"/>
              </w:rPr>
            </w:pPr>
          </w:p>
          <w:p w:rsidR="002A5757" w:rsidRPr="002A5757" w:rsidRDefault="002A5757" w:rsidP="002A5757">
            <w:pPr>
              <w:tabs>
                <w:tab w:val="left" w:pos="459"/>
              </w:tabs>
              <w:jc w:val="both"/>
              <w:rPr>
                <w:rFonts w:cs="Times New Roman"/>
                <w:szCs w:val="20"/>
              </w:rPr>
            </w:pPr>
            <w:r w:rsidRPr="002A5757">
              <w:rPr>
                <w:rFonts w:cs="Times New Roman"/>
                <w:szCs w:val="20"/>
              </w:rPr>
              <w:t xml:space="preserve">2014 m. birželio 17 d. Komisijos reglamentas </w:t>
            </w:r>
            <w:hyperlink r:id="rId23" w:tgtFrame="_blank" w:history="1">
              <w:r w:rsidRPr="002A5757">
                <w:rPr>
                  <w:rStyle w:val="Hyperlink"/>
                  <w:rFonts w:cs="Times New Roman"/>
                  <w:szCs w:val="20"/>
                </w:rPr>
                <w:t>(ES) Nr. 651/2014</w:t>
              </w:r>
            </w:hyperlink>
            <w:r w:rsidRPr="002A5757">
              <w:rPr>
                <w:rFonts w:cs="Times New Roman"/>
                <w:szCs w:val="20"/>
              </w:rPr>
              <w:t xml:space="preserve">, kuriuo tam tikrų kategorijų pagalba skelbiama suderinama su vidaus rinka taikant Sutarties 107 ir 108 straipsnius, su paskutiniais pakeitimais, padarytais 2020 m. liepos 2 d. Komisijos reglamentu </w:t>
            </w:r>
            <w:hyperlink r:id="rId24" w:tgtFrame="_blank" w:history="1">
              <w:r w:rsidRPr="002A5757">
                <w:rPr>
                  <w:rStyle w:val="Hyperlink"/>
                  <w:rFonts w:cs="Times New Roman"/>
                  <w:szCs w:val="20"/>
                </w:rPr>
                <w:t>(ES) 2020/972</w:t>
              </w:r>
            </w:hyperlink>
            <w:r w:rsidRPr="002A5757">
              <w:rPr>
                <w:rFonts w:cs="Times New Roman"/>
                <w:szCs w:val="20"/>
              </w:rPr>
              <w:t xml:space="preserve"> (Reglamentas).</w:t>
            </w:r>
          </w:p>
          <w:p w:rsidR="002A5757" w:rsidRPr="002A5757" w:rsidRDefault="002A5757" w:rsidP="002A5757">
            <w:pPr>
              <w:tabs>
                <w:tab w:val="left" w:pos="459"/>
              </w:tabs>
              <w:jc w:val="both"/>
              <w:rPr>
                <w:rFonts w:cs="Times New Roman"/>
                <w:szCs w:val="20"/>
              </w:rPr>
            </w:pPr>
          </w:p>
          <w:p w:rsidR="002A5757" w:rsidRPr="002A5757" w:rsidRDefault="002A5757" w:rsidP="002A5757">
            <w:pPr>
              <w:tabs>
                <w:tab w:val="left" w:pos="459"/>
              </w:tabs>
              <w:jc w:val="both"/>
              <w:rPr>
                <w:rFonts w:cs="Times New Roman"/>
                <w:szCs w:val="20"/>
              </w:rPr>
            </w:pPr>
            <w:r w:rsidRPr="002A5757">
              <w:rPr>
                <w:rFonts w:cs="Times New Roman"/>
                <w:szCs w:val="20"/>
              </w:rPr>
              <w:t>Audito, apskaitos, turto vertinimo ir nemokumo valdymo tarnybos prie Lietuvos Respublikos finansų ministerijos interneto svetainė:</w:t>
            </w:r>
          </w:p>
          <w:p w:rsidR="002A5757" w:rsidRPr="002A5757" w:rsidRDefault="00627FD3" w:rsidP="002A5757">
            <w:pPr>
              <w:tabs>
                <w:tab w:val="left" w:pos="459"/>
              </w:tabs>
              <w:jc w:val="both"/>
              <w:rPr>
                <w:rFonts w:cs="Times New Roman"/>
                <w:szCs w:val="20"/>
                <w:lang w:val="en-US"/>
              </w:rPr>
            </w:pPr>
            <w:hyperlink r:id="rId25" w:history="1">
              <w:r w:rsidR="002A5757" w:rsidRPr="002A5757">
                <w:rPr>
                  <w:rStyle w:val="Hyperlink"/>
                  <w:rFonts w:cs="Times New Roman"/>
                  <w:szCs w:val="20"/>
                  <w:lang w:val="en-US"/>
                </w:rPr>
                <w:t>http://www.avnt.lt/veiklos-sritys/nemokumas-2/</w:t>
              </w:r>
            </w:hyperlink>
          </w:p>
          <w:p w:rsidR="002A5757" w:rsidRPr="002A5757" w:rsidRDefault="002A5757" w:rsidP="002A5757">
            <w:pPr>
              <w:tabs>
                <w:tab w:val="left" w:pos="459"/>
              </w:tabs>
              <w:jc w:val="both"/>
              <w:rPr>
                <w:rFonts w:cs="Times New Roman"/>
                <w:szCs w:val="20"/>
              </w:rPr>
            </w:pPr>
          </w:p>
          <w:p w:rsidR="002A5757" w:rsidRPr="002A5757" w:rsidRDefault="002A5757" w:rsidP="002A5757">
            <w:pPr>
              <w:tabs>
                <w:tab w:val="left" w:pos="459"/>
              </w:tabs>
              <w:jc w:val="both"/>
              <w:rPr>
                <w:rFonts w:cs="Times New Roman"/>
                <w:szCs w:val="20"/>
              </w:rPr>
            </w:pPr>
            <w:r w:rsidRPr="002A5757">
              <w:rPr>
                <w:rFonts w:cs="Times New Roman"/>
                <w:szCs w:val="20"/>
              </w:rPr>
              <w:t>Juridinių asmenų registro (JAR) nuostatai, patvirtinti Lietuvos Respublikos Vyriausybės 2003 m. lapkričio 12 d. nutarimu Nr. 1407:</w:t>
            </w:r>
          </w:p>
          <w:p w:rsidR="002A5757" w:rsidRPr="002A5757" w:rsidRDefault="00627FD3" w:rsidP="002A5757">
            <w:pPr>
              <w:tabs>
                <w:tab w:val="left" w:pos="459"/>
              </w:tabs>
              <w:jc w:val="both"/>
              <w:rPr>
                <w:rFonts w:cs="Times New Roman"/>
                <w:szCs w:val="20"/>
                <w:u w:val="single"/>
              </w:rPr>
            </w:pPr>
            <w:hyperlink r:id="rId26" w:history="1">
              <w:r w:rsidR="002A5757" w:rsidRPr="002A5757">
                <w:rPr>
                  <w:rStyle w:val="Hyperlink"/>
                  <w:rFonts w:cs="Times New Roman"/>
                  <w:szCs w:val="20"/>
                </w:rPr>
                <w:t>https://www.e-tar.lt/portal/lt/legalAct/TAR.9E302593CE80/asr</w:t>
              </w:r>
            </w:hyperlink>
          </w:p>
          <w:p w:rsidR="002A5757" w:rsidRPr="002A5757" w:rsidRDefault="002A5757" w:rsidP="002A5757">
            <w:pPr>
              <w:tabs>
                <w:tab w:val="left" w:pos="459"/>
              </w:tabs>
              <w:jc w:val="both"/>
              <w:rPr>
                <w:rFonts w:cs="Times New Roman"/>
                <w:szCs w:val="20"/>
              </w:rPr>
            </w:pPr>
            <w:r w:rsidRPr="002A5757">
              <w:rPr>
                <w:rFonts w:cs="Times New Roman"/>
                <w:szCs w:val="20"/>
              </w:rPr>
              <w:t>„Projektų administravimo ir finansavimo taisyklės“, patvirtintos Lietuvos Respublikos Vyriausybės 2014 m. spalio 8 d. Nr. 1K-316:</w:t>
            </w:r>
          </w:p>
          <w:p w:rsidR="002A5757" w:rsidRPr="002A5757" w:rsidRDefault="00627FD3" w:rsidP="002A5757">
            <w:pPr>
              <w:tabs>
                <w:tab w:val="left" w:pos="459"/>
              </w:tabs>
              <w:jc w:val="both"/>
              <w:rPr>
                <w:rFonts w:cs="Times New Roman"/>
                <w:szCs w:val="20"/>
              </w:rPr>
            </w:pPr>
            <w:hyperlink r:id="rId27" w:history="1">
              <w:r w:rsidR="002A5757" w:rsidRPr="002A5757">
                <w:rPr>
                  <w:rStyle w:val="Hyperlink"/>
                  <w:rFonts w:cs="Times New Roman"/>
                  <w:szCs w:val="20"/>
                </w:rPr>
                <w:t>https://e-seimas.lrs.lt/portal/legalAct/lt/TAD/9bc25c404ff711e485f39f55fd139d01/asr</w:t>
              </w:r>
            </w:hyperlink>
          </w:p>
          <w:p w:rsidR="002A5757" w:rsidRPr="002A5757" w:rsidRDefault="002A5757" w:rsidP="002A5757">
            <w:pPr>
              <w:tabs>
                <w:tab w:val="left" w:pos="459"/>
              </w:tabs>
              <w:jc w:val="both"/>
              <w:rPr>
                <w:rFonts w:cs="Times New Roman"/>
                <w:szCs w:val="20"/>
              </w:rPr>
            </w:pPr>
          </w:p>
          <w:p w:rsidR="002A5757" w:rsidRPr="002A5757" w:rsidRDefault="002A5757" w:rsidP="002A5757">
            <w:pPr>
              <w:tabs>
                <w:tab w:val="left" w:pos="459"/>
              </w:tabs>
              <w:jc w:val="both"/>
              <w:rPr>
                <w:rFonts w:cs="Times New Roman"/>
                <w:szCs w:val="20"/>
              </w:rPr>
            </w:pPr>
            <w:r w:rsidRPr="002A5757">
              <w:rPr>
                <w:rFonts w:cs="Times New Roman"/>
                <w:szCs w:val="20"/>
              </w:rPr>
              <w:t>Europos Komisijos puslapis:</w:t>
            </w:r>
          </w:p>
          <w:p w:rsidR="002A5757" w:rsidRPr="002A5757" w:rsidRDefault="00627FD3" w:rsidP="002A5757">
            <w:pPr>
              <w:tabs>
                <w:tab w:val="left" w:pos="459"/>
              </w:tabs>
              <w:jc w:val="both"/>
              <w:rPr>
                <w:rFonts w:cs="Times New Roman"/>
                <w:szCs w:val="20"/>
              </w:rPr>
            </w:pPr>
            <w:hyperlink r:id="rId28" w:history="1">
              <w:r w:rsidR="002A5757" w:rsidRPr="002A5757">
                <w:rPr>
                  <w:rStyle w:val="Hyperlink"/>
                  <w:rFonts w:cs="Times New Roman"/>
                  <w:szCs w:val="20"/>
                </w:rPr>
                <w:t>https://ec.europa.eu/competition/elojade/isef/index.cfm</w:t>
              </w:r>
            </w:hyperlink>
          </w:p>
          <w:p w:rsidR="002A5757" w:rsidRPr="002A5757" w:rsidRDefault="002A5757" w:rsidP="002A5757">
            <w:pPr>
              <w:tabs>
                <w:tab w:val="left" w:pos="459"/>
              </w:tabs>
              <w:jc w:val="both"/>
              <w:rPr>
                <w:rFonts w:cs="Times New Roman"/>
                <w:szCs w:val="20"/>
              </w:rPr>
            </w:pPr>
          </w:p>
          <w:p w:rsidR="002A5757" w:rsidRPr="002A5757" w:rsidRDefault="002A5757" w:rsidP="002A5757">
            <w:pPr>
              <w:tabs>
                <w:tab w:val="left" w:pos="459"/>
              </w:tabs>
              <w:jc w:val="both"/>
              <w:rPr>
                <w:rFonts w:cs="Times New Roman"/>
                <w:szCs w:val="20"/>
              </w:rPr>
            </w:pPr>
            <w:r w:rsidRPr="002A5757">
              <w:rPr>
                <w:rFonts w:cs="Times New Roman"/>
                <w:szCs w:val="20"/>
              </w:rPr>
              <w:t>„Finansinės paramos ir bendrojo finansavimo lėšų grąžinimo į Lietuvos Respublikos valstybės biudžetą taisyklės“, patvirtintos Lietuvos Respublikos Vyriausybės 2005 m. gegužės 30 d. nutarimu Nr. 590:</w:t>
            </w:r>
          </w:p>
          <w:p w:rsidR="002A5757" w:rsidRPr="002A5757" w:rsidRDefault="00627FD3" w:rsidP="002A5757">
            <w:pPr>
              <w:tabs>
                <w:tab w:val="left" w:pos="459"/>
              </w:tabs>
              <w:jc w:val="both"/>
              <w:rPr>
                <w:rFonts w:cs="Times New Roman"/>
                <w:szCs w:val="20"/>
              </w:rPr>
            </w:pPr>
            <w:hyperlink r:id="rId29" w:history="1">
              <w:r w:rsidR="002A5757" w:rsidRPr="002A5757">
                <w:rPr>
                  <w:rStyle w:val="Hyperlink"/>
                  <w:rFonts w:cs="Times New Roman"/>
                  <w:szCs w:val="20"/>
                </w:rPr>
                <w:t>https://e-seimas.lrs.lt/portal/legalAct/lt/TAD/TAIS.256730/asr</w:t>
              </w:r>
            </w:hyperlink>
          </w:p>
          <w:p w:rsidR="002A5757" w:rsidRPr="002A5757" w:rsidRDefault="002A5757" w:rsidP="002A5757">
            <w:pPr>
              <w:tabs>
                <w:tab w:val="left" w:pos="459"/>
              </w:tabs>
              <w:jc w:val="both"/>
              <w:rPr>
                <w:rFonts w:cs="Times New Roman"/>
                <w:szCs w:val="20"/>
              </w:rPr>
            </w:pPr>
          </w:p>
          <w:p w:rsidR="002A5757" w:rsidRPr="002A5757" w:rsidRDefault="002A5757" w:rsidP="002A5757">
            <w:pPr>
              <w:tabs>
                <w:tab w:val="left" w:pos="459"/>
              </w:tabs>
              <w:jc w:val="both"/>
              <w:rPr>
                <w:rFonts w:cs="Times New Roman"/>
                <w:szCs w:val="20"/>
              </w:rPr>
            </w:pPr>
            <w:r w:rsidRPr="002A5757">
              <w:rPr>
                <w:rFonts w:cs="Times New Roman"/>
                <w:szCs w:val="20"/>
              </w:rPr>
              <w:t>„2014–2020 metų grąžintinų ir grąžintų lėšų administravimo taisyklės“, patvirtintos Lietuvos Respublikos finansų ministro 2015 m. vasario 12 d. įsakymu Nr. 1K-059:</w:t>
            </w:r>
          </w:p>
          <w:p w:rsidR="002A5757" w:rsidRPr="002A5757" w:rsidRDefault="00627FD3" w:rsidP="002A5757">
            <w:pPr>
              <w:tabs>
                <w:tab w:val="left" w:pos="459"/>
              </w:tabs>
              <w:jc w:val="both"/>
              <w:rPr>
                <w:rFonts w:cs="Times New Roman"/>
                <w:szCs w:val="20"/>
              </w:rPr>
            </w:pPr>
            <w:hyperlink r:id="rId30" w:history="1">
              <w:r w:rsidR="002A5757" w:rsidRPr="002A5757">
                <w:rPr>
                  <w:rStyle w:val="Hyperlink"/>
                  <w:rFonts w:cs="Times New Roman"/>
                  <w:szCs w:val="20"/>
                </w:rPr>
                <w:t>https://e-seimas.lrs.lt/portal/legalAct/lt/TAD/b52a4890c12711e48799bc57840226ce/asr</w:t>
              </w:r>
            </w:hyperlink>
          </w:p>
          <w:p w:rsidR="002A5757" w:rsidRPr="002A5757" w:rsidRDefault="002A5757" w:rsidP="002A5757">
            <w:pPr>
              <w:tabs>
                <w:tab w:val="left" w:pos="459"/>
              </w:tabs>
              <w:jc w:val="both"/>
              <w:rPr>
                <w:rFonts w:cs="Times New Roman"/>
                <w:szCs w:val="20"/>
              </w:rPr>
            </w:pPr>
          </w:p>
          <w:p w:rsidR="002A5757" w:rsidRPr="002A5757" w:rsidRDefault="002A5757" w:rsidP="002A5757">
            <w:pPr>
              <w:tabs>
                <w:tab w:val="left" w:pos="459"/>
              </w:tabs>
              <w:jc w:val="both"/>
              <w:rPr>
                <w:rFonts w:cs="Times New Roman"/>
                <w:szCs w:val="20"/>
              </w:rPr>
            </w:pPr>
            <w:r w:rsidRPr="002A5757">
              <w:rPr>
                <w:rFonts w:cs="Times New Roman"/>
                <w:szCs w:val="20"/>
              </w:rPr>
              <w:t xml:space="preserve">„Darbo grupė teisiniam reglamentavimui dėl neteisėtos ir (arba) nesuderinamos su vidaus rinka valstybės pagalbos susigrąžinimo parengti“, sudaryta 2020 m. lapkričio 18 d. LR ekonomikos ir inovacijų ministro įsakymu Nr. 4-1032: </w:t>
            </w:r>
          </w:p>
          <w:p w:rsidR="002A5757" w:rsidRDefault="00627FD3" w:rsidP="002A5757">
            <w:pPr>
              <w:tabs>
                <w:tab w:val="left" w:pos="459"/>
              </w:tabs>
              <w:jc w:val="both"/>
              <w:rPr>
                <w:rFonts w:cs="Times New Roman"/>
                <w:szCs w:val="20"/>
              </w:rPr>
            </w:pPr>
            <w:hyperlink r:id="rId31" w:history="1">
              <w:r w:rsidR="002A5757" w:rsidRPr="002A5757">
                <w:rPr>
                  <w:rStyle w:val="Hyperlink"/>
                  <w:rFonts w:cs="Times New Roman"/>
                  <w:szCs w:val="20"/>
                </w:rPr>
                <w:t>https://e-seimas.lrs.lt/portal/legalAct/lt/TAD/ac49b6d229df11eb8c97e01ffe050e1c/asr</w:t>
              </w:r>
            </w:hyperlink>
          </w:p>
          <w:p w:rsidR="002A5757" w:rsidRDefault="002A5757" w:rsidP="002A5757">
            <w:pPr>
              <w:tabs>
                <w:tab w:val="left" w:pos="459"/>
              </w:tabs>
              <w:jc w:val="both"/>
              <w:rPr>
                <w:rFonts w:cs="Times New Roman"/>
                <w:szCs w:val="20"/>
              </w:rPr>
            </w:pPr>
          </w:p>
          <w:p w:rsidR="002A5757" w:rsidRDefault="002A5757" w:rsidP="002A5757">
            <w:pPr>
              <w:tabs>
                <w:tab w:val="left" w:pos="459"/>
              </w:tabs>
              <w:jc w:val="both"/>
              <w:rPr>
                <w:rFonts w:cs="Times New Roman"/>
                <w:szCs w:val="20"/>
              </w:rPr>
            </w:pPr>
          </w:p>
          <w:p w:rsidR="005F2540" w:rsidRPr="006F4DD7" w:rsidRDefault="005F2540" w:rsidP="002A5757">
            <w:pPr>
              <w:tabs>
                <w:tab w:val="left" w:pos="459"/>
              </w:tabs>
              <w:jc w:val="both"/>
              <w:rPr>
                <w:rFonts w:cs="Times New Roman"/>
                <w:szCs w:val="20"/>
              </w:rPr>
            </w:pPr>
          </w:p>
        </w:tc>
        <w:tc>
          <w:tcPr>
            <w:tcW w:w="5245" w:type="dxa"/>
          </w:tcPr>
          <w:p w:rsidR="002A5757" w:rsidRPr="002A5757" w:rsidRDefault="002A5757" w:rsidP="002A5757">
            <w:pPr>
              <w:jc w:val="both"/>
              <w:rPr>
                <w:rFonts w:cs="Times New Roman"/>
              </w:rPr>
            </w:pPr>
            <w:r w:rsidRPr="002A5757">
              <w:rPr>
                <w:rFonts w:cs="Times New Roman"/>
              </w:rPr>
              <w:t>Įgyvendinant valstybės pagalbos schemas, įgyvendinančioji institucija, kuriai Lietuvos Respublikos Vyriausybės nutarimu pavesta atsakomybė už ES struktūrinių fondų lėšomis finansuojamų projektų išlaidų tinkamumą, vertindama paraiškų tinkamumą, nustato projekto atitikimą valstybės pagalbos reikalavimams (vadovaujamasi paraiškoje pateikiama informacija apie gautą valstybės pagalbą bei pareiškėjo deklaracija).</w:t>
            </w:r>
          </w:p>
          <w:p w:rsidR="002A5757" w:rsidRPr="002A5757" w:rsidRDefault="002A5757" w:rsidP="002A5757">
            <w:pPr>
              <w:jc w:val="both"/>
              <w:rPr>
                <w:rFonts w:cs="Times New Roman"/>
              </w:rPr>
            </w:pPr>
            <w:r w:rsidRPr="002A5757">
              <w:rPr>
                <w:rFonts w:cs="Times New Roman"/>
              </w:rPr>
              <w:t xml:space="preserve">Įgyvendinančioji institucija vidinėse procedūrose yra nustačiusi taisykles ir kriterijus pagal kuriuos yra vertinama, ar įmonė yra sunkumų patirianti (Reglamento 2 straipsnio 18 punktas). </w:t>
            </w:r>
          </w:p>
          <w:p w:rsidR="002A5757" w:rsidRPr="002A5757" w:rsidRDefault="002A5757" w:rsidP="002A5757">
            <w:pPr>
              <w:jc w:val="both"/>
              <w:rPr>
                <w:rFonts w:cs="Times New Roman"/>
              </w:rPr>
            </w:pPr>
            <w:r w:rsidRPr="002A5757">
              <w:rPr>
                <w:rFonts w:cs="Times New Roman"/>
              </w:rPr>
              <w:t>Atsižvelgiant į paraišką pateikusio pareiškėjo turtinės atsakomybės formą, statusą, veiklos laikotarpį, vertinimas yra atliekamas Reglamento 2 straipsnio 18 punkto papunkčių apibrėžtyje (reikalingų duomenų apskaičiavimui naudojamasi „Excel“ ir kt. programų skaičiuoklėmis):</w:t>
            </w:r>
          </w:p>
          <w:p w:rsidR="002A5757" w:rsidRPr="002A5757" w:rsidRDefault="002A5757" w:rsidP="002A5757">
            <w:pPr>
              <w:jc w:val="both"/>
              <w:rPr>
                <w:rFonts w:cs="Times New Roman"/>
              </w:rPr>
            </w:pPr>
            <w:r w:rsidRPr="002A5757">
              <w:rPr>
                <w:rFonts w:cs="Times New Roman"/>
              </w:rPr>
              <w:t>- Atitikimas a/b punktams vertinamas pagal balanso eilutes. Vertinama, ar pareiškėjas pagal patvirtintus finansinės atskaitomybės (toliau – FA) dokumentus, pateiktus JAR, nėra praradęs daugiau nei pusės (akcinio) kapitalo dėl sukauptų nuostolių (vertinami balanso eilutės „Nuosavas kapitalas“ duomenys);</w:t>
            </w:r>
          </w:p>
          <w:p w:rsidR="002A5757" w:rsidRPr="002A5757" w:rsidRDefault="002A5757" w:rsidP="002A5757">
            <w:pPr>
              <w:jc w:val="both"/>
              <w:rPr>
                <w:rFonts w:cs="Times New Roman"/>
              </w:rPr>
            </w:pPr>
            <w:r w:rsidRPr="002A5757">
              <w:rPr>
                <w:rFonts w:cs="Times New Roman"/>
              </w:rPr>
              <w:t>- Atitikimas c punktui vertinamas pagal viešus Audito, apskaitos, turto vertinimo ir nemokumo valdymo tarnybos prie Lietuvos Respublikos finansų ministerijos interneto svetainėje skelbiamus duomenis (apie bankrutuojančias ir restruktūrizuojamas įmones);</w:t>
            </w:r>
          </w:p>
          <w:p w:rsidR="002A5757" w:rsidRPr="002A5757" w:rsidRDefault="002A5757" w:rsidP="002A5757">
            <w:pPr>
              <w:jc w:val="both"/>
              <w:rPr>
                <w:rFonts w:cs="Times New Roman"/>
              </w:rPr>
            </w:pPr>
            <w:r w:rsidRPr="002A5757">
              <w:rPr>
                <w:rFonts w:cs="Times New Roman"/>
              </w:rPr>
              <w:t>- Atitikimas d punktui vertinamas pagal viešai prieinamus duomenis (pvz.: „Google“, kita viešai prieinama informacija);</w:t>
            </w:r>
          </w:p>
          <w:p w:rsidR="002A5757" w:rsidRPr="002A5757" w:rsidRDefault="002A5757" w:rsidP="002A5757">
            <w:pPr>
              <w:jc w:val="both"/>
              <w:rPr>
                <w:rFonts w:cs="Times New Roman"/>
              </w:rPr>
            </w:pPr>
            <w:r w:rsidRPr="002A5757">
              <w:rPr>
                <w:rFonts w:cs="Times New Roman"/>
              </w:rPr>
              <w:t>- Atitikimas e punktui: įmonės balansinis skolos ir nuosavo kapitalo santykis ir įmonės EBITDA (pajamų neatskaičius palūkanų, mokesčių, nusidėvėjimo, ir amortizacijos) palūkanų padengimo santykis) skaičiuojami ir vertinami pagal pareiškėjo paskutinių dvejų metų patvirtintų FA dokumentų, pateiktų JAR, duomenis.</w:t>
            </w:r>
          </w:p>
          <w:p w:rsidR="002A5757" w:rsidRPr="002A5757" w:rsidRDefault="002A5757" w:rsidP="002A5757">
            <w:pPr>
              <w:jc w:val="both"/>
              <w:rPr>
                <w:rFonts w:cs="Times New Roman"/>
              </w:rPr>
            </w:pPr>
            <w:r w:rsidRPr="002A5757">
              <w:rPr>
                <w:rFonts w:cs="Times New Roman"/>
              </w:rPr>
              <w:t xml:space="preserve">Verta pažymėti, kad a/b ir e punktai visada vertinami kompleksiškai – pareiškėjo ir ūkio subjekto (ūkio subjektu laikomas pareiškėjas ir jo visos susijusios įmonės) lygmeniu. Tiek pareiškėjas, tiek ūkio subjektas pagal taikomus kriterijus negali patirti sunkumų. </w:t>
            </w:r>
          </w:p>
          <w:p w:rsidR="002A5757" w:rsidRPr="002A5757" w:rsidRDefault="002A5757" w:rsidP="002A5757">
            <w:pPr>
              <w:jc w:val="both"/>
              <w:rPr>
                <w:rFonts w:cs="Times New Roman"/>
              </w:rPr>
            </w:pPr>
            <w:r w:rsidRPr="002A5757">
              <w:rPr>
                <w:rFonts w:cs="Times New Roman"/>
              </w:rPr>
              <w:t>Atliekant sunkumų vertinimą, vadovaujamasi ne tik konkrečios priemonės projektų finansavimo sąlygų apraše (tvirtinamas ministro įsakymu) nustatytais reikalavimais ir Reglamento, kaip tiesioginio taikymo dokumento, nuostatomis, tačiau taip pat aktyviai sekami ir stebimi Europos Komisijos teikiami išaiškinimai, formuojama praktika dėl Reglamento nuostatų tinkamo taikymo ir įgyvendinimo visose suinteresuotose šalyse. Europos Komisija dėl sunkumus patiriančios įmonės apibrėžties taikymo yra pateikusi išaiškinimus, kad vertinant įmonių padėtį, turėtų būti remiamasi paskutinės patvirtintos ir/ar audituotos finansinės atskaitomybės duomenimis, taip pat turi būti vertinami viso ekonominio vieneto sunkumai (ekonominiu vienetu laikomas pareiškėjas kartu su visomis susijusiomis įmonėmis).</w:t>
            </w:r>
          </w:p>
          <w:p w:rsidR="002A5757" w:rsidRPr="002A5757" w:rsidRDefault="002A5757" w:rsidP="002A5757">
            <w:pPr>
              <w:jc w:val="both"/>
              <w:rPr>
                <w:rFonts w:cs="Times New Roman"/>
              </w:rPr>
            </w:pPr>
            <w:r w:rsidRPr="002A5757">
              <w:rPr>
                <w:rFonts w:cs="Times New Roman"/>
              </w:rPr>
              <w:t xml:space="preserve">Pavyzdžiui, VšĮ Lietuvos verslo paramos agentūros (toliau – LVPA) įgyvendinamų priemonių aprašuose yra nustatytas papildomas reikalavimas, apibrėžiantis, kad finansavimas taip pat negali būti teikiamas tais atvejais, kai pats pareiškėjas individualiai atitinka sunkumus patiriančios įmonės apibrėžtį. Atsižvelgiant į tai, LVPA sunkumų vertinimo perspektyvoje kompleksiškai vertina tiek paties pareiškėjo, tiek ekonominio vieneto, kuriam priklauso pareiškėjas, sunkumus. Pareiškėjo sunkumai vertinami pagal individualius pareiškėjo paskutinius patvirtinus FA dokumentus, tuo tarpu ekonominio vieneto sunkumai vertinami pagal paskutinius patvirtintus konsoliduotos FA dokumentus, o jeigu tokia FA nesudaroma, LVPA, remiantis Europos Komisijos pateiktu išaiškinimu, sumuoja ekonominį vienetą sudarančių įmonių FA duomenis, taip įvertindama, ar bendrai ekonominis vienetas (kaip grupė) nepatiria sunkumų. </w:t>
            </w:r>
          </w:p>
          <w:p w:rsidR="002A5757" w:rsidRPr="002A5757" w:rsidRDefault="002A5757" w:rsidP="002A5757">
            <w:pPr>
              <w:jc w:val="both"/>
              <w:rPr>
                <w:rFonts w:cs="Times New Roman"/>
              </w:rPr>
            </w:pPr>
          </w:p>
          <w:p w:rsidR="002A5757" w:rsidRPr="002A5757" w:rsidRDefault="002A5757" w:rsidP="002A5757">
            <w:pPr>
              <w:jc w:val="both"/>
              <w:rPr>
                <w:rFonts w:cs="Times New Roman"/>
              </w:rPr>
            </w:pPr>
            <w:r w:rsidRPr="002A5757">
              <w:rPr>
                <w:rFonts w:cs="Times New Roman"/>
              </w:rPr>
              <w:t xml:space="preserve">Įgyvendinančioji institucija tikrindama </w:t>
            </w:r>
            <w:proofErr w:type="spellStart"/>
            <w:r w:rsidRPr="002A5757">
              <w:rPr>
                <w:rFonts w:cs="Times New Roman"/>
              </w:rPr>
              <w:t>Daggendorf</w:t>
            </w:r>
            <w:proofErr w:type="spellEnd"/>
            <w:r w:rsidRPr="002A5757">
              <w:rPr>
                <w:rFonts w:cs="Times New Roman"/>
              </w:rPr>
              <w:t xml:space="preserve"> sąlygos atitikimą (tam tikromis sąlygomis galima sustabdyti naujos pagalbos, kuri pripažinta suderinama su bendrąja rinka, teikimą, kol bus grąžinta anksčiau tai pačiai įmonei neteisėtai suteikta pagalba), vadovaujasi paraiškoje pateikiama informacija apie gautą valstybės pagalbą bei pareiškėjo deklaracija. Esant poreikiui ar įtarimui, įgyvendinančioji institucija, tikrindama atitikimą minėtai sąlygai, turi teisę kreiptis į kitas institucijas ar kitus valstybės pagalbos teikėjus dėl papildomos informacijos ar jos patikslinimo. Ši teisė numatyta Projektų administravimo ir finansavimo taisyklėse. </w:t>
            </w:r>
          </w:p>
          <w:p w:rsidR="002A5757" w:rsidRPr="002A5757" w:rsidRDefault="002A5757" w:rsidP="002A5757">
            <w:pPr>
              <w:jc w:val="both"/>
              <w:rPr>
                <w:rFonts w:cs="Times New Roman"/>
              </w:rPr>
            </w:pPr>
            <w:r w:rsidRPr="002A5757">
              <w:rPr>
                <w:rFonts w:cs="Times New Roman"/>
              </w:rPr>
              <w:t>Taip pat, įgyvendinančioji institucija, tikrindama, ar pareiškėjas nėra sugrąžinęs anksčiau gautos valstybės pagalbos, kuri Europos Komisijos sprendimu pripažinta neteisėta ir nesuderinama su vidaus rinka, vadovaujasi šiame Europos Komisijos puslapyje pateikta informacija:</w:t>
            </w:r>
          </w:p>
          <w:p w:rsidR="002A5757" w:rsidRPr="002A5757" w:rsidRDefault="00627FD3" w:rsidP="002A5757">
            <w:pPr>
              <w:jc w:val="both"/>
              <w:rPr>
                <w:rFonts w:cs="Times New Roman"/>
              </w:rPr>
            </w:pPr>
            <w:hyperlink r:id="rId32" w:history="1">
              <w:r w:rsidR="002A5757" w:rsidRPr="002A5757">
                <w:rPr>
                  <w:rStyle w:val="Hyperlink"/>
                  <w:rFonts w:cs="Times New Roman"/>
                </w:rPr>
                <w:t>https://ec.europa.eu/competition/elojade/isef/index.cfm</w:t>
              </w:r>
            </w:hyperlink>
          </w:p>
          <w:p w:rsidR="002A5757" w:rsidRPr="002A5757" w:rsidRDefault="002A5757" w:rsidP="002A5757">
            <w:pPr>
              <w:jc w:val="both"/>
              <w:rPr>
                <w:rFonts w:cs="Times New Roman"/>
              </w:rPr>
            </w:pPr>
          </w:p>
          <w:p w:rsidR="002A5757" w:rsidRPr="002A5757" w:rsidRDefault="002A5757" w:rsidP="002A5757">
            <w:pPr>
              <w:jc w:val="both"/>
              <w:rPr>
                <w:rFonts w:cs="Times New Roman"/>
              </w:rPr>
            </w:pPr>
            <w:r w:rsidRPr="002A5757">
              <w:rPr>
                <w:rFonts w:cs="Times New Roman"/>
              </w:rPr>
              <w:t xml:space="preserve">Siekiant išvengti neteisėtos valstybės pagalbos, paraišką įvertinusi </w:t>
            </w:r>
            <w:r>
              <w:rPr>
                <w:rFonts w:cs="Times New Roman"/>
              </w:rPr>
              <w:t xml:space="preserve">įgyvendinančioji </w:t>
            </w:r>
            <w:r w:rsidRPr="002A5757">
              <w:rPr>
                <w:rFonts w:cs="Times New Roman"/>
              </w:rPr>
              <w:t>institucija projekto įgyvendinimo metu prižiūri, ar projekto finansavimas, kuris projekto tinkamumo finansuoti vertinimo metu buvo pripažintas ne valstybės pagalba, atliekant sutarties pakeitimus ar skiriant papildomą finansavimą projektui, netampa valstybės pagalba ar neteisėta valstybės pagalba.</w:t>
            </w:r>
          </w:p>
          <w:p w:rsidR="002A5757" w:rsidRPr="002A5757" w:rsidRDefault="002A5757" w:rsidP="002A5757">
            <w:pPr>
              <w:jc w:val="both"/>
              <w:rPr>
                <w:rFonts w:cs="Times New Roman"/>
              </w:rPr>
            </w:pPr>
            <w:r w:rsidRPr="002A5757">
              <w:rPr>
                <w:rFonts w:cs="Times New Roman"/>
              </w:rPr>
              <w:t>Jei pareiškėjas pateikia neteisingą informaciją apie gautą valstybės pagalbą (dėl ko viršijamos valstybės pagalbos ribos ir pan.), inicijuojamas pažeidimo tyrimas, grąžinimai atliekami ES fondų ir (ar) Lietuvos Respublikos valstybės biudžeto grąžintinos ir grąžintos lėšos administruojamos Finansinės paramos, išmokėtos ir (arba) panaudotos pažeidžiant teisės aktus, grąžinimo į Lietuvos Respublikos valstybės biudžetą taisyklėse ir 2014–2020 metų grąžintinų ir grąžintų lėšų administravimo taisyklėse nustatyta tvarka.</w:t>
            </w:r>
          </w:p>
          <w:p w:rsidR="002A5757" w:rsidRPr="002A5757" w:rsidRDefault="002A5757" w:rsidP="002A5757">
            <w:pPr>
              <w:jc w:val="both"/>
              <w:rPr>
                <w:rFonts w:cs="Times New Roman"/>
              </w:rPr>
            </w:pPr>
          </w:p>
          <w:p w:rsidR="002A5757" w:rsidRPr="002A5757" w:rsidRDefault="002A5757" w:rsidP="002A5757">
            <w:pPr>
              <w:jc w:val="both"/>
              <w:rPr>
                <w:rFonts w:cs="Times New Roman"/>
                <w:lang w:val="en-US"/>
              </w:rPr>
            </w:pPr>
            <w:r w:rsidRPr="002A5757">
              <w:rPr>
                <w:rFonts w:cs="Times New Roman"/>
              </w:rPr>
              <w:t>Papildomai informuojame, kad įgyvendinant</w:t>
            </w:r>
            <w:r w:rsidRPr="002A5757">
              <w:rPr>
                <w:rFonts w:cs="Times New Roman"/>
                <w:lang w:val="en-US"/>
              </w:rPr>
              <w:t xml:space="preserve"> </w:t>
            </w:r>
            <w:r w:rsidRPr="002A5757">
              <w:rPr>
                <w:rFonts w:cs="Times New Roman"/>
              </w:rPr>
              <w:t>2015 m. liepos 13 d. Tarybos reglamentą (ES) 2015/1589 ir atsižvelgiant į Europos Komisijos 2019 m. liepos 23 d. komunikatą „Komisijos pranešimas dėl neteisėtos ir nesuderinamos valstybės pagalbos susigrąžinimo“</w:t>
            </w:r>
            <w:r w:rsidRPr="002A5757">
              <w:rPr>
                <w:rFonts w:cs="Times New Roman"/>
                <w:lang w:val="en-US"/>
              </w:rPr>
              <w:t xml:space="preserve"> </w:t>
            </w:r>
            <w:proofErr w:type="spellStart"/>
            <w:r w:rsidRPr="002A5757">
              <w:rPr>
                <w:rFonts w:cs="Times New Roman"/>
                <w:lang w:val="en-US"/>
              </w:rPr>
              <w:t>šiuo</w:t>
            </w:r>
            <w:proofErr w:type="spellEnd"/>
            <w:r w:rsidRPr="002A5757">
              <w:rPr>
                <w:rFonts w:cs="Times New Roman"/>
                <w:lang w:val="en-US"/>
              </w:rPr>
              <w:t xml:space="preserve"> </w:t>
            </w:r>
            <w:proofErr w:type="spellStart"/>
            <w:r w:rsidRPr="002A5757">
              <w:rPr>
                <w:rFonts w:cs="Times New Roman"/>
                <w:lang w:val="en-US"/>
              </w:rPr>
              <w:t>metu</w:t>
            </w:r>
            <w:proofErr w:type="spellEnd"/>
            <w:r w:rsidRPr="002A5757">
              <w:rPr>
                <w:rFonts w:cs="Times New Roman"/>
                <w:lang w:val="en-US"/>
              </w:rPr>
              <w:t xml:space="preserve"> </w:t>
            </w:r>
            <w:proofErr w:type="spellStart"/>
            <w:r w:rsidRPr="002A5757">
              <w:rPr>
                <w:rFonts w:cs="Times New Roman"/>
                <w:lang w:val="en-US"/>
              </w:rPr>
              <w:t>siekiama</w:t>
            </w:r>
            <w:proofErr w:type="spellEnd"/>
            <w:r w:rsidRPr="002A5757">
              <w:rPr>
                <w:rFonts w:cs="Times New Roman"/>
                <w:lang w:val="en-US"/>
              </w:rPr>
              <w:t>:</w:t>
            </w:r>
          </w:p>
          <w:p w:rsidR="002A5757" w:rsidRPr="002A5757" w:rsidRDefault="002A5757" w:rsidP="002A5757">
            <w:pPr>
              <w:jc w:val="both"/>
              <w:rPr>
                <w:rFonts w:cs="Times New Roman"/>
              </w:rPr>
            </w:pPr>
            <w:r w:rsidRPr="002A5757">
              <w:rPr>
                <w:rFonts w:cs="Times New Roman"/>
                <w:lang w:val="en-US"/>
              </w:rPr>
              <w:t xml:space="preserve">- </w:t>
            </w:r>
            <w:r w:rsidRPr="002A5757">
              <w:rPr>
                <w:rFonts w:cs="Times New Roman"/>
              </w:rPr>
              <w:t>peržiūrėti ir išanalizuoti esamą teisinį reglamentavimą, susijusi su lėšų gražinimų į LR valstybės biudžetą, neteisėtos ir (arba) nesuderinamos su vidaus tinka valstybės pagalbos nustatymu ir susigražinimu;</w:t>
            </w:r>
          </w:p>
          <w:p w:rsidR="002A5757" w:rsidRPr="002A5757" w:rsidRDefault="002A5757" w:rsidP="002A5757">
            <w:pPr>
              <w:jc w:val="both"/>
              <w:rPr>
                <w:rFonts w:cs="Times New Roman"/>
              </w:rPr>
            </w:pPr>
            <w:r w:rsidRPr="002A5757">
              <w:rPr>
                <w:rFonts w:cs="Times New Roman"/>
              </w:rPr>
              <w:t>- parengti neteisėtos ir (arba) nesuderinamos su vidaus rinka valstybės pagalbos susigrąžinimo teisinį reglamentavimą, papildant esamą (-</w:t>
            </w:r>
            <w:proofErr w:type="spellStart"/>
            <w:r w:rsidRPr="002A5757">
              <w:rPr>
                <w:rFonts w:cs="Times New Roman"/>
              </w:rPr>
              <w:t>us</w:t>
            </w:r>
            <w:proofErr w:type="spellEnd"/>
            <w:r w:rsidRPr="002A5757">
              <w:rPr>
                <w:rFonts w:cs="Times New Roman"/>
              </w:rPr>
              <w:t>) teisės aktą (-</w:t>
            </w:r>
            <w:proofErr w:type="spellStart"/>
            <w:r w:rsidRPr="002A5757">
              <w:rPr>
                <w:rFonts w:cs="Times New Roman"/>
              </w:rPr>
              <w:t>us</w:t>
            </w:r>
            <w:proofErr w:type="spellEnd"/>
            <w:r w:rsidRPr="002A5757">
              <w:rPr>
                <w:rFonts w:cs="Times New Roman"/>
              </w:rPr>
              <w:t xml:space="preserve">) arba parengiant naują teisės akto projektą. </w:t>
            </w:r>
          </w:p>
          <w:p w:rsidR="002A5757" w:rsidRPr="00C84981" w:rsidRDefault="002A5757" w:rsidP="002A5757">
            <w:pPr>
              <w:jc w:val="both"/>
              <w:rPr>
                <w:rFonts w:cs="Times New Roman"/>
              </w:rPr>
            </w:pPr>
            <w:r w:rsidRPr="002A5757">
              <w:rPr>
                <w:rFonts w:cs="Times New Roman"/>
              </w:rPr>
              <w:t>Tam tikslui 2020 m. lapkričio mėn. buvo sudaryta Darbo grupė teisiniam reglamentavimui dėl neteisėtos ir (arba) nesuderinamos su vidaus rinka valstybės pagalbos susigrąžinimo parengti.</w:t>
            </w:r>
          </w:p>
        </w:tc>
      </w:tr>
      <w:tr w:rsidR="005F2540" w:rsidRPr="00C84981" w:rsidTr="00851CC4">
        <w:tc>
          <w:tcPr>
            <w:tcW w:w="1276" w:type="dxa"/>
            <w:vMerge/>
          </w:tcPr>
          <w:p w:rsidR="005F2540" w:rsidRPr="00C84981" w:rsidRDefault="005F2540" w:rsidP="00C84981">
            <w:pPr>
              <w:jc w:val="both"/>
              <w:rPr>
                <w:rFonts w:eastAsia="Times New Roman" w:cs="Times New Roman"/>
                <w:iCs/>
                <w:noProof/>
                <w:szCs w:val="20"/>
              </w:rPr>
            </w:pPr>
          </w:p>
        </w:tc>
        <w:tc>
          <w:tcPr>
            <w:tcW w:w="851" w:type="dxa"/>
            <w:vMerge/>
          </w:tcPr>
          <w:p w:rsidR="005F2540" w:rsidRPr="00C84981" w:rsidRDefault="005F2540" w:rsidP="00C84981">
            <w:pPr>
              <w:jc w:val="both"/>
              <w:rPr>
                <w:rFonts w:eastAsia="Times New Roman" w:cs="Times New Roman"/>
                <w:iCs/>
                <w:noProof/>
                <w:szCs w:val="20"/>
              </w:rPr>
            </w:pPr>
          </w:p>
        </w:tc>
        <w:tc>
          <w:tcPr>
            <w:tcW w:w="1134" w:type="dxa"/>
            <w:vMerge/>
          </w:tcPr>
          <w:p w:rsidR="005F2540" w:rsidRPr="00C84981" w:rsidRDefault="005F2540" w:rsidP="00C84981">
            <w:pPr>
              <w:jc w:val="both"/>
              <w:rPr>
                <w:rFonts w:eastAsia="Times New Roman" w:cs="Times New Roman"/>
                <w:iCs/>
                <w:noProof/>
                <w:szCs w:val="20"/>
              </w:rPr>
            </w:pPr>
          </w:p>
        </w:tc>
        <w:tc>
          <w:tcPr>
            <w:tcW w:w="1134" w:type="dxa"/>
            <w:vMerge/>
          </w:tcPr>
          <w:p w:rsidR="005F2540" w:rsidRPr="00C84981" w:rsidRDefault="005F2540" w:rsidP="00C84981">
            <w:pPr>
              <w:jc w:val="both"/>
              <w:rPr>
                <w:rFonts w:eastAsia="Times New Roman" w:cs="Times New Roman"/>
                <w:iCs/>
                <w:noProof/>
                <w:szCs w:val="20"/>
                <w:lang w:val="en-US"/>
              </w:rPr>
            </w:pPr>
          </w:p>
        </w:tc>
        <w:tc>
          <w:tcPr>
            <w:tcW w:w="2409" w:type="dxa"/>
          </w:tcPr>
          <w:p w:rsidR="005F2540" w:rsidRDefault="00B258FD" w:rsidP="00B258FD">
            <w:pPr>
              <w:rPr>
                <w:rFonts w:cs="Times New Roman"/>
                <w:bCs/>
                <w:noProof/>
                <w:szCs w:val="20"/>
                <w:lang w:val="en-US"/>
              </w:rPr>
            </w:pPr>
            <w:r>
              <w:t xml:space="preserve">2. </w:t>
            </w:r>
            <w:r w:rsidRPr="008D5C99">
              <w:t>naudojantis galimybe valstybės pagalbos klausimais konsultuotis su vietos ar nacionalinių subjektų valstybės pagalbos ekspertais ir gauti jų gaires.</w:t>
            </w:r>
          </w:p>
          <w:p w:rsidR="00B258FD" w:rsidRDefault="00B258FD" w:rsidP="006B2548">
            <w:pPr>
              <w:rPr>
                <w:rFonts w:eastAsia="Calibri" w:cs="Times New Roman"/>
                <w:b/>
                <w:noProof/>
                <w:szCs w:val="20"/>
                <w:u w:val="single"/>
                <w:lang w:val="en-US"/>
              </w:rPr>
            </w:pPr>
          </w:p>
          <w:p w:rsidR="00B258FD" w:rsidRDefault="00B258FD" w:rsidP="00B258FD">
            <w:r>
              <w:t>(2.Through access to expert advice and guidance on State aid matters, provided by State aid experts of local or national bodies.)</w:t>
            </w:r>
          </w:p>
          <w:p w:rsidR="00B258FD" w:rsidRPr="008D0AC3" w:rsidRDefault="00B258FD" w:rsidP="006B2548">
            <w:pPr>
              <w:rPr>
                <w:rFonts w:eastAsia="Calibri" w:cs="Times New Roman"/>
                <w:b/>
                <w:noProof/>
                <w:szCs w:val="20"/>
                <w:u w:val="single"/>
                <w:lang w:val="en-US"/>
              </w:rPr>
            </w:pPr>
          </w:p>
          <w:p w:rsidR="005F2540" w:rsidRPr="00C84981" w:rsidRDefault="005F2540" w:rsidP="00B258FD">
            <w:pPr>
              <w:rPr>
                <w:rFonts w:eastAsia="Calibri" w:cs="Times New Roman"/>
                <w:noProof/>
                <w:szCs w:val="20"/>
                <w:lang w:val="en-US"/>
              </w:rPr>
            </w:pPr>
          </w:p>
        </w:tc>
        <w:tc>
          <w:tcPr>
            <w:tcW w:w="1276" w:type="dxa"/>
          </w:tcPr>
          <w:p w:rsidR="005F2540" w:rsidRPr="00C84981" w:rsidRDefault="006F4DD7" w:rsidP="00C84981">
            <w:pPr>
              <w:jc w:val="both"/>
              <w:rPr>
                <w:rFonts w:eastAsia="Calibri" w:cs="Times New Roman"/>
                <w:noProof/>
                <w:szCs w:val="20"/>
              </w:rPr>
            </w:pPr>
            <w:r>
              <w:rPr>
                <w:rFonts w:eastAsia="Calibri" w:cs="Times New Roman"/>
                <w:noProof/>
                <w:szCs w:val="20"/>
              </w:rPr>
              <w:t>Taip</w:t>
            </w:r>
          </w:p>
        </w:tc>
        <w:tc>
          <w:tcPr>
            <w:tcW w:w="2410" w:type="dxa"/>
          </w:tcPr>
          <w:p w:rsidR="002A5757" w:rsidRPr="002A5757" w:rsidRDefault="002A5757" w:rsidP="002A5757">
            <w:pPr>
              <w:jc w:val="both"/>
              <w:rPr>
                <w:rFonts w:cs="Times New Roman"/>
              </w:rPr>
            </w:pPr>
            <w:r w:rsidRPr="002A5757">
              <w:rPr>
                <w:rFonts w:cs="Times New Roman"/>
              </w:rPr>
              <w:t>„Valstybės pagalbos priemonės ir nereikšmingos (</w:t>
            </w:r>
            <w:r w:rsidRPr="002A5757">
              <w:rPr>
                <w:rFonts w:cs="Times New Roman"/>
                <w:i/>
                <w:lang w:val="en-US"/>
              </w:rPr>
              <w:t>de minimis</w:t>
            </w:r>
            <w:r w:rsidRPr="002A5757">
              <w:rPr>
                <w:rFonts w:cs="Times New Roman"/>
              </w:rPr>
              <w:t>) pagalbos priemonės ekspertizės atlikimo, išvadų ir rekomendacijų teikimo, pranešimų apie valstybės pagalbą ir kitos informacijos, susijusios su valstybės pagalba, pateikimo Europos Komisijai taisyklės“, patvirtintos Lietuvos Respublikos Vyriausybės 2004 m. rugsėjo 6 d. nutarimu Nr. 1136:</w:t>
            </w:r>
          </w:p>
          <w:p w:rsidR="002A5757" w:rsidRPr="002A5757" w:rsidRDefault="00627FD3" w:rsidP="002A5757">
            <w:pPr>
              <w:jc w:val="both"/>
              <w:rPr>
                <w:rFonts w:cs="Times New Roman"/>
              </w:rPr>
            </w:pPr>
            <w:hyperlink r:id="rId33" w:history="1">
              <w:r w:rsidR="002A5757" w:rsidRPr="002A5757">
                <w:rPr>
                  <w:rStyle w:val="Hyperlink"/>
                  <w:rFonts w:cs="Times New Roman"/>
                </w:rPr>
                <w:t>https://www.e-tar.lt/portal/lt/legalAct/TAR.E01B0C98E737/asr</w:t>
              </w:r>
            </w:hyperlink>
          </w:p>
          <w:p w:rsidR="002A5757" w:rsidRPr="002A5757" w:rsidRDefault="002A5757" w:rsidP="002A5757">
            <w:pPr>
              <w:jc w:val="both"/>
              <w:rPr>
                <w:rFonts w:cs="Times New Roman"/>
              </w:rPr>
            </w:pPr>
          </w:p>
          <w:p w:rsidR="003D3EEF" w:rsidRPr="003D3EEF" w:rsidRDefault="00627FD3" w:rsidP="002A5757">
            <w:pPr>
              <w:jc w:val="both"/>
              <w:rPr>
                <w:rFonts w:cs="Times New Roman"/>
                <w:szCs w:val="20"/>
              </w:rPr>
            </w:pPr>
            <w:hyperlink r:id="rId34" w:history="1">
              <w:r w:rsidR="003D3EEF" w:rsidRPr="003D3EEF">
                <w:rPr>
                  <w:rFonts w:ascii="Tms Rmn" w:hAnsi="Tms Rmn" w:cs="Tms Rmn"/>
                  <w:color w:val="0000FF"/>
                  <w:szCs w:val="20"/>
                </w:rPr>
                <w:t>Konkurencijos įstatymas</w:t>
              </w:r>
            </w:hyperlink>
          </w:p>
          <w:p w:rsidR="002A5757" w:rsidRPr="002A5757" w:rsidRDefault="002A5757" w:rsidP="002A5757">
            <w:pPr>
              <w:jc w:val="both"/>
              <w:rPr>
                <w:rFonts w:cs="Times New Roman"/>
              </w:rPr>
            </w:pPr>
          </w:p>
          <w:p w:rsidR="003D3EEF" w:rsidRPr="003D3EEF" w:rsidRDefault="00627FD3" w:rsidP="002A5757">
            <w:pPr>
              <w:jc w:val="both"/>
              <w:rPr>
                <w:rFonts w:cs="Times New Roman"/>
                <w:szCs w:val="20"/>
              </w:rPr>
            </w:pPr>
            <w:hyperlink r:id="rId35" w:history="1">
              <w:r w:rsidR="003D3EEF" w:rsidRPr="003D3EEF">
                <w:rPr>
                  <w:rFonts w:cs="Times New Roman"/>
                  <w:color w:val="0000FF"/>
                  <w:szCs w:val="20"/>
                </w:rPr>
                <w:t>Viešojo administravimo įstatymas</w:t>
              </w:r>
            </w:hyperlink>
          </w:p>
          <w:p w:rsidR="002A5757" w:rsidRPr="002A5757" w:rsidRDefault="002A5757" w:rsidP="002A5757">
            <w:pPr>
              <w:jc w:val="both"/>
              <w:rPr>
                <w:rFonts w:cs="Times New Roman"/>
              </w:rPr>
            </w:pPr>
          </w:p>
          <w:p w:rsidR="002A5757" w:rsidRPr="002A5757" w:rsidRDefault="002A5757" w:rsidP="002A5757">
            <w:pPr>
              <w:jc w:val="both"/>
              <w:rPr>
                <w:rFonts w:cs="Times New Roman"/>
              </w:rPr>
            </w:pPr>
            <w:r w:rsidRPr="002A5757">
              <w:rPr>
                <w:rFonts w:cs="Times New Roman"/>
              </w:rPr>
              <w:t>„Atsakomybės ir funkcijų paskirstymo tarp institucijų, įgyvendinant 2014–2020 metų Europos Sąjungos fondų investicijų veiksmų programą, taisyklės“, patvirtintos Lietuvos Respublikos Vyriausybės 2014 m. birželio 4 d. nutarimu Nr. 528:</w:t>
            </w:r>
          </w:p>
          <w:p w:rsidR="002A5757" w:rsidRDefault="00627FD3" w:rsidP="002A5757">
            <w:pPr>
              <w:jc w:val="both"/>
              <w:rPr>
                <w:rFonts w:cs="Times New Roman"/>
              </w:rPr>
            </w:pPr>
            <w:hyperlink r:id="rId36" w:history="1">
              <w:r w:rsidR="002A5757" w:rsidRPr="002A5757">
                <w:rPr>
                  <w:rStyle w:val="Hyperlink"/>
                  <w:rFonts w:cs="Times New Roman"/>
                </w:rPr>
                <w:t>https://www.e-tar.lt/portal/lt/legalAct/35957860f54a11e39cfacd978b6fd9bb/asr</w:t>
              </w:r>
            </w:hyperlink>
            <w:r w:rsidR="002A5757" w:rsidRPr="002A5757">
              <w:rPr>
                <w:rFonts w:cs="Times New Roman"/>
              </w:rPr>
              <w:t xml:space="preserve"> </w:t>
            </w:r>
          </w:p>
          <w:p w:rsidR="002A5757" w:rsidRPr="00C84981" w:rsidRDefault="002A5757" w:rsidP="002A5757">
            <w:pPr>
              <w:jc w:val="both"/>
              <w:rPr>
                <w:rFonts w:cs="Times New Roman"/>
              </w:rPr>
            </w:pPr>
          </w:p>
          <w:p w:rsidR="005F2540" w:rsidRPr="00C84981" w:rsidRDefault="005F2540" w:rsidP="006F4DD7">
            <w:pPr>
              <w:jc w:val="both"/>
              <w:rPr>
                <w:rFonts w:cs="Times New Roman"/>
              </w:rPr>
            </w:pPr>
          </w:p>
        </w:tc>
        <w:tc>
          <w:tcPr>
            <w:tcW w:w="5245" w:type="dxa"/>
          </w:tcPr>
          <w:p w:rsidR="006F4DD7" w:rsidRPr="006F4DD7" w:rsidRDefault="006F4DD7" w:rsidP="006F4DD7">
            <w:pPr>
              <w:jc w:val="both"/>
              <w:rPr>
                <w:rFonts w:cs="Times New Roman"/>
              </w:rPr>
            </w:pPr>
            <w:r w:rsidRPr="006F4DD7">
              <w:rPr>
                <w:rFonts w:cs="Times New Roman"/>
              </w:rPr>
              <w:t xml:space="preserve">Pagal Valstybės pagalbos priemonės ir nereikšmingos </w:t>
            </w:r>
            <w:r w:rsidRPr="006F4DD7">
              <w:rPr>
                <w:rFonts w:cs="Times New Roman"/>
                <w:i/>
              </w:rPr>
              <w:t xml:space="preserve">(de </w:t>
            </w:r>
            <w:proofErr w:type="spellStart"/>
            <w:r w:rsidRPr="006F4DD7">
              <w:rPr>
                <w:rFonts w:cs="Times New Roman"/>
                <w:i/>
              </w:rPr>
              <w:t>minimis</w:t>
            </w:r>
            <w:proofErr w:type="spellEnd"/>
            <w:r w:rsidRPr="006F4DD7">
              <w:rPr>
                <w:rFonts w:cs="Times New Roman"/>
                <w:i/>
              </w:rPr>
              <w:t>)</w:t>
            </w:r>
            <w:r w:rsidRPr="006F4DD7">
              <w:rPr>
                <w:rFonts w:cs="Times New Roman"/>
              </w:rPr>
              <w:t xml:space="preserve"> pagalbos priemonės ekspertizės atlikimo, išvadų ir rekomendacijų teikimo, pranešimų apie valstybės pagalbą ir kitos informacijos, susijusios su valstybės pagalba, pateikimo Europos Komisijai taisyklių (toliau – Taisyklės) 5 punktą, pagalbos teikėjas parengtą nereikšmingos </w:t>
            </w:r>
            <w:r w:rsidRPr="006F4DD7">
              <w:rPr>
                <w:rFonts w:cs="Times New Roman"/>
                <w:i/>
              </w:rPr>
              <w:t xml:space="preserve">(de </w:t>
            </w:r>
            <w:proofErr w:type="spellStart"/>
            <w:r w:rsidRPr="006F4DD7">
              <w:rPr>
                <w:rFonts w:cs="Times New Roman"/>
                <w:i/>
              </w:rPr>
              <w:t>minimis</w:t>
            </w:r>
            <w:proofErr w:type="spellEnd"/>
            <w:r w:rsidRPr="006F4DD7">
              <w:rPr>
                <w:rFonts w:cs="Times New Roman"/>
                <w:i/>
              </w:rPr>
              <w:t>)</w:t>
            </w:r>
            <w:r w:rsidRPr="006F4DD7">
              <w:rPr>
                <w:rFonts w:cs="Times New Roman"/>
              </w:rPr>
              <w:t xml:space="preserve"> pagalbos ar valstybės pagalbos projektą turi pateikti Konkurencijos tarybai pagalbos priemonės ekspertizei atlikti. Konkurencijos taryba, atlikusi pagalbos priemonės ekspertizę, pagalbos teikėjui pateikia išvadas ir rekomendacijas.</w:t>
            </w:r>
          </w:p>
          <w:p w:rsidR="006F4DD7" w:rsidRPr="006F4DD7" w:rsidRDefault="006F4DD7" w:rsidP="006F4DD7">
            <w:pPr>
              <w:jc w:val="both"/>
              <w:rPr>
                <w:rFonts w:cs="Times New Roman"/>
              </w:rPr>
            </w:pPr>
            <w:r w:rsidRPr="006F4DD7">
              <w:rPr>
                <w:rFonts w:cs="Times New Roman"/>
              </w:rPr>
              <w:t xml:space="preserve">Pagal Taisyklių 7 punktą, Konkurencijos taryba taip pat turi teisę savo iniciatyva atlikti valstybės pagalbos priemonių ar teisės aktų projektų, dėl kurių atitikties Sutarties dėl Europos Sąjungos veikimo 107 straipsnio 1 dalyje nustatytiems valstybės pagalbos kriterijams kyla abejonių, ekspertizę.  </w:t>
            </w:r>
          </w:p>
          <w:p w:rsidR="006F4DD7" w:rsidRPr="006F4DD7" w:rsidRDefault="006F4DD7" w:rsidP="006F4DD7">
            <w:pPr>
              <w:jc w:val="both"/>
              <w:rPr>
                <w:rFonts w:cs="Times New Roman"/>
              </w:rPr>
            </w:pPr>
            <w:r w:rsidRPr="006F4DD7">
              <w:rPr>
                <w:rFonts w:cs="Times New Roman"/>
              </w:rPr>
              <w:t xml:space="preserve">Pagal Lietuvos Respublikos konkurencijos įstatymo 55 straipsnio 1 dalį, Konkurencijos taryba yra koordinuojanti institucija valstybės pagalbos, kuriai taikomos Europos Sąjungos valstybės pagalbos taisyklės, klausimais. Įgyvendindama šias savo funkcijas, Konkurencijos taryba ne tik atlieka teisės aktų projektų ekspertizę, bet ir teikia valstybės pagalbos teikėjams išvadas ir rekomendacijas (kaip tai numatyta Konkurencijos įstatymo 55 straipsnio 2 dalyje). Konsultacijas valstybės pagalbos klausimais Konkurencijos taryba teikia vadovaudamasi minėtomis Konkurencijos įstatymo nuostatomis ir Lietuvos Respublikos viešojo administravimo įstatymo nuostatomis. </w:t>
            </w:r>
          </w:p>
          <w:p w:rsidR="006F4DD7" w:rsidRPr="006F4DD7" w:rsidRDefault="006F4DD7" w:rsidP="006F4DD7">
            <w:pPr>
              <w:jc w:val="both"/>
              <w:rPr>
                <w:rFonts w:cs="Times New Roman"/>
              </w:rPr>
            </w:pPr>
            <w:r w:rsidRPr="006F4DD7">
              <w:rPr>
                <w:rFonts w:cs="Times New Roman"/>
              </w:rPr>
              <w:t>Pareiga teikti konsultacijas valstybės pagalbos taikymo klausimais Konkurencijos tarybai taip pat nustatyta Atsakomybės ir funkcijų paskirstymo tarp institucijų, įgyvendinant 2014–2020 metų Europos Sąjungos fondų investicijų veiksmų programą taisyklių 21.1 papunkčiu.</w:t>
            </w:r>
          </w:p>
          <w:p w:rsidR="005F2540" w:rsidRPr="00C84981" w:rsidRDefault="006F4DD7" w:rsidP="00C84981">
            <w:pPr>
              <w:jc w:val="both"/>
              <w:rPr>
                <w:rFonts w:cs="Times New Roman"/>
              </w:rPr>
            </w:pPr>
            <w:r w:rsidRPr="006F4DD7">
              <w:rPr>
                <w:rFonts w:cs="Times New Roman"/>
              </w:rPr>
              <w:t>Įgyvendindama konsultavimo funkciją, Konkurencijos taryba 2019 metais vedė 4 mokymus valstybės pagalbos temomis ir turėjo 42 tarpinstitucinius susitikimus, kurių metu patarinėjo valstybės pagalbos klausimais.</w:t>
            </w:r>
          </w:p>
        </w:tc>
      </w:tr>
      <w:tr w:rsidR="005F2540" w:rsidRPr="00C84981" w:rsidTr="00851CC4">
        <w:tc>
          <w:tcPr>
            <w:tcW w:w="1276" w:type="dxa"/>
            <w:vMerge w:val="restart"/>
          </w:tcPr>
          <w:p w:rsidR="005F2540" w:rsidRPr="009A406A" w:rsidRDefault="005F2540" w:rsidP="00C84981">
            <w:pPr>
              <w:rPr>
                <w:rFonts w:cs="Times New Roman"/>
                <w:szCs w:val="20"/>
                <w:lang w:val="en-US"/>
              </w:rPr>
            </w:pPr>
            <w:r w:rsidRPr="009A406A">
              <w:rPr>
                <w:rFonts w:cs="Times New Roman"/>
                <w:szCs w:val="20"/>
                <w:lang w:val="en-US"/>
              </w:rPr>
              <w:t xml:space="preserve">3. </w:t>
            </w:r>
            <w:r w:rsidR="008C7DA5">
              <w:rPr>
                <w:rFonts w:cs="Times New Roman"/>
                <w:szCs w:val="20"/>
              </w:rPr>
              <w:t>Veiksmingas P</w:t>
            </w:r>
            <w:r w:rsidRPr="009A406A">
              <w:rPr>
                <w:rFonts w:cs="Times New Roman"/>
                <w:szCs w:val="20"/>
              </w:rPr>
              <w:t>agrindinių teisių chartijos taikymas ir įgyvendinimas</w:t>
            </w:r>
          </w:p>
          <w:p w:rsidR="005F2540" w:rsidRPr="009A406A" w:rsidRDefault="005F2540" w:rsidP="00C84981">
            <w:pPr>
              <w:rPr>
                <w:rFonts w:cs="Times New Roman"/>
                <w:szCs w:val="20"/>
                <w:lang w:val="en-US"/>
              </w:rPr>
            </w:pPr>
          </w:p>
          <w:p w:rsidR="005F2540" w:rsidRPr="009A406A" w:rsidRDefault="005F2540" w:rsidP="009A406A">
            <w:pPr>
              <w:rPr>
                <w:rFonts w:cs="Times New Roman"/>
                <w:szCs w:val="20"/>
                <w:lang w:val="en-US"/>
              </w:rPr>
            </w:pPr>
            <w:r w:rsidRPr="009A406A">
              <w:rPr>
                <w:rFonts w:cs="Times New Roman"/>
                <w:szCs w:val="20"/>
                <w:lang w:val="en-US"/>
              </w:rPr>
              <w:t xml:space="preserve">(Effective application and </w:t>
            </w:r>
            <w:r w:rsidR="00FA4EBC">
              <w:rPr>
                <w:rFonts w:cs="Times New Roman"/>
                <w:szCs w:val="20"/>
                <w:lang w:val="en-US"/>
              </w:rPr>
              <w:t xml:space="preserve">implementation of the </w:t>
            </w:r>
            <w:r w:rsidRPr="009A406A">
              <w:rPr>
                <w:rFonts w:cs="Times New Roman"/>
                <w:szCs w:val="20"/>
                <w:lang w:val="en-US"/>
              </w:rPr>
              <w:t xml:space="preserve"> Charter of Fundamental Rights)</w:t>
            </w:r>
          </w:p>
        </w:tc>
        <w:tc>
          <w:tcPr>
            <w:tcW w:w="851" w:type="dxa"/>
            <w:vMerge w:val="restart"/>
          </w:tcPr>
          <w:p w:rsidR="005F2540" w:rsidRPr="00C84981" w:rsidRDefault="005F2540" w:rsidP="00C84981">
            <w:pPr>
              <w:jc w:val="both"/>
              <w:rPr>
                <w:rFonts w:eastAsia="Times New Roman" w:cs="Times New Roman"/>
                <w:iCs/>
                <w:noProof/>
                <w:szCs w:val="20"/>
              </w:rPr>
            </w:pPr>
          </w:p>
        </w:tc>
        <w:tc>
          <w:tcPr>
            <w:tcW w:w="1134" w:type="dxa"/>
            <w:vMerge w:val="restart"/>
          </w:tcPr>
          <w:p w:rsidR="005F2540" w:rsidRPr="00C84981" w:rsidRDefault="005F2540" w:rsidP="00C84981">
            <w:pPr>
              <w:jc w:val="both"/>
              <w:rPr>
                <w:rFonts w:eastAsia="Times New Roman" w:cs="Times New Roman"/>
                <w:iCs/>
                <w:noProof/>
                <w:szCs w:val="20"/>
              </w:rPr>
            </w:pPr>
          </w:p>
        </w:tc>
        <w:tc>
          <w:tcPr>
            <w:tcW w:w="1134" w:type="dxa"/>
            <w:vMerge w:val="restart"/>
          </w:tcPr>
          <w:p w:rsidR="005F2540" w:rsidRPr="00C84981" w:rsidRDefault="007E7DD9" w:rsidP="00C84981">
            <w:pPr>
              <w:jc w:val="both"/>
              <w:rPr>
                <w:rFonts w:eastAsia="Times New Roman" w:cs="Times New Roman"/>
                <w:iCs/>
                <w:noProof/>
                <w:szCs w:val="20"/>
                <w:lang w:val="en-US"/>
              </w:rPr>
            </w:pPr>
            <w:r>
              <w:rPr>
                <w:rFonts w:eastAsia="Times New Roman" w:cs="Times New Roman"/>
                <w:iCs/>
                <w:noProof/>
                <w:szCs w:val="20"/>
                <w:lang w:val="en-US"/>
              </w:rPr>
              <w:t>Taip</w:t>
            </w:r>
          </w:p>
        </w:tc>
        <w:tc>
          <w:tcPr>
            <w:tcW w:w="2409" w:type="dxa"/>
          </w:tcPr>
          <w:p w:rsidR="00B258FD" w:rsidRPr="008D5C99" w:rsidRDefault="00B258FD" w:rsidP="00B258FD">
            <w:r w:rsidRPr="008D5C99">
              <w:t>Įdiegti veiksmingi mechanizmai siekiant užtikrinti</w:t>
            </w:r>
            <w:r w:rsidR="008C7DA5">
              <w:t xml:space="preserve"> Europos Sąjungos p</w:t>
            </w:r>
            <w:r w:rsidRPr="008D5C99">
              <w:t>agrindinių teisių chartijos</w:t>
            </w:r>
            <w:r w:rsidR="008C7DA5">
              <w:t xml:space="preserve"> (toliau – Chartija)</w:t>
            </w:r>
            <w:r w:rsidRPr="008D5C99">
              <w:t xml:space="preserve"> laikymąsi, be kita ko:</w:t>
            </w:r>
          </w:p>
          <w:p w:rsidR="00B258FD" w:rsidRPr="008D5C99" w:rsidRDefault="00B258FD" w:rsidP="00B258FD">
            <w:r>
              <w:t xml:space="preserve">1. </w:t>
            </w:r>
            <w:r w:rsidRPr="008D5C99">
              <w:t>tvarka, kuria užtikrinama, kad fondais remiamomis programomis ir jų įgyvendinimu laikomasi atitinkamų Chartijos nuostatų;</w:t>
            </w:r>
          </w:p>
          <w:p w:rsidR="005F2540" w:rsidRPr="00C84981" w:rsidRDefault="005F2540" w:rsidP="00B258FD">
            <w:pPr>
              <w:rPr>
                <w:rFonts w:eastAsia="Calibri" w:cs="Times New Roman"/>
                <w:b/>
                <w:noProof/>
                <w:szCs w:val="20"/>
                <w:lang w:val="en-US"/>
              </w:rPr>
            </w:pPr>
          </w:p>
          <w:p w:rsidR="00B258FD" w:rsidRDefault="005F2540" w:rsidP="00B258FD">
            <w:r>
              <w:rPr>
                <w:rFonts w:cs="Times New Roman"/>
                <w:szCs w:val="20"/>
                <w:lang w:val="en-US"/>
              </w:rPr>
              <w:t>(</w:t>
            </w:r>
            <w:proofErr w:type="spellStart"/>
            <w:r w:rsidR="00B258FD">
              <w:t>Effective</w:t>
            </w:r>
            <w:proofErr w:type="spellEnd"/>
            <w:r w:rsidR="00B258FD">
              <w:t xml:space="preserve"> </w:t>
            </w:r>
            <w:proofErr w:type="spellStart"/>
            <w:r w:rsidR="00B258FD">
              <w:t>mechanisms</w:t>
            </w:r>
            <w:proofErr w:type="spellEnd"/>
            <w:r w:rsidR="00B258FD">
              <w:t xml:space="preserve"> are </w:t>
            </w:r>
            <w:proofErr w:type="spellStart"/>
            <w:r w:rsidR="00B258FD">
              <w:t>in</w:t>
            </w:r>
            <w:proofErr w:type="spellEnd"/>
            <w:r w:rsidR="00B258FD">
              <w:t xml:space="preserve"> </w:t>
            </w:r>
            <w:proofErr w:type="spellStart"/>
            <w:r w:rsidR="00B258FD">
              <w:t>plac</w:t>
            </w:r>
            <w:r w:rsidR="00FA4EBC">
              <w:t>e</w:t>
            </w:r>
            <w:proofErr w:type="spellEnd"/>
            <w:r w:rsidR="00FA4EBC">
              <w:t xml:space="preserve"> to </w:t>
            </w:r>
            <w:proofErr w:type="spellStart"/>
            <w:r w:rsidR="00FA4EBC">
              <w:t>ensure</w:t>
            </w:r>
            <w:proofErr w:type="spellEnd"/>
            <w:r w:rsidR="00FA4EBC">
              <w:t xml:space="preserve"> </w:t>
            </w:r>
            <w:proofErr w:type="spellStart"/>
            <w:r w:rsidR="00FA4EBC">
              <w:t>compliance</w:t>
            </w:r>
            <w:proofErr w:type="spellEnd"/>
            <w:r w:rsidR="00FA4EBC">
              <w:t xml:space="preserve"> </w:t>
            </w:r>
            <w:proofErr w:type="spellStart"/>
            <w:r w:rsidR="00FA4EBC">
              <w:t>with</w:t>
            </w:r>
            <w:proofErr w:type="spellEnd"/>
            <w:r w:rsidR="00FA4EBC">
              <w:t xml:space="preserve"> </w:t>
            </w:r>
            <w:proofErr w:type="spellStart"/>
            <w:r w:rsidR="00FA4EBC">
              <w:t>the</w:t>
            </w:r>
            <w:proofErr w:type="spellEnd"/>
            <w:r w:rsidR="00B258FD">
              <w:t xml:space="preserve"> </w:t>
            </w:r>
            <w:proofErr w:type="spellStart"/>
            <w:r w:rsidR="00B258FD">
              <w:t>Charter</w:t>
            </w:r>
            <w:proofErr w:type="spellEnd"/>
            <w:r w:rsidR="00B258FD">
              <w:t xml:space="preserve"> </w:t>
            </w:r>
            <w:proofErr w:type="spellStart"/>
            <w:r w:rsidR="00B258FD">
              <w:t>of</w:t>
            </w:r>
            <w:proofErr w:type="spellEnd"/>
            <w:r w:rsidR="00B258FD">
              <w:t xml:space="preserve"> </w:t>
            </w:r>
            <w:proofErr w:type="spellStart"/>
            <w:r w:rsidR="00B258FD">
              <w:t>Fundamental</w:t>
            </w:r>
            <w:proofErr w:type="spellEnd"/>
            <w:r w:rsidR="00B258FD">
              <w:t xml:space="preserve"> </w:t>
            </w:r>
            <w:proofErr w:type="spellStart"/>
            <w:r w:rsidR="00FA4EBC">
              <w:t>Rights</w:t>
            </w:r>
            <w:proofErr w:type="spellEnd"/>
            <w:r w:rsidR="00FA4EBC">
              <w:t xml:space="preserve"> </w:t>
            </w:r>
            <w:proofErr w:type="spellStart"/>
            <w:r w:rsidR="00FA4EBC">
              <w:t>the</w:t>
            </w:r>
            <w:proofErr w:type="spellEnd"/>
            <w:r w:rsidR="00FA4EBC">
              <w:t xml:space="preserve"> </w:t>
            </w:r>
            <w:proofErr w:type="spellStart"/>
            <w:r w:rsidR="00FA4EBC">
              <w:t>European</w:t>
            </w:r>
            <w:proofErr w:type="spellEnd"/>
            <w:r w:rsidR="00FA4EBC">
              <w:t xml:space="preserve"> </w:t>
            </w:r>
            <w:proofErr w:type="spellStart"/>
            <w:r w:rsidR="00FA4EBC">
              <w:t>Union</w:t>
            </w:r>
            <w:proofErr w:type="spellEnd"/>
            <w:r w:rsidR="00FA4EBC">
              <w:t xml:space="preserve"> (</w:t>
            </w:r>
            <w:r w:rsidR="00FA4EBC">
              <w:rPr>
                <w:lang w:val="en-GB"/>
              </w:rPr>
              <w:t xml:space="preserve">‘the Charter’) </w:t>
            </w:r>
            <w:proofErr w:type="spellStart"/>
            <w:r w:rsidR="00B258FD">
              <w:t>which</w:t>
            </w:r>
            <w:proofErr w:type="spellEnd"/>
            <w:r w:rsidR="00B258FD">
              <w:t xml:space="preserve"> </w:t>
            </w:r>
            <w:proofErr w:type="spellStart"/>
            <w:r w:rsidR="00B258FD">
              <w:t>include</w:t>
            </w:r>
            <w:proofErr w:type="spellEnd"/>
            <w:r w:rsidR="00B258FD">
              <w:t xml:space="preserve">: </w:t>
            </w:r>
          </w:p>
          <w:p w:rsidR="005F2540" w:rsidRPr="00C84981" w:rsidRDefault="00B258FD" w:rsidP="00E85597">
            <w:pPr>
              <w:rPr>
                <w:rFonts w:eastAsia="Calibri" w:cs="Times New Roman"/>
                <w:noProof/>
                <w:szCs w:val="20"/>
                <w:lang w:val="en-US"/>
              </w:rPr>
            </w:pPr>
            <w:r>
              <w:t>1. Arrangements to ensure compliance of the programmes supported by the Funds and their implementation with the relevant provisions of the Charter.)</w:t>
            </w:r>
          </w:p>
        </w:tc>
        <w:tc>
          <w:tcPr>
            <w:tcW w:w="1276" w:type="dxa"/>
          </w:tcPr>
          <w:p w:rsidR="005F2540" w:rsidRPr="00C84981" w:rsidRDefault="005908EB" w:rsidP="00C84981">
            <w:pPr>
              <w:jc w:val="both"/>
              <w:rPr>
                <w:rFonts w:eastAsia="Calibri" w:cs="Times New Roman"/>
                <w:noProof/>
                <w:szCs w:val="20"/>
              </w:rPr>
            </w:pPr>
            <w:r w:rsidRPr="005908EB">
              <w:rPr>
                <w:rFonts w:eastAsia="Calibri" w:cs="Times New Roman"/>
                <w:noProof/>
                <w:color w:val="000000" w:themeColor="text1"/>
                <w:szCs w:val="20"/>
              </w:rPr>
              <w:t xml:space="preserve">Taip </w:t>
            </w:r>
          </w:p>
        </w:tc>
        <w:tc>
          <w:tcPr>
            <w:tcW w:w="2410" w:type="dxa"/>
          </w:tcPr>
          <w:p w:rsidR="00851CC4" w:rsidRPr="008318F8" w:rsidRDefault="00F06259" w:rsidP="00851CC4">
            <w:pPr>
              <w:rPr>
                <w:rFonts w:cs="Times New Roman"/>
              </w:rPr>
            </w:pPr>
            <w:r>
              <w:rPr>
                <w:rFonts w:cs="Times New Roman"/>
              </w:rPr>
              <w:t>1.1</w:t>
            </w:r>
            <w:r w:rsidR="00851CC4" w:rsidRPr="008318F8">
              <w:rPr>
                <w:rFonts w:cs="Times New Roman"/>
              </w:rPr>
              <w:t>&lt;</w:t>
            </w:r>
            <w:hyperlink r:id="rId37" w:history="1">
              <w:r w:rsidR="00851CC4" w:rsidRPr="008318F8">
                <w:rPr>
                  <w:rStyle w:val="Hyperlink"/>
                  <w:rFonts w:cs="Times New Roman"/>
                </w:rPr>
                <w:t>https://www.esinvesticijos.lt/lt/pasirengimas-2021-2027/2021-2027-m-es-fondu-investavimo-krypciu-aptarimai-su-partneriais</w:t>
              </w:r>
            </w:hyperlink>
            <w:r w:rsidR="00851CC4" w:rsidRPr="008318F8">
              <w:rPr>
                <w:rFonts w:cs="Times New Roman"/>
              </w:rPr>
              <w:t>&gt;</w:t>
            </w:r>
            <w:r w:rsidR="00851CC4" w:rsidRPr="008318F8">
              <w:rPr>
                <w:rFonts w:cs="Times New Roman"/>
              </w:rPr>
              <w:br/>
              <w:t>1.2 Teisingumo ministerijos raštas, patvirtinantis Programos atitikimą Chartijai (priedas).</w:t>
            </w:r>
          </w:p>
          <w:p w:rsidR="00851CC4" w:rsidRPr="008318F8" w:rsidRDefault="00851CC4" w:rsidP="00851CC4">
            <w:pPr>
              <w:rPr>
                <w:rFonts w:cs="Times New Roman"/>
              </w:rPr>
            </w:pPr>
            <w:r w:rsidRPr="008318F8">
              <w:rPr>
                <w:rFonts w:cs="Times New Roman"/>
              </w:rPr>
              <w:t>1.3 Prog</w:t>
            </w:r>
            <w:r w:rsidR="00F06259">
              <w:rPr>
                <w:rFonts w:cs="Times New Roman"/>
              </w:rPr>
              <w:t>ramos rengimo partnerių sąrašas (priedas)</w:t>
            </w:r>
          </w:p>
          <w:p w:rsidR="009B46A0" w:rsidRDefault="00851CC4" w:rsidP="00851CC4">
            <w:pPr>
              <w:rPr>
                <w:rFonts w:cs="Times New Roman"/>
              </w:rPr>
            </w:pPr>
            <w:r w:rsidRPr="008318F8">
              <w:rPr>
                <w:rFonts w:cs="Times New Roman"/>
              </w:rPr>
              <w:t>2.1.1 Projektų administravimo ir finansavimo taisyklės (TBA)</w:t>
            </w:r>
          </w:p>
          <w:p w:rsidR="00851CC4" w:rsidRPr="008318F8" w:rsidRDefault="009B46A0" w:rsidP="00851CC4">
            <w:pPr>
              <w:rPr>
                <w:rFonts w:cs="Times New Roman"/>
              </w:rPr>
            </w:pPr>
            <w:r>
              <w:rPr>
                <w:rFonts w:cs="Times New Roman"/>
                <w:lang w:val="en-GB"/>
              </w:rPr>
              <w:t xml:space="preserve">2.1.1 </w:t>
            </w:r>
            <w:r w:rsidRPr="006C1C14">
              <w:rPr>
                <w:rFonts w:eastAsia="Calibri"/>
                <w:szCs w:val="24"/>
              </w:rPr>
              <w:t xml:space="preserve">2021–2027 metų Europos Sąjungos fondų investicijų programos ir </w:t>
            </w:r>
            <w:r w:rsidRPr="006C1C14">
              <w:rPr>
                <w:bCs/>
                <w:szCs w:val="24"/>
              </w:rPr>
              <w:t xml:space="preserve">Ekonomikos gaivinimo ir atsparumo didinimo priemonės </w:t>
            </w:r>
            <w:r w:rsidRPr="006C1C14">
              <w:rPr>
                <w:rFonts w:eastAsia="Calibri"/>
                <w:szCs w:val="24"/>
              </w:rPr>
              <w:t>plano administravimo taisyklės</w:t>
            </w:r>
            <w:r>
              <w:rPr>
                <w:rFonts w:eastAsia="Calibri"/>
                <w:szCs w:val="24"/>
              </w:rPr>
              <w:t xml:space="preserve"> (toliau – Administravimo taisyklės)</w:t>
            </w:r>
            <w:r w:rsidR="008C7DA5">
              <w:rPr>
                <w:rFonts w:eastAsia="Calibri"/>
                <w:szCs w:val="24"/>
              </w:rPr>
              <w:t xml:space="preserve"> (TBA)</w:t>
            </w:r>
            <w:r w:rsidR="00851CC4" w:rsidRPr="008318F8">
              <w:rPr>
                <w:rFonts w:cs="Times New Roman"/>
              </w:rPr>
              <w:br/>
            </w:r>
            <w:r w:rsidR="00851CC4" w:rsidRPr="008318F8">
              <w:rPr>
                <w:rFonts w:cs="Times New Roman"/>
                <w:lang w:val="en-GB"/>
              </w:rPr>
              <w:t xml:space="preserve">2.1.1 </w:t>
            </w:r>
            <w:proofErr w:type="spellStart"/>
            <w:r w:rsidR="00851CC4" w:rsidRPr="008318F8">
              <w:rPr>
                <w:rFonts w:cs="Times New Roman"/>
                <w:lang w:val="en-GB"/>
              </w:rPr>
              <w:t>Valdymo</w:t>
            </w:r>
            <w:proofErr w:type="spellEnd"/>
            <w:r w:rsidR="00851CC4" w:rsidRPr="008318F8">
              <w:rPr>
                <w:rFonts w:cs="Times New Roman"/>
                <w:lang w:val="en-GB"/>
              </w:rPr>
              <w:t xml:space="preserve"> </w:t>
            </w:r>
            <w:proofErr w:type="spellStart"/>
            <w:r w:rsidR="00851CC4" w:rsidRPr="008318F8">
              <w:rPr>
                <w:rFonts w:cs="Times New Roman"/>
                <w:lang w:val="en-GB"/>
              </w:rPr>
              <w:t>ir</w:t>
            </w:r>
            <w:proofErr w:type="spellEnd"/>
            <w:r w:rsidR="00851CC4" w:rsidRPr="008318F8">
              <w:rPr>
                <w:rFonts w:cs="Times New Roman"/>
                <w:lang w:val="en-GB"/>
              </w:rPr>
              <w:t xml:space="preserve"> </w:t>
            </w:r>
            <w:r w:rsidR="00851CC4" w:rsidRPr="008318F8">
              <w:rPr>
                <w:rFonts w:cs="Times New Roman"/>
              </w:rPr>
              <w:t>kontrolės sistemos aprašymas</w:t>
            </w:r>
            <w:r w:rsidR="00851CC4">
              <w:rPr>
                <w:rFonts w:cs="Times New Roman"/>
              </w:rPr>
              <w:t xml:space="preserve"> (TBA)</w:t>
            </w:r>
            <w:r w:rsidR="00851CC4" w:rsidRPr="008318F8">
              <w:rPr>
                <w:rFonts w:cs="Times New Roman"/>
              </w:rPr>
              <w:br/>
            </w:r>
            <w:r w:rsidR="00851CC4" w:rsidRPr="008318F8">
              <w:rPr>
                <w:rFonts w:cs="Times New Roman"/>
                <w:lang w:val="en-GB"/>
              </w:rPr>
              <w:t>2.1.2 &lt;</w:t>
            </w:r>
            <w:r w:rsidR="00851CC4" w:rsidRPr="008318F8">
              <w:rPr>
                <w:rFonts w:cs="Times New Roman"/>
              </w:rPr>
              <w:t xml:space="preserve"> </w:t>
            </w:r>
            <w:hyperlink r:id="rId38" w:history="1">
              <w:r w:rsidR="00851CC4" w:rsidRPr="008318F8">
                <w:rPr>
                  <w:rStyle w:val="Hyperlink"/>
                  <w:rFonts w:cs="Times New Roman"/>
                </w:rPr>
                <w:t>https://eur-lex.europa.eu/legal-content/EN/TXT/PDF/?uri=CELEX:32014R0240&amp;from=EN</w:t>
              </w:r>
            </w:hyperlink>
            <w:r w:rsidR="00851CC4" w:rsidRPr="008318F8">
              <w:rPr>
                <w:rFonts w:cs="Times New Roman"/>
              </w:rPr>
              <w:t>&gt;;</w:t>
            </w:r>
            <w:r w:rsidR="00851CC4" w:rsidRPr="008318F8">
              <w:rPr>
                <w:rFonts w:cs="Times New Roman"/>
              </w:rPr>
              <w:br/>
              <w:t xml:space="preserve">2.1.2 </w:t>
            </w:r>
            <w:hyperlink r:id="rId39" w:history="1">
              <w:r w:rsidR="00851CC4" w:rsidRPr="008318F8">
                <w:rPr>
                  <w:rStyle w:val="Hyperlink"/>
                  <w:rFonts w:cs="Times New Roman"/>
                </w:rPr>
                <w:t>https://epilietis.lrv.lt/uploads/epilietis/documents/files/A_LRV_visas_el_leidinys_WEB.pdf</w:t>
              </w:r>
            </w:hyperlink>
            <w:r w:rsidR="00851CC4" w:rsidRPr="008318F8">
              <w:rPr>
                <w:rFonts w:cs="Times New Roman"/>
              </w:rPr>
              <w:br/>
            </w:r>
            <w:r w:rsidR="00851CC4" w:rsidRPr="008318F8">
              <w:rPr>
                <w:rFonts w:cs="Times New Roman"/>
                <w:lang w:val="en-GB"/>
              </w:rPr>
              <w:t>2.1.2 Steb</w:t>
            </w:r>
            <w:r w:rsidR="00851CC4" w:rsidRPr="008318F8">
              <w:rPr>
                <w:rFonts w:cs="Times New Roman"/>
              </w:rPr>
              <w:t>ėsenos komiteto apklausos rezultatai (priedas)</w:t>
            </w:r>
          </w:p>
          <w:p w:rsidR="00851CC4" w:rsidRPr="008318F8" w:rsidRDefault="00851CC4" w:rsidP="00851CC4">
            <w:pPr>
              <w:rPr>
                <w:rFonts w:cs="Times New Roman"/>
              </w:rPr>
            </w:pPr>
            <w:r w:rsidRPr="008318F8">
              <w:rPr>
                <w:rFonts w:cs="Times New Roman"/>
                <w:lang w:val="en-GB"/>
              </w:rPr>
              <w:t>2.2. St</w:t>
            </w:r>
            <w:proofErr w:type="spellStart"/>
            <w:r w:rsidRPr="008318F8">
              <w:rPr>
                <w:rFonts w:cs="Times New Roman"/>
              </w:rPr>
              <w:t>ebėsenos</w:t>
            </w:r>
            <w:proofErr w:type="spellEnd"/>
            <w:r w:rsidRPr="008318F8">
              <w:rPr>
                <w:rFonts w:cs="Times New Roman"/>
              </w:rPr>
              <w:t xml:space="preserve"> komiteto darbo reglamentas (TBA)</w:t>
            </w:r>
          </w:p>
          <w:p w:rsidR="00851CC4" w:rsidRPr="00525CB9" w:rsidRDefault="00851CC4" w:rsidP="00851CC4">
            <w:pPr>
              <w:contextualSpacing/>
              <w:jc w:val="both"/>
              <w:rPr>
                <w:rFonts w:eastAsia="Times New Roman" w:cs="Times New Roman"/>
                <w:color w:val="000000" w:themeColor="text1"/>
                <w:sz w:val="22"/>
                <w:lang w:eastAsia="en-US" w:bidi="ar-SA"/>
              </w:rPr>
            </w:pPr>
            <w:r w:rsidRPr="008318F8">
              <w:rPr>
                <w:rFonts w:cs="Times New Roman"/>
              </w:rPr>
              <w:t>3.1 Projektų administravimo ir finansavimo taisyklės (TBA)</w:t>
            </w:r>
            <w:r w:rsidRPr="008318F8">
              <w:rPr>
                <w:rFonts w:cs="Times New Roman"/>
              </w:rPr>
              <w:br/>
            </w:r>
            <w:r w:rsidRPr="008318F8">
              <w:rPr>
                <w:rFonts w:cs="Times New Roman"/>
                <w:lang w:val="en-GB"/>
              </w:rPr>
              <w:t xml:space="preserve">3.3. </w:t>
            </w:r>
            <w:proofErr w:type="spellStart"/>
            <w:r w:rsidRPr="008318F8">
              <w:rPr>
                <w:rFonts w:cs="Times New Roman"/>
                <w:lang w:val="en-GB"/>
              </w:rPr>
              <w:t>Audito</w:t>
            </w:r>
            <w:proofErr w:type="spellEnd"/>
            <w:r w:rsidRPr="008318F8">
              <w:rPr>
                <w:rFonts w:cs="Times New Roman"/>
                <w:lang w:val="en-GB"/>
              </w:rPr>
              <w:t xml:space="preserve"> </w:t>
            </w:r>
            <w:proofErr w:type="spellStart"/>
            <w:r w:rsidRPr="008318F8">
              <w:rPr>
                <w:rFonts w:cs="Times New Roman"/>
                <w:lang w:val="en-GB"/>
              </w:rPr>
              <w:t>strategija</w:t>
            </w:r>
            <w:proofErr w:type="spellEnd"/>
            <w:r>
              <w:rPr>
                <w:rFonts w:cs="Times New Roman"/>
                <w:lang w:val="en-GB"/>
              </w:rPr>
              <w:t xml:space="preserve"> (TBA)</w:t>
            </w:r>
            <w:r w:rsidR="00E96203" w:rsidRPr="00EC626D">
              <w:rPr>
                <w:rFonts w:cs="Times New Roman"/>
                <w:color w:val="000000" w:themeColor="text1"/>
                <w:szCs w:val="20"/>
              </w:rPr>
              <w:t xml:space="preserve"> </w:t>
            </w:r>
          </w:p>
          <w:p w:rsidR="00525CB9" w:rsidRPr="00525CB9" w:rsidRDefault="00525CB9" w:rsidP="00B34846">
            <w:pPr>
              <w:jc w:val="both"/>
              <w:rPr>
                <w:rFonts w:eastAsia="Times New Roman" w:cs="Times New Roman"/>
                <w:color w:val="000000" w:themeColor="text1"/>
                <w:sz w:val="22"/>
                <w:lang w:eastAsia="en-US" w:bidi="ar-SA"/>
              </w:rPr>
            </w:pPr>
          </w:p>
        </w:tc>
        <w:tc>
          <w:tcPr>
            <w:tcW w:w="5245" w:type="dxa"/>
          </w:tcPr>
          <w:p w:rsidR="00851CC4" w:rsidRPr="00851CC4" w:rsidRDefault="00851CC4" w:rsidP="00851CC4">
            <w:pPr>
              <w:pStyle w:val="CommentText"/>
              <w:jc w:val="both"/>
              <w:rPr>
                <w:rFonts w:cs="Times New Roman"/>
              </w:rPr>
            </w:pPr>
            <w:r w:rsidRPr="00851CC4">
              <w:rPr>
                <w:rFonts w:cs="Times New Roman"/>
              </w:rPr>
              <w:t>Atitinkamų Chartijos nuostatų laikymasis yra užtikrinamas visose Programos rengimo ir įgyvendinimo etapuose:</w:t>
            </w:r>
            <w:r w:rsidRPr="00851CC4">
              <w:rPr>
                <w:rFonts w:cs="Times New Roman"/>
              </w:rPr>
              <w:br/>
              <w:t>1. Rengiant</w:t>
            </w:r>
            <w:r w:rsidR="00F06259">
              <w:rPr>
                <w:rFonts w:cs="Times New Roman"/>
              </w:rPr>
              <w:t xml:space="preserve"> Programą, v</w:t>
            </w:r>
            <w:r w:rsidR="001B181E">
              <w:rPr>
                <w:rFonts w:cs="Times New Roman"/>
              </w:rPr>
              <w:t>adovaujančioji</w:t>
            </w:r>
            <w:r w:rsidRPr="00851CC4">
              <w:rPr>
                <w:rFonts w:cs="Times New Roman"/>
              </w:rPr>
              <w:t xml:space="preserve"> ir tarpinės institucijos, Chartijos nuostatų laikymąsi užtikrino įtraukiant įvairių sričių socialinius ir ekonominius partnerius, nevyriausybines organizacijas bei ombudsmeno institucijas, visų pirma, atsižvelgiant į nediskriminavimo, moterų ir vyrų lygybės, neįgaliųjų integracijos principus, lygybės prieš įstatymą, aplinkos </w:t>
            </w:r>
            <w:r w:rsidR="006B645B">
              <w:rPr>
                <w:rFonts w:cs="Times New Roman"/>
              </w:rPr>
              <w:t xml:space="preserve">apsaugos ir teisės į nuosavybę </w:t>
            </w:r>
            <w:r w:rsidRPr="00851CC4">
              <w:rPr>
                <w:rFonts w:cs="Times New Roman"/>
              </w:rPr>
              <w:t>principus. Papildomai, dėl Programos intervencijų atitikimo Chartijai buvo konsultuojamasi su Teisingumo ministerijos ES teisės darbo grupe.</w:t>
            </w:r>
            <w:r w:rsidRPr="00851CC4">
              <w:rPr>
                <w:rFonts w:cs="Times New Roman"/>
              </w:rPr>
              <w:br/>
              <w:t>2.1</w:t>
            </w:r>
            <w:r w:rsidRPr="00851CC4">
              <w:rPr>
                <w:rFonts w:cs="Times New Roman"/>
                <w:lang w:val="en-GB"/>
              </w:rPr>
              <w:t>.1</w:t>
            </w:r>
            <w:r w:rsidRPr="00851CC4">
              <w:rPr>
                <w:rFonts w:cs="Times New Roman"/>
              </w:rPr>
              <w:t xml:space="preserve"> Diegiant valdymo ir kontrolės sistemą, </w:t>
            </w:r>
            <w:r w:rsidRPr="00851CC4">
              <w:rPr>
                <w:rFonts w:cs="Times New Roman"/>
                <w:b/>
              </w:rPr>
              <w:t>aktualiuose</w:t>
            </w:r>
            <w:r w:rsidRPr="00851CC4">
              <w:rPr>
                <w:rFonts w:cs="Times New Roman"/>
              </w:rPr>
              <w:t>, Programos administravimo ir finansavimo tvarką nustatanč</w:t>
            </w:r>
            <w:r w:rsidR="001B181E">
              <w:rPr>
                <w:rFonts w:cs="Times New Roman"/>
              </w:rPr>
              <w:t>iuose dokumentuose, Vadovaujančioji</w:t>
            </w:r>
            <w:r w:rsidRPr="00851CC4">
              <w:rPr>
                <w:rFonts w:cs="Times New Roman"/>
              </w:rPr>
              <w:t xml:space="preserve"> institucija nustatys papildomus reikalavimus visiems projektų administravime ir įgyvendinime dalyvaujantiems subjektams dėl Chartijos laikymosi, visų pirma, dėl Chartijos 8 ir 47 straipsnių.</w:t>
            </w:r>
            <w:r w:rsidRPr="00851CC4">
              <w:rPr>
                <w:rFonts w:cs="Times New Roman"/>
              </w:rPr>
              <w:br/>
              <w:t>Programos projektų administravimo ir finansavimo taisyklėse</w:t>
            </w:r>
            <w:r w:rsidR="009B46A0">
              <w:rPr>
                <w:rFonts w:cs="Times New Roman"/>
              </w:rPr>
              <w:t xml:space="preserve"> bei Administravimo taisyklėse</w:t>
            </w:r>
            <w:r w:rsidRPr="00851CC4">
              <w:rPr>
                <w:rFonts w:cs="Times New Roman"/>
              </w:rPr>
              <w:t xml:space="preserve"> bus nustatytas papildomas horizontalus principas, privalomas visiems projektų administravime ir įgyvendinime dalyvaujantiems subjektams: „laikomasi atitinkamų Chartijos nuostatų“. </w:t>
            </w:r>
          </w:p>
          <w:p w:rsidR="00851CC4" w:rsidRPr="00851CC4" w:rsidRDefault="00851CC4" w:rsidP="00851CC4">
            <w:pPr>
              <w:jc w:val="both"/>
              <w:rPr>
                <w:rFonts w:cs="Times New Roman"/>
                <w:szCs w:val="20"/>
              </w:rPr>
            </w:pPr>
            <w:r w:rsidRPr="00851CC4">
              <w:rPr>
                <w:rFonts w:cs="Times New Roman"/>
                <w:szCs w:val="20"/>
              </w:rPr>
              <w:t>2.1.2 Rengiant ir įgyvendinant programą bei sudarant s</w:t>
            </w:r>
            <w:r w:rsidR="001B181E">
              <w:rPr>
                <w:rFonts w:cs="Times New Roman"/>
                <w:szCs w:val="20"/>
              </w:rPr>
              <w:t>tebėsenos komitetą, Vadovaujančioji</w:t>
            </w:r>
            <w:r w:rsidRPr="00851CC4">
              <w:rPr>
                <w:rFonts w:cs="Times New Roman"/>
                <w:szCs w:val="20"/>
              </w:rPr>
              <w:t xml:space="preserve"> institucija, partnerystę su socialiniais ir ekonominiais partneriais organizuoja vadovaujantis Europos struktūrinių ir investicijų fondų Europos partnerystės elgesio kodeksu (ES) </w:t>
            </w:r>
            <w:r w:rsidRPr="00851CC4">
              <w:rPr>
                <w:rFonts w:cs="Times New Roman"/>
                <w:szCs w:val="20"/>
                <w:lang w:val="en-GB"/>
              </w:rPr>
              <w:t xml:space="preserve">240/2014, </w:t>
            </w:r>
            <w:r w:rsidRPr="00851CC4">
              <w:rPr>
                <w:rFonts w:cs="Times New Roman"/>
                <w:szCs w:val="20"/>
              </w:rPr>
              <w:t>Lietuvos Respublikos Vyriausybės Konsultacijų metodika bei partnerių konsultacijomis.</w:t>
            </w:r>
          </w:p>
          <w:p w:rsidR="00851CC4" w:rsidRPr="00851CC4" w:rsidRDefault="001B181E" w:rsidP="00851CC4">
            <w:pPr>
              <w:jc w:val="both"/>
              <w:rPr>
                <w:rFonts w:cs="Times New Roman"/>
                <w:szCs w:val="20"/>
              </w:rPr>
            </w:pPr>
            <w:r>
              <w:rPr>
                <w:rFonts w:cs="Times New Roman"/>
                <w:szCs w:val="20"/>
                <w:lang w:val="en-GB"/>
              </w:rPr>
              <w:t xml:space="preserve">2.2 </w:t>
            </w:r>
            <w:proofErr w:type="spellStart"/>
            <w:r>
              <w:rPr>
                <w:rFonts w:cs="Times New Roman"/>
                <w:szCs w:val="20"/>
                <w:lang w:val="en-GB"/>
              </w:rPr>
              <w:t>Vadovaujančioji</w:t>
            </w:r>
            <w:proofErr w:type="spellEnd"/>
            <w:r w:rsidR="00851CC4" w:rsidRPr="00851CC4">
              <w:rPr>
                <w:rFonts w:cs="Times New Roman"/>
                <w:szCs w:val="20"/>
                <w:lang w:val="en-GB"/>
              </w:rPr>
              <w:t xml:space="preserve"> </w:t>
            </w:r>
            <w:proofErr w:type="spellStart"/>
            <w:r w:rsidR="00851CC4" w:rsidRPr="00851CC4">
              <w:rPr>
                <w:rFonts w:cs="Times New Roman"/>
                <w:szCs w:val="20"/>
                <w:lang w:val="en-GB"/>
              </w:rPr>
              <w:t>institucija</w:t>
            </w:r>
            <w:proofErr w:type="spellEnd"/>
            <w:r w:rsidR="00851CC4" w:rsidRPr="00851CC4">
              <w:rPr>
                <w:rFonts w:cs="Times New Roman"/>
                <w:szCs w:val="20"/>
                <w:lang w:val="en-GB"/>
              </w:rPr>
              <w:t xml:space="preserve"> </w:t>
            </w:r>
            <w:proofErr w:type="spellStart"/>
            <w:r w:rsidR="00851CC4" w:rsidRPr="00851CC4">
              <w:rPr>
                <w:rFonts w:cs="Times New Roman"/>
                <w:szCs w:val="20"/>
                <w:lang w:val="en-GB"/>
              </w:rPr>
              <w:t>užtikrins</w:t>
            </w:r>
            <w:proofErr w:type="spellEnd"/>
            <w:r w:rsidR="00851CC4" w:rsidRPr="00851CC4">
              <w:rPr>
                <w:rFonts w:cs="Times New Roman"/>
                <w:szCs w:val="20"/>
                <w:lang w:val="en-GB"/>
              </w:rPr>
              <w:t xml:space="preserve">, jog </w:t>
            </w:r>
            <w:r w:rsidR="00851CC4" w:rsidRPr="00851CC4">
              <w:rPr>
                <w:rFonts w:cs="Times New Roman"/>
                <w:szCs w:val="20"/>
              </w:rPr>
              <w:t xml:space="preserve">stebėsenos komitetas, tvirtinant ar keičiant Programos komunikacijos strategiją bei projektų atrankos kriterijus, vertins strategijos ir kriterijų atitikimą Chartijai, visų pirma, dėl toliau nurodytų atitinkamų Chartijos nuostatų: asmens duomenų apsaugos, </w:t>
            </w:r>
            <w:proofErr w:type="spellStart"/>
            <w:r w:rsidR="00851CC4" w:rsidRPr="00851CC4">
              <w:rPr>
                <w:rFonts w:cs="Times New Roman"/>
                <w:szCs w:val="20"/>
              </w:rPr>
              <w:t>nediskriminacijos</w:t>
            </w:r>
            <w:proofErr w:type="spellEnd"/>
            <w:r w:rsidR="00851CC4" w:rsidRPr="00851CC4">
              <w:rPr>
                <w:rFonts w:cs="Times New Roman"/>
                <w:szCs w:val="20"/>
              </w:rPr>
              <w:t>, kalbų įvairovės, moterų ir vyrų lygybės bei neįgaliųjų integracijos.</w:t>
            </w:r>
          </w:p>
          <w:p w:rsidR="00851CC4" w:rsidRPr="00851CC4" w:rsidRDefault="00851CC4" w:rsidP="00851CC4">
            <w:pPr>
              <w:jc w:val="both"/>
              <w:rPr>
                <w:rFonts w:cs="Times New Roman"/>
                <w:szCs w:val="20"/>
              </w:rPr>
            </w:pPr>
            <w:r w:rsidRPr="00851CC4">
              <w:rPr>
                <w:rFonts w:cs="Times New Roman"/>
                <w:szCs w:val="20"/>
                <w:lang w:val="en-GB"/>
              </w:rPr>
              <w:t xml:space="preserve">3.1 </w:t>
            </w:r>
            <w:r w:rsidR="001B181E">
              <w:rPr>
                <w:rFonts w:cs="Times New Roman"/>
                <w:szCs w:val="20"/>
              </w:rPr>
              <w:t>Vadovaujančioji</w:t>
            </w:r>
            <w:r w:rsidRPr="00851CC4">
              <w:rPr>
                <w:rFonts w:cs="Times New Roman"/>
                <w:szCs w:val="20"/>
              </w:rPr>
              <w:t xml:space="preserve"> institucija aktualiuose projektų įgyvendinimo tvarką nustatančiuose dokumentuose (kvietimų teikti paraiškas, projektų atrankos, sutarčių formų, įgyvendinimo kontrolės, mokėjimo prašymų tikrinimo, projektų patikrinimo, institucijų darbo priežiūros, ataskaitų rengimo, skundų nagrinėjimo tvarkos) nustatys papildomus reikalavimus dėl atitinkamų Chartijos nuostatų laikymosi, visų pirma, dėl Chartijos 8, 20, 21, 22, 23, 26, 31, 37,  42 ir</w:t>
            </w:r>
            <w:r w:rsidR="00F06259">
              <w:rPr>
                <w:rFonts w:cs="Times New Roman"/>
                <w:szCs w:val="20"/>
              </w:rPr>
              <w:t xml:space="preserve"> 47 straipsnių. Administruojančioji</w:t>
            </w:r>
            <w:r w:rsidRPr="00851CC4">
              <w:rPr>
                <w:rFonts w:cs="Times New Roman"/>
                <w:szCs w:val="20"/>
              </w:rPr>
              <w:t xml:space="preserve"> institucija projektų atrankos etape vertins projektų atitikimą atitinkamoms Chartijos nuostatoms. Projektų atitikimas Chartijai bus vertinamas va</w:t>
            </w:r>
            <w:r w:rsidR="000006B1">
              <w:rPr>
                <w:rFonts w:cs="Times New Roman"/>
                <w:szCs w:val="20"/>
              </w:rPr>
              <w:t>dovaujantis parengtomis metodolo</w:t>
            </w:r>
            <w:r w:rsidRPr="00851CC4">
              <w:rPr>
                <w:rFonts w:cs="Times New Roman"/>
                <w:szCs w:val="20"/>
              </w:rPr>
              <w:t xml:space="preserve">ginėmis gairėmis/kontroliniu sąrašu ir </w:t>
            </w:r>
            <w:hyperlink r:id="rId40" w:history="1">
              <w:r w:rsidRPr="00851CC4">
                <w:rPr>
                  <w:rStyle w:val="Hyperlink"/>
                  <w:rFonts w:cs="Times New Roman"/>
                  <w:szCs w:val="20"/>
                </w:rPr>
                <w:t>Komunikatu</w:t>
              </w:r>
            </w:hyperlink>
            <w:r w:rsidRPr="00851CC4">
              <w:rPr>
                <w:rFonts w:cs="Times New Roman"/>
                <w:szCs w:val="20"/>
              </w:rPr>
              <w:t xml:space="preserve">. </w:t>
            </w:r>
          </w:p>
          <w:p w:rsidR="00851CC4" w:rsidRPr="00851CC4" w:rsidRDefault="00851CC4" w:rsidP="00851CC4">
            <w:pPr>
              <w:jc w:val="both"/>
              <w:rPr>
                <w:rFonts w:cs="Times New Roman"/>
                <w:color w:val="000000" w:themeColor="text1"/>
                <w:szCs w:val="20"/>
              </w:rPr>
            </w:pPr>
            <w:r w:rsidRPr="00851CC4">
              <w:rPr>
                <w:rFonts w:cs="Times New Roman"/>
                <w:color w:val="000000" w:themeColor="text1"/>
                <w:szCs w:val="20"/>
              </w:rPr>
              <w:t xml:space="preserve">Siekiant ateityje stiprinti Chartijos nuostatų taikymo praktiką, geriau atpažinti Chartijos nesilaikymo atvejus bei, esant poreikiui, tobulinti reglamentavimą, periodiškai bus vykdomi mokymai dėl Chartijos taikymo ir jos įgyvendinimo prevencinių veiksmų. </w:t>
            </w:r>
          </w:p>
          <w:p w:rsidR="00851CC4" w:rsidRPr="00851CC4" w:rsidRDefault="00851CC4" w:rsidP="00851CC4">
            <w:pPr>
              <w:jc w:val="both"/>
              <w:rPr>
                <w:rFonts w:cs="Times New Roman"/>
                <w:color w:val="000000" w:themeColor="text1"/>
                <w:szCs w:val="20"/>
              </w:rPr>
            </w:pPr>
            <w:r w:rsidRPr="00851CC4">
              <w:rPr>
                <w:rFonts w:cs="Times New Roman"/>
                <w:color w:val="000000" w:themeColor="text1"/>
                <w:szCs w:val="20"/>
                <w:lang w:val="en-GB"/>
              </w:rPr>
              <w:t xml:space="preserve">3.2 </w:t>
            </w:r>
            <w:proofErr w:type="spellStart"/>
            <w:r w:rsidRPr="00851CC4">
              <w:rPr>
                <w:rFonts w:cs="Times New Roman"/>
                <w:color w:val="000000" w:themeColor="text1"/>
                <w:szCs w:val="20"/>
                <w:lang w:val="en-GB"/>
              </w:rPr>
              <w:t>Programos</w:t>
            </w:r>
            <w:proofErr w:type="spellEnd"/>
            <w:r w:rsidRPr="00851CC4">
              <w:rPr>
                <w:rFonts w:cs="Times New Roman"/>
                <w:color w:val="000000" w:themeColor="text1"/>
                <w:szCs w:val="20"/>
                <w:lang w:val="en-GB"/>
              </w:rPr>
              <w:t xml:space="preserve"> </w:t>
            </w:r>
            <w:r w:rsidR="000006B1">
              <w:rPr>
                <w:rFonts w:cs="Times New Roman"/>
                <w:color w:val="000000" w:themeColor="text1"/>
                <w:szCs w:val="20"/>
              </w:rPr>
              <w:t>mokėjimo funkciją atliekanti institucija</w:t>
            </w:r>
            <w:r w:rsidRPr="00851CC4">
              <w:rPr>
                <w:rFonts w:cs="Times New Roman"/>
                <w:color w:val="000000" w:themeColor="text1"/>
                <w:szCs w:val="20"/>
              </w:rPr>
              <w:t>, Programos įgyvendinimo metu vertins atliktų mokėjimų ar mokėjimų prašymų ataskaitas, visų pirma, atsižvelgiant į duomenų apsaugos reikalavimus, nustatytus Chartijoje.</w:t>
            </w:r>
            <w:r>
              <w:rPr>
                <w:rFonts w:cs="Times New Roman"/>
                <w:color w:val="000000" w:themeColor="text1"/>
                <w:szCs w:val="20"/>
              </w:rPr>
              <w:t xml:space="preserve"> </w:t>
            </w:r>
            <w:r w:rsidRPr="00851CC4">
              <w:rPr>
                <w:rFonts w:cs="Times New Roman"/>
                <w:color w:val="000000" w:themeColor="text1"/>
                <w:szCs w:val="20"/>
              </w:rPr>
              <w:t>Tvarka bus nustatyta Projektų administravimo ir finansav</w:t>
            </w:r>
            <w:r w:rsidR="00F06259">
              <w:rPr>
                <w:rFonts w:cs="Times New Roman"/>
                <w:color w:val="000000" w:themeColor="text1"/>
                <w:szCs w:val="20"/>
              </w:rPr>
              <w:t>imo taisyklėse.</w:t>
            </w:r>
          </w:p>
          <w:p w:rsidR="007C1512" w:rsidRPr="00583F6E" w:rsidRDefault="00851CC4" w:rsidP="00851CC4">
            <w:pPr>
              <w:jc w:val="both"/>
              <w:rPr>
                <w:rFonts w:cs="Times New Roman"/>
                <w:color w:val="000000" w:themeColor="text1"/>
                <w:szCs w:val="20"/>
              </w:rPr>
            </w:pPr>
            <w:r w:rsidRPr="00851CC4">
              <w:rPr>
                <w:rFonts w:cs="Times New Roman"/>
                <w:color w:val="000000" w:themeColor="text1"/>
                <w:szCs w:val="20"/>
                <w:lang w:val="en-GB"/>
              </w:rPr>
              <w:t>3.3. A</w:t>
            </w:r>
            <w:proofErr w:type="spellStart"/>
            <w:r w:rsidRPr="00851CC4">
              <w:rPr>
                <w:rFonts w:cs="Times New Roman"/>
                <w:color w:val="000000" w:themeColor="text1"/>
                <w:szCs w:val="20"/>
              </w:rPr>
              <w:t>udito</w:t>
            </w:r>
            <w:proofErr w:type="spellEnd"/>
            <w:r w:rsidRPr="00851CC4">
              <w:rPr>
                <w:rFonts w:cs="Times New Roman"/>
                <w:color w:val="000000" w:themeColor="text1"/>
                <w:szCs w:val="20"/>
              </w:rPr>
              <w:t xml:space="preserve"> institucija į savo audito strategiją įtrauks ir atitinkamų Chartijos nuostatų vertinimo funkciją, vertinant ar Programos valdymo ir kontrolės sistemoje tinkamai atspindėtos atitinkamos Chartijos nuostatų, visų pirma, dėl asmens duomenų apsaugos bei nediskriminavimo principų.</w:t>
            </w:r>
          </w:p>
        </w:tc>
      </w:tr>
      <w:tr w:rsidR="005F2540" w:rsidRPr="00C84981" w:rsidTr="00851CC4">
        <w:tc>
          <w:tcPr>
            <w:tcW w:w="1276" w:type="dxa"/>
            <w:vMerge/>
          </w:tcPr>
          <w:p w:rsidR="005F2540" w:rsidRPr="00C84981" w:rsidRDefault="005F2540" w:rsidP="00C84981">
            <w:pPr>
              <w:jc w:val="both"/>
              <w:rPr>
                <w:rFonts w:eastAsia="Times New Roman" w:cs="Times New Roman"/>
                <w:iCs/>
                <w:noProof/>
                <w:szCs w:val="20"/>
              </w:rPr>
            </w:pPr>
          </w:p>
        </w:tc>
        <w:tc>
          <w:tcPr>
            <w:tcW w:w="851" w:type="dxa"/>
            <w:vMerge/>
          </w:tcPr>
          <w:p w:rsidR="005F2540" w:rsidRPr="00C84981" w:rsidRDefault="005F2540" w:rsidP="00C84981">
            <w:pPr>
              <w:jc w:val="both"/>
              <w:rPr>
                <w:rFonts w:eastAsia="Times New Roman" w:cs="Times New Roman"/>
                <w:iCs/>
                <w:noProof/>
                <w:szCs w:val="20"/>
              </w:rPr>
            </w:pPr>
          </w:p>
        </w:tc>
        <w:tc>
          <w:tcPr>
            <w:tcW w:w="1134" w:type="dxa"/>
            <w:vMerge/>
          </w:tcPr>
          <w:p w:rsidR="005F2540" w:rsidRPr="00C84981" w:rsidRDefault="005F2540" w:rsidP="00C84981">
            <w:pPr>
              <w:jc w:val="both"/>
              <w:rPr>
                <w:rFonts w:eastAsia="Times New Roman" w:cs="Times New Roman"/>
                <w:iCs/>
                <w:noProof/>
                <w:szCs w:val="20"/>
              </w:rPr>
            </w:pPr>
          </w:p>
        </w:tc>
        <w:tc>
          <w:tcPr>
            <w:tcW w:w="1134" w:type="dxa"/>
            <w:vMerge/>
          </w:tcPr>
          <w:p w:rsidR="005F2540" w:rsidRPr="00C84981" w:rsidRDefault="005F2540" w:rsidP="00C84981">
            <w:pPr>
              <w:jc w:val="both"/>
              <w:rPr>
                <w:rFonts w:eastAsia="Times New Roman" w:cs="Times New Roman"/>
                <w:iCs/>
                <w:noProof/>
                <w:szCs w:val="20"/>
                <w:lang w:val="en-US"/>
              </w:rPr>
            </w:pPr>
          </w:p>
        </w:tc>
        <w:tc>
          <w:tcPr>
            <w:tcW w:w="2409" w:type="dxa"/>
          </w:tcPr>
          <w:p w:rsidR="005F2540" w:rsidRPr="008D0AC3" w:rsidRDefault="005F2540" w:rsidP="006B2548">
            <w:pPr>
              <w:rPr>
                <w:rFonts w:eastAsia="Calibri" w:cs="Times New Roman"/>
                <w:b/>
                <w:noProof/>
                <w:szCs w:val="20"/>
                <w:u w:val="single"/>
                <w:lang w:val="en-US"/>
              </w:rPr>
            </w:pPr>
            <w:r w:rsidRPr="00C84981">
              <w:rPr>
                <w:rFonts w:eastAsia="Calibri" w:cs="Times New Roman"/>
                <w:noProof/>
                <w:szCs w:val="20"/>
                <w:lang w:val="en-US"/>
              </w:rPr>
              <w:t xml:space="preserve">2. </w:t>
            </w:r>
            <w:r w:rsidR="00B258FD" w:rsidRPr="008D5C99">
              <w:t>tvarka, pagal kurią stebėsenos komitetui pranešama apie atvejus, kai fondais remiamais veiksmais nesilaikoma Chartijos, ir apie su Chartija susijusius skundus, pateiktus laikantis tvarkos, nustatytos pagal 69 straipsnio 7 dalį.</w:t>
            </w:r>
          </w:p>
          <w:p w:rsidR="005F2540" w:rsidRPr="00C84981" w:rsidRDefault="005F2540" w:rsidP="006B2548">
            <w:pPr>
              <w:rPr>
                <w:rFonts w:eastAsia="Calibri" w:cs="Times New Roman"/>
                <w:noProof/>
                <w:szCs w:val="20"/>
                <w:lang w:val="en-US"/>
              </w:rPr>
            </w:pPr>
          </w:p>
          <w:p w:rsidR="00B258FD" w:rsidRDefault="005F2540" w:rsidP="00B258FD">
            <w:r>
              <w:rPr>
                <w:rFonts w:cs="Times New Roman"/>
                <w:bCs/>
                <w:iCs/>
                <w:lang w:val="en-US"/>
              </w:rPr>
              <w:t xml:space="preserve">(2. </w:t>
            </w:r>
            <w:r w:rsidR="00B258FD">
              <w:rPr>
                <w:bCs/>
                <w:iCs/>
              </w:rPr>
              <w:t>R</w:t>
            </w:r>
            <w:r w:rsidR="00B258FD">
              <w:t xml:space="preserve">eporting arrangements to the monitoring committee regarding cases of non-compliance of operations supported by the Funds with the Charter and complaints regarding the Charter submitted in accordance with </w:t>
            </w:r>
            <w:proofErr w:type="spellStart"/>
            <w:r w:rsidR="00B258FD">
              <w:t>the</w:t>
            </w:r>
            <w:proofErr w:type="spellEnd"/>
            <w:r w:rsidR="00B258FD">
              <w:t xml:space="preserve"> </w:t>
            </w:r>
            <w:proofErr w:type="spellStart"/>
            <w:r w:rsidR="00B258FD">
              <w:t>arrangem</w:t>
            </w:r>
            <w:r w:rsidR="00FA4EBC">
              <w:t>ents</w:t>
            </w:r>
            <w:proofErr w:type="spellEnd"/>
            <w:r w:rsidR="00FA4EBC">
              <w:t xml:space="preserve"> </w:t>
            </w:r>
            <w:proofErr w:type="spellStart"/>
            <w:r w:rsidR="00FA4EBC">
              <w:t>made</w:t>
            </w:r>
            <w:proofErr w:type="spellEnd"/>
            <w:r w:rsidR="00FA4EBC">
              <w:t xml:space="preserve"> </w:t>
            </w:r>
            <w:proofErr w:type="spellStart"/>
            <w:r w:rsidR="00FA4EBC">
              <w:t>pursuant</w:t>
            </w:r>
            <w:proofErr w:type="spellEnd"/>
            <w:r w:rsidR="00FA4EBC">
              <w:t xml:space="preserve"> to </w:t>
            </w:r>
            <w:proofErr w:type="spellStart"/>
            <w:r w:rsidR="00FA4EBC">
              <w:t>Article</w:t>
            </w:r>
            <w:proofErr w:type="spellEnd"/>
            <w:r w:rsidR="00FA4EBC">
              <w:t xml:space="preserve"> 69(7</w:t>
            </w:r>
            <w:r w:rsidR="00B258FD">
              <w:t>) CPR.)</w:t>
            </w:r>
          </w:p>
          <w:p w:rsidR="005F2540" w:rsidRPr="009A406A" w:rsidRDefault="005F2540" w:rsidP="006B2548">
            <w:pPr>
              <w:rPr>
                <w:rFonts w:cs="Times New Roman"/>
                <w:b/>
                <w:iCs/>
                <w:lang w:val="en-US"/>
              </w:rPr>
            </w:pPr>
          </w:p>
          <w:p w:rsidR="005F2540" w:rsidRPr="00C84981" w:rsidRDefault="005F2540" w:rsidP="009A406A">
            <w:pPr>
              <w:jc w:val="both"/>
              <w:rPr>
                <w:rFonts w:eastAsia="Calibri" w:cs="Times New Roman"/>
                <w:noProof/>
                <w:szCs w:val="20"/>
                <w:lang w:val="en-US"/>
              </w:rPr>
            </w:pPr>
          </w:p>
        </w:tc>
        <w:tc>
          <w:tcPr>
            <w:tcW w:w="1276" w:type="dxa"/>
          </w:tcPr>
          <w:p w:rsidR="005F2540" w:rsidRPr="000A0A06" w:rsidRDefault="00EF3FB4" w:rsidP="00C84981">
            <w:pPr>
              <w:jc w:val="both"/>
              <w:rPr>
                <w:rFonts w:eastAsia="Calibri" w:cs="Times New Roman"/>
                <w:noProof/>
                <w:szCs w:val="20"/>
              </w:rPr>
            </w:pPr>
            <w:r w:rsidRPr="000A0A06">
              <w:rPr>
                <w:rFonts w:eastAsia="Calibri" w:cs="Times New Roman"/>
                <w:noProof/>
                <w:color w:val="000000" w:themeColor="text1"/>
                <w:szCs w:val="20"/>
              </w:rPr>
              <w:t>Taip</w:t>
            </w:r>
          </w:p>
        </w:tc>
        <w:tc>
          <w:tcPr>
            <w:tcW w:w="2410" w:type="dxa"/>
          </w:tcPr>
          <w:p w:rsidR="00851CC4" w:rsidRDefault="00851CC4" w:rsidP="00851CC4">
            <w:pPr>
              <w:rPr>
                <w:rFonts w:cs="Times New Roman"/>
              </w:rPr>
            </w:pPr>
            <w:r w:rsidRPr="008318F8">
              <w:rPr>
                <w:rFonts w:cs="Times New Roman"/>
                <w:lang w:val="en-GB"/>
              </w:rPr>
              <w:t xml:space="preserve">1. </w:t>
            </w:r>
            <w:r w:rsidRPr="008318F8">
              <w:rPr>
                <w:rFonts w:cs="Times New Roman"/>
              </w:rPr>
              <w:t>Projektų administravimo ir finansavimo taisyklės (TBA)</w:t>
            </w:r>
          </w:p>
          <w:p w:rsidR="005F2540" w:rsidRPr="00B34846" w:rsidRDefault="00851CC4" w:rsidP="00851CC4">
            <w:pPr>
              <w:tabs>
                <w:tab w:val="left" w:pos="205"/>
              </w:tabs>
              <w:contextualSpacing/>
              <w:jc w:val="both"/>
              <w:rPr>
                <w:rFonts w:cs="Times New Roman"/>
                <w:color w:val="000000" w:themeColor="text1"/>
              </w:rPr>
            </w:pPr>
            <w:r>
              <w:rPr>
                <w:rFonts w:cs="Times New Roman"/>
              </w:rPr>
              <w:t>2. Investicijų programos administravimo taisyklės (TBA)</w:t>
            </w:r>
            <w:r w:rsidR="000C25AB">
              <w:rPr>
                <w:rFonts w:cs="Times New Roman"/>
              </w:rPr>
              <w:br/>
            </w:r>
            <w:r w:rsidR="000C25AB">
              <w:rPr>
                <w:rFonts w:cs="Times New Roman"/>
                <w:lang w:val="en-GB"/>
              </w:rPr>
              <w:t>3</w:t>
            </w:r>
            <w:r w:rsidRPr="008318F8">
              <w:rPr>
                <w:rFonts w:cs="Times New Roman"/>
              </w:rPr>
              <w:t>. Stebėsenos komiteto darbo reglamentas</w:t>
            </w:r>
            <w:r>
              <w:rPr>
                <w:rFonts w:cs="Times New Roman"/>
              </w:rPr>
              <w:t xml:space="preserve"> (TBA)</w:t>
            </w:r>
          </w:p>
        </w:tc>
        <w:tc>
          <w:tcPr>
            <w:tcW w:w="5245" w:type="dxa"/>
          </w:tcPr>
          <w:p w:rsidR="00851CC4" w:rsidRPr="008318F8" w:rsidRDefault="00851CC4" w:rsidP="00851CC4">
            <w:pPr>
              <w:autoSpaceDE w:val="0"/>
              <w:autoSpaceDN w:val="0"/>
              <w:adjustRightInd w:val="0"/>
              <w:jc w:val="both"/>
              <w:rPr>
                <w:rFonts w:cs="Times New Roman"/>
                <w:color w:val="000000"/>
              </w:rPr>
            </w:pPr>
            <w:r w:rsidRPr="008318F8">
              <w:rPr>
                <w:rFonts w:cs="Times New Roman"/>
                <w:color w:val="000000"/>
              </w:rPr>
              <w:t xml:space="preserve">Programos skundų nagrinėjimo tvarka bus įtvirtinta Vadovaujančiosios institucijos </w:t>
            </w:r>
            <w:r w:rsidRPr="008318F8">
              <w:rPr>
                <w:rFonts w:cs="Times New Roman"/>
              </w:rPr>
              <w:t>rengiamose projektų administravimo ir finansavimo taisyklėse</w:t>
            </w:r>
            <w:r>
              <w:rPr>
                <w:rFonts w:cs="Times New Roman"/>
              </w:rPr>
              <w:t xml:space="preserve"> bei </w:t>
            </w:r>
            <w:r w:rsidR="000006B1">
              <w:rPr>
                <w:rFonts w:cs="Times New Roman"/>
              </w:rPr>
              <w:t>A</w:t>
            </w:r>
            <w:r>
              <w:rPr>
                <w:rFonts w:cs="Times New Roman"/>
              </w:rPr>
              <w:t>dministravimo taisyklėse</w:t>
            </w:r>
            <w:r w:rsidRPr="008318F8">
              <w:rPr>
                <w:rFonts w:cs="Times New Roman"/>
              </w:rPr>
              <w:t xml:space="preserve">, </w:t>
            </w:r>
            <w:r w:rsidRPr="008318F8">
              <w:rPr>
                <w:rFonts w:cs="Times New Roman"/>
                <w:color w:val="000000"/>
              </w:rPr>
              <w:t xml:space="preserve">kuriose </w:t>
            </w:r>
            <w:r>
              <w:rPr>
                <w:rFonts w:cs="Times New Roman"/>
                <w:color w:val="000000"/>
              </w:rPr>
              <w:t xml:space="preserve">be kitų nuostatų </w:t>
            </w:r>
            <w:r w:rsidRPr="008318F8">
              <w:rPr>
                <w:rFonts w:cs="Times New Roman"/>
                <w:color w:val="000000"/>
              </w:rPr>
              <w:t>bus numatyta, kad pareiškėjai, projektų vykdytojai ir tretieji suinteresuoti asmenys (kurių teisėms ar pareigoms administruojančiosios institucijos sprendimas turi įtakos)</w:t>
            </w:r>
            <w:r w:rsidRPr="008318F8">
              <w:rPr>
                <w:rFonts w:cs="Times New Roman"/>
                <w:color w:val="FF0000"/>
              </w:rPr>
              <w:t xml:space="preserve"> </w:t>
            </w:r>
            <w:r w:rsidRPr="008318F8">
              <w:rPr>
                <w:rFonts w:cs="Times New Roman"/>
              </w:rPr>
              <w:t>administruojančiosios institucijos sprendimus ar veiksmus (neveikimą) skundžia</w:t>
            </w:r>
            <w:r>
              <w:rPr>
                <w:rFonts w:cs="Times New Roman"/>
              </w:rPr>
              <w:t xml:space="preserve"> </w:t>
            </w:r>
            <w:r w:rsidRPr="008318F8">
              <w:rPr>
                <w:rFonts w:cs="Times New Roman"/>
              </w:rPr>
              <w:t>Lietuvos administracinių ginčų komisijai Lietuvos Respublikos ikiteisminio administracinių ginčų nagrinėjimo tvarkos įstatymo nustatyta tvarka arba Vilniaus apygardos administraciniam teismui.</w:t>
            </w:r>
            <w:r w:rsidRPr="008318F8">
              <w:rPr>
                <w:rFonts w:cs="Times New Roman"/>
                <w:color w:val="000000"/>
              </w:rPr>
              <w:t xml:space="preserve">  Tais atvejais, kai skundai nėra susiję su administruojančiosios institucijos sprendimais ar veiksmais (neveikimu) suinteresuoti asmenys skundus dėl galimų Chartijos pažeidimų teikia kitoms nacionalinėms institucijoms, priklausomai nuo to, kokios teisės galimai yra pažeistos:</w:t>
            </w:r>
          </w:p>
          <w:p w:rsidR="00851CC4" w:rsidRPr="008318F8" w:rsidRDefault="00851CC4" w:rsidP="00851CC4">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ind w:left="360" w:hanging="360"/>
              <w:jc w:val="both"/>
              <w:rPr>
                <w:rFonts w:cs="Times New Roman"/>
                <w:color w:val="000000"/>
              </w:rPr>
            </w:pPr>
            <w:r w:rsidRPr="008318F8">
              <w:rPr>
                <w:rFonts w:cs="Times New Roman"/>
                <w:color w:val="000000"/>
              </w:rPr>
              <w:t>Lygių galimybių kontrolieriaus tarnyba nagrinėja skundus, susijusius su patiriama diskriminacija dėl savo lyties, amžiaus, pilietybės, socialinės padėties ir kitų asmens tapatybės bruožų. Tiriami pažeidimai darbo santykių, vartotojų teisių apsaugos, švietimo, valstybės ir savivaldybių, asociacijų bei organizacijų veiklos srityse;</w:t>
            </w:r>
          </w:p>
          <w:p w:rsidR="00851CC4" w:rsidRPr="008318F8" w:rsidRDefault="00851CC4" w:rsidP="00851CC4">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ind w:left="360" w:hanging="360"/>
              <w:jc w:val="both"/>
              <w:rPr>
                <w:rFonts w:cs="Times New Roman"/>
                <w:color w:val="000000"/>
              </w:rPr>
            </w:pPr>
            <w:r w:rsidRPr="008318F8">
              <w:rPr>
                <w:rFonts w:cs="Times New Roman"/>
                <w:color w:val="000000"/>
              </w:rPr>
              <w:t xml:space="preserve"> Seimo kontrolierių įstaiga nagrinėja skundus, susijusius su patiriamu pareigūnų (darbuotojų, atliekančių viešojo administravimo funkcijas) piktnaudžiavimu, biurokratizmu, sprendimų vilkinimu ar kitus pažeidimus viešojo administravimo (privalomųjų administracinių paslaugų teikimo) srityje. Įstaiga taip pat vykdo nacionalinę kankinimų prevenciją.</w:t>
            </w:r>
          </w:p>
          <w:p w:rsidR="00851CC4" w:rsidRDefault="00851CC4" w:rsidP="00851CC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Times New Roman"/>
                <w:color w:val="000000"/>
              </w:rPr>
            </w:pPr>
            <w:r w:rsidRPr="008318F8">
              <w:rPr>
                <w:rFonts w:cs="Times New Roman"/>
                <w:color w:val="000000"/>
              </w:rPr>
              <w:t>Projektų administravimo ir finansavimo taisyklėse taip pat bus nustatyta tvarka, pagal kurią, stebėse</w:t>
            </w:r>
            <w:r w:rsidR="00D40048">
              <w:rPr>
                <w:rFonts w:cs="Times New Roman"/>
                <w:color w:val="000000"/>
              </w:rPr>
              <w:t>nos komitetui vieną kartą per</w:t>
            </w:r>
            <w:r w:rsidRPr="008318F8">
              <w:rPr>
                <w:rFonts w:cs="Times New Roman"/>
                <w:color w:val="000000"/>
              </w:rPr>
              <w:t xml:space="preserve"> metus, administruojanti institucija praneš apie atvejus, kai fondais remiamais veiksmais nesilaikoma Chartijos, ir apie su Chartija susijusius atitinkamoms institucijoms pateiktus skundus.</w:t>
            </w:r>
          </w:p>
          <w:p w:rsidR="000006B1" w:rsidRPr="00636245" w:rsidRDefault="000006B1" w:rsidP="00851CC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Times New Roman"/>
                <w:color w:val="000000"/>
                <w:lang w:val="en-GB"/>
              </w:rPr>
            </w:pPr>
            <w:r>
              <w:rPr>
                <w:rFonts w:cs="Times New Roman"/>
                <w:color w:val="000000"/>
              </w:rPr>
              <w:t xml:space="preserve">Metiniuose pranešimuose stebėsenos komitetui bus pristatoma: </w:t>
            </w:r>
            <w:r>
              <w:rPr>
                <w:rFonts w:cs="Times New Roman"/>
                <w:color w:val="000000"/>
                <w:lang w:val="en-GB"/>
              </w:rPr>
              <w:t xml:space="preserve">1. </w:t>
            </w:r>
            <w:proofErr w:type="spellStart"/>
            <w:r>
              <w:rPr>
                <w:rFonts w:cs="Times New Roman"/>
                <w:color w:val="000000"/>
                <w:lang w:val="en-GB"/>
              </w:rPr>
              <w:t>Gautų</w:t>
            </w:r>
            <w:proofErr w:type="spellEnd"/>
            <w:r>
              <w:rPr>
                <w:rFonts w:cs="Times New Roman"/>
                <w:color w:val="000000"/>
                <w:lang w:val="en-GB"/>
              </w:rPr>
              <w:t xml:space="preserve"> </w:t>
            </w:r>
            <w:proofErr w:type="spellStart"/>
            <w:r>
              <w:rPr>
                <w:rFonts w:cs="Times New Roman"/>
                <w:color w:val="000000"/>
                <w:lang w:val="en-GB"/>
              </w:rPr>
              <w:t>skundų</w:t>
            </w:r>
            <w:proofErr w:type="spellEnd"/>
            <w:r>
              <w:rPr>
                <w:rFonts w:cs="Times New Roman"/>
                <w:color w:val="000000"/>
                <w:lang w:val="en-GB"/>
              </w:rPr>
              <w:t xml:space="preserve"> </w:t>
            </w:r>
            <w:proofErr w:type="spellStart"/>
            <w:r>
              <w:rPr>
                <w:rFonts w:cs="Times New Roman"/>
                <w:color w:val="000000"/>
                <w:lang w:val="en-GB"/>
              </w:rPr>
              <w:t>skačius</w:t>
            </w:r>
            <w:proofErr w:type="spellEnd"/>
            <w:r>
              <w:rPr>
                <w:rFonts w:cs="Times New Roman"/>
                <w:color w:val="000000"/>
                <w:lang w:val="en-GB"/>
              </w:rPr>
              <w:t xml:space="preserve">; 2. </w:t>
            </w:r>
            <w:proofErr w:type="spellStart"/>
            <w:r>
              <w:rPr>
                <w:rFonts w:cs="Times New Roman"/>
                <w:color w:val="000000"/>
                <w:lang w:val="en-GB"/>
              </w:rPr>
              <w:t>Gautų</w:t>
            </w:r>
            <w:proofErr w:type="spellEnd"/>
            <w:r>
              <w:rPr>
                <w:rFonts w:cs="Times New Roman"/>
                <w:color w:val="000000"/>
                <w:lang w:val="en-GB"/>
              </w:rPr>
              <w:t xml:space="preserve"> </w:t>
            </w:r>
            <w:proofErr w:type="spellStart"/>
            <w:r>
              <w:rPr>
                <w:rFonts w:cs="Times New Roman"/>
                <w:color w:val="000000"/>
                <w:lang w:val="en-GB"/>
              </w:rPr>
              <w:t>skundų</w:t>
            </w:r>
            <w:proofErr w:type="spellEnd"/>
            <w:r>
              <w:rPr>
                <w:rFonts w:cs="Times New Roman"/>
                <w:color w:val="000000"/>
                <w:lang w:val="en-GB"/>
              </w:rPr>
              <w:t xml:space="preserve"> </w:t>
            </w:r>
            <w:proofErr w:type="spellStart"/>
            <w:r>
              <w:rPr>
                <w:rFonts w:cs="Times New Roman"/>
                <w:color w:val="000000"/>
                <w:lang w:val="en-GB"/>
              </w:rPr>
              <w:t>statusas</w:t>
            </w:r>
            <w:proofErr w:type="spellEnd"/>
            <w:r>
              <w:rPr>
                <w:rFonts w:cs="Times New Roman"/>
                <w:color w:val="000000"/>
                <w:lang w:val="en-GB"/>
              </w:rPr>
              <w:t xml:space="preserve"> (</w:t>
            </w:r>
            <w:proofErr w:type="spellStart"/>
            <w:r>
              <w:rPr>
                <w:rFonts w:cs="Times New Roman"/>
                <w:color w:val="000000"/>
                <w:lang w:val="en-GB"/>
              </w:rPr>
              <w:t>vertinami</w:t>
            </w:r>
            <w:proofErr w:type="spellEnd"/>
            <w:r>
              <w:rPr>
                <w:rFonts w:cs="Times New Roman"/>
                <w:color w:val="000000"/>
                <w:lang w:val="en-GB"/>
              </w:rPr>
              <w:t>/</w:t>
            </w:r>
            <w:proofErr w:type="spellStart"/>
            <w:r>
              <w:rPr>
                <w:rFonts w:cs="Times New Roman"/>
                <w:color w:val="000000"/>
                <w:lang w:val="en-GB"/>
              </w:rPr>
              <w:t>atmesti</w:t>
            </w:r>
            <w:proofErr w:type="spellEnd"/>
            <w:r>
              <w:rPr>
                <w:rFonts w:cs="Times New Roman"/>
                <w:color w:val="000000"/>
                <w:lang w:val="en-GB"/>
              </w:rPr>
              <w:t>/</w:t>
            </w:r>
            <w:proofErr w:type="spellStart"/>
            <w:r>
              <w:rPr>
                <w:rFonts w:cs="Times New Roman"/>
                <w:color w:val="000000"/>
                <w:lang w:val="en-GB"/>
              </w:rPr>
              <w:t>nustatyti</w:t>
            </w:r>
            <w:proofErr w:type="spellEnd"/>
            <w:r>
              <w:rPr>
                <w:rFonts w:cs="Times New Roman"/>
                <w:color w:val="000000"/>
                <w:lang w:val="en-GB"/>
              </w:rPr>
              <w:t xml:space="preserve"> </w:t>
            </w:r>
            <w:proofErr w:type="spellStart"/>
            <w:r w:rsidR="00636245">
              <w:rPr>
                <w:rFonts w:cs="Times New Roman"/>
                <w:color w:val="000000"/>
                <w:lang w:val="en-GB"/>
              </w:rPr>
              <w:t>Chartijos</w:t>
            </w:r>
            <w:proofErr w:type="spellEnd"/>
            <w:r w:rsidR="00636245">
              <w:rPr>
                <w:rFonts w:cs="Times New Roman"/>
                <w:color w:val="000000"/>
                <w:lang w:val="en-GB"/>
              </w:rPr>
              <w:t xml:space="preserve"> </w:t>
            </w:r>
            <w:proofErr w:type="spellStart"/>
            <w:r>
              <w:rPr>
                <w:rFonts w:cs="Times New Roman"/>
                <w:color w:val="000000"/>
                <w:lang w:val="en-GB"/>
              </w:rPr>
              <w:t>nesilaikymo</w:t>
            </w:r>
            <w:proofErr w:type="spellEnd"/>
            <w:r>
              <w:rPr>
                <w:rFonts w:cs="Times New Roman"/>
                <w:color w:val="000000"/>
                <w:lang w:val="en-GB"/>
              </w:rPr>
              <w:t xml:space="preserve"> </w:t>
            </w:r>
            <w:proofErr w:type="spellStart"/>
            <w:r>
              <w:rPr>
                <w:rFonts w:cs="Times New Roman"/>
                <w:color w:val="000000"/>
                <w:lang w:val="en-GB"/>
              </w:rPr>
              <w:t>atvejai</w:t>
            </w:r>
            <w:proofErr w:type="spellEnd"/>
            <w:r>
              <w:rPr>
                <w:rFonts w:cs="Times New Roman"/>
                <w:color w:val="000000"/>
                <w:lang w:val="en-GB"/>
              </w:rPr>
              <w:t>/</w:t>
            </w:r>
            <w:proofErr w:type="spellStart"/>
            <w:r>
              <w:rPr>
                <w:rFonts w:cs="Times New Roman"/>
                <w:color w:val="000000"/>
                <w:lang w:val="en-GB"/>
              </w:rPr>
              <w:t>teisminiai</w:t>
            </w:r>
            <w:proofErr w:type="spellEnd"/>
            <w:r>
              <w:rPr>
                <w:rFonts w:cs="Times New Roman"/>
                <w:color w:val="000000"/>
                <w:lang w:val="en-GB"/>
              </w:rPr>
              <w:t xml:space="preserve"> </w:t>
            </w:r>
            <w:proofErr w:type="spellStart"/>
            <w:r>
              <w:rPr>
                <w:rFonts w:cs="Times New Roman"/>
                <w:color w:val="000000"/>
                <w:lang w:val="en-GB"/>
              </w:rPr>
              <w:t>ginčai</w:t>
            </w:r>
            <w:proofErr w:type="spellEnd"/>
            <w:r>
              <w:rPr>
                <w:rFonts w:cs="Times New Roman"/>
                <w:color w:val="000000"/>
                <w:lang w:val="en-GB"/>
              </w:rPr>
              <w:t>)</w:t>
            </w:r>
            <w:r w:rsidR="00636245">
              <w:rPr>
                <w:rFonts w:cs="Times New Roman"/>
                <w:color w:val="000000"/>
                <w:lang w:val="en-GB"/>
              </w:rPr>
              <w:t xml:space="preserve">; 3. </w:t>
            </w:r>
            <w:proofErr w:type="spellStart"/>
            <w:r w:rsidR="00636245">
              <w:rPr>
                <w:rFonts w:cs="Times New Roman"/>
                <w:color w:val="000000"/>
                <w:lang w:val="en-GB"/>
              </w:rPr>
              <w:t>Kokios</w:t>
            </w:r>
            <w:proofErr w:type="spellEnd"/>
            <w:r w:rsidR="00636245">
              <w:rPr>
                <w:rFonts w:cs="Times New Roman"/>
                <w:color w:val="000000"/>
                <w:lang w:val="en-GB"/>
              </w:rPr>
              <w:t xml:space="preserve"> </w:t>
            </w:r>
            <w:proofErr w:type="spellStart"/>
            <w:r w:rsidR="00636245">
              <w:rPr>
                <w:rFonts w:cs="Times New Roman"/>
                <w:color w:val="000000"/>
                <w:lang w:val="en-GB"/>
              </w:rPr>
              <w:t>Chartijos</w:t>
            </w:r>
            <w:proofErr w:type="spellEnd"/>
            <w:r w:rsidR="00636245">
              <w:rPr>
                <w:rFonts w:cs="Times New Roman"/>
                <w:color w:val="000000"/>
                <w:lang w:val="en-GB"/>
              </w:rPr>
              <w:t xml:space="preserve"> </w:t>
            </w:r>
            <w:proofErr w:type="spellStart"/>
            <w:r w:rsidR="00636245">
              <w:rPr>
                <w:rFonts w:cs="Times New Roman"/>
                <w:color w:val="000000"/>
                <w:lang w:val="en-GB"/>
              </w:rPr>
              <w:t>tei</w:t>
            </w:r>
            <w:proofErr w:type="spellEnd"/>
            <w:r w:rsidR="00636245">
              <w:rPr>
                <w:rFonts w:cs="Times New Roman"/>
                <w:color w:val="000000"/>
              </w:rPr>
              <w:t xml:space="preserve">sės buvo pažeistos (jeigu nustatyti nesilaikymo atvejai); 4. Veiksmų planas siekiant išvengti tolimesnių Chartijos nesilaikymo atvejų (jeigu nustatyti nesilaikymo atvejai). </w:t>
            </w:r>
          </w:p>
          <w:p w:rsidR="005F2540" w:rsidRPr="007511F9" w:rsidRDefault="00851CC4" w:rsidP="009B46A0">
            <w:pPr>
              <w:jc w:val="both"/>
              <w:rPr>
                <w:rFonts w:cs="Times New Roman"/>
                <w:color w:val="000000" w:themeColor="text1"/>
                <w:lang w:val="en-US"/>
              </w:rPr>
            </w:pPr>
            <w:r w:rsidRPr="008318F8">
              <w:rPr>
                <w:rFonts w:cs="Times New Roman"/>
                <w:color w:val="000000"/>
              </w:rPr>
              <w:t xml:space="preserve">Informacija dėl skundų, kai skundai nėra susiję su administruojančios institucijos sprendimais ar veiksmais (neveikimu), administruojančiai institucijai bus teikiami trišaliu susitarimu tarp </w:t>
            </w:r>
            <w:r w:rsidR="009B46A0">
              <w:rPr>
                <w:rFonts w:cs="Times New Roman"/>
                <w:color w:val="000000"/>
              </w:rPr>
              <w:t>vadovaujančiosios</w:t>
            </w:r>
            <w:r w:rsidRPr="008318F8">
              <w:rPr>
                <w:rFonts w:cs="Times New Roman"/>
                <w:color w:val="000000"/>
              </w:rPr>
              <w:t xml:space="preserve"> institucijos, Lygių galimybių kontrolieriaus tarnybos ir Seimo kontrolierių įstaigos.</w:t>
            </w:r>
            <w:r w:rsidR="000006B1">
              <w:rPr>
                <w:rFonts w:cs="Times New Roman"/>
                <w:color w:val="000000"/>
              </w:rPr>
              <w:t xml:space="preserve"> </w:t>
            </w:r>
          </w:p>
        </w:tc>
      </w:tr>
      <w:tr w:rsidR="005F2540" w:rsidRPr="00C84981" w:rsidTr="00851CC4">
        <w:tc>
          <w:tcPr>
            <w:tcW w:w="1276" w:type="dxa"/>
            <w:vMerge w:val="restart"/>
          </w:tcPr>
          <w:p w:rsidR="005F2540" w:rsidRPr="009A406A" w:rsidRDefault="005F2540" w:rsidP="00C84981">
            <w:pPr>
              <w:rPr>
                <w:rFonts w:eastAsia="Times New Roman" w:cs="Times New Roman"/>
                <w:iCs/>
                <w:noProof/>
                <w:szCs w:val="20"/>
              </w:rPr>
            </w:pPr>
            <w:r w:rsidRPr="009A406A">
              <w:rPr>
                <w:rFonts w:eastAsia="Times New Roman" w:cs="Times New Roman"/>
                <w:iCs/>
                <w:noProof/>
                <w:szCs w:val="20"/>
              </w:rPr>
              <w:t xml:space="preserve">4. Jungtinių Tautų neįgaliųjų teisių konvencijos </w:t>
            </w:r>
            <w:r w:rsidR="000F0B38">
              <w:rPr>
                <w:rFonts w:eastAsia="Times New Roman" w:cs="Times New Roman"/>
                <w:iCs/>
                <w:noProof/>
                <w:szCs w:val="20"/>
              </w:rPr>
              <w:t xml:space="preserve">(JT NTK) </w:t>
            </w:r>
            <w:r w:rsidRPr="009A406A">
              <w:rPr>
                <w:rFonts w:eastAsia="Times New Roman" w:cs="Times New Roman"/>
                <w:iCs/>
                <w:noProof/>
                <w:szCs w:val="20"/>
              </w:rPr>
              <w:t>įgyvendinimas ir taikymas pagal Tarybos sprendimą 2010/48/EB</w:t>
            </w:r>
          </w:p>
          <w:p w:rsidR="005F2540" w:rsidRPr="009A406A" w:rsidRDefault="005F2540" w:rsidP="00C84981">
            <w:pPr>
              <w:rPr>
                <w:rFonts w:eastAsia="Times New Roman" w:cs="Times New Roman"/>
                <w:iCs/>
                <w:noProof/>
                <w:szCs w:val="20"/>
              </w:rPr>
            </w:pPr>
          </w:p>
          <w:p w:rsidR="005F2540" w:rsidRPr="009A406A" w:rsidRDefault="005F2540" w:rsidP="00C84981">
            <w:pPr>
              <w:rPr>
                <w:rFonts w:cs="Times New Roman"/>
                <w:szCs w:val="20"/>
                <w:lang w:val="en-US"/>
              </w:rPr>
            </w:pPr>
            <w:r w:rsidRPr="009A406A">
              <w:rPr>
                <w:rFonts w:eastAsia="Times New Roman" w:cs="Times New Roman"/>
                <w:iCs/>
                <w:noProof/>
                <w:szCs w:val="20"/>
              </w:rPr>
              <w:t>(</w:t>
            </w:r>
            <w:r w:rsidRPr="009A406A">
              <w:rPr>
                <w:rFonts w:cs="Times New Roman"/>
                <w:szCs w:val="20"/>
                <w:lang w:val="en-US"/>
              </w:rPr>
              <w:t>Implementation and application of the United Nations Convention on the rights of persons with disabilities (UNCRPD) in accordance with Council Decision 2010/48/EC)</w:t>
            </w:r>
          </w:p>
          <w:p w:rsidR="005F2540" w:rsidRPr="00C84981" w:rsidRDefault="005F2540" w:rsidP="00C84981">
            <w:pPr>
              <w:jc w:val="both"/>
              <w:rPr>
                <w:rFonts w:eastAsia="Times New Roman" w:cs="Times New Roman"/>
                <w:iCs/>
                <w:noProof/>
                <w:szCs w:val="20"/>
              </w:rPr>
            </w:pPr>
          </w:p>
        </w:tc>
        <w:tc>
          <w:tcPr>
            <w:tcW w:w="851" w:type="dxa"/>
            <w:vMerge w:val="restart"/>
          </w:tcPr>
          <w:p w:rsidR="005F2540" w:rsidRPr="00C84981" w:rsidRDefault="005F2540" w:rsidP="00C84981">
            <w:pPr>
              <w:jc w:val="both"/>
              <w:rPr>
                <w:rFonts w:eastAsia="Times New Roman" w:cs="Times New Roman"/>
                <w:iCs/>
                <w:noProof/>
                <w:szCs w:val="20"/>
              </w:rPr>
            </w:pPr>
          </w:p>
        </w:tc>
        <w:tc>
          <w:tcPr>
            <w:tcW w:w="1134" w:type="dxa"/>
            <w:vMerge w:val="restart"/>
          </w:tcPr>
          <w:p w:rsidR="005F2540" w:rsidRPr="00C84981" w:rsidRDefault="005F2540" w:rsidP="00C84981">
            <w:pPr>
              <w:jc w:val="both"/>
              <w:rPr>
                <w:rFonts w:eastAsia="Times New Roman" w:cs="Times New Roman"/>
                <w:iCs/>
                <w:noProof/>
                <w:szCs w:val="20"/>
              </w:rPr>
            </w:pPr>
          </w:p>
        </w:tc>
        <w:tc>
          <w:tcPr>
            <w:tcW w:w="1134" w:type="dxa"/>
            <w:vMerge w:val="restart"/>
          </w:tcPr>
          <w:p w:rsidR="005F2540" w:rsidRPr="00C84981" w:rsidRDefault="007E7DD9" w:rsidP="00C84981">
            <w:pPr>
              <w:jc w:val="both"/>
              <w:rPr>
                <w:rFonts w:eastAsia="Times New Roman" w:cs="Times New Roman"/>
                <w:iCs/>
                <w:noProof/>
                <w:szCs w:val="20"/>
                <w:lang w:val="en-US"/>
              </w:rPr>
            </w:pPr>
            <w:r>
              <w:rPr>
                <w:rFonts w:eastAsia="Times New Roman" w:cs="Times New Roman"/>
                <w:iCs/>
                <w:noProof/>
                <w:szCs w:val="20"/>
                <w:lang w:val="en-US"/>
              </w:rPr>
              <w:t>Taip</w:t>
            </w:r>
          </w:p>
        </w:tc>
        <w:tc>
          <w:tcPr>
            <w:tcW w:w="2409" w:type="dxa"/>
          </w:tcPr>
          <w:p w:rsidR="00B258FD" w:rsidRPr="008D5C99" w:rsidRDefault="00B258FD" w:rsidP="00B258FD">
            <w:r w:rsidRPr="008D5C99">
              <w:t>Įdiegta nacionalinė sistema, skirta JT NTK įgyvendinimui užtikrinti. Ją sudaro:</w:t>
            </w:r>
          </w:p>
          <w:p w:rsidR="00B258FD" w:rsidRPr="008D5C99" w:rsidRDefault="00B258FD" w:rsidP="00B258FD">
            <w:r>
              <w:t xml:space="preserve">1. </w:t>
            </w:r>
            <w:r w:rsidRPr="008D5C99">
              <w:t>tikslai su išmatuojamais siekiniais, duomenų rinkimo ir stebėsenos mechanizmai;</w:t>
            </w:r>
          </w:p>
          <w:p w:rsidR="005F2540" w:rsidRPr="00C84981" w:rsidRDefault="005F2540" w:rsidP="00B258FD">
            <w:pPr>
              <w:rPr>
                <w:rFonts w:eastAsia="Calibri" w:cs="Times New Roman"/>
                <w:b/>
                <w:noProof/>
                <w:szCs w:val="20"/>
                <w:lang w:val="en-US"/>
              </w:rPr>
            </w:pPr>
          </w:p>
          <w:p w:rsidR="00B258FD" w:rsidRDefault="005F2540" w:rsidP="00B258FD">
            <w:r>
              <w:rPr>
                <w:rFonts w:cs="Times New Roman"/>
                <w:noProof/>
                <w:szCs w:val="20"/>
                <w:lang w:val="en-US"/>
              </w:rPr>
              <w:t>(</w:t>
            </w:r>
            <w:r w:rsidR="00B258FD">
              <w:t xml:space="preserve">A national framework to ensure implementation of the UNCRPD is in place that includes: </w:t>
            </w:r>
          </w:p>
          <w:p w:rsidR="00B258FD" w:rsidRDefault="00B258FD" w:rsidP="00B258FD">
            <w:r w:rsidRPr="00B258FD">
              <w:rPr>
                <w:rFonts w:eastAsia="Times New Roman" w:cs="Times New Roman"/>
                <w:sz w:val="24"/>
                <w:szCs w:val="24"/>
                <w:lang w:val="en-US"/>
              </w:rPr>
              <w:t>1.</w:t>
            </w:r>
            <w:r>
              <w:t xml:space="preserve"> Objectives with measurable goals, data collection and monitoring mechanisms</w:t>
            </w:r>
            <w:r>
              <w:rPr>
                <w:rFonts w:ascii="Times New Roman,Italic" w:hAnsi="Times New Roman,Italic"/>
              </w:rPr>
              <w:t>.)</w:t>
            </w:r>
          </w:p>
          <w:p w:rsidR="005F2540" w:rsidRPr="00C84981" w:rsidRDefault="005F2540" w:rsidP="00C84981">
            <w:pPr>
              <w:jc w:val="both"/>
              <w:rPr>
                <w:rFonts w:eastAsia="Calibri" w:cs="Times New Roman"/>
                <w:noProof/>
                <w:szCs w:val="20"/>
                <w:lang w:val="en-US"/>
              </w:rPr>
            </w:pPr>
          </w:p>
        </w:tc>
        <w:tc>
          <w:tcPr>
            <w:tcW w:w="1276" w:type="dxa"/>
          </w:tcPr>
          <w:p w:rsidR="005F2540" w:rsidRPr="00C84981" w:rsidRDefault="00EF3FB4" w:rsidP="00C84981">
            <w:pPr>
              <w:jc w:val="both"/>
              <w:rPr>
                <w:rFonts w:eastAsia="Calibri" w:cs="Times New Roman"/>
                <w:noProof/>
                <w:szCs w:val="20"/>
              </w:rPr>
            </w:pPr>
            <w:r w:rsidRPr="00F84225">
              <w:rPr>
                <w:rFonts w:eastAsia="Calibri" w:cs="Times New Roman"/>
                <w:noProof/>
                <w:szCs w:val="20"/>
              </w:rPr>
              <w:t>Taip</w:t>
            </w:r>
          </w:p>
        </w:tc>
        <w:tc>
          <w:tcPr>
            <w:tcW w:w="2410" w:type="dxa"/>
          </w:tcPr>
          <w:p w:rsidR="005F2540" w:rsidRPr="00B815D1" w:rsidRDefault="00DB09E9" w:rsidP="00DB09E9">
            <w:pPr>
              <w:jc w:val="both"/>
              <w:rPr>
                <w:rFonts w:cs="Times New Roman"/>
                <w:color w:val="000000" w:themeColor="text1"/>
                <w:szCs w:val="20"/>
                <w:u w:val="single"/>
              </w:rPr>
            </w:pPr>
            <w:r w:rsidRPr="00B815D1">
              <w:rPr>
                <w:rFonts w:cs="Times New Roman"/>
                <w:color w:val="000000" w:themeColor="text1"/>
                <w:szCs w:val="20"/>
              </w:rPr>
              <w:t xml:space="preserve">1. </w:t>
            </w:r>
            <w:hyperlink r:id="rId41" w:history="1">
              <w:r w:rsidRPr="00B815D1">
                <w:rPr>
                  <w:rStyle w:val="Hyperlink"/>
                  <w:rFonts w:cs="Times New Roman"/>
                  <w:color w:val="000000" w:themeColor="text1"/>
                  <w:szCs w:val="20"/>
                  <w:u w:val="none"/>
                </w:rPr>
                <w:t>Lietuvos Respublikos įstatymas dėl Jungtinių Tautų neįgaliųjų teisių konvencijos ir jos fakultatyvaus protokolo ratifikavimo</w:t>
              </w:r>
            </w:hyperlink>
            <w:r w:rsidRPr="00B815D1">
              <w:rPr>
                <w:rFonts w:cs="Times New Roman"/>
                <w:color w:val="000000" w:themeColor="text1"/>
                <w:szCs w:val="20"/>
                <w:u w:val="single"/>
              </w:rPr>
              <w:t xml:space="preserve"> &lt;</w:t>
            </w:r>
            <w:hyperlink r:id="rId42" w:history="1">
              <w:r w:rsidRPr="00B815D1">
                <w:rPr>
                  <w:rStyle w:val="Hyperlink"/>
                  <w:rFonts w:cs="Times New Roman"/>
                </w:rPr>
                <w:t>https://e-seimas.lrs.lt/portal/legalAct/lt/TAD/TAIS.373548?jfwid=4t02bwlx4</w:t>
              </w:r>
            </w:hyperlink>
            <w:r w:rsidRPr="00B815D1">
              <w:rPr>
                <w:rFonts w:cs="Times New Roman"/>
              </w:rPr>
              <w:t>&gt;</w:t>
            </w:r>
          </w:p>
          <w:p w:rsidR="00DB09E9" w:rsidRPr="00B815D1" w:rsidRDefault="00DB09E9" w:rsidP="00DB09E9">
            <w:pPr>
              <w:rPr>
                <w:rFonts w:cs="Times New Roman"/>
                <w:color w:val="000000" w:themeColor="text1"/>
              </w:rPr>
            </w:pPr>
            <w:r w:rsidRPr="00B815D1">
              <w:rPr>
                <w:rFonts w:cs="Times New Roman"/>
                <w:color w:val="000000" w:themeColor="text1"/>
              </w:rPr>
              <w:t xml:space="preserve">2. </w:t>
            </w:r>
            <w:r w:rsidRPr="00B815D1">
              <w:rPr>
                <w:rFonts w:cs="Times New Roman"/>
                <w:szCs w:val="20"/>
              </w:rPr>
              <w:t xml:space="preserve">Vyriausybės nutarimas dėl </w:t>
            </w:r>
            <w:r w:rsidRPr="00B815D1">
              <w:rPr>
                <w:rFonts w:cs="Times New Roman"/>
                <w:color w:val="000000" w:themeColor="text1"/>
                <w:szCs w:val="20"/>
              </w:rPr>
              <w:t>Jungtinių Tautų neįgaliųjų teisių konvencijos ir jos fakultatyvaus protokolo įgyvendinimo &lt;</w:t>
            </w:r>
            <w:r w:rsidR="00410934">
              <w:t xml:space="preserve"> </w:t>
            </w:r>
            <w:hyperlink r:id="rId43" w:history="1">
              <w:r w:rsidR="00410934" w:rsidRPr="00410934">
                <w:rPr>
                  <w:rStyle w:val="Hyperlink"/>
                </w:rPr>
                <w:t>https://e-seimas.lrs.lt/portal/legalAct/lt/TAD/a32cf816a3a711e9aab6d8dd69c6da66?jfwid=-py58q7u2n</w:t>
              </w:r>
            </w:hyperlink>
            <w:r w:rsidRPr="00B815D1">
              <w:rPr>
                <w:rFonts w:cs="Times New Roman"/>
              </w:rPr>
              <w:t>&gt;</w:t>
            </w:r>
          </w:p>
          <w:p w:rsidR="00DB09E9" w:rsidRPr="00B815D1" w:rsidRDefault="00DB09E9" w:rsidP="00DB09E9">
            <w:pPr>
              <w:jc w:val="both"/>
              <w:rPr>
                <w:rFonts w:cs="Times New Roman"/>
              </w:rPr>
            </w:pPr>
            <w:r w:rsidRPr="00B815D1">
              <w:rPr>
                <w:rFonts w:cs="Times New Roman"/>
              </w:rPr>
              <w:t xml:space="preserve">3. </w:t>
            </w:r>
            <w:r w:rsidRPr="00B815D1">
              <w:rPr>
                <w:rFonts w:cs="Times New Roman"/>
                <w:color w:val="000000" w:themeColor="text1"/>
                <w:szCs w:val="20"/>
              </w:rPr>
              <w:t>Neįgalių socialinės integracijos 2021 – 2023 metų veiksmų planas</w:t>
            </w:r>
            <w:r w:rsidRPr="00B815D1">
              <w:rPr>
                <w:rFonts w:cs="Times New Roman"/>
              </w:rPr>
              <w:t xml:space="preserve"> &lt;</w:t>
            </w:r>
            <w:hyperlink r:id="rId44" w:history="1">
              <w:r w:rsidRPr="00B815D1">
                <w:rPr>
                  <w:rStyle w:val="Hyperlink"/>
                  <w:rFonts w:cs="Times New Roman"/>
                </w:rPr>
                <w:t>https://www.e-tar.lt/portal/lt/legalAct/8c27c230f1b211eaa12ad7c04a383ca0</w:t>
              </w:r>
            </w:hyperlink>
            <w:r w:rsidRPr="00B815D1">
              <w:rPr>
                <w:rFonts w:cs="Times New Roman"/>
              </w:rPr>
              <w:t>&gt;</w:t>
            </w:r>
          </w:p>
          <w:p w:rsidR="00DB09E9" w:rsidRDefault="00DB09E9" w:rsidP="00DB09E9">
            <w:pPr>
              <w:jc w:val="both"/>
              <w:rPr>
                <w:rFonts w:cs="Times New Roman"/>
              </w:rPr>
            </w:pPr>
            <w:r w:rsidRPr="00B815D1">
              <w:rPr>
                <w:rFonts w:cs="Times New Roman"/>
              </w:rPr>
              <w:t xml:space="preserve">4. Strateginio valdymo metodika &lt; </w:t>
            </w:r>
            <w:hyperlink r:id="rId45" w:history="1">
              <w:r w:rsidRPr="00B815D1">
                <w:rPr>
                  <w:rStyle w:val="Hyperlink"/>
                  <w:rFonts w:cs="Times New Roman"/>
                </w:rPr>
                <w:t>https://e-seimas.lrs.lt/portal/legalAct/lt/TAD/90386d20bab711ea9a12d0dada3ca61b</w:t>
              </w:r>
            </w:hyperlink>
            <w:r w:rsidRPr="00B815D1">
              <w:rPr>
                <w:rFonts w:cs="Times New Roman"/>
              </w:rPr>
              <w:t>&gt;</w:t>
            </w:r>
          </w:p>
          <w:p w:rsidR="006D2456" w:rsidRDefault="006D2456" w:rsidP="00DB09E9">
            <w:pPr>
              <w:jc w:val="both"/>
              <w:rPr>
                <w:rFonts w:cs="Times New Roman"/>
                <w:lang w:val="en-GB"/>
              </w:rPr>
            </w:pPr>
            <w:r>
              <w:rPr>
                <w:rFonts w:cs="Times New Roman"/>
                <w:lang w:val="en-GB"/>
              </w:rPr>
              <w:t xml:space="preserve">5. </w:t>
            </w:r>
            <w:hyperlink r:id="rId46" w:history="1">
              <w:proofErr w:type="spellStart"/>
              <w:r w:rsidRPr="006D2456">
                <w:rPr>
                  <w:rStyle w:val="Hyperlink"/>
                  <w:rFonts w:cs="Times New Roman"/>
                  <w:lang w:val="en-GB"/>
                </w:rPr>
                <w:t>Socialin</w:t>
              </w:r>
              <w:proofErr w:type="spellEnd"/>
              <w:r w:rsidRPr="006D2456">
                <w:rPr>
                  <w:rStyle w:val="Hyperlink"/>
                  <w:rFonts w:cs="Times New Roman"/>
                </w:rPr>
                <w:t xml:space="preserve">ės </w:t>
              </w:r>
              <w:proofErr w:type="spellStart"/>
              <w:r w:rsidRPr="006D2456">
                <w:rPr>
                  <w:rStyle w:val="Hyperlink"/>
                  <w:rFonts w:cs="Times New Roman"/>
                </w:rPr>
                <w:t>sutelkties</w:t>
              </w:r>
              <w:proofErr w:type="spellEnd"/>
              <w:r w:rsidRPr="006D2456">
                <w:rPr>
                  <w:rStyle w:val="Hyperlink"/>
                  <w:rFonts w:cs="Times New Roman"/>
                </w:rPr>
                <w:t xml:space="preserve"> plėtros programa.</w:t>
              </w:r>
            </w:hyperlink>
          </w:p>
          <w:p w:rsidR="00587AC9" w:rsidRDefault="00587AC9" w:rsidP="00DB09E9">
            <w:pPr>
              <w:jc w:val="both"/>
              <w:rPr>
                <w:rFonts w:cs="Times New Roman"/>
                <w:color w:val="000000"/>
                <w:szCs w:val="20"/>
              </w:rPr>
            </w:pPr>
            <w:r>
              <w:rPr>
                <w:rFonts w:cs="Times New Roman"/>
                <w:lang w:val="en-GB"/>
              </w:rPr>
              <w:t xml:space="preserve">6. </w:t>
            </w:r>
            <w:r>
              <w:rPr>
                <w:rFonts w:cs="Times New Roman"/>
                <w:color w:val="000000"/>
                <w:szCs w:val="20"/>
              </w:rPr>
              <w:t xml:space="preserve">Žmonių su negalia socialinės integracijos veiklos rezultatų bei JT NTK ir jos fakultatyvaus protokolo įgyvendinimo stebėsenos ataskaitos: </w:t>
            </w:r>
            <w:hyperlink r:id="rId47" w:history="1">
              <w:r w:rsidR="000725ED" w:rsidRPr="00364303">
                <w:rPr>
                  <w:rStyle w:val="Hyperlink"/>
                  <w:rFonts w:cs="Times New Roman"/>
                  <w:szCs w:val="20"/>
                </w:rPr>
                <w:t>http://www.ndt.lt/neigaliuju-teisiu-konvencija/</w:t>
              </w:r>
            </w:hyperlink>
          </w:p>
          <w:p w:rsidR="000725ED" w:rsidRPr="000725ED" w:rsidRDefault="000725ED" w:rsidP="00DB09E9">
            <w:pPr>
              <w:jc w:val="both"/>
              <w:rPr>
                <w:rFonts w:cs="Times New Roman"/>
              </w:rPr>
            </w:pPr>
            <w:r>
              <w:rPr>
                <w:rFonts w:cs="Times New Roman"/>
                <w:color w:val="000000"/>
                <w:szCs w:val="20"/>
                <w:lang w:val="en-GB"/>
              </w:rPr>
              <w:t xml:space="preserve">7. JT </w:t>
            </w:r>
            <w:proofErr w:type="spellStart"/>
            <w:r>
              <w:rPr>
                <w:rFonts w:cs="Times New Roman"/>
                <w:color w:val="000000"/>
                <w:szCs w:val="20"/>
                <w:lang w:val="en-GB"/>
              </w:rPr>
              <w:t>gairės</w:t>
            </w:r>
            <w:proofErr w:type="spellEnd"/>
            <w:r>
              <w:rPr>
                <w:rFonts w:cs="Times New Roman"/>
                <w:color w:val="000000"/>
                <w:szCs w:val="20"/>
                <w:lang w:val="en-GB"/>
              </w:rPr>
              <w:t xml:space="preserve"> </w:t>
            </w:r>
            <w:proofErr w:type="spellStart"/>
            <w:r>
              <w:rPr>
                <w:rFonts w:cs="Times New Roman"/>
                <w:color w:val="000000"/>
                <w:szCs w:val="20"/>
                <w:lang w:val="en-GB"/>
              </w:rPr>
              <w:t>žmogaus</w:t>
            </w:r>
            <w:proofErr w:type="spellEnd"/>
            <w:r>
              <w:rPr>
                <w:rFonts w:cs="Times New Roman"/>
                <w:color w:val="000000"/>
                <w:szCs w:val="20"/>
                <w:lang w:val="en-GB"/>
              </w:rPr>
              <w:t xml:space="preserve"> </w:t>
            </w:r>
            <w:proofErr w:type="spellStart"/>
            <w:r>
              <w:rPr>
                <w:rFonts w:cs="Times New Roman"/>
                <w:color w:val="000000"/>
                <w:szCs w:val="20"/>
                <w:lang w:val="en-GB"/>
              </w:rPr>
              <w:t>teisių</w:t>
            </w:r>
            <w:proofErr w:type="spellEnd"/>
            <w:r>
              <w:rPr>
                <w:rFonts w:cs="Times New Roman"/>
                <w:color w:val="000000"/>
                <w:szCs w:val="20"/>
                <w:lang w:val="en-GB"/>
              </w:rPr>
              <w:t xml:space="preserve"> </w:t>
            </w:r>
            <w:proofErr w:type="spellStart"/>
            <w:r>
              <w:rPr>
                <w:rFonts w:cs="Times New Roman"/>
                <w:color w:val="000000"/>
                <w:szCs w:val="20"/>
                <w:lang w:val="en-GB"/>
              </w:rPr>
              <w:t>stebėtojams</w:t>
            </w:r>
            <w:proofErr w:type="spellEnd"/>
            <w:r>
              <w:rPr>
                <w:rFonts w:cs="Times New Roman"/>
                <w:color w:val="000000"/>
                <w:szCs w:val="20"/>
                <w:lang w:val="en-GB"/>
              </w:rPr>
              <w:t xml:space="preserve"> </w:t>
            </w:r>
            <w:proofErr w:type="spellStart"/>
            <w:r>
              <w:rPr>
                <w:rFonts w:cs="Times New Roman"/>
                <w:color w:val="000000"/>
                <w:szCs w:val="20"/>
                <w:lang w:val="en-GB"/>
              </w:rPr>
              <w:t>vykdant</w:t>
            </w:r>
            <w:proofErr w:type="spellEnd"/>
            <w:r>
              <w:rPr>
                <w:rFonts w:cs="Times New Roman"/>
                <w:color w:val="000000"/>
                <w:szCs w:val="20"/>
                <w:lang w:val="en-GB"/>
              </w:rPr>
              <w:t xml:space="preserve"> JT NTK </w:t>
            </w:r>
            <w:proofErr w:type="spellStart"/>
            <w:r>
              <w:rPr>
                <w:rFonts w:cs="Times New Roman"/>
                <w:color w:val="000000"/>
                <w:szCs w:val="20"/>
                <w:lang w:val="en-GB"/>
              </w:rPr>
              <w:t>įgyvendinimo</w:t>
            </w:r>
            <w:proofErr w:type="spellEnd"/>
            <w:r>
              <w:rPr>
                <w:rFonts w:cs="Times New Roman"/>
                <w:color w:val="000000"/>
                <w:szCs w:val="20"/>
                <w:lang w:val="en-GB"/>
              </w:rPr>
              <w:t xml:space="preserve"> </w:t>
            </w:r>
            <w:proofErr w:type="spellStart"/>
            <w:r>
              <w:rPr>
                <w:rFonts w:cs="Times New Roman"/>
                <w:color w:val="000000"/>
                <w:szCs w:val="20"/>
                <w:lang w:val="en-GB"/>
              </w:rPr>
              <w:t>stebėseną</w:t>
            </w:r>
            <w:proofErr w:type="spellEnd"/>
            <w:r>
              <w:rPr>
                <w:rFonts w:cs="Times New Roman"/>
                <w:color w:val="000000"/>
                <w:szCs w:val="20"/>
                <w:lang w:val="en-GB"/>
              </w:rPr>
              <w:t>. &lt;</w:t>
            </w:r>
            <w:r>
              <w:t xml:space="preserve"> </w:t>
            </w:r>
            <w:r w:rsidRPr="000725ED">
              <w:rPr>
                <w:rFonts w:cs="Times New Roman"/>
                <w:color w:val="000000"/>
                <w:szCs w:val="20"/>
                <w:lang w:val="en-GB"/>
              </w:rPr>
              <w:t>https://www.ndt.lt/wp-content/uploads/ZTSI-Stebesenos-Ataskaita-9.pdf</w:t>
            </w:r>
            <w:r>
              <w:rPr>
                <w:rFonts w:cs="Times New Roman"/>
                <w:color w:val="000000"/>
                <w:szCs w:val="20"/>
                <w:lang w:val="en-GB"/>
              </w:rPr>
              <w:t>&gt;;</w:t>
            </w:r>
          </w:p>
          <w:p w:rsidR="00DB09E9" w:rsidRPr="00B815D1" w:rsidRDefault="000725ED" w:rsidP="00DB09E9">
            <w:pPr>
              <w:jc w:val="both"/>
              <w:rPr>
                <w:rFonts w:cs="Times New Roman"/>
              </w:rPr>
            </w:pPr>
            <w:r>
              <w:rPr>
                <w:rFonts w:cs="Times New Roman"/>
                <w:lang w:val="en-GB"/>
              </w:rPr>
              <w:t>8</w:t>
            </w:r>
            <w:r w:rsidR="00DB09E9" w:rsidRPr="00B815D1">
              <w:rPr>
                <w:rFonts w:cs="Times New Roman"/>
              </w:rPr>
              <w:t xml:space="preserve">. </w:t>
            </w:r>
            <w:r w:rsidR="00DB09E9" w:rsidRPr="00B815D1">
              <w:rPr>
                <w:rFonts w:cs="Times New Roman"/>
                <w:color w:val="000000" w:themeColor="text1"/>
                <w:szCs w:val="20"/>
              </w:rPr>
              <w:t>Lietuvos Respublikos lygių galimybių įstatymo</w:t>
            </w:r>
            <w:r w:rsidR="00DB09E9" w:rsidRPr="00B815D1">
              <w:rPr>
                <w:rFonts w:cs="Times New Roman"/>
                <w:color w:val="000000" w:themeColor="text1"/>
              </w:rPr>
              <w:t xml:space="preserve"> </w:t>
            </w:r>
            <w:r w:rsidR="00DB09E9" w:rsidRPr="00B815D1">
              <w:rPr>
                <w:rFonts w:cs="Times New Roman"/>
              </w:rPr>
              <w:t xml:space="preserve">&lt; </w:t>
            </w:r>
            <w:hyperlink r:id="rId48" w:history="1">
              <w:r w:rsidR="00DB09E9" w:rsidRPr="00B815D1">
                <w:rPr>
                  <w:rStyle w:val="Hyperlink"/>
                  <w:rFonts w:cs="Times New Roman"/>
                </w:rPr>
                <w:t>https://e-seimas.lrs.lt/portal/legalAct/lt/TAD/TAIS.222522/IGdztBjtgR</w:t>
              </w:r>
            </w:hyperlink>
            <w:r w:rsidR="00DB09E9" w:rsidRPr="00B815D1">
              <w:rPr>
                <w:rFonts w:cs="Times New Roman"/>
              </w:rPr>
              <w:t>&gt;</w:t>
            </w:r>
          </w:p>
          <w:p w:rsidR="0038015D" w:rsidRPr="00C84981" w:rsidRDefault="000725ED" w:rsidP="0038015D">
            <w:pPr>
              <w:jc w:val="both"/>
              <w:rPr>
                <w:rFonts w:cs="Times New Roman"/>
              </w:rPr>
            </w:pPr>
            <w:r>
              <w:rPr>
                <w:rFonts w:cs="Times New Roman"/>
              </w:rPr>
              <w:t>9</w:t>
            </w:r>
            <w:r w:rsidR="0038015D" w:rsidRPr="00B815D1">
              <w:rPr>
                <w:rFonts w:cs="Times New Roman"/>
              </w:rPr>
              <w:t xml:space="preserve">. Lietuvos Respublikos lygių kontrolieriaus įsakymas dėl </w:t>
            </w:r>
            <w:r w:rsidR="0038015D" w:rsidRPr="00B815D1">
              <w:rPr>
                <w:rFonts w:cs="Times New Roman"/>
                <w:color w:val="000000" w:themeColor="text1"/>
                <w:szCs w:val="20"/>
              </w:rPr>
              <w:t xml:space="preserve">žmonių su negalia stebėsenos komisijos prie Lygių galimybių kontrolieriaus tarnybos nuostatų patvirtinimo </w:t>
            </w:r>
            <w:r w:rsidR="0038015D" w:rsidRPr="00B815D1">
              <w:rPr>
                <w:rFonts w:cs="Times New Roman"/>
                <w:color w:val="000000"/>
                <w:szCs w:val="20"/>
              </w:rPr>
              <w:t>&lt;</w:t>
            </w:r>
            <w:hyperlink r:id="rId49" w:history="1">
              <w:r w:rsidR="0038015D" w:rsidRPr="00B815D1">
                <w:rPr>
                  <w:rStyle w:val="Hyperlink"/>
                  <w:rFonts w:cs="Times New Roman"/>
                </w:rPr>
                <w:t>https://www.lygybe.lt/data/public/uploads/2019/06/zmoniu-su-negalia-teisiu-stebesenos-komisijos-nuostatai-.pdf</w:t>
              </w:r>
            </w:hyperlink>
            <w:r w:rsidR="0038015D" w:rsidRPr="00B815D1">
              <w:rPr>
                <w:rFonts w:cs="Times New Roman"/>
              </w:rPr>
              <w:t>&gt;</w:t>
            </w:r>
          </w:p>
        </w:tc>
        <w:tc>
          <w:tcPr>
            <w:tcW w:w="5245" w:type="dxa"/>
          </w:tcPr>
          <w:p w:rsidR="00DB09E9" w:rsidRPr="00B815D1" w:rsidRDefault="00DB09E9" w:rsidP="00B815D1">
            <w:pPr>
              <w:autoSpaceDE w:val="0"/>
              <w:autoSpaceDN w:val="0"/>
              <w:adjustRightInd w:val="0"/>
              <w:jc w:val="both"/>
              <w:rPr>
                <w:rFonts w:cs="Times New Roman"/>
                <w:color w:val="000000"/>
                <w:szCs w:val="20"/>
              </w:rPr>
            </w:pPr>
            <w:r w:rsidRPr="00B815D1">
              <w:rPr>
                <w:rFonts w:cs="Times New Roman"/>
                <w:color w:val="000000"/>
                <w:szCs w:val="20"/>
              </w:rPr>
              <w:t xml:space="preserve">Pamatinis teisinis dokumentas, kuris sudaro pagrindą JT NTK įgyvendinimui Lietuvoje yra </w:t>
            </w:r>
            <w:r w:rsidRPr="00B815D1">
              <w:rPr>
                <w:rFonts w:cs="Times New Roman"/>
                <w:szCs w:val="20"/>
              </w:rPr>
              <w:t>Lietuvos Respublikos įstatymas dėl Jungtinių Tautų neįgaliųjų teisių konvencijos ir jos fakultatyvaus protokolo ratifikavimo.</w:t>
            </w:r>
          </w:p>
          <w:p w:rsidR="00DB09E9" w:rsidRPr="00A42F1A" w:rsidRDefault="00DB09E9" w:rsidP="00B815D1">
            <w:pPr>
              <w:autoSpaceDE w:val="0"/>
              <w:autoSpaceDN w:val="0"/>
              <w:adjustRightInd w:val="0"/>
              <w:jc w:val="both"/>
              <w:rPr>
                <w:rFonts w:cs="Times New Roman"/>
                <w:color w:val="000000"/>
                <w:szCs w:val="20"/>
                <w:lang w:val="en-GB"/>
              </w:rPr>
            </w:pPr>
            <w:r w:rsidRPr="00B815D1">
              <w:rPr>
                <w:rFonts w:cs="Times New Roman"/>
                <w:color w:val="000000"/>
                <w:szCs w:val="20"/>
              </w:rPr>
              <w:t xml:space="preserve">Remiantis šiuo įstatymu, Vyriausybė priėmė nutarimą </w:t>
            </w:r>
            <w:r w:rsidRPr="00B815D1">
              <w:rPr>
                <w:rFonts w:cs="Times New Roman"/>
                <w:szCs w:val="20"/>
              </w:rPr>
              <w:t>Dėl Jungtinių Tautų neįgaliųjų teisių konvencijos ir jos</w:t>
            </w:r>
            <w:r w:rsidRPr="00B815D1">
              <w:rPr>
                <w:rFonts w:ascii="Arial" w:hAnsi="Arial" w:cs="Arial"/>
                <w:szCs w:val="20"/>
              </w:rPr>
              <w:t xml:space="preserve"> </w:t>
            </w:r>
            <w:r w:rsidRPr="00851CC4">
              <w:rPr>
                <w:rFonts w:cs="Times New Roman"/>
                <w:szCs w:val="20"/>
              </w:rPr>
              <w:t>fakultatyvaus protokolo įgyvendinimo</w:t>
            </w:r>
            <w:r w:rsidR="00587AC9">
              <w:rPr>
                <w:rFonts w:cs="Times New Roman"/>
                <w:szCs w:val="20"/>
              </w:rPr>
              <w:t xml:space="preserve"> (toliau – Nutarimas)</w:t>
            </w:r>
            <w:r w:rsidRPr="00B815D1">
              <w:rPr>
                <w:rFonts w:cs="Times New Roman"/>
                <w:szCs w:val="20"/>
              </w:rPr>
              <w:t xml:space="preserve">. </w:t>
            </w:r>
            <w:r w:rsidR="00587AC9">
              <w:rPr>
                <w:rFonts w:cs="Times New Roman"/>
                <w:szCs w:val="20"/>
              </w:rPr>
              <w:t xml:space="preserve">Nutarimas </w:t>
            </w:r>
            <w:r w:rsidRPr="00B815D1">
              <w:rPr>
                <w:rFonts w:cs="Times New Roman"/>
                <w:color w:val="000000"/>
                <w:szCs w:val="20"/>
              </w:rPr>
              <w:t>paskiria Socialinės apsaugos ir darbo ministeriją (toliau – SADM) JT NTK protokolo įgyvendinimą koordinuojančia institucija. Nutarimas taip pat paskiria už JT NTK įgyvendinimą atsakingas institucija</w:t>
            </w:r>
            <w:r w:rsidR="00410934">
              <w:rPr>
                <w:rFonts w:cs="Times New Roman"/>
                <w:color w:val="000000"/>
                <w:szCs w:val="20"/>
              </w:rPr>
              <w:t>s.</w:t>
            </w:r>
          </w:p>
          <w:p w:rsidR="00DB09E9" w:rsidRDefault="00DB09E9" w:rsidP="00B815D1">
            <w:pPr>
              <w:autoSpaceDE w:val="0"/>
              <w:autoSpaceDN w:val="0"/>
              <w:adjustRightInd w:val="0"/>
              <w:jc w:val="both"/>
              <w:rPr>
                <w:rFonts w:cs="Times New Roman"/>
                <w:color w:val="000000"/>
                <w:szCs w:val="20"/>
              </w:rPr>
            </w:pPr>
            <w:r w:rsidRPr="00B815D1">
              <w:rPr>
                <w:rFonts w:cs="Times New Roman"/>
                <w:color w:val="000000"/>
                <w:szCs w:val="20"/>
              </w:rPr>
              <w:t xml:space="preserve">Siekiant užtikrinti JT NTK ir jos fakultatyvaus protokolo įgyvendinimo tęstinumą, SADM patvirtino </w:t>
            </w:r>
            <w:r w:rsidRPr="00B815D1">
              <w:rPr>
                <w:rFonts w:cs="Times New Roman"/>
                <w:color w:val="000000" w:themeColor="text1"/>
                <w:szCs w:val="20"/>
              </w:rPr>
              <w:t>Neįgalių socialinės integracijos 2021 – 2023 metų veiksmų planą</w:t>
            </w:r>
            <w:r w:rsidRPr="00B815D1">
              <w:rPr>
                <w:rFonts w:cs="Times New Roman"/>
                <w:color w:val="000000"/>
                <w:szCs w:val="20"/>
              </w:rPr>
              <w:t xml:space="preserve">, kuriame nustatyti konkretūs tikslai su išmatuojamais siekiniais. Būtų svarbu pastebėti, jog </w:t>
            </w:r>
            <w:r w:rsidR="00A42F1A">
              <w:rPr>
                <w:rFonts w:cs="Times New Roman"/>
                <w:color w:val="000000"/>
                <w:szCs w:val="20"/>
              </w:rPr>
              <w:t>JT NTK įgyvendinimas yra integruojamas į Strateginio valdymo sistemą</w:t>
            </w:r>
            <w:r w:rsidR="006D2456">
              <w:rPr>
                <w:rFonts w:cs="Times New Roman"/>
                <w:color w:val="000000"/>
                <w:szCs w:val="20"/>
              </w:rPr>
              <w:t>, pagal kurią</w:t>
            </w:r>
            <w:r w:rsidRPr="00B815D1">
              <w:rPr>
                <w:rFonts w:cs="Times New Roman"/>
                <w:color w:val="000000"/>
                <w:szCs w:val="20"/>
              </w:rPr>
              <w:t xml:space="preserve"> įgyvendinimo tikslai su išmatuojamais siekiniais </w:t>
            </w:r>
            <w:r w:rsidR="006D2456">
              <w:rPr>
                <w:rFonts w:cs="Times New Roman"/>
                <w:color w:val="000000"/>
                <w:szCs w:val="20"/>
              </w:rPr>
              <w:t xml:space="preserve">taip pat </w:t>
            </w:r>
            <w:r w:rsidR="006D2456" w:rsidRPr="00B815D1">
              <w:rPr>
                <w:rFonts w:cs="Times New Roman"/>
                <w:color w:val="000000"/>
                <w:szCs w:val="20"/>
              </w:rPr>
              <w:t xml:space="preserve"> </w:t>
            </w:r>
            <w:r w:rsidRPr="00B815D1">
              <w:rPr>
                <w:rFonts w:cs="Times New Roman"/>
                <w:color w:val="000000"/>
                <w:szCs w:val="20"/>
              </w:rPr>
              <w:t>įgyvendinami pagal plėtros programose nustatytas pažangos priemones</w:t>
            </w:r>
            <w:r w:rsidR="006D2456">
              <w:rPr>
                <w:rFonts w:cs="Times New Roman"/>
                <w:color w:val="000000"/>
                <w:szCs w:val="20"/>
              </w:rPr>
              <w:t xml:space="preserve"> ir kuri palaipsniui pakeis Neįgaliųjų socialinės integracijos </w:t>
            </w:r>
            <w:r w:rsidR="006D2456">
              <w:rPr>
                <w:rFonts w:cs="Times New Roman"/>
                <w:color w:val="000000"/>
                <w:szCs w:val="20"/>
                <w:lang w:val="en-GB"/>
              </w:rPr>
              <w:t>2021-2023 m</w:t>
            </w:r>
            <w:r w:rsidR="006D2456">
              <w:rPr>
                <w:rFonts w:cs="Times New Roman"/>
                <w:color w:val="000000"/>
                <w:szCs w:val="20"/>
              </w:rPr>
              <w:t>etų veiksmų planą.</w:t>
            </w:r>
          </w:p>
          <w:p w:rsidR="0095015F" w:rsidRDefault="00587AC9" w:rsidP="0095015F">
            <w:pPr>
              <w:autoSpaceDE w:val="0"/>
              <w:autoSpaceDN w:val="0"/>
              <w:adjustRightInd w:val="0"/>
              <w:jc w:val="both"/>
              <w:rPr>
                <w:rFonts w:cs="Times New Roman"/>
                <w:color w:val="000000"/>
                <w:szCs w:val="20"/>
              </w:rPr>
            </w:pPr>
            <w:r>
              <w:rPr>
                <w:rFonts w:cs="Times New Roman"/>
                <w:color w:val="000000"/>
                <w:szCs w:val="20"/>
              </w:rPr>
              <w:t>JT NTK stebėsenos institucinis mechanizmas numatytas Nutarime. JT NTK stebėsena yra įgyvendinama periodiškai</w:t>
            </w:r>
            <w:r w:rsidR="00C13172">
              <w:rPr>
                <w:rFonts w:cs="Times New Roman"/>
                <w:color w:val="000000"/>
                <w:szCs w:val="20"/>
              </w:rPr>
              <w:t xml:space="preserve">, kartą per ketverius metus </w:t>
            </w:r>
            <w:r w:rsidR="00B777D2">
              <w:rPr>
                <w:rFonts w:cs="Times New Roman"/>
                <w:color w:val="000000"/>
                <w:szCs w:val="20"/>
              </w:rPr>
              <w:t xml:space="preserve">Jungtinių Tautų Organizacijai </w:t>
            </w:r>
            <w:r w:rsidR="00C13172">
              <w:rPr>
                <w:rFonts w:cs="Times New Roman"/>
                <w:color w:val="000000"/>
                <w:szCs w:val="20"/>
              </w:rPr>
              <w:t>rengiant JT NTK įgyvendinimo ataskaitą</w:t>
            </w:r>
            <w:r w:rsidR="00B777D2">
              <w:rPr>
                <w:rFonts w:cs="Times New Roman"/>
                <w:color w:val="000000"/>
                <w:szCs w:val="20"/>
              </w:rPr>
              <w:t xml:space="preserve"> (toliau – Įgyvendinimo ataskaita)</w:t>
            </w:r>
            <w:r w:rsidR="00C13172">
              <w:rPr>
                <w:rFonts w:cs="Times New Roman"/>
                <w:color w:val="000000"/>
                <w:szCs w:val="20"/>
              </w:rPr>
              <w:t xml:space="preserve"> ir</w:t>
            </w:r>
            <w:r>
              <w:rPr>
                <w:rFonts w:cs="Times New Roman"/>
                <w:color w:val="000000"/>
                <w:szCs w:val="20"/>
              </w:rPr>
              <w:t xml:space="preserve"> kartą per vienerius</w:t>
            </w:r>
            <w:r w:rsidR="00C13172">
              <w:rPr>
                <w:rFonts w:cs="Times New Roman"/>
                <w:color w:val="000000"/>
                <w:szCs w:val="20"/>
              </w:rPr>
              <w:t xml:space="preserve"> – </w:t>
            </w:r>
            <w:r>
              <w:rPr>
                <w:rFonts w:cs="Times New Roman"/>
                <w:color w:val="000000"/>
                <w:szCs w:val="20"/>
              </w:rPr>
              <w:t>JT NTK ir jos fakultatyvaus protokolo įgyvendinimo stebėsenos ataskaitas</w:t>
            </w:r>
            <w:r w:rsidR="000725ED">
              <w:rPr>
                <w:rFonts w:cs="Times New Roman"/>
                <w:color w:val="000000"/>
                <w:szCs w:val="20"/>
              </w:rPr>
              <w:t xml:space="preserve"> (toliau –</w:t>
            </w:r>
            <w:r w:rsidR="00B777D2">
              <w:rPr>
                <w:rFonts w:cs="Times New Roman"/>
                <w:color w:val="000000"/>
                <w:szCs w:val="20"/>
              </w:rPr>
              <w:t xml:space="preserve"> Stebėsenos ataskaita</w:t>
            </w:r>
            <w:r w:rsidR="000725ED">
              <w:rPr>
                <w:rFonts w:cs="Times New Roman"/>
                <w:color w:val="000000"/>
                <w:szCs w:val="20"/>
              </w:rPr>
              <w:t>)</w:t>
            </w:r>
            <w:r w:rsidR="001B181E">
              <w:rPr>
                <w:rFonts w:cs="Times New Roman"/>
                <w:color w:val="000000"/>
                <w:szCs w:val="20"/>
              </w:rPr>
              <w:t>.</w:t>
            </w:r>
            <w:r w:rsidR="0095015F">
              <w:rPr>
                <w:rFonts w:cs="Times New Roman"/>
                <w:color w:val="000000"/>
                <w:szCs w:val="20"/>
              </w:rPr>
              <w:t xml:space="preserve"> Ataskaitų tikslas </w:t>
            </w:r>
            <w:r w:rsidR="00C13172">
              <w:rPr>
                <w:rFonts w:cs="Times New Roman"/>
                <w:color w:val="000000"/>
                <w:szCs w:val="20"/>
              </w:rPr>
              <w:t>–</w:t>
            </w:r>
            <w:r w:rsidR="0095015F">
              <w:rPr>
                <w:rFonts w:cs="Times New Roman"/>
                <w:color w:val="000000"/>
                <w:szCs w:val="20"/>
              </w:rPr>
              <w:t xml:space="preserve"> </w:t>
            </w:r>
            <w:r w:rsidR="0095015F" w:rsidRPr="0095015F">
              <w:rPr>
                <w:rFonts w:cs="Times New Roman"/>
                <w:color w:val="000000"/>
                <w:szCs w:val="20"/>
              </w:rPr>
              <w:t>pateikti išsamią inf</w:t>
            </w:r>
            <w:r w:rsidR="0095015F">
              <w:rPr>
                <w:rFonts w:cs="Times New Roman"/>
                <w:color w:val="000000"/>
                <w:szCs w:val="20"/>
              </w:rPr>
              <w:t xml:space="preserve">ormaciją, nurodant esmines JT NTK </w:t>
            </w:r>
            <w:r w:rsidR="0095015F" w:rsidRPr="0095015F">
              <w:rPr>
                <w:rFonts w:cs="Times New Roman"/>
                <w:color w:val="000000"/>
                <w:szCs w:val="20"/>
              </w:rPr>
              <w:t>prieš</w:t>
            </w:r>
            <w:r w:rsidR="0095015F">
              <w:rPr>
                <w:rFonts w:cs="Times New Roman"/>
                <w:color w:val="000000"/>
                <w:szCs w:val="20"/>
              </w:rPr>
              <w:t xml:space="preserve">taraujančias sritis, spragas ar </w:t>
            </w:r>
            <w:r w:rsidR="0095015F" w:rsidRPr="0095015F">
              <w:rPr>
                <w:rFonts w:cs="Times New Roman"/>
                <w:color w:val="000000"/>
                <w:szCs w:val="20"/>
              </w:rPr>
              <w:t xml:space="preserve">neatitikimus, siekiant, kad šie trūkumai būtų pašalinti bei identifikuoti, kiek žmonių, </w:t>
            </w:r>
            <w:r w:rsidR="0095015F">
              <w:rPr>
                <w:rFonts w:cs="Times New Roman"/>
                <w:color w:val="000000"/>
                <w:szCs w:val="20"/>
              </w:rPr>
              <w:t xml:space="preserve">turinčių negalią, </w:t>
            </w:r>
            <w:r w:rsidR="0095015F" w:rsidRPr="0095015F">
              <w:rPr>
                <w:rFonts w:cs="Times New Roman"/>
                <w:color w:val="000000"/>
                <w:szCs w:val="20"/>
              </w:rPr>
              <w:t>socialinės integracijos veiklos rezultatai yra susiję su Konvencijos nuostatomis ir jų įgyvendinimu.</w:t>
            </w:r>
          </w:p>
          <w:p w:rsidR="001B181E" w:rsidRDefault="00B777D2" w:rsidP="001B181E">
            <w:pPr>
              <w:autoSpaceDE w:val="0"/>
              <w:autoSpaceDN w:val="0"/>
              <w:adjustRightInd w:val="0"/>
              <w:jc w:val="both"/>
              <w:rPr>
                <w:rFonts w:cs="Times New Roman"/>
                <w:color w:val="000000"/>
                <w:szCs w:val="20"/>
              </w:rPr>
            </w:pPr>
            <w:r>
              <w:rPr>
                <w:rFonts w:cs="Times New Roman"/>
                <w:color w:val="000000"/>
                <w:szCs w:val="20"/>
              </w:rPr>
              <w:t xml:space="preserve">Įgyvendinimo ataskaitų </w:t>
            </w:r>
            <w:r w:rsidR="000725ED">
              <w:rPr>
                <w:rFonts w:cs="Times New Roman"/>
                <w:color w:val="000000"/>
                <w:szCs w:val="20"/>
              </w:rPr>
              <w:t>rengimą koordinuoja SADM, įtraukiant kitas, už JT NTK įgyvendinimą atsakingas institucijas, nurodytas Nutarime.</w:t>
            </w:r>
            <w:r>
              <w:rPr>
                <w:rFonts w:cs="Times New Roman"/>
                <w:color w:val="000000"/>
                <w:szCs w:val="20"/>
              </w:rPr>
              <w:t xml:space="preserve"> Stebėsenos ataskaitų rengimą organizuoja Neįgaliųjų reikalų departamentas prie SADM (toliau – Departamentas), įtraukiant neįgaliųjų asociacijas. </w:t>
            </w:r>
            <w:r>
              <w:rPr>
                <w:rFonts w:cs="Times New Roman"/>
                <w:color w:val="000000"/>
                <w:szCs w:val="20"/>
                <w:lang w:val="en-GB"/>
              </w:rPr>
              <w:t xml:space="preserve">2019 m. </w:t>
            </w:r>
            <w:proofErr w:type="spellStart"/>
            <w:r>
              <w:rPr>
                <w:rFonts w:cs="Times New Roman"/>
                <w:color w:val="000000"/>
                <w:szCs w:val="20"/>
                <w:lang w:val="en-GB"/>
              </w:rPr>
              <w:t>ir</w:t>
            </w:r>
            <w:proofErr w:type="spellEnd"/>
            <w:r>
              <w:rPr>
                <w:rFonts w:cs="Times New Roman"/>
                <w:color w:val="000000"/>
                <w:szCs w:val="20"/>
                <w:lang w:val="en-GB"/>
              </w:rPr>
              <w:t xml:space="preserve"> 2020 m. Steb</w:t>
            </w:r>
            <w:r>
              <w:rPr>
                <w:rFonts w:cs="Times New Roman"/>
                <w:color w:val="000000"/>
                <w:szCs w:val="20"/>
              </w:rPr>
              <w:t xml:space="preserve">ėsenos ataskaitas Departamentas rengė pagal žodinį susitarimą su </w:t>
            </w:r>
            <w:r w:rsidRPr="0095015F">
              <w:rPr>
                <w:rFonts w:cs="Times New Roman"/>
                <w:color w:val="000000"/>
              </w:rPr>
              <w:t>Nepriklausoma žmonių su nega</w:t>
            </w:r>
            <w:r>
              <w:rPr>
                <w:rFonts w:cs="Times New Roman"/>
                <w:color w:val="000000"/>
              </w:rPr>
              <w:t>lia teisių stebėsenos komisija prie Lygių galimybių kontrolieriaus tarnybos.</w:t>
            </w:r>
            <w:r w:rsidR="000725ED">
              <w:rPr>
                <w:rFonts w:cs="Times New Roman"/>
                <w:color w:val="000000"/>
                <w:szCs w:val="20"/>
              </w:rPr>
              <w:t xml:space="preserve"> </w:t>
            </w:r>
            <w:r>
              <w:rPr>
                <w:rFonts w:cs="Times New Roman"/>
                <w:color w:val="000000"/>
                <w:szCs w:val="20"/>
              </w:rPr>
              <w:t xml:space="preserve">Stebėsenos ataskaitos </w:t>
            </w:r>
            <w:r w:rsidR="000725ED">
              <w:rPr>
                <w:rFonts w:cs="Times New Roman"/>
                <w:color w:val="000000"/>
                <w:szCs w:val="20"/>
              </w:rPr>
              <w:t xml:space="preserve">rengiamos vadovaujantis </w:t>
            </w:r>
            <w:r w:rsidR="000725ED" w:rsidRPr="000725ED">
              <w:rPr>
                <w:rFonts w:cs="Times New Roman"/>
                <w:color w:val="000000"/>
                <w:szCs w:val="20"/>
              </w:rPr>
              <w:t>2010 m. parengtomis JT gairėmis žmogaus teisių stebėt</w:t>
            </w:r>
            <w:r w:rsidR="000725ED">
              <w:rPr>
                <w:rFonts w:cs="Times New Roman"/>
                <w:color w:val="000000"/>
                <w:szCs w:val="20"/>
              </w:rPr>
              <w:t xml:space="preserve">ojams vykdant </w:t>
            </w:r>
            <w:r w:rsidR="00F06259">
              <w:rPr>
                <w:rFonts w:cs="Times New Roman"/>
                <w:color w:val="000000"/>
                <w:szCs w:val="20"/>
              </w:rPr>
              <w:t>JT NTK</w:t>
            </w:r>
            <w:r w:rsidR="000725ED" w:rsidRPr="000725ED">
              <w:rPr>
                <w:rFonts w:cs="Times New Roman"/>
                <w:color w:val="000000"/>
                <w:szCs w:val="20"/>
              </w:rPr>
              <w:t xml:space="preserve"> įgyvendinimo stebėseną</w:t>
            </w:r>
            <w:r w:rsidR="000725ED">
              <w:rPr>
                <w:rFonts w:cs="Times New Roman"/>
                <w:color w:val="000000"/>
                <w:szCs w:val="20"/>
              </w:rPr>
              <w:t>.</w:t>
            </w:r>
            <w:r w:rsidR="0095015F">
              <w:rPr>
                <w:rFonts w:cs="Times New Roman"/>
                <w:color w:val="000000"/>
                <w:szCs w:val="20"/>
              </w:rPr>
              <w:t xml:space="preserve"> </w:t>
            </w:r>
          </w:p>
          <w:p w:rsidR="00410934" w:rsidRPr="00B815D1" w:rsidRDefault="0095015F" w:rsidP="001B181E">
            <w:pPr>
              <w:autoSpaceDE w:val="0"/>
              <w:autoSpaceDN w:val="0"/>
              <w:adjustRightInd w:val="0"/>
              <w:jc w:val="both"/>
              <w:rPr>
                <w:rFonts w:cs="Times New Roman"/>
                <w:color w:val="000000"/>
                <w:szCs w:val="20"/>
              </w:rPr>
            </w:pPr>
            <w:r>
              <w:rPr>
                <w:rFonts w:cs="Times New Roman"/>
                <w:color w:val="000000"/>
                <w:szCs w:val="20"/>
              </w:rPr>
              <w:t xml:space="preserve">Ataskaitose </w:t>
            </w:r>
            <w:r w:rsidRPr="0095015F">
              <w:rPr>
                <w:rFonts w:cs="Times New Roman"/>
                <w:color w:val="000000"/>
                <w:szCs w:val="20"/>
              </w:rPr>
              <w:t xml:space="preserve">remiamasi įvairiais empiriniais duomenų </w:t>
            </w:r>
            <w:r>
              <w:rPr>
                <w:rFonts w:cs="Times New Roman"/>
                <w:color w:val="000000"/>
                <w:szCs w:val="20"/>
              </w:rPr>
              <w:t xml:space="preserve">šaltiniais, įskaitant skirtingų </w:t>
            </w:r>
            <w:r w:rsidRPr="0095015F">
              <w:rPr>
                <w:rFonts w:cs="Times New Roman"/>
                <w:color w:val="000000"/>
                <w:szCs w:val="20"/>
              </w:rPr>
              <w:t>asmenų (turinčių negalią ir jos neturinčių), institucijų, įstaigų duomeni</w:t>
            </w:r>
            <w:r>
              <w:rPr>
                <w:rFonts w:cs="Times New Roman"/>
                <w:color w:val="000000"/>
                <w:szCs w:val="20"/>
              </w:rPr>
              <w:t xml:space="preserve">mis, ekspertiniais vertinimais, </w:t>
            </w:r>
            <w:r w:rsidRPr="0095015F">
              <w:rPr>
                <w:rFonts w:cs="Times New Roman"/>
                <w:color w:val="000000"/>
                <w:szCs w:val="20"/>
              </w:rPr>
              <w:t>suinteresuotų asmenų ir institucijų pasisakymais bei publikacijomis.</w:t>
            </w:r>
          </w:p>
          <w:p w:rsidR="007F1884" w:rsidRPr="0095015F" w:rsidRDefault="0095015F" w:rsidP="00F06259">
            <w:pPr>
              <w:jc w:val="both"/>
              <w:rPr>
                <w:rFonts w:cs="Times New Roman"/>
                <w:color w:val="000000"/>
                <w:szCs w:val="20"/>
              </w:rPr>
            </w:pPr>
            <w:r>
              <w:rPr>
                <w:rFonts w:cs="Times New Roman"/>
                <w:color w:val="000000"/>
                <w:szCs w:val="20"/>
              </w:rPr>
              <w:t xml:space="preserve">Papildomai, </w:t>
            </w:r>
            <w:r w:rsidRPr="0095015F">
              <w:rPr>
                <w:rFonts w:cs="Times New Roman"/>
                <w:color w:val="000000"/>
                <w:szCs w:val="20"/>
              </w:rPr>
              <w:t>2018 m. gruodžio mėnesį Lietuvos Respublikos Seimas priėmė Lygių ga</w:t>
            </w:r>
            <w:r>
              <w:rPr>
                <w:rFonts w:cs="Times New Roman"/>
                <w:color w:val="000000"/>
                <w:szCs w:val="20"/>
              </w:rPr>
              <w:t xml:space="preserve">limybių kontrolieriaus tarnybos </w:t>
            </w:r>
            <w:r w:rsidRPr="0095015F">
              <w:rPr>
                <w:rFonts w:cs="Times New Roman"/>
                <w:color w:val="000000"/>
                <w:szCs w:val="20"/>
              </w:rPr>
              <w:t>(toliau – LGKT) iniciatyva sudarytos darbo grupės pateiktas Lygių galimybių įstatymo pata</w:t>
            </w:r>
            <w:r>
              <w:rPr>
                <w:rFonts w:cs="Times New Roman"/>
                <w:color w:val="000000"/>
                <w:szCs w:val="20"/>
              </w:rPr>
              <w:t xml:space="preserve">isas, </w:t>
            </w:r>
            <w:r w:rsidRPr="0095015F">
              <w:rPr>
                <w:rFonts w:cs="Times New Roman"/>
                <w:color w:val="000000"/>
                <w:szCs w:val="20"/>
              </w:rPr>
              <w:t>kuriomis prie LGKT įsteigta Nepriklausoma žmonių su nega</w:t>
            </w:r>
            <w:r>
              <w:rPr>
                <w:rFonts w:cs="Times New Roman"/>
                <w:color w:val="000000"/>
                <w:szCs w:val="20"/>
              </w:rPr>
              <w:t>lia teisių stebėsenos komisija</w:t>
            </w:r>
            <w:r w:rsidR="00F06259">
              <w:rPr>
                <w:rFonts w:cs="Times New Roman"/>
                <w:color w:val="000000"/>
                <w:szCs w:val="20"/>
              </w:rPr>
              <w:t xml:space="preserve"> (toliau – Komisija)</w:t>
            </w:r>
            <w:r>
              <w:rPr>
                <w:rFonts w:cs="Times New Roman"/>
                <w:color w:val="000000"/>
                <w:szCs w:val="20"/>
              </w:rPr>
              <w:t xml:space="preserve">. Nuo 2019 </w:t>
            </w:r>
            <w:r w:rsidRPr="0095015F">
              <w:rPr>
                <w:rFonts w:cs="Times New Roman"/>
                <w:color w:val="000000"/>
                <w:szCs w:val="20"/>
              </w:rPr>
              <w:t xml:space="preserve">m. liepos 1 d. Komisija vykdo JT </w:t>
            </w:r>
            <w:r w:rsidR="00F06259">
              <w:rPr>
                <w:rFonts w:cs="Times New Roman"/>
                <w:color w:val="000000"/>
                <w:szCs w:val="20"/>
              </w:rPr>
              <w:t>NTK</w:t>
            </w:r>
            <w:r w:rsidRPr="0095015F">
              <w:rPr>
                <w:rFonts w:cs="Times New Roman"/>
                <w:color w:val="000000"/>
                <w:szCs w:val="20"/>
              </w:rPr>
              <w:t xml:space="preserve"> įg</w:t>
            </w:r>
            <w:r>
              <w:rPr>
                <w:rFonts w:cs="Times New Roman"/>
                <w:color w:val="000000"/>
                <w:szCs w:val="20"/>
              </w:rPr>
              <w:t xml:space="preserve">yvendinimo stebėseną Lietuvoje. </w:t>
            </w:r>
            <w:r w:rsidRPr="0095015F">
              <w:rPr>
                <w:rFonts w:cs="Times New Roman"/>
                <w:color w:val="000000"/>
                <w:szCs w:val="20"/>
              </w:rPr>
              <w:t xml:space="preserve">Komisija stebi, kaip Lietuvoje įgyvendinamos JT </w:t>
            </w:r>
            <w:r w:rsidR="00F06259">
              <w:rPr>
                <w:rFonts w:cs="Times New Roman"/>
                <w:color w:val="000000"/>
                <w:szCs w:val="20"/>
              </w:rPr>
              <w:t>NTK</w:t>
            </w:r>
            <w:r w:rsidRPr="0095015F">
              <w:rPr>
                <w:rFonts w:cs="Times New Roman"/>
                <w:color w:val="000000"/>
                <w:szCs w:val="20"/>
              </w:rPr>
              <w:t xml:space="preserve"> konvenc</w:t>
            </w:r>
            <w:r>
              <w:rPr>
                <w:rFonts w:cs="Times New Roman"/>
                <w:color w:val="000000"/>
                <w:szCs w:val="20"/>
              </w:rPr>
              <w:t xml:space="preserve">ijos nuostatos, taip pat teikia </w:t>
            </w:r>
            <w:r w:rsidRPr="0095015F">
              <w:rPr>
                <w:rFonts w:cs="Times New Roman"/>
                <w:color w:val="000000"/>
                <w:szCs w:val="20"/>
              </w:rPr>
              <w:t>rekomendacijas.</w:t>
            </w:r>
          </w:p>
        </w:tc>
      </w:tr>
      <w:tr w:rsidR="005F2540" w:rsidRPr="007C1512" w:rsidTr="00851CC4">
        <w:tc>
          <w:tcPr>
            <w:tcW w:w="1276" w:type="dxa"/>
            <w:vMerge/>
          </w:tcPr>
          <w:p w:rsidR="005F2540" w:rsidRPr="00C84981" w:rsidRDefault="005F2540" w:rsidP="00C84981">
            <w:pPr>
              <w:jc w:val="both"/>
              <w:rPr>
                <w:rFonts w:eastAsia="Times New Roman" w:cs="Times New Roman"/>
                <w:iCs/>
                <w:noProof/>
                <w:szCs w:val="20"/>
              </w:rPr>
            </w:pPr>
          </w:p>
        </w:tc>
        <w:tc>
          <w:tcPr>
            <w:tcW w:w="851" w:type="dxa"/>
            <w:vMerge/>
          </w:tcPr>
          <w:p w:rsidR="005F2540" w:rsidRPr="00C84981" w:rsidRDefault="005F2540" w:rsidP="00C84981">
            <w:pPr>
              <w:jc w:val="both"/>
              <w:rPr>
                <w:rFonts w:eastAsia="Times New Roman" w:cs="Times New Roman"/>
                <w:iCs/>
                <w:noProof/>
                <w:szCs w:val="20"/>
              </w:rPr>
            </w:pPr>
          </w:p>
        </w:tc>
        <w:tc>
          <w:tcPr>
            <w:tcW w:w="1134" w:type="dxa"/>
            <w:vMerge/>
          </w:tcPr>
          <w:p w:rsidR="005F2540" w:rsidRPr="00C84981" w:rsidRDefault="005F2540" w:rsidP="00C84981">
            <w:pPr>
              <w:jc w:val="both"/>
              <w:rPr>
                <w:rFonts w:eastAsia="Times New Roman" w:cs="Times New Roman"/>
                <w:iCs/>
                <w:noProof/>
                <w:szCs w:val="20"/>
              </w:rPr>
            </w:pPr>
          </w:p>
        </w:tc>
        <w:tc>
          <w:tcPr>
            <w:tcW w:w="1134" w:type="dxa"/>
            <w:vMerge/>
          </w:tcPr>
          <w:p w:rsidR="005F2540" w:rsidRPr="00C84981" w:rsidRDefault="005F2540" w:rsidP="00C84981">
            <w:pPr>
              <w:jc w:val="both"/>
              <w:rPr>
                <w:rFonts w:eastAsia="Times New Roman" w:cs="Times New Roman"/>
                <w:iCs/>
                <w:noProof/>
                <w:szCs w:val="20"/>
                <w:lang w:val="en-US"/>
              </w:rPr>
            </w:pPr>
          </w:p>
        </w:tc>
        <w:tc>
          <w:tcPr>
            <w:tcW w:w="2409" w:type="dxa"/>
          </w:tcPr>
          <w:p w:rsidR="005F2540" w:rsidRPr="008D0AC3" w:rsidRDefault="005F2540" w:rsidP="006B2548">
            <w:pPr>
              <w:rPr>
                <w:rFonts w:eastAsia="Calibri" w:cs="Times New Roman"/>
                <w:b/>
                <w:noProof/>
                <w:szCs w:val="20"/>
                <w:u w:val="single"/>
                <w:lang w:val="en-US"/>
              </w:rPr>
            </w:pPr>
            <w:r w:rsidRPr="00C84981">
              <w:rPr>
                <w:rFonts w:eastAsia="Calibri" w:cs="Times New Roman"/>
                <w:noProof/>
                <w:szCs w:val="20"/>
                <w:lang w:val="en-US"/>
              </w:rPr>
              <w:t>2.</w:t>
            </w:r>
            <w:r>
              <w:rPr>
                <w:rFonts w:eastAsia="Calibri" w:cs="Times New Roman"/>
                <w:noProof/>
                <w:szCs w:val="20"/>
                <w:lang w:val="en-US"/>
              </w:rPr>
              <w:t xml:space="preserve"> </w:t>
            </w:r>
            <w:r w:rsidRPr="00C84981">
              <w:rPr>
                <w:rFonts w:eastAsia="Calibri" w:cs="Times New Roman"/>
                <w:noProof/>
                <w:szCs w:val="20"/>
                <w:lang w:val="en-US"/>
              </w:rPr>
              <w:t>Tvarka, kuria užtikrinama, kad prieinamumo politika, teisės aktai ir standartai yra tinkamai atspindėti rengiant ir įgyvendinant programas.</w:t>
            </w:r>
          </w:p>
          <w:p w:rsidR="005F2540" w:rsidRPr="00C84981" w:rsidRDefault="005F2540" w:rsidP="006B2548">
            <w:pPr>
              <w:rPr>
                <w:rFonts w:eastAsia="Calibri" w:cs="Times New Roman"/>
                <w:noProof/>
                <w:szCs w:val="20"/>
                <w:lang w:val="en-US"/>
              </w:rPr>
            </w:pPr>
          </w:p>
          <w:p w:rsidR="005F2540" w:rsidRDefault="005F2540" w:rsidP="006B2548">
            <w:pPr>
              <w:rPr>
                <w:rFonts w:cs="Times New Roman"/>
                <w:noProof/>
                <w:szCs w:val="24"/>
                <w:lang w:val="en-US"/>
              </w:rPr>
            </w:pPr>
            <w:r>
              <w:rPr>
                <w:rFonts w:cs="Times New Roman"/>
                <w:noProof/>
                <w:szCs w:val="24"/>
                <w:lang w:val="en-US"/>
              </w:rPr>
              <w:t xml:space="preserve">(2. </w:t>
            </w:r>
            <w:r w:rsidRPr="00C84981">
              <w:rPr>
                <w:rFonts w:cs="Times New Roman"/>
                <w:noProof/>
                <w:szCs w:val="24"/>
                <w:lang w:val="en-US"/>
              </w:rPr>
              <w:t>Arrangements to ensure that the accessibility policy, legislation and standards are properly reflected in the preparation and implementation of the programmes.</w:t>
            </w:r>
            <w:r>
              <w:rPr>
                <w:rFonts w:cs="Times New Roman"/>
                <w:noProof/>
                <w:szCs w:val="24"/>
                <w:lang w:val="en-US"/>
              </w:rPr>
              <w:t>)</w:t>
            </w:r>
          </w:p>
          <w:p w:rsidR="00071BDB" w:rsidRPr="00C84981" w:rsidRDefault="00071BDB" w:rsidP="006B2548">
            <w:pPr>
              <w:rPr>
                <w:rFonts w:eastAsia="Calibri" w:cs="Times New Roman"/>
                <w:noProof/>
                <w:szCs w:val="20"/>
                <w:lang w:val="en-US"/>
              </w:rPr>
            </w:pPr>
          </w:p>
        </w:tc>
        <w:tc>
          <w:tcPr>
            <w:tcW w:w="1276" w:type="dxa"/>
          </w:tcPr>
          <w:p w:rsidR="005F2540" w:rsidRPr="006B2801" w:rsidRDefault="00EF3FB4" w:rsidP="00C84981">
            <w:pPr>
              <w:jc w:val="both"/>
              <w:rPr>
                <w:rFonts w:eastAsia="Calibri" w:cs="Times New Roman"/>
                <w:noProof/>
                <w:szCs w:val="20"/>
              </w:rPr>
            </w:pPr>
            <w:r w:rsidRPr="006B2801">
              <w:rPr>
                <w:rFonts w:eastAsia="Calibri" w:cs="Times New Roman"/>
                <w:noProof/>
                <w:szCs w:val="20"/>
              </w:rPr>
              <w:t>Taip</w:t>
            </w:r>
          </w:p>
        </w:tc>
        <w:tc>
          <w:tcPr>
            <w:tcW w:w="2410" w:type="dxa"/>
          </w:tcPr>
          <w:p w:rsidR="006B6F05" w:rsidRDefault="006B6F05" w:rsidP="006B6F05">
            <w:r>
              <w:t>1.1&lt;</w:t>
            </w:r>
            <w:hyperlink r:id="rId50" w:history="1">
              <w:r>
                <w:rPr>
                  <w:rStyle w:val="Hyperlink"/>
                </w:rPr>
                <w:t>https://www.esinvesticijos.lt/lt/pasirengimas-2021-2027/2021-2027-m-es-fondu-investavimo-krypciu-aptarimai-su-partneriais</w:t>
              </w:r>
            </w:hyperlink>
            <w:r>
              <w:t>&gt;</w:t>
            </w:r>
          </w:p>
          <w:p w:rsidR="006B6F05" w:rsidRDefault="006B6F05" w:rsidP="006B6F05">
            <w:r>
              <w:t>1.2 Prog</w:t>
            </w:r>
            <w:r w:rsidR="00851CC4">
              <w:t>ramos rengimo partnerių sąrašas (1.3 priedas)</w:t>
            </w:r>
          </w:p>
          <w:p w:rsidR="006B6F05" w:rsidRDefault="006B6F05" w:rsidP="00C84981">
            <w:pPr>
              <w:jc w:val="both"/>
            </w:pPr>
          </w:p>
          <w:p w:rsidR="006B6F05" w:rsidRDefault="00DE4C3D" w:rsidP="00DE4C3D">
            <w:pPr>
              <w:jc w:val="both"/>
            </w:pPr>
            <w:r>
              <w:t>2.</w:t>
            </w:r>
            <w:r w:rsidR="00CC1476">
              <w:t>1</w:t>
            </w:r>
            <w:r>
              <w:t xml:space="preserve"> Nacionalinis pažangos planas, III skyrius. &lt;</w:t>
            </w:r>
            <w:hyperlink r:id="rId51" w:history="1">
              <w:r>
                <w:rPr>
                  <w:rStyle w:val="Hyperlink"/>
                </w:rPr>
                <w:t>https://lrv.lt/lt/aktuali-informacija/xvii-vyriausybe/strateginis-valdymas/2021-2030-m-nacionalinis-pazangos-planas</w:t>
              </w:r>
            </w:hyperlink>
            <w:r>
              <w:t>&gt;</w:t>
            </w:r>
          </w:p>
          <w:p w:rsidR="006B6F05" w:rsidRDefault="006B6F05" w:rsidP="00C84981">
            <w:pPr>
              <w:jc w:val="both"/>
            </w:pPr>
          </w:p>
          <w:p w:rsidR="00FA05F5" w:rsidRDefault="00FA05F5" w:rsidP="00C84981">
            <w:pPr>
              <w:jc w:val="both"/>
            </w:pPr>
            <w:r>
              <w:t>2.</w:t>
            </w:r>
            <w:r w:rsidR="00B02CB7">
              <w:t>2</w:t>
            </w:r>
            <w:r>
              <w:t xml:space="preserve"> Strate</w:t>
            </w:r>
            <w:r w:rsidR="00B02CB7">
              <w:t xml:space="preserve">ginio valdymo įstatymas &lt; </w:t>
            </w:r>
            <w:hyperlink r:id="rId52" w:history="1">
              <w:r w:rsidR="00B02CB7">
                <w:rPr>
                  <w:rStyle w:val="Hyperlink"/>
                </w:rPr>
                <w:t>https://e-seimas.lrs.lt/portal/legalAct/lt/TAD/90386d20bab711ea9a12d0dada3ca61b</w:t>
              </w:r>
            </w:hyperlink>
            <w:r w:rsidR="00B02CB7">
              <w:t>&gt;</w:t>
            </w:r>
            <w:r>
              <w:t xml:space="preserve"> </w:t>
            </w:r>
          </w:p>
          <w:p w:rsidR="00B02CB7" w:rsidRDefault="00CC1476" w:rsidP="00C84981">
            <w:pPr>
              <w:jc w:val="both"/>
            </w:pPr>
            <w:r>
              <w:t>2.</w:t>
            </w:r>
            <w:r w:rsidR="00B02CB7">
              <w:t>3 Strateginio valdymo metodika &lt;</w:t>
            </w:r>
            <w:hyperlink r:id="rId53" w:history="1">
              <w:r w:rsidR="00B02CB7" w:rsidRPr="00B02CB7">
                <w:rPr>
                  <w:rStyle w:val="Hyperlink"/>
                </w:rPr>
                <w:t>https://e-seimas.lrs.lt/portal/legalAct/lt/TAD/5e3aa191a8e511eb98ccba226c8a14d7</w:t>
              </w:r>
            </w:hyperlink>
          </w:p>
          <w:p w:rsidR="006B2801" w:rsidRPr="00EC626D" w:rsidRDefault="00B02CB7" w:rsidP="00C84981">
            <w:pPr>
              <w:jc w:val="both"/>
              <w:rPr>
                <w:rFonts w:cs="Times New Roman"/>
                <w:szCs w:val="20"/>
              </w:rPr>
            </w:pPr>
            <w:r>
              <w:rPr>
                <w:rFonts w:cs="Times New Roman"/>
                <w:szCs w:val="20"/>
              </w:rPr>
              <w:t>&gt;</w:t>
            </w:r>
          </w:p>
          <w:p w:rsidR="008F75CB" w:rsidRDefault="00CC1476" w:rsidP="00C84981">
            <w:pPr>
              <w:jc w:val="both"/>
              <w:rPr>
                <w:rFonts w:cs="Times New Roman"/>
                <w:szCs w:val="20"/>
              </w:rPr>
            </w:pPr>
            <w:r>
              <w:rPr>
                <w:rFonts w:cs="Times New Roman"/>
                <w:szCs w:val="20"/>
              </w:rPr>
              <w:t>3.1</w:t>
            </w:r>
            <w:r w:rsidR="00807BF6">
              <w:rPr>
                <w:rFonts w:cs="Times New Roman"/>
                <w:szCs w:val="20"/>
              </w:rPr>
              <w:t xml:space="preserve"> Projektų administravimo ir finansavimo taisyklės (TBA)</w:t>
            </w:r>
          </w:p>
          <w:p w:rsidR="00CC1476" w:rsidRDefault="00CC1476" w:rsidP="00C84981">
            <w:pPr>
              <w:jc w:val="both"/>
              <w:rPr>
                <w:rFonts w:cs="Times New Roman"/>
                <w:szCs w:val="20"/>
              </w:rPr>
            </w:pPr>
          </w:p>
          <w:p w:rsidR="00CC1476" w:rsidRDefault="00CC1476" w:rsidP="00C84981">
            <w:pPr>
              <w:jc w:val="both"/>
              <w:rPr>
                <w:rFonts w:cs="Times New Roman"/>
                <w:szCs w:val="20"/>
              </w:rPr>
            </w:pPr>
            <w:r>
              <w:rPr>
                <w:rFonts w:cs="Times New Roman"/>
                <w:szCs w:val="20"/>
              </w:rPr>
              <w:t>3.2 Projektų administravimo ir finansavimo taisyklės (TBA)</w:t>
            </w:r>
          </w:p>
          <w:p w:rsidR="00CD089A" w:rsidRDefault="00CD089A" w:rsidP="00C84981">
            <w:pPr>
              <w:jc w:val="both"/>
              <w:rPr>
                <w:rFonts w:cs="Times New Roman"/>
                <w:szCs w:val="20"/>
              </w:rPr>
            </w:pPr>
          </w:p>
          <w:p w:rsidR="00CD089A" w:rsidRPr="00CD089A" w:rsidRDefault="00CD089A" w:rsidP="00C84981">
            <w:pPr>
              <w:jc w:val="both"/>
              <w:rPr>
                <w:rFonts w:cs="Times New Roman"/>
                <w:szCs w:val="20"/>
                <w:lang w:val="en-GB"/>
              </w:rPr>
            </w:pPr>
            <w:r>
              <w:rPr>
                <w:rFonts w:cs="Times New Roman"/>
                <w:szCs w:val="20"/>
                <w:lang w:val="en-GB"/>
              </w:rPr>
              <w:t xml:space="preserve">3.2 </w:t>
            </w:r>
            <w:r w:rsidRPr="006C1C14">
              <w:rPr>
                <w:rFonts w:eastAsia="Calibri"/>
                <w:szCs w:val="24"/>
              </w:rPr>
              <w:t xml:space="preserve">2021–2027 metų Europos Sąjungos fondų investicijų programos ir </w:t>
            </w:r>
            <w:r w:rsidRPr="006C1C14">
              <w:rPr>
                <w:bCs/>
                <w:szCs w:val="24"/>
              </w:rPr>
              <w:t xml:space="preserve">Ekonomikos gaivinimo ir atsparumo didinimo priemonės </w:t>
            </w:r>
            <w:r w:rsidRPr="006C1C14">
              <w:rPr>
                <w:rFonts w:eastAsia="Calibri"/>
                <w:szCs w:val="24"/>
              </w:rPr>
              <w:t>plano administravimo taisyklės</w:t>
            </w:r>
            <w:r>
              <w:rPr>
                <w:rFonts w:eastAsia="Calibri"/>
                <w:szCs w:val="24"/>
              </w:rPr>
              <w:t xml:space="preserve"> (toliau – Administravimo taisyklės) (TBA)</w:t>
            </w:r>
          </w:p>
          <w:p w:rsidR="00F566E6" w:rsidRPr="00EC626D" w:rsidRDefault="00F566E6" w:rsidP="00C84981">
            <w:pPr>
              <w:jc w:val="both"/>
              <w:rPr>
                <w:rFonts w:cs="Times New Roman"/>
                <w:szCs w:val="20"/>
              </w:rPr>
            </w:pPr>
          </w:p>
          <w:p w:rsidR="00A3411C" w:rsidRDefault="00CC1476" w:rsidP="00781D1E">
            <w:pPr>
              <w:jc w:val="both"/>
              <w:rPr>
                <w:rFonts w:ascii="Tms Rmn" w:hAnsi="Tms Rmn"/>
                <w:sz w:val="22"/>
              </w:rPr>
            </w:pPr>
            <w:r>
              <w:rPr>
                <w:rFonts w:ascii="Tms Rmn" w:hAnsi="Tms Rmn"/>
                <w:sz w:val="22"/>
              </w:rPr>
              <w:t xml:space="preserve">3.2 </w:t>
            </w:r>
            <w:proofErr w:type="spellStart"/>
            <w:r w:rsidRPr="008318F8">
              <w:rPr>
                <w:rFonts w:cs="Times New Roman"/>
                <w:lang w:val="en-GB"/>
              </w:rPr>
              <w:t>Valdymo</w:t>
            </w:r>
            <w:proofErr w:type="spellEnd"/>
            <w:r w:rsidRPr="008318F8">
              <w:rPr>
                <w:rFonts w:cs="Times New Roman"/>
                <w:lang w:val="en-GB"/>
              </w:rPr>
              <w:t xml:space="preserve"> </w:t>
            </w:r>
            <w:proofErr w:type="spellStart"/>
            <w:r w:rsidRPr="008318F8">
              <w:rPr>
                <w:rFonts w:cs="Times New Roman"/>
                <w:lang w:val="en-GB"/>
              </w:rPr>
              <w:t>ir</w:t>
            </w:r>
            <w:proofErr w:type="spellEnd"/>
            <w:r w:rsidRPr="008318F8">
              <w:rPr>
                <w:rFonts w:cs="Times New Roman"/>
                <w:lang w:val="en-GB"/>
              </w:rPr>
              <w:t xml:space="preserve"> </w:t>
            </w:r>
            <w:r w:rsidRPr="008318F8">
              <w:rPr>
                <w:rFonts w:cs="Times New Roman"/>
              </w:rPr>
              <w:t>kontrolės sistemos aprašymas</w:t>
            </w:r>
            <w:r>
              <w:rPr>
                <w:rFonts w:cs="Times New Roman"/>
              </w:rPr>
              <w:t xml:space="preserve"> (TBA)</w:t>
            </w:r>
            <w:r w:rsidRPr="008318F8">
              <w:rPr>
                <w:rFonts w:cs="Times New Roman"/>
              </w:rPr>
              <w:br/>
            </w:r>
          </w:p>
          <w:p w:rsidR="002B5CA9" w:rsidRDefault="002B5CA9" w:rsidP="00781D1E">
            <w:pPr>
              <w:jc w:val="both"/>
              <w:rPr>
                <w:rFonts w:cs="Times New Roman"/>
              </w:rPr>
            </w:pPr>
            <w:r>
              <w:rPr>
                <w:rFonts w:ascii="Tms Rmn" w:hAnsi="Tms Rmn"/>
                <w:sz w:val="22"/>
              </w:rPr>
              <w:t xml:space="preserve">3.3. </w:t>
            </w:r>
            <w:r w:rsidRPr="008318F8">
              <w:rPr>
                <w:rFonts w:cs="Times New Roman"/>
                <w:lang w:val="en-GB"/>
              </w:rPr>
              <w:t>&lt;</w:t>
            </w:r>
            <w:r w:rsidRPr="008318F8">
              <w:rPr>
                <w:rFonts w:cs="Times New Roman"/>
              </w:rPr>
              <w:t xml:space="preserve"> </w:t>
            </w:r>
            <w:hyperlink r:id="rId54" w:history="1">
              <w:r w:rsidRPr="008318F8">
                <w:rPr>
                  <w:rStyle w:val="Hyperlink"/>
                  <w:rFonts w:cs="Times New Roman"/>
                </w:rPr>
                <w:t>https://eur-lex.europa.eu/legal-content/EN/TXT/PDF/?uri=CELEX:32014R0240&amp;from=EN</w:t>
              </w:r>
            </w:hyperlink>
            <w:r w:rsidRPr="008318F8">
              <w:rPr>
                <w:rFonts w:cs="Times New Roman"/>
              </w:rPr>
              <w:t>&gt;;</w:t>
            </w:r>
          </w:p>
          <w:p w:rsidR="002B5CA9" w:rsidRDefault="002B5CA9" w:rsidP="00781D1E">
            <w:pPr>
              <w:jc w:val="both"/>
              <w:rPr>
                <w:rStyle w:val="Hyperlink"/>
                <w:rFonts w:cs="Times New Roman"/>
              </w:rPr>
            </w:pPr>
            <w:r>
              <w:rPr>
                <w:rFonts w:cs="Times New Roman"/>
              </w:rPr>
              <w:t>3.3 &lt;</w:t>
            </w:r>
            <w:hyperlink r:id="rId55" w:history="1">
              <w:r w:rsidRPr="008318F8">
                <w:rPr>
                  <w:rStyle w:val="Hyperlink"/>
                  <w:rFonts w:cs="Times New Roman"/>
                </w:rPr>
                <w:t>https://epilietis.lrv.lt/uploads/epilietis/documents/files/A_LRV_visas_el_leidinys_WEB.pdf</w:t>
              </w:r>
            </w:hyperlink>
            <w:r>
              <w:rPr>
                <w:rStyle w:val="Hyperlink"/>
                <w:rFonts w:cs="Times New Roman"/>
              </w:rPr>
              <w:t>&gt;</w:t>
            </w:r>
          </w:p>
          <w:p w:rsidR="002B5CA9" w:rsidRDefault="002B5CA9" w:rsidP="00781D1E">
            <w:pPr>
              <w:jc w:val="both"/>
              <w:rPr>
                <w:rStyle w:val="Hyperlink"/>
                <w:color w:val="000000" w:themeColor="text1"/>
                <w:u w:val="none"/>
              </w:rPr>
            </w:pPr>
            <w:r>
              <w:rPr>
                <w:rStyle w:val="Hyperlink"/>
                <w:color w:val="000000" w:themeColor="text1"/>
                <w:u w:val="none"/>
              </w:rPr>
              <w:t>3.4 Stebėsenos komiteto darbo reglamentas (TBA)</w:t>
            </w:r>
          </w:p>
          <w:p w:rsidR="002B5CA9" w:rsidRDefault="002B5CA9" w:rsidP="00781D1E">
            <w:pPr>
              <w:jc w:val="both"/>
              <w:rPr>
                <w:rStyle w:val="Hyperlink"/>
                <w:color w:val="000000" w:themeColor="text1"/>
                <w:u w:val="none"/>
              </w:rPr>
            </w:pPr>
          </w:p>
          <w:p w:rsidR="002B5CA9" w:rsidRPr="002B5CA9" w:rsidRDefault="002B5CA9" w:rsidP="00781D1E">
            <w:pPr>
              <w:jc w:val="both"/>
              <w:rPr>
                <w:rFonts w:cs="Times New Roman"/>
                <w:color w:val="000000" w:themeColor="text1"/>
              </w:rPr>
            </w:pPr>
            <w:r>
              <w:rPr>
                <w:rFonts w:cs="Times New Roman"/>
                <w:color w:val="000000" w:themeColor="text1"/>
              </w:rPr>
              <w:t>4. Audito strategija (TBA)</w:t>
            </w:r>
          </w:p>
        </w:tc>
        <w:tc>
          <w:tcPr>
            <w:tcW w:w="5245" w:type="dxa"/>
          </w:tcPr>
          <w:p w:rsidR="00836C05" w:rsidRPr="00B815D1" w:rsidRDefault="00B815D1" w:rsidP="00B815D1">
            <w:pPr>
              <w:jc w:val="both"/>
              <w:rPr>
                <w:rFonts w:cs="Times New Roman"/>
                <w:szCs w:val="20"/>
              </w:rPr>
            </w:pPr>
            <w:r w:rsidRPr="00B815D1">
              <w:rPr>
                <w:rFonts w:cs="Times New Roman"/>
                <w:szCs w:val="20"/>
              </w:rPr>
              <w:t>1.</w:t>
            </w:r>
            <w:r>
              <w:rPr>
                <w:rFonts w:cs="Times New Roman"/>
                <w:szCs w:val="20"/>
              </w:rPr>
              <w:t xml:space="preserve"> </w:t>
            </w:r>
            <w:r w:rsidR="00F06259">
              <w:rPr>
                <w:rFonts w:cs="Times New Roman"/>
                <w:szCs w:val="20"/>
              </w:rPr>
              <w:t>Rengiant Programą, v</w:t>
            </w:r>
            <w:r w:rsidR="009B46A0">
              <w:rPr>
                <w:rFonts w:cs="Times New Roman"/>
                <w:szCs w:val="20"/>
              </w:rPr>
              <w:t>adovaujančioji</w:t>
            </w:r>
            <w:r w:rsidR="006B6F05" w:rsidRPr="00B815D1">
              <w:rPr>
                <w:rFonts w:cs="Times New Roman"/>
                <w:szCs w:val="20"/>
              </w:rPr>
              <w:t xml:space="preserve"> ir tarpinės institucijos, prieinamumo politiką ir standartus tinkamai atspindėjo </w:t>
            </w:r>
            <w:r w:rsidR="006B6F05" w:rsidRPr="00B815D1">
              <w:rPr>
                <w:rFonts w:cs="Times New Roman"/>
              </w:rPr>
              <w:t>įtraukiant įvairių sričių socialinius ir ekonominius partnerius, nevyriausybines organizacijas bei ombudsmeno institucijas.</w:t>
            </w:r>
          </w:p>
          <w:p w:rsidR="00DE4C3D" w:rsidRDefault="00B815D1" w:rsidP="00DE4C3D">
            <w:pPr>
              <w:jc w:val="both"/>
              <w:rPr>
                <w:rFonts w:cs="Times New Roman"/>
                <w:szCs w:val="20"/>
              </w:rPr>
            </w:pPr>
            <w:r>
              <w:rPr>
                <w:szCs w:val="20"/>
              </w:rPr>
              <w:t xml:space="preserve">2. </w:t>
            </w:r>
            <w:r w:rsidR="00637297">
              <w:rPr>
                <w:szCs w:val="20"/>
              </w:rPr>
              <w:t>Lygios</w:t>
            </w:r>
            <w:r w:rsidR="00DE4C3D">
              <w:rPr>
                <w:szCs w:val="20"/>
              </w:rPr>
              <w:t xml:space="preserve"> galimybės visiems – horizontalus principas</w:t>
            </w:r>
            <w:r w:rsidR="00637297">
              <w:rPr>
                <w:szCs w:val="20"/>
              </w:rPr>
              <w:t xml:space="preserve"> (</w:t>
            </w:r>
            <w:r w:rsidR="00F06259">
              <w:rPr>
                <w:szCs w:val="20"/>
              </w:rPr>
              <w:t>toliau –</w:t>
            </w:r>
            <w:r w:rsidR="00637297">
              <w:rPr>
                <w:szCs w:val="20"/>
              </w:rPr>
              <w:t>HP)</w:t>
            </w:r>
            <w:r w:rsidR="00DE4C3D">
              <w:rPr>
                <w:szCs w:val="20"/>
              </w:rPr>
              <w:t>, nustatytas Nacionaliniame pažangos plane</w:t>
            </w:r>
            <w:r w:rsidR="00637297">
              <w:rPr>
                <w:szCs w:val="20"/>
              </w:rPr>
              <w:t xml:space="preserve"> (</w:t>
            </w:r>
            <w:r w:rsidR="00F06259">
              <w:rPr>
                <w:szCs w:val="20"/>
              </w:rPr>
              <w:t xml:space="preserve">toliau – </w:t>
            </w:r>
            <w:r w:rsidR="00637297">
              <w:rPr>
                <w:szCs w:val="20"/>
              </w:rPr>
              <w:t>NPP)</w:t>
            </w:r>
            <w:r w:rsidR="00DE4C3D">
              <w:rPr>
                <w:szCs w:val="20"/>
              </w:rPr>
              <w:t>.</w:t>
            </w:r>
            <w:r w:rsidR="00DE4C3D">
              <w:rPr>
                <w:rFonts w:cs="Times New Roman"/>
                <w:szCs w:val="20"/>
              </w:rPr>
              <w:t xml:space="preserve"> Tai reiškia, jog visos valstybės mastu p</w:t>
            </w:r>
            <w:r w:rsidR="00DE4C3D" w:rsidRPr="00642C0B">
              <w:rPr>
                <w:rFonts w:cs="Times New Roman"/>
                <w:szCs w:val="20"/>
              </w:rPr>
              <w:t>lanuojamos intervencijos</w:t>
            </w:r>
            <w:r w:rsidR="00DE4C3D">
              <w:rPr>
                <w:rFonts w:cs="Times New Roman"/>
                <w:szCs w:val="20"/>
              </w:rPr>
              <w:t xml:space="preserve"> (investicijos), tame tarpe ir ES fondais remiami veiksmai,</w:t>
            </w:r>
            <w:r w:rsidR="00DE4C3D" w:rsidRPr="00642C0B">
              <w:rPr>
                <w:rFonts w:cs="Times New Roman"/>
                <w:szCs w:val="20"/>
              </w:rPr>
              <w:t xml:space="preserve"> negali turėti</w:t>
            </w:r>
            <w:r w:rsidR="00DE4C3D">
              <w:rPr>
                <w:rFonts w:cs="Times New Roman"/>
                <w:szCs w:val="20"/>
              </w:rPr>
              <w:t xml:space="preserve"> lygių galimybių principo neigiamo poveikio ir</w:t>
            </w:r>
            <w:r w:rsidR="00637297">
              <w:rPr>
                <w:rFonts w:cs="Times New Roman"/>
                <w:szCs w:val="20"/>
              </w:rPr>
              <w:t xml:space="preserve"> turi</w:t>
            </w:r>
            <w:r w:rsidR="00DE4C3D">
              <w:rPr>
                <w:rFonts w:cs="Times New Roman"/>
                <w:szCs w:val="20"/>
              </w:rPr>
              <w:t xml:space="preserve"> siekti jo</w:t>
            </w:r>
            <w:r w:rsidR="00DE4C3D" w:rsidRPr="00642C0B">
              <w:rPr>
                <w:rFonts w:cs="Times New Roman"/>
                <w:szCs w:val="20"/>
              </w:rPr>
              <w:t xml:space="preserve"> aktyvaus taikymo.</w:t>
            </w:r>
            <w:r w:rsidR="00DE4C3D">
              <w:rPr>
                <w:rFonts w:cs="Times New Roman"/>
                <w:szCs w:val="20"/>
              </w:rPr>
              <w:t xml:space="preserve">  Šiuo principu užtikrinama, kad </w:t>
            </w:r>
            <w:r w:rsidR="00DE4C3D" w:rsidRPr="00DE4C3D">
              <w:rPr>
                <w:rFonts w:cs="Times New Roman"/>
                <w:szCs w:val="20"/>
              </w:rPr>
              <w:t>v</w:t>
            </w:r>
            <w:r w:rsidR="00DE4C3D" w:rsidRPr="00DE4C3D">
              <w:rPr>
                <w:color w:val="000000"/>
                <w:szCs w:val="20"/>
              </w:rPr>
              <w:t>isiems asmenims, nepaisant jų lyties, tautybės, rasinės ar etninės kilmės, pilietybės, kalbos, religijos, tikėjimo, įsitikinimų ar pažiūrų, negalios, sveikatos būklės, socialinės padėties, amžiaus, seksualinės orientacijos ar kitų bruožų, būtų užtikrintos vienodos teisės ir galimybės naudotis paslaugomis, infrastruktūra, transportu ir kitomis priemonėmis, dalyvauti visuomeniniame gyvenime.</w:t>
            </w:r>
            <w:r w:rsidR="00DE4C3D" w:rsidRPr="00642C0B">
              <w:rPr>
                <w:rFonts w:cs="Times New Roman"/>
                <w:szCs w:val="20"/>
              </w:rPr>
              <w:t xml:space="preserve"> </w:t>
            </w:r>
            <w:r w:rsidR="00B02CB7">
              <w:rPr>
                <w:rFonts w:cs="Times New Roman"/>
                <w:szCs w:val="20"/>
              </w:rPr>
              <w:t>NPP III skyriuje nustatyta, jog</w:t>
            </w:r>
            <w:r w:rsidR="00637297">
              <w:rPr>
                <w:rFonts w:cs="Times New Roman"/>
                <w:szCs w:val="20"/>
              </w:rPr>
              <w:t xml:space="preserve"> </w:t>
            </w:r>
            <w:r w:rsidR="00DE4C3D" w:rsidRPr="00642C0B">
              <w:rPr>
                <w:rFonts w:cs="Times New Roman"/>
                <w:szCs w:val="20"/>
              </w:rPr>
              <w:t>HP koordinatoriai prižiūri, kad</w:t>
            </w:r>
            <w:r w:rsidR="00B02CB7">
              <w:rPr>
                <w:rFonts w:cs="Times New Roman"/>
                <w:szCs w:val="20"/>
              </w:rPr>
              <w:t xml:space="preserve"> pagal Strateginio valdymo įstatymo</w:t>
            </w:r>
            <w:r w:rsidR="0064527E">
              <w:rPr>
                <w:rFonts w:cs="Times New Roman"/>
                <w:szCs w:val="20"/>
              </w:rPr>
              <w:t xml:space="preserve"> (</w:t>
            </w:r>
            <w:r w:rsidR="00F06259">
              <w:rPr>
                <w:rFonts w:cs="Times New Roman"/>
                <w:szCs w:val="20"/>
              </w:rPr>
              <w:t xml:space="preserve">toliau </w:t>
            </w:r>
            <w:r w:rsidR="00F06259">
              <w:rPr>
                <w:szCs w:val="20"/>
              </w:rPr>
              <w:t>–</w:t>
            </w:r>
            <w:r w:rsidR="00F06259">
              <w:rPr>
                <w:rFonts w:cs="Times New Roman"/>
                <w:szCs w:val="20"/>
              </w:rPr>
              <w:t xml:space="preserve"> </w:t>
            </w:r>
            <w:r w:rsidR="0064527E">
              <w:rPr>
                <w:rFonts w:cs="Times New Roman"/>
                <w:szCs w:val="20"/>
              </w:rPr>
              <w:t>SVĮ)</w:t>
            </w:r>
            <w:r w:rsidR="00B02CB7">
              <w:rPr>
                <w:rFonts w:cs="Times New Roman"/>
                <w:szCs w:val="20"/>
              </w:rPr>
              <w:t xml:space="preserve"> ir Strateginio valdymo </w:t>
            </w:r>
            <w:r w:rsidR="00F06259">
              <w:rPr>
                <w:rFonts w:cs="Times New Roman"/>
                <w:szCs w:val="20"/>
              </w:rPr>
              <w:t>metodikos</w:t>
            </w:r>
            <w:r w:rsidR="0064527E">
              <w:rPr>
                <w:rFonts w:cs="Times New Roman"/>
                <w:szCs w:val="20"/>
              </w:rPr>
              <w:t xml:space="preserve"> (</w:t>
            </w:r>
            <w:r w:rsidR="00F06259">
              <w:rPr>
                <w:rFonts w:cs="Times New Roman"/>
                <w:szCs w:val="20"/>
              </w:rPr>
              <w:t xml:space="preserve">toliau </w:t>
            </w:r>
            <w:r w:rsidR="00F06259">
              <w:rPr>
                <w:szCs w:val="20"/>
              </w:rPr>
              <w:t>–</w:t>
            </w:r>
            <w:r w:rsidR="00F06259">
              <w:rPr>
                <w:rFonts w:cs="Times New Roman"/>
                <w:szCs w:val="20"/>
              </w:rPr>
              <w:t xml:space="preserve"> </w:t>
            </w:r>
            <w:r w:rsidR="0064527E">
              <w:rPr>
                <w:rFonts w:cs="Times New Roman"/>
                <w:szCs w:val="20"/>
              </w:rPr>
              <w:t>SVM)</w:t>
            </w:r>
            <w:r w:rsidR="00B02CB7">
              <w:rPr>
                <w:rFonts w:cs="Times New Roman"/>
                <w:szCs w:val="20"/>
              </w:rPr>
              <w:t xml:space="preserve"> investicijų planavimo tvarką,</w:t>
            </w:r>
            <w:r w:rsidR="00DE4C3D" w:rsidRPr="00642C0B">
              <w:rPr>
                <w:rFonts w:cs="Times New Roman"/>
                <w:szCs w:val="20"/>
              </w:rPr>
              <w:t xml:space="preserve"> Plėtros programose, projektų finansavimo sąlygose, kvietimuose teikti projektus</w:t>
            </w:r>
            <w:r w:rsidR="00DE4C3D">
              <w:rPr>
                <w:rFonts w:cs="Times New Roman"/>
                <w:szCs w:val="20"/>
              </w:rPr>
              <w:t xml:space="preserve">, </w:t>
            </w:r>
            <w:r w:rsidR="00DE4C3D" w:rsidRPr="00642C0B">
              <w:rPr>
                <w:rFonts w:cs="Times New Roman"/>
                <w:szCs w:val="20"/>
              </w:rPr>
              <w:t>būtų priemonės ir reikalavimai dėl HP (atrankos kriterijai</w:t>
            </w:r>
            <w:r w:rsidR="00DE4C3D">
              <w:rPr>
                <w:rFonts w:cs="Times New Roman"/>
                <w:szCs w:val="20"/>
              </w:rPr>
              <w:t>, kt.</w:t>
            </w:r>
            <w:r w:rsidR="00B02CB7">
              <w:rPr>
                <w:rFonts w:cs="Times New Roman"/>
                <w:szCs w:val="20"/>
              </w:rPr>
              <w:t>);</w:t>
            </w:r>
            <w:r w:rsidR="00DE4C3D" w:rsidRPr="00642C0B">
              <w:rPr>
                <w:rFonts w:cs="Times New Roman"/>
                <w:szCs w:val="20"/>
              </w:rPr>
              <w:t xml:space="preserve"> koordinuoja HP įgyvendinimą, vykdo rodiklių stebėseną bei konsultuoja suinteresuotuosius dėl HP įgyvendinimo</w:t>
            </w:r>
            <w:r w:rsidR="00DE4C3D">
              <w:rPr>
                <w:rFonts w:cs="Times New Roman"/>
                <w:szCs w:val="20"/>
              </w:rPr>
              <w:t xml:space="preserve"> (</w:t>
            </w:r>
            <w:r w:rsidR="0064527E">
              <w:rPr>
                <w:rFonts w:cs="Times New Roman"/>
                <w:szCs w:val="20"/>
              </w:rPr>
              <w:t xml:space="preserve">SVM - </w:t>
            </w:r>
            <w:r w:rsidR="00DE4C3D">
              <w:rPr>
                <w:rFonts w:cs="Times New Roman"/>
                <w:szCs w:val="20"/>
              </w:rPr>
              <w:t>45, 46, 81 p.)</w:t>
            </w:r>
            <w:r w:rsidR="00DE4C3D" w:rsidRPr="00642C0B">
              <w:rPr>
                <w:rFonts w:cs="Times New Roman"/>
                <w:szCs w:val="20"/>
              </w:rPr>
              <w:t>.</w:t>
            </w:r>
            <w:r w:rsidR="00B02CB7">
              <w:rPr>
                <w:rFonts w:cs="Times New Roman"/>
                <w:szCs w:val="20"/>
              </w:rPr>
              <w:t xml:space="preserve"> Lygių galimybių visiems HP koordinatorius – </w:t>
            </w:r>
            <w:r w:rsidR="000A197C">
              <w:rPr>
                <w:rFonts w:cs="Times New Roman"/>
                <w:szCs w:val="20"/>
              </w:rPr>
              <w:t>SADM</w:t>
            </w:r>
            <w:r w:rsidR="00B02CB7">
              <w:rPr>
                <w:rFonts w:cs="Times New Roman"/>
                <w:szCs w:val="20"/>
              </w:rPr>
              <w:t>.</w:t>
            </w:r>
          </w:p>
          <w:p w:rsidR="00B02CB7" w:rsidRDefault="00807BF6" w:rsidP="00DE4C3D">
            <w:pPr>
              <w:jc w:val="both"/>
              <w:rPr>
                <w:rFonts w:cs="Times New Roman"/>
                <w:szCs w:val="20"/>
              </w:rPr>
            </w:pPr>
            <w:r>
              <w:rPr>
                <w:rFonts w:cs="Times New Roman"/>
                <w:szCs w:val="20"/>
              </w:rPr>
              <w:t>3.1</w:t>
            </w:r>
            <w:r w:rsidR="00B02CB7">
              <w:rPr>
                <w:rFonts w:cs="Times New Roman"/>
                <w:szCs w:val="20"/>
              </w:rPr>
              <w:t xml:space="preserve"> Vadovaujantis lygių galimybių visiems HP, principo taikymas atitinkamai nustatomas aktualiuose su Programos administravimu ir įgyvendinimu susijusiuo</w:t>
            </w:r>
            <w:r w:rsidR="0064527E">
              <w:rPr>
                <w:rFonts w:cs="Times New Roman"/>
                <w:szCs w:val="20"/>
              </w:rPr>
              <w:t>se dokumentuose.</w:t>
            </w:r>
          </w:p>
          <w:p w:rsidR="00807BF6" w:rsidRDefault="00807BF6" w:rsidP="00DE4C3D">
            <w:pPr>
              <w:jc w:val="both"/>
              <w:rPr>
                <w:rFonts w:cs="Times New Roman"/>
              </w:rPr>
            </w:pPr>
            <w:r>
              <w:rPr>
                <w:rFonts w:cs="Times New Roman"/>
              </w:rPr>
              <w:t xml:space="preserve">3.2 </w:t>
            </w:r>
            <w:r w:rsidRPr="00807BF6">
              <w:rPr>
                <w:rFonts w:cs="Times New Roman"/>
              </w:rPr>
              <w:t xml:space="preserve">Diegiant valdymo ir kontrolės sistemą, </w:t>
            </w:r>
            <w:r w:rsidRPr="00807BF6">
              <w:rPr>
                <w:rFonts w:cs="Times New Roman"/>
                <w:b/>
              </w:rPr>
              <w:t>aktualiuose</w:t>
            </w:r>
            <w:r w:rsidRPr="00807BF6">
              <w:rPr>
                <w:rFonts w:cs="Times New Roman"/>
              </w:rPr>
              <w:t>, Programos administravimo ir finansavimo tvark</w:t>
            </w:r>
            <w:r w:rsidR="00F06259">
              <w:rPr>
                <w:rFonts w:cs="Times New Roman"/>
              </w:rPr>
              <w:t>ą nustatančiuose dokumentuose, vadovaujančioji</w:t>
            </w:r>
            <w:r w:rsidRPr="00807BF6">
              <w:rPr>
                <w:rFonts w:cs="Times New Roman"/>
              </w:rPr>
              <w:t xml:space="preserve"> institucija</w:t>
            </w:r>
            <w:r>
              <w:rPr>
                <w:rFonts w:cs="Times New Roman"/>
              </w:rPr>
              <w:t>, konsultuojantis su lygių galimybių visiems HP koordinatoriumi,</w:t>
            </w:r>
            <w:r w:rsidRPr="00807BF6">
              <w:rPr>
                <w:rFonts w:cs="Times New Roman"/>
              </w:rPr>
              <w:t xml:space="preserve"> nustatys </w:t>
            </w:r>
            <w:r>
              <w:rPr>
                <w:rFonts w:cs="Times New Roman"/>
              </w:rPr>
              <w:t xml:space="preserve">atitinkamus reikalavimus </w:t>
            </w:r>
            <w:r w:rsidRPr="00807BF6">
              <w:rPr>
                <w:rFonts w:cs="Times New Roman"/>
              </w:rPr>
              <w:t xml:space="preserve">visiems projektų administravime ir įgyvendinime dalyvaujantiems subjektams dėl </w:t>
            </w:r>
            <w:r>
              <w:rPr>
                <w:rFonts w:cs="Times New Roman"/>
              </w:rPr>
              <w:t xml:space="preserve">lygių galimybių HP laikymosi, visų pirma, dėl JT NTK. </w:t>
            </w:r>
          </w:p>
          <w:p w:rsidR="00807BF6" w:rsidRPr="008318F8" w:rsidRDefault="00807BF6" w:rsidP="002B5CA9">
            <w:pPr>
              <w:jc w:val="both"/>
              <w:rPr>
                <w:rFonts w:cs="Times New Roman"/>
              </w:rPr>
            </w:pPr>
            <w:r>
              <w:rPr>
                <w:rFonts w:cs="Times New Roman"/>
              </w:rPr>
              <w:t>3.3</w:t>
            </w:r>
            <w:r w:rsidRPr="008318F8">
              <w:rPr>
                <w:rFonts w:cs="Times New Roman"/>
              </w:rPr>
              <w:t xml:space="preserve"> Rengiant ir įgyvendinant programą bei</w:t>
            </w:r>
            <w:r w:rsidR="00CD089A">
              <w:rPr>
                <w:rFonts w:cs="Times New Roman"/>
              </w:rPr>
              <w:t xml:space="preserve"> sudarant stebėsenos komitetą, vadovaujančioji</w:t>
            </w:r>
            <w:r w:rsidRPr="008318F8">
              <w:rPr>
                <w:rFonts w:cs="Times New Roman"/>
              </w:rPr>
              <w:t xml:space="preserve"> institucija, partnerystę su socialiniais ir ekonominiais partneriais organizuoja vadovaujantis Europos struktūrinių ir investicijų fondų Europos partnerystės elgesio kodeksu (ES) </w:t>
            </w:r>
            <w:r w:rsidRPr="008318F8">
              <w:rPr>
                <w:rFonts w:cs="Times New Roman"/>
                <w:lang w:val="en-GB"/>
              </w:rPr>
              <w:t xml:space="preserve">240/2014, </w:t>
            </w:r>
            <w:r w:rsidRPr="008318F8">
              <w:rPr>
                <w:rFonts w:cs="Times New Roman"/>
              </w:rPr>
              <w:t>Lietuvos Respublikos Vyriausybės Konsultacijų metodika bei partnerių konsultacijomis.</w:t>
            </w:r>
            <w:r>
              <w:rPr>
                <w:rFonts w:cs="Times New Roman"/>
              </w:rPr>
              <w:t xml:space="preserve"> Šiuo atžvilgiu, partnerystė organizuojama į programos rengimą ir įgyvendinimą įtraukiant su lygių galimybių visiems HP susijusius socialius ir ekonominius partnerius, nevyriausybines ir visuomenines organizacijas.</w:t>
            </w:r>
          </w:p>
          <w:p w:rsidR="0064527E" w:rsidRDefault="00807BF6" w:rsidP="00DE4C3D">
            <w:pPr>
              <w:jc w:val="both"/>
              <w:rPr>
                <w:rFonts w:cs="Times New Roman"/>
              </w:rPr>
            </w:pPr>
            <w:r>
              <w:rPr>
                <w:rFonts w:cs="Times New Roman"/>
                <w:sz w:val="16"/>
                <w:szCs w:val="20"/>
              </w:rPr>
              <w:t xml:space="preserve">3.4 </w:t>
            </w:r>
            <w:proofErr w:type="spellStart"/>
            <w:r w:rsidR="000006B1">
              <w:rPr>
                <w:rFonts w:cs="Times New Roman"/>
                <w:lang w:val="en-GB"/>
              </w:rPr>
              <w:t>Vadovaujančioji</w:t>
            </w:r>
            <w:proofErr w:type="spellEnd"/>
            <w:r w:rsidR="0064527E" w:rsidRPr="008318F8">
              <w:rPr>
                <w:rFonts w:cs="Times New Roman"/>
                <w:lang w:val="en-GB"/>
              </w:rPr>
              <w:t xml:space="preserve"> </w:t>
            </w:r>
            <w:proofErr w:type="spellStart"/>
            <w:r w:rsidR="0064527E" w:rsidRPr="008318F8">
              <w:rPr>
                <w:rFonts w:cs="Times New Roman"/>
                <w:lang w:val="en-GB"/>
              </w:rPr>
              <w:t>institucija</w:t>
            </w:r>
            <w:proofErr w:type="spellEnd"/>
            <w:r w:rsidR="0064527E" w:rsidRPr="008318F8">
              <w:rPr>
                <w:rFonts w:cs="Times New Roman"/>
                <w:lang w:val="en-GB"/>
              </w:rPr>
              <w:t xml:space="preserve"> </w:t>
            </w:r>
            <w:proofErr w:type="spellStart"/>
            <w:r w:rsidR="0064527E" w:rsidRPr="008318F8">
              <w:rPr>
                <w:rFonts w:cs="Times New Roman"/>
                <w:lang w:val="en-GB"/>
              </w:rPr>
              <w:t>užtikrins</w:t>
            </w:r>
            <w:proofErr w:type="spellEnd"/>
            <w:r w:rsidR="0064527E" w:rsidRPr="008318F8">
              <w:rPr>
                <w:rFonts w:cs="Times New Roman"/>
                <w:lang w:val="en-GB"/>
              </w:rPr>
              <w:t xml:space="preserve">, jog </w:t>
            </w:r>
            <w:r w:rsidR="0064527E" w:rsidRPr="008318F8">
              <w:rPr>
                <w:rFonts w:cs="Times New Roman"/>
              </w:rPr>
              <w:t>stebėsenos komitetas, tvirtinant ar keičiant Programos komunikacijos strategiją bei projektų atrankos kriterijus, vertins strategijos ir kriterijų atitikimą</w:t>
            </w:r>
            <w:r w:rsidR="0064527E">
              <w:rPr>
                <w:rFonts w:cs="Times New Roman"/>
              </w:rPr>
              <w:t xml:space="preserve"> JT NTK.</w:t>
            </w:r>
          </w:p>
          <w:p w:rsidR="0064527E" w:rsidRDefault="002B5CA9" w:rsidP="00DE4C3D">
            <w:pPr>
              <w:jc w:val="both"/>
              <w:rPr>
                <w:rFonts w:cs="Times New Roman"/>
              </w:rPr>
            </w:pPr>
            <w:r>
              <w:rPr>
                <w:rFonts w:cs="Times New Roman"/>
                <w:lang w:val="en-GB"/>
              </w:rPr>
              <w:t>4.</w:t>
            </w:r>
            <w:r w:rsidR="00807BF6">
              <w:rPr>
                <w:rFonts w:cs="Times New Roman"/>
                <w:lang w:val="en-GB"/>
              </w:rPr>
              <w:t xml:space="preserve"> </w:t>
            </w:r>
            <w:proofErr w:type="spellStart"/>
            <w:r w:rsidR="0064527E" w:rsidRPr="008318F8">
              <w:rPr>
                <w:rFonts w:cs="Times New Roman"/>
                <w:lang w:val="en-GB"/>
              </w:rPr>
              <w:t>Programos</w:t>
            </w:r>
            <w:proofErr w:type="spellEnd"/>
            <w:r w:rsidR="0064527E" w:rsidRPr="008318F8">
              <w:rPr>
                <w:rFonts w:cs="Times New Roman"/>
                <w:lang w:val="en-GB"/>
              </w:rPr>
              <w:t xml:space="preserve"> </w:t>
            </w:r>
            <w:r w:rsidR="0064527E" w:rsidRPr="008318F8">
              <w:rPr>
                <w:rFonts w:cs="Times New Roman"/>
              </w:rPr>
              <w:t xml:space="preserve">įgyvendinimo metu, stebėsenos komitetui patvirtintus bendruosius projektų atrankos kriterijus, į kuriuos įeis reikalavimas dėl </w:t>
            </w:r>
            <w:r w:rsidR="0064527E">
              <w:rPr>
                <w:rFonts w:cs="Times New Roman"/>
              </w:rPr>
              <w:t xml:space="preserve">lygių galimybių visiems HP laikymosi, </w:t>
            </w:r>
            <w:r w:rsidR="00CD089A">
              <w:rPr>
                <w:rFonts w:cs="Times New Roman"/>
              </w:rPr>
              <w:t>vadovaujančioji</w:t>
            </w:r>
            <w:r w:rsidR="0064527E" w:rsidRPr="008318F8">
              <w:rPr>
                <w:rFonts w:cs="Times New Roman"/>
              </w:rPr>
              <w:t xml:space="preserve"> institucija aktualiuose projektų įgyvendinimo tvarką nustatančiuose dokumentuose (kvietimų teikti paraiškas, projektų atrankos, sutarčių formų, įgyvendinimo kontrolės, mokėjimo prašymų tikrinimo, projektų patikrinimo, institucijų darbo priežiūros, ataskaitų rengimo, skundų nagrinėjimo tvarkos)</w:t>
            </w:r>
            <w:r w:rsidR="00807BF6">
              <w:rPr>
                <w:rFonts w:cs="Times New Roman"/>
              </w:rPr>
              <w:t xml:space="preserve">, konsultuojantis su lygių galimybių visiems HP koordinatoriumi, </w:t>
            </w:r>
            <w:r w:rsidR="00CC1476">
              <w:rPr>
                <w:rFonts w:cs="Times New Roman"/>
              </w:rPr>
              <w:t>nustatys atitinkamus</w:t>
            </w:r>
            <w:r w:rsidR="00CD089A">
              <w:rPr>
                <w:rFonts w:cs="Times New Roman"/>
              </w:rPr>
              <w:t xml:space="preserve"> reikalavimus dėl HP laikymosi.</w:t>
            </w:r>
          </w:p>
          <w:p w:rsidR="00CC1476" w:rsidRPr="008318F8" w:rsidRDefault="00CC1476" w:rsidP="002B5CA9">
            <w:pPr>
              <w:jc w:val="both"/>
              <w:rPr>
                <w:rFonts w:cs="Times New Roman"/>
              </w:rPr>
            </w:pPr>
            <w:r w:rsidRPr="008318F8">
              <w:rPr>
                <w:rFonts w:cs="Times New Roman"/>
              </w:rPr>
              <w:t xml:space="preserve">Administruojanti institucija projektų atrankos etape vertins projektų </w:t>
            </w:r>
            <w:r w:rsidR="000A197C">
              <w:rPr>
                <w:rFonts w:cs="Times New Roman"/>
              </w:rPr>
              <w:t>lygių galimybių visiems H</w:t>
            </w:r>
            <w:r>
              <w:rPr>
                <w:rFonts w:cs="Times New Roman"/>
              </w:rPr>
              <w:t>P atitikimą</w:t>
            </w:r>
            <w:r w:rsidRPr="008318F8">
              <w:rPr>
                <w:rFonts w:cs="Times New Roman"/>
              </w:rPr>
              <w:t xml:space="preserve">. Projektų atitikimas </w:t>
            </w:r>
            <w:r w:rsidR="00D40048">
              <w:rPr>
                <w:rFonts w:cs="Times New Roman"/>
              </w:rPr>
              <w:t>HP</w:t>
            </w:r>
            <w:r w:rsidRPr="008318F8">
              <w:rPr>
                <w:rFonts w:cs="Times New Roman"/>
              </w:rPr>
              <w:t xml:space="preserve"> bus vertinamas va</w:t>
            </w:r>
            <w:r w:rsidR="00A0792A">
              <w:rPr>
                <w:rFonts w:cs="Times New Roman"/>
              </w:rPr>
              <w:t>dovaujantis parengtomis metodolo</w:t>
            </w:r>
            <w:r w:rsidRPr="008318F8">
              <w:rPr>
                <w:rFonts w:cs="Times New Roman"/>
              </w:rPr>
              <w:t xml:space="preserve">ginėmis gairėmis/kontroliniu sąrašu. </w:t>
            </w:r>
          </w:p>
          <w:p w:rsidR="00CC1476" w:rsidRDefault="00CC1476" w:rsidP="002B5CA9">
            <w:pPr>
              <w:jc w:val="both"/>
              <w:rPr>
                <w:rFonts w:cs="Times New Roman"/>
                <w:color w:val="000000" w:themeColor="text1"/>
              </w:rPr>
            </w:pPr>
            <w:r w:rsidRPr="008318F8">
              <w:rPr>
                <w:rFonts w:cs="Times New Roman"/>
                <w:color w:val="000000" w:themeColor="text1"/>
              </w:rPr>
              <w:t xml:space="preserve">Siekiant ateityje stiprinti </w:t>
            </w:r>
            <w:r>
              <w:rPr>
                <w:rFonts w:cs="Times New Roman"/>
                <w:color w:val="000000" w:themeColor="text1"/>
              </w:rPr>
              <w:t>lygių galimybių visiems HP</w:t>
            </w:r>
            <w:r w:rsidRPr="008318F8">
              <w:rPr>
                <w:rFonts w:cs="Times New Roman"/>
                <w:color w:val="000000" w:themeColor="text1"/>
              </w:rPr>
              <w:t xml:space="preserve"> taikymo praktiką, geriau atpažinti nesilaikymo atvejus bei, esant poreikiui, tobulinti reglamentavimą, periodiškai bus vykdomi mokymai dėl </w:t>
            </w:r>
            <w:r>
              <w:rPr>
                <w:rFonts w:cs="Times New Roman"/>
                <w:color w:val="000000" w:themeColor="text1"/>
              </w:rPr>
              <w:t xml:space="preserve">HP taikymo ir jo </w:t>
            </w:r>
            <w:r w:rsidRPr="008318F8">
              <w:rPr>
                <w:rFonts w:cs="Times New Roman"/>
                <w:color w:val="000000" w:themeColor="text1"/>
              </w:rPr>
              <w:t xml:space="preserve">įgyvendinimo prevencinių veiksmų. </w:t>
            </w:r>
          </w:p>
          <w:p w:rsidR="00B815D1" w:rsidRPr="00B815D1" w:rsidRDefault="00CC1476" w:rsidP="002B5CA9">
            <w:pPr>
              <w:jc w:val="both"/>
              <w:rPr>
                <w:szCs w:val="20"/>
              </w:rPr>
            </w:pPr>
            <w:r>
              <w:rPr>
                <w:rFonts w:cs="Times New Roman"/>
                <w:color w:val="000000" w:themeColor="text1"/>
              </w:rPr>
              <w:t xml:space="preserve">4.2 </w:t>
            </w:r>
            <w:r w:rsidRPr="00A52D39">
              <w:rPr>
                <w:rFonts w:cs="Times New Roman"/>
                <w:color w:val="000000" w:themeColor="text1"/>
                <w:lang w:val="en-GB"/>
              </w:rPr>
              <w:t>A</w:t>
            </w:r>
            <w:proofErr w:type="spellStart"/>
            <w:r w:rsidRPr="00A52D39">
              <w:rPr>
                <w:rFonts w:cs="Times New Roman"/>
                <w:color w:val="000000" w:themeColor="text1"/>
              </w:rPr>
              <w:t>udito</w:t>
            </w:r>
            <w:proofErr w:type="spellEnd"/>
            <w:r w:rsidRPr="00A52D39">
              <w:rPr>
                <w:rFonts w:cs="Times New Roman"/>
                <w:color w:val="000000" w:themeColor="text1"/>
              </w:rPr>
              <w:t xml:space="preserve"> institucija į savo audito strategiją įtrauks </w:t>
            </w:r>
            <w:r>
              <w:rPr>
                <w:rFonts w:cs="Times New Roman"/>
                <w:color w:val="000000" w:themeColor="text1"/>
              </w:rPr>
              <w:t>lygių galimybių visiems HP</w:t>
            </w:r>
            <w:r w:rsidRPr="00A52D39">
              <w:rPr>
                <w:rFonts w:cs="Times New Roman"/>
                <w:color w:val="000000" w:themeColor="text1"/>
              </w:rPr>
              <w:t xml:space="preserve"> vertinimo </w:t>
            </w:r>
            <w:r>
              <w:rPr>
                <w:rFonts w:cs="Times New Roman"/>
                <w:color w:val="000000" w:themeColor="text1"/>
              </w:rPr>
              <w:t>funkciją,</w:t>
            </w:r>
            <w:r w:rsidRPr="00A52D39">
              <w:rPr>
                <w:rFonts w:cs="Times New Roman"/>
                <w:color w:val="000000" w:themeColor="text1"/>
              </w:rPr>
              <w:t xml:space="preserve"> vertinant </w:t>
            </w:r>
            <w:r>
              <w:rPr>
                <w:rFonts w:cs="Times New Roman"/>
                <w:color w:val="000000" w:themeColor="text1"/>
              </w:rPr>
              <w:t>ar Programos valdymo ir kontrolės sistemoje tinkamai atspindėti HP reikalavimai.</w:t>
            </w:r>
          </w:p>
        </w:tc>
      </w:tr>
      <w:tr w:rsidR="005F2540" w:rsidRPr="00C84981" w:rsidTr="00851CC4">
        <w:tc>
          <w:tcPr>
            <w:tcW w:w="1276" w:type="dxa"/>
            <w:vMerge/>
          </w:tcPr>
          <w:p w:rsidR="005F2540" w:rsidRPr="00C84981" w:rsidRDefault="005F2540" w:rsidP="00C84981">
            <w:pPr>
              <w:jc w:val="both"/>
              <w:rPr>
                <w:rFonts w:eastAsia="Times New Roman" w:cs="Times New Roman"/>
                <w:iCs/>
                <w:noProof/>
                <w:szCs w:val="20"/>
              </w:rPr>
            </w:pPr>
          </w:p>
        </w:tc>
        <w:tc>
          <w:tcPr>
            <w:tcW w:w="851" w:type="dxa"/>
            <w:vMerge/>
          </w:tcPr>
          <w:p w:rsidR="005F2540" w:rsidRPr="00C84981" w:rsidRDefault="005F2540" w:rsidP="00C84981">
            <w:pPr>
              <w:jc w:val="both"/>
              <w:rPr>
                <w:rFonts w:eastAsia="Times New Roman" w:cs="Times New Roman"/>
                <w:iCs/>
                <w:noProof/>
                <w:szCs w:val="20"/>
              </w:rPr>
            </w:pPr>
          </w:p>
        </w:tc>
        <w:tc>
          <w:tcPr>
            <w:tcW w:w="1134" w:type="dxa"/>
            <w:vMerge/>
          </w:tcPr>
          <w:p w:rsidR="005F2540" w:rsidRPr="00C84981" w:rsidRDefault="005F2540" w:rsidP="00C84981">
            <w:pPr>
              <w:jc w:val="both"/>
              <w:rPr>
                <w:rFonts w:eastAsia="Times New Roman" w:cs="Times New Roman"/>
                <w:iCs/>
                <w:noProof/>
                <w:szCs w:val="20"/>
              </w:rPr>
            </w:pPr>
          </w:p>
        </w:tc>
        <w:tc>
          <w:tcPr>
            <w:tcW w:w="1134" w:type="dxa"/>
            <w:vMerge/>
          </w:tcPr>
          <w:p w:rsidR="005F2540" w:rsidRPr="008D0AC3" w:rsidRDefault="005F2540" w:rsidP="00C84981">
            <w:pPr>
              <w:jc w:val="both"/>
              <w:rPr>
                <w:rFonts w:eastAsia="Times New Roman" w:cs="Times New Roman"/>
                <w:iCs/>
                <w:noProof/>
                <w:szCs w:val="20"/>
                <w:lang w:val="en-US"/>
              </w:rPr>
            </w:pPr>
          </w:p>
        </w:tc>
        <w:tc>
          <w:tcPr>
            <w:tcW w:w="2409" w:type="dxa"/>
          </w:tcPr>
          <w:p w:rsidR="00B258FD" w:rsidRDefault="008C7DA5" w:rsidP="006B2548">
            <w:pPr>
              <w:rPr>
                <w:rFonts w:eastAsia="Calibri" w:cs="Times New Roman"/>
                <w:b/>
                <w:noProof/>
                <w:szCs w:val="20"/>
                <w:lang w:val="en-US"/>
              </w:rPr>
            </w:pPr>
            <w:r w:rsidRPr="008C7DA5">
              <w:rPr>
                <w:rFonts w:eastAsia="Calibri" w:cs="Times New Roman"/>
                <w:noProof/>
                <w:szCs w:val="20"/>
                <w:lang w:val="en-GB"/>
              </w:rPr>
              <w:t>3</w:t>
            </w:r>
            <w:r w:rsidR="00D7094D" w:rsidRPr="008C7DA5">
              <w:rPr>
                <w:rFonts w:eastAsia="Calibri" w:cs="Times New Roman"/>
                <w:noProof/>
                <w:szCs w:val="20"/>
                <w:lang w:val="en-US"/>
              </w:rPr>
              <w:t>.</w:t>
            </w:r>
            <w:r w:rsidR="00D7094D">
              <w:rPr>
                <w:rFonts w:eastAsia="Calibri" w:cs="Times New Roman"/>
                <w:b/>
                <w:noProof/>
                <w:szCs w:val="20"/>
                <w:lang w:val="en-US"/>
              </w:rPr>
              <w:t xml:space="preserve"> </w:t>
            </w:r>
            <w:r w:rsidR="00B258FD" w:rsidRPr="00B258FD">
              <w:rPr>
                <w:rFonts w:cs="Times New Roman"/>
                <w:sz w:val="21"/>
              </w:rPr>
              <w:t>tvarka, pagal kurią stebėsenos komitetui pranešama apie atvejus, kai fondais remiamais veiksmais nesilaikoma JT NTK, ir apie su JT NTK susijusius skundus, pateiktus laikantis tvarkos, nustatytos pagal 69 straipsnio 7 dalį.</w:t>
            </w:r>
          </w:p>
          <w:p w:rsidR="00176CC9" w:rsidRDefault="00176CC9" w:rsidP="006B2548">
            <w:pPr>
              <w:rPr>
                <w:rFonts w:eastAsia="Calibri" w:cs="Times New Roman"/>
                <w:b/>
                <w:noProof/>
                <w:szCs w:val="20"/>
                <w:lang w:val="en-US"/>
              </w:rPr>
            </w:pPr>
          </w:p>
          <w:p w:rsidR="005F2540" w:rsidRPr="00FA4EBC" w:rsidRDefault="00176CC9" w:rsidP="006B2548">
            <w:pPr>
              <w:rPr>
                <w:rFonts w:cs="Times New Roman"/>
                <w:iCs/>
                <w:lang w:val="en-US"/>
              </w:rPr>
            </w:pPr>
            <w:r w:rsidRPr="00B258FD">
              <w:rPr>
                <w:rFonts w:eastAsia="Calibri" w:cs="Times New Roman"/>
                <w:noProof/>
                <w:szCs w:val="20"/>
                <w:lang w:val="en-US"/>
              </w:rPr>
              <w:t>(</w:t>
            </w:r>
            <w:r w:rsidR="008C7DA5">
              <w:rPr>
                <w:rFonts w:eastAsia="Calibri" w:cs="Times New Roman"/>
                <w:noProof/>
                <w:szCs w:val="20"/>
                <w:lang w:val="en-US"/>
              </w:rPr>
              <w:t>3</w:t>
            </w:r>
            <w:r w:rsidR="005F2540" w:rsidRPr="00B258FD">
              <w:rPr>
                <w:rFonts w:eastAsia="Calibri" w:cs="Times New Roman"/>
                <w:noProof/>
                <w:szCs w:val="20"/>
                <w:lang w:val="en-US"/>
              </w:rPr>
              <w:t xml:space="preserve">. </w:t>
            </w:r>
            <w:r w:rsidR="005F2540" w:rsidRPr="00B258FD">
              <w:rPr>
                <w:rFonts w:cs="Times New Roman"/>
                <w:iCs/>
                <w:lang w:val="en-US"/>
              </w:rPr>
              <w:t>Reporting arrangements to the monitoring committee regarding cases of non-compliance of operations supported by the Funds with the UNCRPD and complaints regarding the UNCRPD submitted in accordance with the arrangemen</w:t>
            </w:r>
            <w:r w:rsidR="00FA4EBC">
              <w:rPr>
                <w:rFonts w:cs="Times New Roman"/>
                <w:iCs/>
                <w:lang w:val="en-US"/>
              </w:rPr>
              <w:t>ts made pursuant to Article 69(7</w:t>
            </w:r>
            <w:r w:rsidR="005F2540" w:rsidRPr="00B258FD">
              <w:rPr>
                <w:rFonts w:cs="Times New Roman"/>
                <w:iCs/>
                <w:lang w:val="en-US"/>
              </w:rPr>
              <w:t>) CPR.</w:t>
            </w:r>
            <w:r w:rsidRPr="00B258FD">
              <w:rPr>
                <w:rFonts w:cs="Times New Roman"/>
                <w:iCs/>
                <w:lang w:val="en-US"/>
              </w:rPr>
              <w:t>)</w:t>
            </w:r>
          </w:p>
          <w:p w:rsidR="005F2540" w:rsidRPr="008D0AC3" w:rsidRDefault="005F2540" w:rsidP="00C84981">
            <w:pPr>
              <w:jc w:val="both"/>
              <w:rPr>
                <w:rFonts w:eastAsia="Calibri" w:cs="Times New Roman"/>
                <w:b/>
                <w:noProof/>
                <w:szCs w:val="20"/>
                <w:lang w:val="en-US"/>
              </w:rPr>
            </w:pPr>
          </w:p>
        </w:tc>
        <w:tc>
          <w:tcPr>
            <w:tcW w:w="1276" w:type="dxa"/>
          </w:tcPr>
          <w:p w:rsidR="005F2540" w:rsidRPr="007F1884" w:rsidRDefault="00EF3FB4" w:rsidP="00C84981">
            <w:pPr>
              <w:jc w:val="both"/>
              <w:rPr>
                <w:rFonts w:eastAsia="Calibri" w:cs="Times New Roman"/>
                <w:noProof/>
                <w:color w:val="000000" w:themeColor="text1"/>
                <w:szCs w:val="20"/>
              </w:rPr>
            </w:pPr>
            <w:r w:rsidRPr="007F1884">
              <w:rPr>
                <w:rFonts w:eastAsia="Calibri" w:cs="Times New Roman"/>
                <w:noProof/>
                <w:color w:val="000000" w:themeColor="text1"/>
                <w:szCs w:val="20"/>
              </w:rPr>
              <w:t>Taip</w:t>
            </w:r>
          </w:p>
        </w:tc>
        <w:tc>
          <w:tcPr>
            <w:tcW w:w="2410" w:type="dxa"/>
          </w:tcPr>
          <w:p w:rsidR="00B02CB7" w:rsidRPr="00B02CB7" w:rsidRDefault="00B02CB7" w:rsidP="00B02CB7">
            <w:pPr>
              <w:jc w:val="both"/>
              <w:rPr>
                <w:rFonts w:cs="Times New Roman"/>
              </w:rPr>
            </w:pPr>
            <w:r w:rsidRPr="00B02CB7">
              <w:rPr>
                <w:rFonts w:cs="Times New Roman"/>
                <w:lang w:val="en-GB"/>
              </w:rPr>
              <w:t>1.</w:t>
            </w:r>
            <w:r>
              <w:rPr>
                <w:rFonts w:cs="Times New Roman"/>
              </w:rPr>
              <w:t xml:space="preserve"> </w:t>
            </w:r>
            <w:r w:rsidRPr="00B02CB7">
              <w:rPr>
                <w:rFonts w:cs="Times New Roman"/>
              </w:rPr>
              <w:t>Projektų administravimo ir finansavimo taisyklės (TBA)</w:t>
            </w:r>
          </w:p>
          <w:p w:rsidR="007270A6" w:rsidRPr="00B02CB7" w:rsidRDefault="00B02CB7" w:rsidP="00B02CB7">
            <w:pPr>
              <w:rPr>
                <w:color w:val="000000" w:themeColor="text1"/>
              </w:rPr>
            </w:pPr>
            <w:r w:rsidRPr="00B02CB7">
              <w:br/>
              <w:t>2. Stebėsenos komiteto darbo reglamentas</w:t>
            </w:r>
            <w:r w:rsidR="00851CC4">
              <w:t xml:space="preserve"> (TBA)</w:t>
            </w:r>
          </w:p>
        </w:tc>
        <w:tc>
          <w:tcPr>
            <w:tcW w:w="5245" w:type="dxa"/>
          </w:tcPr>
          <w:p w:rsidR="00B815D1" w:rsidRPr="008318F8" w:rsidRDefault="00B815D1" w:rsidP="00B02CB7">
            <w:pPr>
              <w:autoSpaceDE w:val="0"/>
              <w:autoSpaceDN w:val="0"/>
              <w:adjustRightInd w:val="0"/>
              <w:jc w:val="both"/>
              <w:rPr>
                <w:rFonts w:cs="Times New Roman"/>
                <w:color w:val="000000"/>
              </w:rPr>
            </w:pPr>
            <w:r w:rsidRPr="008318F8">
              <w:rPr>
                <w:rFonts w:cs="Times New Roman"/>
                <w:color w:val="000000"/>
              </w:rPr>
              <w:t>Programos skundų nag</w:t>
            </w:r>
            <w:r w:rsidR="00CD089A">
              <w:rPr>
                <w:rFonts w:cs="Times New Roman"/>
                <w:color w:val="000000"/>
              </w:rPr>
              <w:t>rinėjimo tvarka bus įtvirtinta v</w:t>
            </w:r>
            <w:r w:rsidRPr="008318F8">
              <w:rPr>
                <w:rFonts w:cs="Times New Roman"/>
                <w:color w:val="000000"/>
              </w:rPr>
              <w:t xml:space="preserve">adovaujančiosios institucijos </w:t>
            </w:r>
            <w:r w:rsidRPr="008318F8">
              <w:rPr>
                <w:rFonts w:cs="Times New Roman"/>
              </w:rPr>
              <w:t xml:space="preserve">rengiamose projektų administravimo ir finansavimo taisyklėse, </w:t>
            </w:r>
            <w:r w:rsidRPr="008318F8">
              <w:rPr>
                <w:rFonts w:cs="Times New Roman"/>
                <w:color w:val="000000"/>
              </w:rPr>
              <w:t>kuriose bus numatyta, kad pareiškėjai, projektų vykdytojai ir tretieji suinteresuoti asmenys (kurių teisėms ar pareigoms administruojančiosios institucijos sprendimas turi įtakos)</w:t>
            </w:r>
            <w:r w:rsidRPr="008318F8">
              <w:rPr>
                <w:rFonts w:cs="Times New Roman"/>
                <w:color w:val="FF0000"/>
              </w:rPr>
              <w:t xml:space="preserve"> </w:t>
            </w:r>
            <w:r w:rsidRPr="008318F8">
              <w:rPr>
                <w:rFonts w:cs="Times New Roman"/>
              </w:rPr>
              <w:t>administruojančiosios institucijos sprendimus ar veiksmus (neveikimą) skundžia</w:t>
            </w:r>
            <w:r w:rsidR="002B5CA9">
              <w:rPr>
                <w:rFonts w:cs="Times New Roman"/>
              </w:rPr>
              <w:t xml:space="preserve"> </w:t>
            </w:r>
            <w:r w:rsidRPr="008318F8">
              <w:rPr>
                <w:rFonts w:cs="Times New Roman"/>
              </w:rPr>
              <w:t>Lietuvos administracinių ginčų komisijai Lietuvos Respublikos ikiteisminio administracinių ginčų nagrinėjimo tvarkos įstatymo nustatyta tvarka arba Vilniaus apygardos administraciniam teismui.</w:t>
            </w:r>
            <w:r w:rsidRPr="008318F8">
              <w:rPr>
                <w:rFonts w:cs="Times New Roman"/>
                <w:color w:val="000000"/>
              </w:rPr>
              <w:t xml:space="preserve">  Tais atvejais, kai skundai nėra susiję su administruojančiosios institucijos sprendimais ar veiksmais (neveikimu) suinteresuoti asmenys skundus dėl galimų </w:t>
            </w:r>
            <w:r>
              <w:rPr>
                <w:rFonts w:cs="Times New Roman"/>
                <w:color w:val="000000"/>
              </w:rPr>
              <w:t>JT NTK</w:t>
            </w:r>
            <w:r w:rsidRPr="008318F8">
              <w:rPr>
                <w:rFonts w:cs="Times New Roman"/>
                <w:color w:val="000000"/>
              </w:rPr>
              <w:t xml:space="preserve"> pažeidimų teikia Lygių galimybių kontrolieriaus tarnyba</w:t>
            </w:r>
            <w:r w:rsidR="00637297">
              <w:rPr>
                <w:rFonts w:cs="Times New Roman"/>
                <w:color w:val="000000"/>
              </w:rPr>
              <w:t>i, kuri</w:t>
            </w:r>
            <w:r w:rsidRPr="008318F8">
              <w:rPr>
                <w:rFonts w:cs="Times New Roman"/>
                <w:color w:val="000000"/>
              </w:rPr>
              <w:t xml:space="preserve"> nagrinėja skundus, susijusius su patiriama diskriminacija</w:t>
            </w:r>
            <w:r w:rsidR="00FA05F5">
              <w:rPr>
                <w:rFonts w:cs="Times New Roman"/>
                <w:color w:val="000000"/>
              </w:rPr>
              <w:t>.</w:t>
            </w:r>
          </w:p>
          <w:p w:rsidR="00B815D1" w:rsidRDefault="00B815D1" w:rsidP="00B02CB7">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Times New Roman"/>
                <w:color w:val="000000"/>
              </w:rPr>
            </w:pPr>
            <w:r w:rsidRPr="008318F8">
              <w:rPr>
                <w:rFonts w:cs="Times New Roman"/>
                <w:color w:val="000000"/>
              </w:rPr>
              <w:t>Projektų administravimo ir finansavimo taisyklėse taip pat bus nustatyta tvarka, pagal kurią, stebėse</w:t>
            </w:r>
            <w:r w:rsidR="00D40048">
              <w:rPr>
                <w:rFonts w:cs="Times New Roman"/>
                <w:color w:val="000000"/>
              </w:rPr>
              <w:t>nos komitetui vieną kartą per</w:t>
            </w:r>
            <w:r w:rsidRPr="008318F8">
              <w:rPr>
                <w:rFonts w:cs="Times New Roman"/>
                <w:color w:val="000000"/>
              </w:rPr>
              <w:t xml:space="preserve"> metus, administruojanti institucija praneš apie atvejus, kai fondais remiamais veiksmais nesilaikoma </w:t>
            </w:r>
            <w:r w:rsidR="00FA05F5">
              <w:rPr>
                <w:rFonts w:cs="Times New Roman"/>
                <w:color w:val="000000"/>
              </w:rPr>
              <w:t>JT NTK</w:t>
            </w:r>
            <w:r w:rsidRPr="008318F8">
              <w:rPr>
                <w:rFonts w:cs="Times New Roman"/>
                <w:color w:val="000000"/>
              </w:rPr>
              <w:t xml:space="preserve">, ir apie su </w:t>
            </w:r>
            <w:r w:rsidR="00FA05F5">
              <w:rPr>
                <w:rFonts w:cs="Times New Roman"/>
                <w:color w:val="000000"/>
              </w:rPr>
              <w:t>JT NTK</w:t>
            </w:r>
            <w:r w:rsidRPr="008318F8">
              <w:rPr>
                <w:rFonts w:cs="Times New Roman"/>
                <w:color w:val="000000"/>
              </w:rPr>
              <w:t xml:space="preserve"> susijusius </w:t>
            </w:r>
            <w:r w:rsidR="00FA05F5">
              <w:rPr>
                <w:rFonts w:cs="Times New Roman"/>
                <w:color w:val="000000"/>
              </w:rPr>
              <w:t>skundus</w:t>
            </w:r>
            <w:r w:rsidRPr="008318F8">
              <w:rPr>
                <w:rFonts w:cs="Times New Roman"/>
                <w:color w:val="000000"/>
              </w:rPr>
              <w:t xml:space="preserve"> pateiktus </w:t>
            </w:r>
            <w:r w:rsidR="00FA05F5">
              <w:rPr>
                <w:rFonts w:cs="Times New Roman"/>
                <w:color w:val="000000"/>
              </w:rPr>
              <w:t>atitinkamoms institucijoms</w:t>
            </w:r>
            <w:r w:rsidRPr="008318F8">
              <w:rPr>
                <w:rFonts w:cs="Times New Roman"/>
                <w:color w:val="000000"/>
              </w:rPr>
              <w:t>.</w:t>
            </w:r>
          </w:p>
          <w:p w:rsidR="00636245" w:rsidRPr="00636245" w:rsidRDefault="00636245" w:rsidP="00B02CB7">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Times New Roman"/>
                <w:color w:val="000000"/>
                <w:lang w:val="en-GB"/>
              </w:rPr>
            </w:pPr>
            <w:r>
              <w:rPr>
                <w:rFonts w:cs="Times New Roman"/>
                <w:color w:val="000000"/>
              </w:rPr>
              <w:t xml:space="preserve">Metiniuose pranešimuose stebėsenos komitetui bus pristatoma: </w:t>
            </w:r>
            <w:r>
              <w:rPr>
                <w:rFonts w:cs="Times New Roman"/>
                <w:color w:val="000000"/>
                <w:lang w:val="en-GB"/>
              </w:rPr>
              <w:t xml:space="preserve">1. </w:t>
            </w:r>
            <w:proofErr w:type="spellStart"/>
            <w:r>
              <w:rPr>
                <w:rFonts w:cs="Times New Roman"/>
                <w:color w:val="000000"/>
                <w:lang w:val="en-GB"/>
              </w:rPr>
              <w:t>Gautų</w:t>
            </w:r>
            <w:proofErr w:type="spellEnd"/>
            <w:r>
              <w:rPr>
                <w:rFonts w:cs="Times New Roman"/>
                <w:color w:val="000000"/>
                <w:lang w:val="en-GB"/>
              </w:rPr>
              <w:t xml:space="preserve"> </w:t>
            </w:r>
            <w:proofErr w:type="spellStart"/>
            <w:r>
              <w:rPr>
                <w:rFonts w:cs="Times New Roman"/>
                <w:color w:val="000000"/>
                <w:lang w:val="en-GB"/>
              </w:rPr>
              <w:t>skundų</w:t>
            </w:r>
            <w:proofErr w:type="spellEnd"/>
            <w:r>
              <w:rPr>
                <w:rFonts w:cs="Times New Roman"/>
                <w:color w:val="000000"/>
                <w:lang w:val="en-GB"/>
              </w:rPr>
              <w:t xml:space="preserve"> </w:t>
            </w:r>
            <w:proofErr w:type="spellStart"/>
            <w:r>
              <w:rPr>
                <w:rFonts w:cs="Times New Roman"/>
                <w:color w:val="000000"/>
                <w:lang w:val="en-GB"/>
              </w:rPr>
              <w:t>skačius</w:t>
            </w:r>
            <w:proofErr w:type="spellEnd"/>
            <w:r>
              <w:rPr>
                <w:rFonts w:cs="Times New Roman"/>
                <w:color w:val="000000"/>
                <w:lang w:val="en-GB"/>
              </w:rPr>
              <w:t xml:space="preserve">; 2. </w:t>
            </w:r>
            <w:proofErr w:type="spellStart"/>
            <w:r>
              <w:rPr>
                <w:rFonts w:cs="Times New Roman"/>
                <w:color w:val="000000"/>
                <w:lang w:val="en-GB"/>
              </w:rPr>
              <w:t>Gautų</w:t>
            </w:r>
            <w:proofErr w:type="spellEnd"/>
            <w:r>
              <w:rPr>
                <w:rFonts w:cs="Times New Roman"/>
                <w:color w:val="000000"/>
                <w:lang w:val="en-GB"/>
              </w:rPr>
              <w:t xml:space="preserve"> </w:t>
            </w:r>
            <w:proofErr w:type="spellStart"/>
            <w:r>
              <w:rPr>
                <w:rFonts w:cs="Times New Roman"/>
                <w:color w:val="000000"/>
                <w:lang w:val="en-GB"/>
              </w:rPr>
              <w:t>skundų</w:t>
            </w:r>
            <w:proofErr w:type="spellEnd"/>
            <w:r>
              <w:rPr>
                <w:rFonts w:cs="Times New Roman"/>
                <w:color w:val="000000"/>
                <w:lang w:val="en-GB"/>
              </w:rPr>
              <w:t xml:space="preserve"> </w:t>
            </w:r>
            <w:proofErr w:type="spellStart"/>
            <w:r>
              <w:rPr>
                <w:rFonts w:cs="Times New Roman"/>
                <w:color w:val="000000"/>
                <w:lang w:val="en-GB"/>
              </w:rPr>
              <w:t>statusas</w:t>
            </w:r>
            <w:proofErr w:type="spellEnd"/>
            <w:r>
              <w:rPr>
                <w:rFonts w:cs="Times New Roman"/>
                <w:color w:val="000000"/>
                <w:lang w:val="en-GB"/>
              </w:rPr>
              <w:t xml:space="preserve"> (</w:t>
            </w:r>
            <w:proofErr w:type="spellStart"/>
            <w:r>
              <w:rPr>
                <w:rFonts w:cs="Times New Roman"/>
                <w:color w:val="000000"/>
                <w:lang w:val="en-GB"/>
              </w:rPr>
              <w:t>vertinami</w:t>
            </w:r>
            <w:proofErr w:type="spellEnd"/>
            <w:r>
              <w:rPr>
                <w:rFonts w:cs="Times New Roman"/>
                <w:color w:val="000000"/>
                <w:lang w:val="en-GB"/>
              </w:rPr>
              <w:t>/</w:t>
            </w:r>
            <w:proofErr w:type="spellStart"/>
            <w:r>
              <w:rPr>
                <w:rFonts w:cs="Times New Roman"/>
                <w:color w:val="000000"/>
                <w:lang w:val="en-GB"/>
              </w:rPr>
              <w:t>atmesti</w:t>
            </w:r>
            <w:proofErr w:type="spellEnd"/>
            <w:r>
              <w:rPr>
                <w:rFonts w:cs="Times New Roman"/>
                <w:color w:val="000000"/>
                <w:lang w:val="en-GB"/>
              </w:rPr>
              <w:t>/</w:t>
            </w:r>
            <w:proofErr w:type="spellStart"/>
            <w:r>
              <w:rPr>
                <w:rFonts w:cs="Times New Roman"/>
                <w:color w:val="000000"/>
                <w:lang w:val="en-GB"/>
              </w:rPr>
              <w:t>nustatyti</w:t>
            </w:r>
            <w:proofErr w:type="spellEnd"/>
            <w:r>
              <w:rPr>
                <w:rFonts w:cs="Times New Roman"/>
                <w:color w:val="000000"/>
                <w:lang w:val="en-GB"/>
              </w:rPr>
              <w:t xml:space="preserve"> JT NTK </w:t>
            </w:r>
            <w:proofErr w:type="spellStart"/>
            <w:r>
              <w:rPr>
                <w:rFonts w:cs="Times New Roman"/>
                <w:color w:val="000000"/>
                <w:lang w:val="en-GB"/>
              </w:rPr>
              <w:t>nesilaikymo</w:t>
            </w:r>
            <w:proofErr w:type="spellEnd"/>
            <w:r>
              <w:rPr>
                <w:rFonts w:cs="Times New Roman"/>
                <w:color w:val="000000"/>
                <w:lang w:val="en-GB"/>
              </w:rPr>
              <w:t xml:space="preserve"> </w:t>
            </w:r>
            <w:proofErr w:type="spellStart"/>
            <w:r>
              <w:rPr>
                <w:rFonts w:cs="Times New Roman"/>
                <w:color w:val="000000"/>
                <w:lang w:val="en-GB"/>
              </w:rPr>
              <w:t>atvejai</w:t>
            </w:r>
            <w:proofErr w:type="spellEnd"/>
            <w:r>
              <w:rPr>
                <w:rFonts w:cs="Times New Roman"/>
                <w:color w:val="000000"/>
                <w:lang w:val="en-GB"/>
              </w:rPr>
              <w:t>/</w:t>
            </w:r>
            <w:proofErr w:type="spellStart"/>
            <w:r>
              <w:rPr>
                <w:rFonts w:cs="Times New Roman"/>
                <w:color w:val="000000"/>
                <w:lang w:val="en-GB"/>
              </w:rPr>
              <w:t>teisminiai</w:t>
            </w:r>
            <w:proofErr w:type="spellEnd"/>
            <w:r>
              <w:rPr>
                <w:rFonts w:cs="Times New Roman"/>
                <w:color w:val="000000"/>
                <w:lang w:val="en-GB"/>
              </w:rPr>
              <w:t xml:space="preserve"> </w:t>
            </w:r>
            <w:proofErr w:type="spellStart"/>
            <w:r>
              <w:rPr>
                <w:rFonts w:cs="Times New Roman"/>
                <w:color w:val="000000"/>
                <w:lang w:val="en-GB"/>
              </w:rPr>
              <w:t>ginčai</w:t>
            </w:r>
            <w:proofErr w:type="spellEnd"/>
            <w:r>
              <w:rPr>
                <w:rFonts w:cs="Times New Roman"/>
                <w:color w:val="000000"/>
                <w:lang w:val="en-GB"/>
              </w:rPr>
              <w:t xml:space="preserve">); 3. </w:t>
            </w:r>
            <w:proofErr w:type="spellStart"/>
            <w:r>
              <w:rPr>
                <w:rFonts w:cs="Times New Roman"/>
                <w:color w:val="000000"/>
                <w:lang w:val="en-GB"/>
              </w:rPr>
              <w:t>Kokios</w:t>
            </w:r>
            <w:proofErr w:type="spellEnd"/>
            <w:r>
              <w:rPr>
                <w:rFonts w:cs="Times New Roman"/>
                <w:color w:val="000000"/>
                <w:lang w:val="en-GB"/>
              </w:rPr>
              <w:t xml:space="preserve"> JT NTK </w:t>
            </w:r>
            <w:proofErr w:type="spellStart"/>
            <w:r>
              <w:rPr>
                <w:rFonts w:cs="Times New Roman"/>
                <w:color w:val="000000"/>
                <w:lang w:val="en-GB"/>
              </w:rPr>
              <w:t>tei</w:t>
            </w:r>
            <w:proofErr w:type="spellEnd"/>
            <w:r>
              <w:rPr>
                <w:rFonts w:cs="Times New Roman"/>
                <w:color w:val="000000"/>
              </w:rPr>
              <w:t xml:space="preserve">sės buvo pažeistos (jeigu nustatyti nesilaikymo atvejai); 4. Veiksmų planas siekiant išvengti tolimesnių JT NTK nesilaikymo atvejų (jeigu nustatyti nesilaikymo atvejai). </w:t>
            </w:r>
          </w:p>
          <w:p w:rsidR="005F2540" w:rsidRPr="007F1884" w:rsidRDefault="00B815D1" w:rsidP="009B46A0">
            <w:pPr>
              <w:jc w:val="both"/>
              <w:rPr>
                <w:rFonts w:cs="Times New Roman"/>
                <w:color w:val="000000" w:themeColor="text1"/>
              </w:rPr>
            </w:pPr>
            <w:r w:rsidRPr="008318F8">
              <w:rPr>
                <w:rFonts w:cs="Times New Roman"/>
                <w:color w:val="000000"/>
              </w:rPr>
              <w:t xml:space="preserve">Informacija dėl skundų, kai skundai nėra susiję su administruojančios institucijos sprendimais ar veiksmais (neveikimu), administruojančiai institucijai bus teikiami </w:t>
            </w:r>
            <w:r w:rsidR="00FA05F5">
              <w:rPr>
                <w:rFonts w:cs="Times New Roman"/>
                <w:color w:val="000000"/>
              </w:rPr>
              <w:t>dvi</w:t>
            </w:r>
            <w:r w:rsidR="0089063B">
              <w:rPr>
                <w:rFonts w:cs="Times New Roman"/>
                <w:color w:val="000000"/>
              </w:rPr>
              <w:t>šaliu</w:t>
            </w:r>
            <w:r w:rsidRPr="008318F8">
              <w:rPr>
                <w:rFonts w:cs="Times New Roman"/>
                <w:color w:val="000000"/>
              </w:rPr>
              <w:t xml:space="preserve"> susitarimu tarp </w:t>
            </w:r>
            <w:r w:rsidR="009B46A0">
              <w:rPr>
                <w:rFonts w:cs="Times New Roman"/>
                <w:color w:val="000000"/>
              </w:rPr>
              <w:t>vadovaujančiosios</w:t>
            </w:r>
            <w:r w:rsidR="00FA05F5">
              <w:rPr>
                <w:rFonts w:cs="Times New Roman"/>
                <w:color w:val="000000"/>
              </w:rPr>
              <w:t xml:space="preserve"> institucijos ir </w:t>
            </w:r>
            <w:r w:rsidRPr="008318F8">
              <w:rPr>
                <w:rFonts w:cs="Times New Roman"/>
                <w:color w:val="000000"/>
              </w:rPr>
              <w:t>Lygių galim</w:t>
            </w:r>
            <w:r w:rsidR="00FA05F5">
              <w:rPr>
                <w:rFonts w:cs="Times New Roman"/>
                <w:color w:val="000000"/>
              </w:rPr>
              <w:t>ybių kontrolieriaus tarnybos.</w:t>
            </w:r>
          </w:p>
        </w:tc>
      </w:tr>
    </w:tbl>
    <w:p w:rsidR="00743D12" w:rsidRPr="002F6CDD" w:rsidRDefault="00743D12" w:rsidP="008D0AC3">
      <w:pPr>
        <w:spacing w:after="0" w:line="240" w:lineRule="auto"/>
        <w:jc w:val="both"/>
        <w:rPr>
          <w:rFonts w:eastAsia="Times New Roman" w:cs="Times New Roman"/>
          <w:b/>
          <w:iCs/>
          <w:noProof/>
          <w:szCs w:val="24"/>
          <w:lang w:eastAsia="lt-LT" w:bidi="lt-LT"/>
        </w:rPr>
      </w:pPr>
    </w:p>
    <w:sectPr w:rsidR="00743D12" w:rsidRPr="002F6CDD" w:rsidSect="00627FD3">
      <w:footerReference w:type="default" r:id="rId56"/>
      <w:pgSz w:w="16838" w:h="11906" w:orient="landscape"/>
      <w:pgMar w:top="141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7FD3" w:rsidRDefault="00627FD3" w:rsidP="00E1396C">
      <w:pPr>
        <w:spacing w:after="0" w:line="240" w:lineRule="auto"/>
      </w:pPr>
      <w:r>
        <w:separator/>
      </w:r>
    </w:p>
  </w:endnote>
  <w:endnote w:type="continuationSeparator" w:id="0">
    <w:p w:rsidR="00627FD3" w:rsidRDefault="00627FD3" w:rsidP="00E1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263807"/>
      <w:docPartObj>
        <w:docPartGallery w:val="Page Numbers (Bottom of Page)"/>
        <w:docPartUnique/>
      </w:docPartObj>
    </w:sdtPr>
    <w:sdtEndPr/>
    <w:sdtContent>
      <w:p w:rsidR="00E1396C" w:rsidRDefault="00E1396C">
        <w:pPr>
          <w:pStyle w:val="Footer"/>
          <w:jc w:val="center"/>
        </w:pPr>
        <w:r>
          <w:fldChar w:fldCharType="begin"/>
        </w:r>
        <w:r>
          <w:instrText>PAGE   \* MERGEFORMAT</w:instrText>
        </w:r>
        <w:r>
          <w:fldChar w:fldCharType="separate"/>
        </w:r>
        <w:r w:rsidR="00CD089A">
          <w:rPr>
            <w:noProof/>
          </w:rPr>
          <w:t>16</w:t>
        </w:r>
        <w:r>
          <w:fldChar w:fldCharType="end"/>
        </w:r>
      </w:p>
    </w:sdtContent>
  </w:sdt>
  <w:p w:rsidR="00E1396C" w:rsidRDefault="00E13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7FD3" w:rsidRDefault="00627FD3" w:rsidP="00E1396C">
      <w:pPr>
        <w:spacing w:after="0" w:line="240" w:lineRule="auto"/>
      </w:pPr>
      <w:r>
        <w:separator/>
      </w:r>
    </w:p>
  </w:footnote>
  <w:footnote w:type="continuationSeparator" w:id="0">
    <w:p w:rsidR="00627FD3" w:rsidRDefault="00627FD3" w:rsidP="00E13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F8A048"/>
    <w:lvl w:ilvl="0">
      <w:numFmt w:val="bullet"/>
      <w:lvlText w:val="*"/>
      <w:lvlJc w:val="left"/>
    </w:lvl>
  </w:abstractNum>
  <w:abstractNum w:abstractNumId="1" w15:restartNumberingAfterBreak="0">
    <w:nsid w:val="014676B1"/>
    <w:multiLevelType w:val="hybridMultilevel"/>
    <w:tmpl w:val="678AB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A77FA"/>
    <w:multiLevelType w:val="hybridMultilevel"/>
    <w:tmpl w:val="55C03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0BFE"/>
    <w:multiLevelType w:val="hybridMultilevel"/>
    <w:tmpl w:val="406AA2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623758"/>
    <w:multiLevelType w:val="hybridMultilevel"/>
    <w:tmpl w:val="0DC81D8E"/>
    <w:lvl w:ilvl="0" w:tplc="B4047F1E">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F106C3"/>
    <w:multiLevelType w:val="hybridMultilevel"/>
    <w:tmpl w:val="77742922"/>
    <w:lvl w:ilvl="0" w:tplc="72E2C1FC">
      <w:start w:val="3"/>
      <w:numFmt w:val="decimal"/>
      <w:lvlText w:val="%1."/>
      <w:lvlJc w:val="left"/>
      <w:pPr>
        <w:ind w:left="366" w:hanging="360"/>
      </w:pPr>
      <w:rPr>
        <w:rFonts w:eastAsia="Calibri" w:cstheme="minorHAnsi"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6" w15:restartNumberingAfterBreak="0">
    <w:nsid w:val="12643A73"/>
    <w:multiLevelType w:val="hybridMultilevel"/>
    <w:tmpl w:val="B4E8BA62"/>
    <w:lvl w:ilvl="0" w:tplc="0427000F">
      <w:start w:val="1"/>
      <w:numFmt w:val="decimal"/>
      <w:lvlText w:val="%1."/>
      <w:lvlJc w:val="left"/>
      <w:pPr>
        <w:ind w:left="720" w:hanging="360"/>
      </w:pPr>
      <w:rPr>
        <w:rFonts w:ascii="Times New Roman" w:hAnsi="Times New Roman" w:cs="Times New Roman"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14C66"/>
    <w:multiLevelType w:val="hybridMultilevel"/>
    <w:tmpl w:val="73806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5175A6"/>
    <w:multiLevelType w:val="hybridMultilevel"/>
    <w:tmpl w:val="26EE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0002B"/>
    <w:multiLevelType w:val="hybridMultilevel"/>
    <w:tmpl w:val="53045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214E11"/>
    <w:multiLevelType w:val="hybridMultilevel"/>
    <w:tmpl w:val="7174E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CD77CB"/>
    <w:multiLevelType w:val="hybridMultilevel"/>
    <w:tmpl w:val="23167CA6"/>
    <w:lvl w:ilvl="0" w:tplc="08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5C5700"/>
    <w:multiLevelType w:val="hybridMultilevel"/>
    <w:tmpl w:val="2F287056"/>
    <w:lvl w:ilvl="0" w:tplc="55D8C6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AE1EED"/>
    <w:multiLevelType w:val="hybridMultilevel"/>
    <w:tmpl w:val="B9660EFC"/>
    <w:lvl w:ilvl="0" w:tplc="0194CC2E">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346775"/>
    <w:multiLevelType w:val="hybridMultilevel"/>
    <w:tmpl w:val="C5EA3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AB7CD0"/>
    <w:multiLevelType w:val="hybridMultilevel"/>
    <w:tmpl w:val="23E42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D84DEA"/>
    <w:multiLevelType w:val="hybridMultilevel"/>
    <w:tmpl w:val="B5C87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9355DC"/>
    <w:multiLevelType w:val="hybridMultilevel"/>
    <w:tmpl w:val="62F4A2FC"/>
    <w:lvl w:ilvl="0" w:tplc="A96287C0">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F7542F"/>
    <w:multiLevelType w:val="hybridMultilevel"/>
    <w:tmpl w:val="130AE9F0"/>
    <w:lvl w:ilvl="0" w:tplc="0C1CE75A">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DD5646"/>
    <w:multiLevelType w:val="hybridMultilevel"/>
    <w:tmpl w:val="F990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B1BDB"/>
    <w:multiLevelType w:val="hybridMultilevel"/>
    <w:tmpl w:val="F69C4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801F5"/>
    <w:multiLevelType w:val="hybridMultilevel"/>
    <w:tmpl w:val="8FEE1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05907"/>
    <w:multiLevelType w:val="multilevel"/>
    <w:tmpl w:val="4D0A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B376FB"/>
    <w:multiLevelType w:val="hybridMultilevel"/>
    <w:tmpl w:val="C1AE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8624B1"/>
    <w:multiLevelType w:val="multilevel"/>
    <w:tmpl w:val="C282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CB6F4A"/>
    <w:multiLevelType w:val="multilevel"/>
    <w:tmpl w:val="66FE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FD0236"/>
    <w:multiLevelType w:val="hybridMultilevel"/>
    <w:tmpl w:val="0316A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447191"/>
    <w:multiLevelType w:val="multilevel"/>
    <w:tmpl w:val="D5802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FF53B96"/>
    <w:multiLevelType w:val="hybridMultilevel"/>
    <w:tmpl w:val="AD10C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579112">
    <w:abstractNumId w:val="27"/>
  </w:num>
  <w:num w:numId="2" w16cid:durableId="683216496">
    <w:abstractNumId w:val="9"/>
  </w:num>
  <w:num w:numId="3" w16cid:durableId="1091007091">
    <w:abstractNumId w:val="16"/>
  </w:num>
  <w:num w:numId="4" w16cid:durableId="1074280967">
    <w:abstractNumId w:val="10"/>
  </w:num>
  <w:num w:numId="5" w16cid:durableId="1313827624">
    <w:abstractNumId w:val="7"/>
  </w:num>
  <w:num w:numId="6" w16cid:durableId="887302013">
    <w:abstractNumId w:val="11"/>
  </w:num>
  <w:num w:numId="7" w16cid:durableId="1383942758">
    <w:abstractNumId w:val="17"/>
  </w:num>
  <w:num w:numId="8" w16cid:durableId="119422298">
    <w:abstractNumId w:val="3"/>
  </w:num>
  <w:num w:numId="9" w16cid:durableId="1037705982">
    <w:abstractNumId w:val="13"/>
  </w:num>
  <w:num w:numId="10" w16cid:durableId="2072146698">
    <w:abstractNumId w:val="5"/>
  </w:num>
  <w:num w:numId="11" w16cid:durableId="1098139594">
    <w:abstractNumId w:val="15"/>
  </w:num>
  <w:num w:numId="12" w16cid:durableId="850922732">
    <w:abstractNumId w:val="23"/>
  </w:num>
  <w:num w:numId="13" w16cid:durableId="1782384409">
    <w:abstractNumId w:val="2"/>
  </w:num>
  <w:num w:numId="14" w16cid:durableId="416248493">
    <w:abstractNumId w:val="24"/>
  </w:num>
  <w:num w:numId="15" w16cid:durableId="1831797451">
    <w:abstractNumId w:val="20"/>
  </w:num>
  <w:num w:numId="16" w16cid:durableId="801461355">
    <w:abstractNumId w:val="19"/>
  </w:num>
  <w:num w:numId="17" w16cid:durableId="1725711004">
    <w:abstractNumId w:val="22"/>
  </w:num>
  <w:num w:numId="18" w16cid:durableId="604852229">
    <w:abstractNumId w:val="8"/>
  </w:num>
  <w:num w:numId="19" w16cid:durableId="1559828422">
    <w:abstractNumId w:val="26"/>
  </w:num>
  <w:num w:numId="20" w16cid:durableId="1897348330">
    <w:abstractNumId w:val="25"/>
  </w:num>
  <w:num w:numId="21" w16cid:durableId="1965650211">
    <w:abstractNumId w:val="1"/>
  </w:num>
  <w:num w:numId="22" w16cid:durableId="258411391">
    <w:abstractNumId w:val="21"/>
  </w:num>
  <w:num w:numId="23" w16cid:durableId="1061059408">
    <w:abstractNumId w:val="12"/>
  </w:num>
  <w:num w:numId="24" w16cid:durableId="995378190">
    <w:abstractNumId w:val="18"/>
  </w:num>
  <w:num w:numId="25" w16cid:durableId="1647665605">
    <w:abstractNumId w:val="6"/>
  </w:num>
  <w:num w:numId="26" w16cid:durableId="550582671">
    <w:abstractNumId w:val="14"/>
  </w:num>
  <w:num w:numId="27" w16cid:durableId="996373568">
    <w:abstractNumId w:val="28"/>
  </w:num>
  <w:num w:numId="28" w16cid:durableId="3408630">
    <w:abstractNumId w:val="0"/>
    <w:lvlOverride w:ilvl="0">
      <w:lvl w:ilvl="0">
        <w:numFmt w:val="bullet"/>
        <w:lvlText w:val=""/>
        <w:legacy w:legacy="1" w:legacySpace="0" w:legacyIndent="0"/>
        <w:lvlJc w:val="left"/>
        <w:rPr>
          <w:rFonts w:ascii="Symbol" w:hAnsi="Symbol" w:hint="default"/>
          <w:sz w:val="22"/>
        </w:rPr>
      </w:lvl>
    </w:lvlOverride>
  </w:num>
  <w:num w:numId="29" w16cid:durableId="1661346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D12"/>
    <w:rsid w:val="000006B1"/>
    <w:rsid w:val="0000361F"/>
    <w:rsid w:val="00014D21"/>
    <w:rsid w:val="00032D7A"/>
    <w:rsid w:val="00034CDC"/>
    <w:rsid w:val="000628BD"/>
    <w:rsid w:val="00071BDB"/>
    <w:rsid w:val="000725ED"/>
    <w:rsid w:val="00094B11"/>
    <w:rsid w:val="000A00AE"/>
    <w:rsid w:val="000A0A06"/>
    <w:rsid w:val="000A197C"/>
    <w:rsid w:val="000B536F"/>
    <w:rsid w:val="000B7559"/>
    <w:rsid w:val="000C25AB"/>
    <w:rsid w:val="000F0B38"/>
    <w:rsid w:val="001011BC"/>
    <w:rsid w:val="001162AC"/>
    <w:rsid w:val="00121578"/>
    <w:rsid w:val="001276F8"/>
    <w:rsid w:val="0013445E"/>
    <w:rsid w:val="00144432"/>
    <w:rsid w:val="00176CC9"/>
    <w:rsid w:val="001B181E"/>
    <w:rsid w:val="001B7CED"/>
    <w:rsid w:val="001F0EE8"/>
    <w:rsid w:val="0021581B"/>
    <w:rsid w:val="002174B0"/>
    <w:rsid w:val="002205FC"/>
    <w:rsid w:val="00234825"/>
    <w:rsid w:val="00252161"/>
    <w:rsid w:val="002569AC"/>
    <w:rsid w:val="002A5757"/>
    <w:rsid w:val="002B5CA9"/>
    <w:rsid w:val="002E063B"/>
    <w:rsid w:val="002F6CDD"/>
    <w:rsid w:val="003170B5"/>
    <w:rsid w:val="00344434"/>
    <w:rsid w:val="00346201"/>
    <w:rsid w:val="00372297"/>
    <w:rsid w:val="00380014"/>
    <w:rsid w:val="0038015D"/>
    <w:rsid w:val="00385958"/>
    <w:rsid w:val="003A5093"/>
    <w:rsid w:val="003C5511"/>
    <w:rsid w:val="003D3EEF"/>
    <w:rsid w:val="003D670E"/>
    <w:rsid w:val="003E7F9F"/>
    <w:rsid w:val="003F12C8"/>
    <w:rsid w:val="00410934"/>
    <w:rsid w:val="004376B3"/>
    <w:rsid w:val="004644B2"/>
    <w:rsid w:val="004C1426"/>
    <w:rsid w:val="004C5FC1"/>
    <w:rsid w:val="004D5089"/>
    <w:rsid w:val="004E354D"/>
    <w:rsid w:val="0050311F"/>
    <w:rsid w:val="00514E71"/>
    <w:rsid w:val="0051613B"/>
    <w:rsid w:val="00525CB9"/>
    <w:rsid w:val="00552335"/>
    <w:rsid w:val="005611D7"/>
    <w:rsid w:val="005645A5"/>
    <w:rsid w:val="00583F6E"/>
    <w:rsid w:val="00587AC9"/>
    <w:rsid w:val="005908EB"/>
    <w:rsid w:val="00592B26"/>
    <w:rsid w:val="005A18F6"/>
    <w:rsid w:val="005F2540"/>
    <w:rsid w:val="00603669"/>
    <w:rsid w:val="00627A0C"/>
    <w:rsid w:val="00627FD3"/>
    <w:rsid w:val="00636245"/>
    <w:rsid w:val="00637297"/>
    <w:rsid w:val="00642C0B"/>
    <w:rsid w:val="0064527E"/>
    <w:rsid w:val="006467F2"/>
    <w:rsid w:val="00670442"/>
    <w:rsid w:val="006825D7"/>
    <w:rsid w:val="006979FF"/>
    <w:rsid w:val="006A12FB"/>
    <w:rsid w:val="006B2548"/>
    <w:rsid w:val="006B2801"/>
    <w:rsid w:val="006B645B"/>
    <w:rsid w:val="006B6F05"/>
    <w:rsid w:val="006D00D6"/>
    <w:rsid w:val="006D2456"/>
    <w:rsid w:val="006F4DD7"/>
    <w:rsid w:val="006F7438"/>
    <w:rsid w:val="00700E90"/>
    <w:rsid w:val="00710F2A"/>
    <w:rsid w:val="00720C4F"/>
    <w:rsid w:val="007270A6"/>
    <w:rsid w:val="00730F6C"/>
    <w:rsid w:val="00743D12"/>
    <w:rsid w:val="007454E1"/>
    <w:rsid w:val="007511F9"/>
    <w:rsid w:val="0075220D"/>
    <w:rsid w:val="00781D1E"/>
    <w:rsid w:val="00784A47"/>
    <w:rsid w:val="007878EF"/>
    <w:rsid w:val="007B0AC9"/>
    <w:rsid w:val="007B35CD"/>
    <w:rsid w:val="007C1512"/>
    <w:rsid w:val="007C78DA"/>
    <w:rsid w:val="007E791A"/>
    <w:rsid w:val="007E7DD9"/>
    <w:rsid w:val="007F1884"/>
    <w:rsid w:val="00807BF6"/>
    <w:rsid w:val="008125A8"/>
    <w:rsid w:val="008177EA"/>
    <w:rsid w:val="00830EF7"/>
    <w:rsid w:val="00836C05"/>
    <w:rsid w:val="0084719A"/>
    <w:rsid w:val="00851CC4"/>
    <w:rsid w:val="008750BE"/>
    <w:rsid w:val="008850AB"/>
    <w:rsid w:val="0089063B"/>
    <w:rsid w:val="00897517"/>
    <w:rsid w:val="008A6403"/>
    <w:rsid w:val="008C7DA5"/>
    <w:rsid w:val="008D0AC3"/>
    <w:rsid w:val="008F75CB"/>
    <w:rsid w:val="00902A1E"/>
    <w:rsid w:val="00923085"/>
    <w:rsid w:val="009236CF"/>
    <w:rsid w:val="009443D5"/>
    <w:rsid w:val="0095015F"/>
    <w:rsid w:val="00955BDE"/>
    <w:rsid w:val="00975B99"/>
    <w:rsid w:val="009773F0"/>
    <w:rsid w:val="00985A8D"/>
    <w:rsid w:val="0099770B"/>
    <w:rsid w:val="009A406A"/>
    <w:rsid w:val="009A7F46"/>
    <w:rsid w:val="009B46A0"/>
    <w:rsid w:val="009B7273"/>
    <w:rsid w:val="009C11CA"/>
    <w:rsid w:val="009C5E50"/>
    <w:rsid w:val="009F5F53"/>
    <w:rsid w:val="00A0792A"/>
    <w:rsid w:val="00A3411C"/>
    <w:rsid w:val="00A42F1A"/>
    <w:rsid w:val="00A50667"/>
    <w:rsid w:val="00A57FED"/>
    <w:rsid w:val="00A60AA1"/>
    <w:rsid w:val="00A71689"/>
    <w:rsid w:val="00A92042"/>
    <w:rsid w:val="00AA4DF0"/>
    <w:rsid w:val="00AB3B14"/>
    <w:rsid w:val="00AC5D96"/>
    <w:rsid w:val="00AE5C40"/>
    <w:rsid w:val="00AF0F2E"/>
    <w:rsid w:val="00AF4CCB"/>
    <w:rsid w:val="00AF68F0"/>
    <w:rsid w:val="00B02CB7"/>
    <w:rsid w:val="00B0316A"/>
    <w:rsid w:val="00B044A6"/>
    <w:rsid w:val="00B05EA5"/>
    <w:rsid w:val="00B258FD"/>
    <w:rsid w:val="00B34846"/>
    <w:rsid w:val="00B43EBE"/>
    <w:rsid w:val="00B777D2"/>
    <w:rsid w:val="00B815D1"/>
    <w:rsid w:val="00BA49BB"/>
    <w:rsid w:val="00BB464E"/>
    <w:rsid w:val="00BD4045"/>
    <w:rsid w:val="00C067CE"/>
    <w:rsid w:val="00C13172"/>
    <w:rsid w:val="00C143BF"/>
    <w:rsid w:val="00C2465C"/>
    <w:rsid w:val="00C30CA1"/>
    <w:rsid w:val="00C53313"/>
    <w:rsid w:val="00C8178F"/>
    <w:rsid w:val="00C84981"/>
    <w:rsid w:val="00CB5639"/>
    <w:rsid w:val="00CC1476"/>
    <w:rsid w:val="00CC5711"/>
    <w:rsid w:val="00CC684C"/>
    <w:rsid w:val="00CD089A"/>
    <w:rsid w:val="00CE204D"/>
    <w:rsid w:val="00CE63A3"/>
    <w:rsid w:val="00D27CD6"/>
    <w:rsid w:val="00D36941"/>
    <w:rsid w:val="00D40048"/>
    <w:rsid w:val="00D7094D"/>
    <w:rsid w:val="00DB0641"/>
    <w:rsid w:val="00DB09E9"/>
    <w:rsid w:val="00DE4C3D"/>
    <w:rsid w:val="00DE5699"/>
    <w:rsid w:val="00DF2568"/>
    <w:rsid w:val="00E1396C"/>
    <w:rsid w:val="00E65B07"/>
    <w:rsid w:val="00E75F93"/>
    <w:rsid w:val="00E85597"/>
    <w:rsid w:val="00E96203"/>
    <w:rsid w:val="00EA3E2E"/>
    <w:rsid w:val="00EC626D"/>
    <w:rsid w:val="00ED742C"/>
    <w:rsid w:val="00EE3598"/>
    <w:rsid w:val="00EF3FB4"/>
    <w:rsid w:val="00F06259"/>
    <w:rsid w:val="00F22BC6"/>
    <w:rsid w:val="00F26A63"/>
    <w:rsid w:val="00F52129"/>
    <w:rsid w:val="00F53C26"/>
    <w:rsid w:val="00F5400D"/>
    <w:rsid w:val="00F566E6"/>
    <w:rsid w:val="00F84225"/>
    <w:rsid w:val="00F85783"/>
    <w:rsid w:val="00FA05F5"/>
    <w:rsid w:val="00FA4EBC"/>
    <w:rsid w:val="00FD7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BFA1"/>
  <w15:docId w15:val="{298108FF-CEC3-4467-AF46-E99BC9B6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03"/>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9">
    <w:name w:val="Lentelės tinklelis9"/>
    <w:basedOn w:val="TableNormal"/>
    <w:next w:val="TableGrid"/>
    <w:uiPriority w:val="59"/>
    <w:unhideWhenUsed/>
    <w:rsid w:val="00743D12"/>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4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D12"/>
    <w:pPr>
      <w:ind w:left="720"/>
      <w:contextualSpacing/>
    </w:pPr>
  </w:style>
  <w:style w:type="character" w:styleId="Hyperlink">
    <w:name w:val="Hyperlink"/>
    <w:basedOn w:val="DefaultParagraphFont"/>
    <w:uiPriority w:val="99"/>
    <w:unhideWhenUsed/>
    <w:rsid w:val="00E65B07"/>
    <w:rPr>
      <w:color w:val="0000FF" w:themeColor="hyperlink"/>
      <w:u w:val="single"/>
    </w:rPr>
  </w:style>
  <w:style w:type="paragraph" w:styleId="CommentText">
    <w:name w:val="annotation text"/>
    <w:basedOn w:val="Normal"/>
    <w:link w:val="CommentTextChar"/>
    <w:uiPriority w:val="99"/>
    <w:unhideWhenUsed/>
    <w:rsid w:val="00E65B07"/>
    <w:pPr>
      <w:spacing w:line="240" w:lineRule="auto"/>
    </w:pPr>
    <w:rPr>
      <w:szCs w:val="20"/>
    </w:rPr>
  </w:style>
  <w:style w:type="character" w:customStyle="1" w:styleId="CommentTextChar">
    <w:name w:val="Comment Text Char"/>
    <w:basedOn w:val="DefaultParagraphFont"/>
    <w:link w:val="CommentText"/>
    <w:uiPriority w:val="99"/>
    <w:rsid w:val="00E65B07"/>
    <w:rPr>
      <w:sz w:val="20"/>
      <w:szCs w:val="20"/>
    </w:rPr>
  </w:style>
  <w:style w:type="paragraph" w:customStyle="1" w:styleId="Default">
    <w:name w:val="Default"/>
    <w:rsid w:val="00784A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96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96C"/>
  </w:style>
  <w:style w:type="paragraph" w:styleId="Footer">
    <w:name w:val="footer"/>
    <w:basedOn w:val="Normal"/>
    <w:link w:val="FooterChar"/>
    <w:uiPriority w:val="99"/>
    <w:unhideWhenUsed/>
    <w:rsid w:val="00E1396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96C"/>
  </w:style>
  <w:style w:type="character" w:styleId="CommentReference">
    <w:name w:val="annotation reference"/>
    <w:basedOn w:val="DefaultParagraphFont"/>
    <w:uiPriority w:val="99"/>
    <w:semiHidden/>
    <w:unhideWhenUsed/>
    <w:rsid w:val="00D7094D"/>
    <w:rPr>
      <w:sz w:val="16"/>
      <w:szCs w:val="16"/>
    </w:rPr>
  </w:style>
  <w:style w:type="paragraph" w:styleId="CommentSubject">
    <w:name w:val="annotation subject"/>
    <w:basedOn w:val="CommentText"/>
    <w:next w:val="CommentText"/>
    <w:link w:val="CommentSubjectChar"/>
    <w:uiPriority w:val="99"/>
    <w:semiHidden/>
    <w:unhideWhenUsed/>
    <w:rsid w:val="00D7094D"/>
    <w:rPr>
      <w:b/>
      <w:bCs/>
    </w:rPr>
  </w:style>
  <w:style w:type="character" w:customStyle="1" w:styleId="CommentSubjectChar">
    <w:name w:val="Comment Subject Char"/>
    <w:basedOn w:val="CommentTextChar"/>
    <w:link w:val="CommentSubject"/>
    <w:uiPriority w:val="99"/>
    <w:semiHidden/>
    <w:rsid w:val="00D7094D"/>
    <w:rPr>
      <w:b/>
      <w:bCs/>
      <w:sz w:val="20"/>
      <w:szCs w:val="20"/>
    </w:rPr>
  </w:style>
  <w:style w:type="paragraph" w:styleId="BalloonText">
    <w:name w:val="Balloon Text"/>
    <w:basedOn w:val="Normal"/>
    <w:link w:val="BalloonTextChar"/>
    <w:uiPriority w:val="99"/>
    <w:semiHidden/>
    <w:unhideWhenUsed/>
    <w:rsid w:val="00D70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94D"/>
    <w:rPr>
      <w:rFonts w:ascii="Tahoma" w:hAnsi="Tahoma" w:cs="Tahoma"/>
      <w:sz w:val="16"/>
      <w:szCs w:val="16"/>
    </w:rPr>
  </w:style>
  <w:style w:type="character" w:styleId="FollowedHyperlink">
    <w:name w:val="FollowedHyperlink"/>
    <w:basedOn w:val="DefaultParagraphFont"/>
    <w:uiPriority w:val="99"/>
    <w:semiHidden/>
    <w:unhideWhenUsed/>
    <w:rsid w:val="003A5093"/>
    <w:rPr>
      <w:color w:val="800080" w:themeColor="followedHyperlink"/>
      <w:u w:val="single"/>
    </w:rPr>
  </w:style>
  <w:style w:type="paragraph" w:styleId="NormalWeb">
    <w:name w:val="Normal (Web)"/>
    <w:basedOn w:val="Normal"/>
    <w:uiPriority w:val="99"/>
    <w:semiHidden/>
    <w:unhideWhenUsed/>
    <w:rsid w:val="003A5093"/>
    <w:pPr>
      <w:spacing w:before="100" w:beforeAutospacing="1" w:after="100" w:afterAutospacing="1" w:line="240" w:lineRule="auto"/>
    </w:pPr>
    <w:rPr>
      <w:rFonts w:eastAsia="Times New Roman" w:cs="Times New Roman"/>
      <w:sz w:val="24"/>
      <w:szCs w:val="24"/>
      <w:lang w:val="en-US"/>
    </w:rPr>
  </w:style>
  <w:style w:type="paragraph" w:styleId="Revision">
    <w:name w:val="Revision"/>
    <w:hidden/>
    <w:uiPriority w:val="99"/>
    <w:semiHidden/>
    <w:rsid w:val="003A5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7682">
      <w:bodyDiv w:val="1"/>
      <w:marLeft w:val="0"/>
      <w:marRight w:val="0"/>
      <w:marTop w:val="0"/>
      <w:marBottom w:val="0"/>
      <w:divBdr>
        <w:top w:val="none" w:sz="0" w:space="0" w:color="auto"/>
        <w:left w:val="none" w:sz="0" w:space="0" w:color="auto"/>
        <w:bottom w:val="none" w:sz="0" w:space="0" w:color="auto"/>
        <w:right w:val="none" w:sz="0" w:space="0" w:color="auto"/>
      </w:divBdr>
      <w:divsChild>
        <w:div w:id="1590384596">
          <w:marLeft w:val="0"/>
          <w:marRight w:val="0"/>
          <w:marTop w:val="0"/>
          <w:marBottom w:val="0"/>
          <w:divBdr>
            <w:top w:val="none" w:sz="0" w:space="0" w:color="auto"/>
            <w:left w:val="none" w:sz="0" w:space="0" w:color="auto"/>
            <w:bottom w:val="none" w:sz="0" w:space="0" w:color="auto"/>
            <w:right w:val="none" w:sz="0" w:space="0" w:color="auto"/>
          </w:divBdr>
          <w:divsChild>
            <w:div w:id="1734692311">
              <w:marLeft w:val="0"/>
              <w:marRight w:val="0"/>
              <w:marTop w:val="0"/>
              <w:marBottom w:val="0"/>
              <w:divBdr>
                <w:top w:val="none" w:sz="0" w:space="0" w:color="auto"/>
                <w:left w:val="none" w:sz="0" w:space="0" w:color="auto"/>
                <w:bottom w:val="none" w:sz="0" w:space="0" w:color="auto"/>
                <w:right w:val="none" w:sz="0" w:space="0" w:color="auto"/>
              </w:divBdr>
              <w:divsChild>
                <w:div w:id="2065444459">
                  <w:marLeft w:val="0"/>
                  <w:marRight w:val="0"/>
                  <w:marTop w:val="0"/>
                  <w:marBottom w:val="0"/>
                  <w:divBdr>
                    <w:top w:val="none" w:sz="0" w:space="0" w:color="auto"/>
                    <w:left w:val="none" w:sz="0" w:space="0" w:color="auto"/>
                    <w:bottom w:val="none" w:sz="0" w:space="0" w:color="auto"/>
                    <w:right w:val="none" w:sz="0" w:space="0" w:color="auto"/>
                  </w:divBdr>
                  <w:divsChild>
                    <w:div w:id="6082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3058">
      <w:bodyDiv w:val="1"/>
      <w:marLeft w:val="0"/>
      <w:marRight w:val="0"/>
      <w:marTop w:val="0"/>
      <w:marBottom w:val="0"/>
      <w:divBdr>
        <w:top w:val="none" w:sz="0" w:space="0" w:color="auto"/>
        <w:left w:val="none" w:sz="0" w:space="0" w:color="auto"/>
        <w:bottom w:val="none" w:sz="0" w:space="0" w:color="auto"/>
        <w:right w:val="none" w:sz="0" w:space="0" w:color="auto"/>
      </w:divBdr>
    </w:div>
    <w:div w:id="391464654">
      <w:bodyDiv w:val="1"/>
      <w:marLeft w:val="0"/>
      <w:marRight w:val="0"/>
      <w:marTop w:val="0"/>
      <w:marBottom w:val="0"/>
      <w:divBdr>
        <w:top w:val="none" w:sz="0" w:space="0" w:color="auto"/>
        <w:left w:val="none" w:sz="0" w:space="0" w:color="auto"/>
        <w:bottom w:val="none" w:sz="0" w:space="0" w:color="auto"/>
        <w:right w:val="none" w:sz="0" w:space="0" w:color="auto"/>
      </w:divBdr>
      <w:divsChild>
        <w:div w:id="369184354">
          <w:marLeft w:val="0"/>
          <w:marRight w:val="0"/>
          <w:marTop w:val="0"/>
          <w:marBottom w:val="0"/>
          <w:divBdr>
            <w:top w:val="none" w:sz="0" w:space="0" w:color="auto"/>
            <w:left w:val="none" w:sz="0" w:space="0" w:color="auto"/>
            <w:bottom w:val="none" w:sz="0" w:space="0" w:color="auto"/>
            <w:right w:val="none" w:sz="0" w:space="0" w:color="auto"/>
          </w:divBdr>
          <w:divsChild>
            <w:div w:id="622427055">
              <w:marLeft w:val="0"/>
              <w:marRight w:val="0"/>
              <w:marTop w:val="0"/>
              <w:marBottom w:val="0"/>
              <w:divBdr>
                <w:top w:val="none" w:sz="0" w:space="0" w:color="auto"/>
                <w:left w:val="none" w:sz="0" w:space="0" w:color="auto"/>
                <w:bottom w:val="none" w:sz="0" w:space="0" w:color="auto"/>
                <w:right w:val="none" w:sz="0" w:space="0" w:color="auto"/>
              </w:divBdr>
              <w:divsChild>
                <w:div w:id="381557616">
                  <w:marLeft w:val="0"/>
                  <w:marRight w:val="0"/>
                  <w:marTop w:val="0"/>
                  <w:marBottom w:val="0"/>
                  <w:divBdr>
                    <w:top w:val="none" w:sz="0" w:space="0" w:color="auto"/>
                    <w:left w:val="none" w:sz="0" w:space="0" w:color="auto"/>
                    <w:bottom w:val="none" w:sz="0" w:space="0" w:color="auto"/>
                    <w:right w:val="none" w:sz="0" w:space="0" w:color="auto"/>
                  </w:divBdr>
                  <w:divsChild>
                    <w:div w:id="566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0849">
      <w:bodyDiv w:val="1"/>
      <w:marLeft w:val="0"/>
      <w:marRight w:val="0"/>
      <w:marTop w:val="0"/>
      <w:marBottom w:val="0"/>
      <w:divBdr>
        <w:top w:val="none" w:sz="0" w:space="0" w:color="auto"/>
        <w:left w:val="none" w:sz="0" w:space="0" w:color="auto"/>
        <w:bottom w:val="none" w:sz="0" w:space="0" w:color="auto"/>
        <w:right w:val="none" w:sz="0" w:space="0" w:color="auto"/>
      </w:divBdr>
      <w:divsChild>
        <w:div w:id="1205557702">
          <w:marLeft w:val="0"/>
          <w:marRight w:val="0"/>
          <w:marTop w:val="0"/>
          <w:marBottom w:val="0"/>
          <w:divBdr>
            <w:top w:val="none" w:sz="0" w:space="0" w:color="auto"/>
            <w:left w:val="none" w:sz="0" w:space="0" w:color="auto"/>
            <w:bottom w:val="none" w:sz="0" w:space="0" w:color="auto"/>
            <w:right w:val="none" w:sz="0" w:space="0" w:color="auto"/>
          </w:divBdr>
          <w:divsChild>
            <w:div w:id="2002007012">
              <w:marLeft w:val="0"/>
              <w:marRight w:val="0"/>
              <w:marTop w:val="0"/>
              <w:marBottom w:val="0"/>
              <w:divBdr>
                <w:top w:val="none" w:sz="0" w:space="0" w:color="auto"/>
                <w:left w:val="none" w:sz="0" w:space="0" w:color="auto"/>
                <w:bottom w:val="none" w:sz="0" w:space="0" w:color="auto"/>
                <w:right w:val="none" w:sz="0" w:space="0" w:color="auto"/>
              </w:divBdr>
              <w:divsChild>
                <w:div w:id="391389456">
                  <w:marLeft w:val="0"/>
                  <w:marRight w:val="0"/>
                  <w:marTop w:val="0"/>
                  <w:marBottom w:val="0"/>
                  <w:divBdr>
                    <w:top w:val="none" w:sz="0" w:space="0" w:color="auto"/>
                    <w:left w:val="none" w:sz="0" w:space="0" w:color="auto"/>
                    <w:bottom w:val="none" w:sz="0" w:space="0" w:color="auto"/>
                    <w:right w:val="none" w:sz="0" w:space="0" w:color="auto"/>
                  </w:divBdr>
                  <w:divsChild>
                    <w:div w:id="12333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5203">
      <w:bodyDiv w:val="1"/>
      <w:marLeft w:val="0"/>
      <w:marRight w:val="0"/>
      <w:marTop w:val="0"/>
      <w:marBottom w:val="0"/>
      <w:divBdr>
        <w:top w:val="none" w:sz="0" w:space="0" w:color="auto"/>
        <w:left w:val="none" w:sz="0" w:space="0" w:color="auto"/>
        <w:bottom w:val="none" w:sz="0" w:space="0" w:color="auto"/>
        <w:right w:val="none" w:sz="0" w:space="0" w:color="auto"/>
      </w:divBdr>
      <w:divsChild>
        <w:div w:id="666402526">
          <w:marLeft w:val="0"/>
          <w:marRight w:val="0"/>
          <w:marTop w:val="0"/>
          <w:marBottom w:val="0"/>
          <w:divBdr>
            <w:top w:val="none" w:sz="0" w:space="0" w:color="auto"/>
            <w:left w:val="none" w:sz="0" w:space="0" w:color="auto"/>
            <w:bottom w:val="none" w:sz="0" w:space="0" w:color="auto"/>
            <w:right w:val="none" w:sz="0" w:space="0" w:color="auto"/>
          </w:divBdr>
          <w:divsChild>
            <w:div w:id="418063884">
              <w:marLeft w:val="0"/>
              <w:marRight w:val="0"/>
              <w:marTop w:val="0"/>
              <w:marBottom w:val="0"/>
              <w:divBdr>
                <w:top w:val="none" w:sz="0" w:space="0" w:color="auto"/>
                <w:left w:val="none" w:sz="0" w:space="0" w:color="auto"/>
                <w:bottom w:val="none" w:sz="0" w:space="0" w:color="auto"/>
                <w:right w:val="none" w:sz="0" w:space="0" w:color="auto"/>
              </w:divBdr>
              <w:divsChild>
                <w:div w:id="1819377346">
                  <w:marLeft w:val="0"/>
                  <w:marRight w:val="0"/>
                  <w:marTop w:val="0"/>
                  <w:marBottom w:val="0"/>
                  <w:divBdr>
                    <w:top w:val="none" w:sz="0" w:space="0" w:color="auto"/>
                    <w:left w:val="none" w:sz="0" w:space="0" w:color="auto"/>
                    <w:bottom w:val="none" w:sz="0" w:space="0" w:color="auto"/>
                    <w:right w:val="none" w:sz="0" w:space="0" w:color="auto"/>
                  </w:divBdr>
                  <w:divsChild>
                    <w:div w:id="1045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51054">
      <w:bodyDiv w:val="1"/>
      <w:marLeft w:val="0"/>
      <w:marRight w:val="0"/>
      <w:marTop w:val="0"/>
      <w:marBottom w:val="0"/>
      <w:divBdr>
        <w:top w:val="none" w:sz="0" w:space="0" w:color="auto"/>
        <w:left w:val="none" w:sz="0" w:space="0" w:color="auto"/>
        <w:bottom w:val="none" w:sz="0" w:space="0" w:color="auto"/>
        <w:right w:val="none" w:sz="0" w:space="0" w:color="auto"/>
      </w:divBdr>
      <w:divsChild>
        <w:div w:id="1431849450">
          <w:marLeft w:val="0"/>
          <w:marRight w:val="0"/>
          <w:marTop w:val="0"/>
          <w:marBottom w:val="0"/>
          <w:divBdr>
            <w:top w:val="none" w:sz="0" w:space="0" w:color="auto"/>
            <w:left w:val="none" w:sz="0" w:space="0" w:color="auto"/>
            <w:bottom w:val="none" w:sz="0" w:space="0" w:color="auto"/>
            <w:right w:val="none" w:sz="0" w:space="0" w:color="auto"/>
          </w:divBdr>
          <w:divsChild>
            <w:div w:id="1350721912">
              <w:marLeft w:val="0"/>
              <w:marRight w:val="0"/>
              <w:marTop w:val="0"/>
              <w:marBottom w:val="0"/>
              <w:divBdr>
                <w:top w:val="none" w:sz="0" w:space="0" w:color="auto"/>
                <w:left w:val="none" w:sz="0" w:space="0" w:color="auto"/>
                <w:bottom w:val="none" w:sz="0" w:space="0" w:color="auto"/>
                <w:right w:val="none" w:sz="0" w:space="0" w:color="auto"/>
              </w:divBdr>
              <w:divsChild>
                <w:div w:id="1080562438">
                  <w:marLeft w:val="0"/>
                  <w:marRight w:val="0"/>
                  <w:marTop w:val="0"/>
                  <w:marBottom w:val="0"/>
                  <w:divBdr>
                    <w:top w:val="none" w:sz="0" w:space="0" w:color="auto"/>
                    <w:left w:val="none" w:sz="0" w:space="0" w:color="auto"/>
                    <w:bottom w:val="none" w:sz="0" w:space="0" w:color="auto"/>
                    <w:right w:val="none" w:sz="0" w:space="0" w:color="auto"/>
                  </w:divBdr>
                  <w:divsChild>
                    <w:div w:id="14569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580">
      <w:bodyDiv w:val="1"/>
      <w:marLeft w:val="0"/>
      <w:marRight w:val="0"/>
      <w:marTop w:val="0"/>
      <w:marBottom w:val="0"/>
      <w:divBdr>
        <w:top w:val="none" w:sz="0" w:space="0" w:color="auto"/>
        <w:left w:val="none" w:sz="0" w:space="0" w:color="auto"/>
        <w:bottom w:val="none" w:sz="0" w:space="0" w:color="auto"/>
        <w:right w:val="none" w:sz="0" w:space="0" w:color="auto"/>
      </w:divBdr>
      <w:divsChild>
        <w:div w:id="1620793382">
          <w:marLeft w:val="0"/>
          <w:marRight w:val="0"/>
          <w:marTop w:val="0"/>
          <w:marBottom w:val="0"/>
          <w:divBdr>
            <w:top w:val="none" w:sz="0" w:space="0" w:color="auto"/>
            <w:left w:val="none" w:sz="0" w:space="0" w:color="auto"/>
            <w:bottom w:val="none" w:sz="0" w:space="0" w:color="auto"/>
            <w:right w:val="none" w:sz="0" w:space="0" w:color="auto"/>
          </w:divBdr>
          <w:divsChild>
            <w:div w:id="541021402">
              <w:marLeft w:val="0"/>
              <w:marRight w:val="0"/>
              <w:marTop w:val="0"/>
              <w:marBottom w:val="0"/>
              <w:divBdr>
                <w:top w:val="none" w:sz="0" w:space="0" w:color="auto"/>
                <w:left w:val="none" w:sz="0" w:space="0" w:color="auto"/>
                <w:bottom w:val="none" w:sz="0" w:space="0" w:color="auto"/>
                <w:right w:val="none" w:sz="0" w:space="0" w:color="auto"/>
              </w:divBdr>
              <w:divsChild>
                <w:div w:id="1707951520">
                  <w:marLeft w:val="0"/>
                  <w:marRight w:val="0"/>
                  <w:marTop w:val="0"/>
                  <w:marBottom w:val="0"/>
                  <w:divBdr>
                    <w:top w:val="none" w:sz="0" w:space="0" w:color="auto"/>
                    <w:left w:val="none" w:sz="0" w:space="0" w:color="auto"/>
                    <w:bottom w:val="none" w:sz="0" w:space="0" w:color="auto"/>
                    <w:right w:val="none" w:sz="0" w:space="0" w:color="auto"/>
                  </w:divBdr>
                  <w:divsChild>
                    <w:div w:id="20002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6861">
      <w:bodyDiv w:val="1"/>
      <w:marLeft w:val="0"/>
      <w:marRight w:val="0"/>
      <w:marTop w:val="0"/>
      <w:marBottom w:val="0"/>
      <w:divBdr>
        <w:top w:val="none" w:sz="0" w:space="0" w:color="auto"/>
        <w:left w:val="none" w:sz="0" w:space="0" w:color="auto"/>
        <w:bottom w:val="none" w:sz="0" w:space="0" w:color="auto"/>
        <w:right w:val="none" w:sz="0" w:space="0" w:color="auto"/>
      </w:divBdr>
      <w:divsChild>
        <w:div w:id="482701505">
          <w:marLeft w:val="0"/>
          <w:marRight w:val="0"/>
          <w:marTop w:val="0"/>
          <w:marBottom w:val="0"/>
          <w:divBdr>
            <w:top w:val="none" w:sz="0" w:space="0" w:color="auto"/>
            <w:left w:val="none" w:sz="0" w:space="0" w:color="auto"/>
            <w:bottom w:val="none" w:sz="0" w:space="0" w:color="auto"/>
            <w:right w:val="none" w:sz="0" w:space="0" w:color="auto"/>
          </w:divBdr>
          <w:divsChild>
            <w:div w:id="1542743358">
              <w:marLeft w:val="0"/>
              <w:marRight w:val="0"/>
              <w:marTop w:val="0"/>
              <w:marBottom w:val="0"/>
              <w:divBdr>
                <w:top w:val="none" w:sz="0" w:space="0" w:color="auto"/>
                <w:left w:val="none" w:sz="0" w:space="0" w:color="auto"/>
                <w:bottom w:val="none" w:sz="0" w:space="0" w:color="auto"/>
                <w:right w:val="none" w:sz="0" w:space="0" w:color="auto"/>
              </w:divBdr>
              <w:divsChild>
                <w:div w:id="1174147706">
                  <w:marLeft w:val="0"/>
                  <w:marRight w:val="0"/>
                  <w:marTop w:val="0"/>
                  <w:marBottom w:val="0"/>
                  <w:divBdr>
                    <w:top w:val="none" w:sz="0" w:space="0" w:color="auto"/>
                    <w:left w:val="none" w:sz="0" w:space="0" w:color="auto"/>
                    <w:bottom w:val="none" w:sz="0" w:space="0" w:color="auto"/>
                    <w:right w:val="none" w:sz="0" w:space="0" w:color="auto"/>
                  </w:divBdr>
                  <w:divsChild>
                    <w:div w:id="19812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0839">
      <w:bodyDiv w:val="1"/>
      <w:marLeft w:val="0"/>
      <w:marRight w:val="0"/>
      <w:marTop w:val="0"/>
      <w:marBottom w:val="0"/>
      <w:divBdr>
        <w:top w:val="none" w:sz="0" w:space="0" w:color="auto"/>
        <w:left w:val="none" w:sz="0" w:space="0" w:color="auto"/>
        <w:bottom w:val="none" w:sz="0" w:space="0" w:color="auto"/>
        <w:right w:val="none" w:sz="0" w:space="0" w:color="auto"/>
      </w:divBdr>
      <w:divsChild>
        <w:div w:id="822545719">
          <w:marLeft w:val="0"/>
          <w:marRight w:val="0"/>
          <w:marTop w:val="0"/>
          <w:marBottom w:val="0"/>
          <w:divBdr>
            <w:top w:val="none" w:sz="0" w:space="0" w:color="auto"/>
            <w:left w:val="none" w:sz="0" w:space="0" w:color="auto"/>
            <w:bottom w:val="none" w:sz="0" w:space="0" w:color="auto"/>
            <w:right w:val="none" w:sz="0" w:space="0" w:color="auto"/>
          </w:divBdr>
          <w:divsChild>
            <w:div w:id="1808936885">
              <w:marLeft w:val="0"/>
              <w:marRight w:val="0"/>
              <w:marTop w:val="0"/>
              <w:marBottom w:val="0"/>
              <w:divBdr>
                <w:top w:val="none" w:sz="0" w:space="0" w:color="auto"/>
                <w:left w:val="none" w:sz="0" w:space="0" w:color="auto"/>
                <w:bottom w:val="none" w:sz="0" w:space="0" w:color="auto"/>
                <w:right w:val="none" w:sz="0" w:space="0" w:color="auto"/>
              </w:divBdr>
              <w:divsChild>
                <w:div w:id="789130943">
                  <w:marLeft w:val="0"/>
                  <w:marRight w:val="0"/>
                  <w:marTop w:val="0"/>
                  <w:marBottom w:val="0"/>
                  <w:divBdr>
                    <w:top w:val="none" w:sz="0" w:space="0" w:color="auto"/>
                    <w:left w:val="none" w:sz="0" w:space="0" w:color="auto"/>
                    <w:bottom w:val="none" w:sz="0" w:space="0" w:color="auto"/>
                    <w:right w:val="none" w:sz="0" w:space="0" w:color="auto"/>
                  </w:divBdr>
                </w:div>
              </w:divsChild>
            </w:div>
            <w:div w:id="1091196891">
              <w:marLeft w:val="0"/>
              <w:marRight w:val="0"/>
              <w:marTop w:val="0"/>
              <w:marBottom w:val="0"/>
              <w:divBdr>
                <w:top w:val="none" w:sz="0" w:space="0" w:color="auto"/>
                <w:left w:val="none" w:sz="0" w:space="0" w:color="auto"/>
                <w:bottom w:val="none" w:sz="0" w:space="0" w:color="auto"/>
                <w:right w:val="none" w:sz="0" w:space="0" w:color="auto"/>
              </w:divBdr>
              <w:divsChild>
                <w:div w:id="975836124">
                  <w:marLeft w:val="0"/>
                  <w:marRight w:val="0"/>
                  <w:marTop w:val="0"/>
                  <w:marBottom w:val="0"/>
                  <w:divBdr>
                    <w:top w:val="none" w:sz="0" w:space="0" w:color="auto"/>
                    <w:left w:val="none" w:sz="0" w:space="0" w:color="auto"/>
                    <w:bottom w:val="none" w:sz="0" w:space="0" w:color="auto"/>
                    <w:right w:val="none" w:sz="0" w:space="0" w:color="auto"/>
                  </w:divBdr>
                </w:div>
                <w:div w:id="1617985493">
                  <w:marLeft w:val="0"/>
                  <w:marRight w:val="0"/>
                  <w:marTop w:val="0"/>
                  <w:marBottom w:val="0"/>
                  <w:divBdr>
                    <w:top w:val="none" w:sz="0" w:space="0" w:color="auto"/>
                    <w:left w:val="none" w:sz="0" w:space="0" w:color="auto"/>
                    <w:bottom w:val="none" w:sz="0" w:space="0" w:color="auto"/>
                    <w:right w:val="none" w:sz="0" w:space="0" w:color="auto"/>
                  </w:divBdr>
                </w:div>
              </w:divsChild>
            </w:div>
            <w:div w:id="377702590">
              <w:marLeft w:val="0"/>
              <w:marRight w:val="0"/>
              <w:marTop w:val="0"/>
              <w:marBottom w:val="0"/>
              <w:divBdr>
                <w:top w:val="none" w:sz="0" w:space="0" w:color="auto"/>
                <w:left w:val="none" w:sz="0" w:space="0" w:color="auto"/>
                <w:bottom w:val="none" w:sz="0" w:space="0" w:color="auto"/>
                <w:right w:val="none" w:sz="0" w:space="0" w:color="auto"/>
              </w:divBdr>
              <w:divsChild>
                <w:div w:id="47455038">
                  <w:marLeft w:val="0"/>
                  <w:marRight w:val="0"/>
                  <w:marTop w:val="0"/>
                  <w:marBottom w:val="0"/>
                  <w:divBdr>
                    <w:top w:val="none" w:sz="0" w:space="0" w:color="auto"/>
                    <w:left w:val="none" w:sz="0" w:space="0" w:color="auto"/>
                    <w:bottom w:val="none" w:sz="0" w:space="0" w:color="auto"/>
                    <w:right w:val="none" w:sz="0" w:space="0" w:color="auto"/>
                  </w:divBdr>
                </w:div>
                <w:div w:id="4336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8032">
          <w:marLeft w:val="0"/>
          <w:marRight w:val="0"/>
          <w:marTop w:val="0"/>
          <w:marBottom w:val="0"/>
          <w:divBdr>
            <w:top w:val="none" w:sz="0" w:space="0" w:color="auto"/>
            <w:left w:val="none" w:sz="0" w:space="0" w:color="auto"/>
            <w:bottom w:val="none" w:sz="0" w:space="0" w:color="auto"/>
            <w:right w:val="none" w:sz="0" w:space="0" w:color="auto"/>
          </w:divBdr>
          <w:divsChild>
            <w:div w:id="1767917768">
              <w:marLeft w:val="0"/>
              <w:marRight w:val="0"/>
              <w:marTop w:val="0"/>
              <w:marBottom w:val="0"/>
              <w:divBdr>
                <w:top w:val="none" w:sz="0" w:space="0" w:color="auto"/>
                <w:left w:val="none" w:sz="0" w:space="0" w:color="auto"/>
                <w:bottom w:val="none" w:sz="0" w:space="0" w:color="auto"/>
                <w:right w:val="none" w:sz="0" w:space="0" w:color="auto"/>
              </w:divBdr>
              <w:divsChild>
                <w:div w:id="934438852">
                  <w:marLeft w:val="0"/>
                  <w:marRight w:val="0"/>
                  <w:marTop w:val="0"/>
                  <w:marBottom w:val="0"/>
                  <w:divBdr>
                    <w:top w:val="none" w:sz="0" w:space="0" w:color="auto"/>
                    <w:left w:val="none" w:sz="0" w:space="0" w:color="auto"/>
                    <w:bottom w:val="none" w:sz="0" w:space="0" w:color="auto"/>
                    <w:right w:val="none" w:sz="0" w:space="0" w:color="auto"/>
                  </w:divBdr>
                  <w:divsChild>
                    <w:div w:id="18835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79023">
      <w:bodyDiv w:val="1"/>
      <w:marLeft w:val="0"/>
      <w:marRight w:val="0"/>
      <w:marTop w:val="0"/>
      <w:marBottom w:val="0"/>
      <w:divBdr>
        <w:top w:val="none" w:sz="0" w:space="0" w:color="auto"/>
        <w:left w:val="none" w:sz="0" w:space="0" w:color="auto"/>
        <w:bottom w:val="none" w:sz="0" w:space="0" w:color="auto"/>
        <w:right w:val="none" w:sz="0" w:space="0" w:color="auto"/>
      </w:divBdr>
      <w:divsChild>
        <w:div w:id="1065841087">
          <w:marLeft w:val="0"/>
          <w:marRight w:val="0"/>
          <w:marTop w:val="0"/>
          <w:marBottom w:val="0"/>
          <w:divBdr>
            <w:top w:val="none" w:sz="0" w:space="0" w:color="auto"/>
            <w:left w:val="none" w:sz="0" w:space="0" w:color="auto"/>
            <w:bottom w:val="none" w:sz="0" w:space="0" w:color="auto"/>
            <w:right w:val="none" w:sz="0" w:space="0" w:color="auto"/>
          </w:divBdr>
          <w:divsChild>
            <w:div w:id="758256893">
              <w:marLeft w:val="0"/>
              <w:marRight w:val="0"/>
              <w:marTop w:val="0"/>
              <w:marBottom w:val="0"/>
              <w:divBdr>
                <w:top w:val="none" w:sz="0" w:space="0" w:color="auto"/>
                <w:left w:val="none" w:sz="0" w:space="0" w:color="auto"/>
                <w:bottom w:val="none" w:sz="0" w:space="0" w:color="auto"/>
                <w:right w:val="none" w:sz="0" w:space="0" w:color="auto"/>
              </w:divBdr>
              <w:divsChild>
                <w:div w:id="675884160">
                  <w:marLeft w:val="0"/>
                  <w:marRight w:val="0"/>
                  <w:marTop w:val="0"/>
                  <w:marBottom w:val="0"/>
                  <w:divBdr>
                    <w:top w:val="none" w:sz="0" w:space="0" w:color="auto"/>
                    <w:left w:val="none" w:sz="0" w:space="0" w:color="auto"/>
                    <w:bottom w:val="none" w:sz="0" w:space="0" w:color="auto"/>
                    <w:right w:val="none" w:sz="0" w:space="0" w:color="auto"/>
                  </w:divBdr>
                  <w:divsChild>
                    <w:div w:id="18476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97751">
      <w:bodyDiv w:val="1"/>
      <w:marLeft w:val="0"/>
      <w:marRight w:val="0"/>
      <w:marTop w:val="0"/>
      <w:marBottom w:val="0"/>
      <w:divBdr>
        <w:top w:val="none" w:sz="0" w:space="0" w:color="auto"/>
        <w:left w:val="none" w:sz="0" w:space="0" w:color="auto"/>
        <w:bottom w:val="none" w:sz="0" w:space="0" w:color="auto"/>
        <w:right w:val="none" w:sz="0" w:space="0" w:color="auto"/>
      </w:divBdr>
      <w:divsChild>
        <w:div w:id="1604528244">
          <w:marLeft w:val="0"/>
          <w:marRight w:val="0"/>
          <w:marTop w:val="0"/>
          <w:marBottom w:val="0"/>
          <w:divBdr>
            <w:top w:val="none" w:sz="0" w:space="0" w:color="auto"/>
            <w:left w:val="none" w:sz="0" w:space="0" w:color="auto"/>
            <w:bottom w:val="none" w:sz="0" w:space="0" w:color="auto"/>
            <w:right w:val="none" w:sz="0" w:space="0" w:color="auto"/>
          </w:divBdr>
          <w:divsChild>
            <w:div w:id="606929305">
              <w:marLeft w:val="0"/>
              <w:marRight w:val="0"/>
              <w:marTop w:val="0"/>
              <w:marBottom w:val="0"/>
              <w:divBdr>
                <w:top w:val="none" w:sz="0" w:space="0" w:color="auto"/>
                <w:left w:val="none" w:sz="0" w:space="0" w:color="auto"/>
                <w:bottom w:val="none" w:sz="0" w:space="0" w:color="auto"/>
                <w:right w:val="none" w:sz="0" w:space="0" w:color="auto"/>
              </w:divBdr>
              <w:divsChild>
                <w:div w:id="1383824537">
                  <w:marLeft w:val="0"/>
                  <w:marRight w:val="0"/>
                  <w:marTop w:val="0"/>
                  <w:marBottom w:val="0"/>
                  <w:divBdr>
                    <w:top w:val="none" w:sz="0" w:space="0" w:color="auto"/>
                    <w:left w:val="none" w:sz="0" w:space="0" w:color="auto"/>
                    <w:bottom w:val="none" w:sz="0" w:space="0" w:color="auto"/>
                    <w:right w:val="none" w:sz="0" w:space="0" w:color="auto"/>
                  </w:divBdr>
                  <w:divsChild>
                    <w:div w:id="6667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61648">
      <w:bodyDiv w:val="1"/>
      <w:marLeft w:val="0"/>
      <w:marRight w:val="0"/>
      <w:marTop w:val="0"/>
      <w:marBottom w:val="0"/>
      <w:divBdr>
        <w:top w:val="none" w:sz="0" w:space="0" w:color="auto"/>
        <w:left w:val="none" w:sz="0" w:space="0" w:color="auto"/>
        <w:bottom w:val="none" w:sz="0" w:space="0" w:color="auto"/>
        <w:right w:val="none" w:sz="0" w:space="0" w:color="auto"/>
      </w:divBdr>
      <w:divsChild>
        <w:div w:id="25714667">
          <w:marLeft w:val="0"/>
          <w:marRight w:val="0"/>
          <w:marTop w:val="0"/>
          <w:marBottom w:val="0"/>
          <w:divBdr>
            <w:top w:val="none" w:sz="0" w:space="0" w:color="auto"/>
            <w:left w:val="none" w:sz="0" w:space="0" w:color="auto"/>
            <w:bottom w:val="none" w:sz="0" w:space="0" w:color="auto"/>
            <w:right w:val="none" w:sz="0" w:space="0" w:color="auto"/>
          </w:divBdr>
          <w:divsChild>
            <w:div w:id="1103304115">
              <w:marLeft w:val="0"/>
              <w:marRight w:val="0"/>
              <w:marTop w:val="0"/>
              <w:marBottom w:val="0"/>
              <w:divBdr>
                <w:top w:val="none" w:sz="0" w:space="0" w:color="auto"/>
                <w:left w:val="none" w:sz="0" w:space="0" w:color="auto"/>
                <w:bottom w:val="none" w:sz="0" w:space="0" w:color="auto"/>
                <w:right w:val="none" w:sz="0" w:space="0" w:color="auto"/>
              </w:divBdr>
              <w:divsChild>
                <w:div w:id="716857396">
                  <w:marLeft w:val="0"/>
                  <w:marRight w:val="0"/>
                  <w:marTop w:val="0"/>
                  <w:marBottom w:val="0"/>
                  <w:divBdr>
                    <w:top w:val="none" w:sz="0" w:space="0" w:color="auto"/>
                    <w:left w:val="none" w:sz="0" w:space="0" w:color="auto"/>
                    <w:bottom w:val="none" w:sz="0" w:space="0" w:color="auto"/>
                    <w:right w:val="none" w:sz="0" w:space="0" w:color="auto"/>
                  </w:divBdr>
                  <w:divsChild>
                    <w:div w:id="6640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148832">
      <w:bodyDiv w:val="1"/>
      <w:marLeft w:val="0"/>
      <w:marRight w:val="0"/>
      <w:marTop w:val="0"/>
      <w:marBottom w:val="0"/>
      <w:divBdr>
        <w:top w:val="none" w:sz="0" w:space="0" w:color="auto"/>
        <w:left w:val="none" w:sz="0" w:space="0" w:color="auto"/>
        <w:bottom w:val="none" w:sz="0" w:space="0" w:color="auto"/>
        <w:right w:val="none" w:sz="0" w:space="0" w:color="auto"/>
      </w:divBdr>
      <w:divsChild>
        <w:div w:id="1630284112">
          <w:marLeft w:val="0"/>
          <w:marRight w:val="0"/>
          <w:marTop w:val="0"/>
          <w:marBottom w:val="0"/>
          <w:divBdr>
            <w:top w:val="none" w:sz="0" w:space="0" w:color="auto"/>
            <w:left w:val="none" w:sz="0" w:space="0" w:color="auto"/>
            <w:bottom w:val="none" w:sz="0" w:space="0" w:color="auto"/>
            <w:right w:val="none" w:sz="0" w:space="0" w:color="auto"/>
          </w:divBdr>
          <w:divsChild>
            <w:div w:id="601642369">
              <w:marLeft w:val="0"/>
              <w:marRight w:val="0"/>
              <w:marTop w:val="0"/>
              <w:marBottom w:val="0"/>
              <w:divBdr>
                <w:top w:val="none" w:sz="0" w:space="0" w:color="auto"/>
                <w:left w:val="none" w:sz="0" w:space="0" w:color="auto"/>
                <w:bottom w:val="none" w:sz="0" w:space="0" w:color="auto"/>
                <w:right w:val="none" w:sz="0" w:space="0" w:color="auto"/>
              </w:divBdr>
              <w:divsChild>
                <w:div w:id="447817318">
                  <w:marLeft w:val="0"/>
                  <w:marRight w:val="0"/>
                  <w:marTop w:val="0"/>
                  <w:marBottom w:val="0"/>
                  <w:divBdr>
                    <w:top w:val="none" w:sz="0" w:space="0" w:color="auto"/>
                    <w:left w:val="none" w:sz="0" w:space="0" w:color="auto"/>
                    <w:bottom w:val="none" w:sz="0" w:space="0" w:color="auto"/>
                    <w:right w:val="none" w:sz="0" w:space="0" w:color="auto"/>
                  </w:divBdr>
                  <w:divsChild>
                    <w:div w:id="4831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12045">
      <w:bodyDiv w:val="1"/>
      <w:marLeft w:val="0"/>
      <w:marRight w:val="0"/>
      <w:marTop w:val="0"/>
      <w:marBottom w:val="0"/>
      <w:divBdr>
        <w:top w:val="none" w:sz="0" w:space="0" w:color="auto"/>
        <w:left w:val="none" w:sz="0" w:space="0" w:color="auto"/>
        <w:bottom w:val="none" w:sz="0" w:space="0" w:color="auto"/>
        <w:right w:val="none" w:sz="0" w:space="0" w:color="auto"/>
      </w:divBdr>
      <w:divsChild>
        <w:div w:id="1090392896">
          <w:marLeft w:val="0"/>
          <w:marRight w:val="0"/>
          <w:marTop w:val="0"/>
          <w:marBottom w:val="0"/>
          <w:divBdr>
            <w:top w:val="none" w:sz="0" w:space="0" w:color="auto"/>
            <w:left w:val="none" w:sz="0" w:space="0" w:color="auto"/>
            <w:bottom w:val="none" w:sz="0" w:space="0" w:color="auto"/>
            <w:right w:val="none" w:sz="0" w:space="0" w:color="auto"/>
          </w:divBdr>
          <w:divsChild>
            <w:div w:id="452016140">
              <w:marLeft w:val="0"/>
              <w:marRight w:val="0"/>
              <w:marTop w:val="0"/>
              <w:marBottom w:val="0"/>
              <w:divBdr>
                <w:top w:val="none" w:sz="0" w:space="0" w:color="auto"/>
                <w:left w:val="none" w:sz="0" w:space="0" w:color="auto"/>
                <w:bottom w:val="none" w:sz="0" w:space="0" w:color="auto"/>
                <w:right w:val="none" w:sz="0" w:space="0" w:color="auto"/>
              </w:divBdr>
              <w:divsChild>
                <w:div w:id="1678384921">
                  <w:marLeft w:val="0"/>
                  <w:marRight w:val="0"/>
                  <w:marTop w:val="0"/>
                  <w:marBottom w:val="0"/>
                  <w:divBdr>
                    <w:top w:val="none" w:sz="0" w:space="0" w:color="auto"/>
                    <w:left w:val="none" w:sz="0" w:space="0" w:color="auto"/>
                    <w:bottom w:val="none" w:sz="0" w:space="0" w:color="auto"/>
                    <w:right w:val="none" w:sz="0" w:space="0" w:color="auto"/>
                  </w:divBdr>
                  <w:divsChild>
                    <w:div w:id="4679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C54AFFAA7622/asr" TargetMode="External"/><Relationship Id="rId18" Type="http://schemas.openxmlformats.org/officeDocument/2006/relationships/hyperlink" Target="https://www.e-tar.lt/portal/lt/legalAct/TAR.C54AFFAA7622/asr" TargetMode="External"/><Relationship Id="rId26" Type="http://schemas.openxmlformats.org/officeDocument/2006/relationships/hyperlink" Target="https://www.e-tar.lt/portal/lt/legalAct/TAR.9E302593CE80/asr" TargetMode="External"/><Relationship Id="rId39" Type="http://schemas.openxmlformats.org/officeDocument/2006/relationships/hyperlink" Target="https://epilietis.lrv.lt/uploads/epilietis/documents/files/A_LRV_visas_el_leidinys_WEB.pdf"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e-seimas.lrs.lt/portal/legalAct/lt/TAD/TAIS.77016" TargetMode="External"/><Relationship Id="rId42" Type="http://schemas.openxmlformats.org/officeDocument/2006/relationships/hyperlink" Target="https://e-seimas.lrs.lt/portal/legalAct/lt/TAD/TAIS.373548?jfwid=4t02bwlx4" TargetMode="External"/><Relationship Id="rId47" Type="http://schemas.openxmlformats.org/officeDocument/2006/relationships/hyperlink" Target="http://www.ndt.lt/neigaliuju-teisiu-konvencija/" TargetMode="External"/><Relationship Id="rId50" Type="http://schemas.openxmlformats.org/officeDocument/2006/relationships/hyperlink" Target="https://www.esinvesticijos.lt/lt/pasirengimas-2021-2027/2021-2027-m-es-fondu-investavimo-krypciu-aptarimai-su-partneriais" TargetMode="External"/><Relationship Id="rId55" Type="http://schemas.openxmlformats.org/officeDocument/2006/relationships/hyperlink" Target="https://epilietis.lrv.lt/uploads/epilietis/documents/files/A_LRV_visas_el_leidinys_WEB.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eimas.lrs.lt/portal/legalAct/lt/TAD/f82d89d12fcb11e79f4996496b137f39/asr" TargetMode="External"/><Relationship Id="rId29" Type="http://schemas.openxmlformats.org/officeDocument/2006/relationships/hyperlink" Target="https://e-seimas.lrs.lt/portal/legalAct/lt/TAD/TAIS.256730/asr" TargetMode="External"/><Relationship Id="rId11" Type="http://schemas.openxmlformats.org/officeDocument/2006/relationships/hyperlink" Target="https://www.e-tar.lt/portal/lt/legalAct/784977e04b7f11e7846ef01bfffb9b64/asr" TargetMode="External"/><Relationship Id="rId24" Type="http://schemas.openxmlformats.org/officeDocument/2006/relationships/hyperlink" Target="http://eur-lex.europa.eu/legal-content/LIT/TXT/?uri=CELEX:3972R2020&amp;locale=lt" TargetMode="External"/><Relationship Id="rId32" Type="http://schemas.openxmlformats.org/officeDocument/2006/relationships/hyperlink" Target="https://ec.europa.eu/competition/elojade/isef/index.cfm" TargetMode="External"/><Relationship Id="rId37" Type="http://schemas.openxmlformats.org/officeDocument/2006/relationships/hyperlink" Target="https://www.esinvesticijos.lt/lt/pasirengimas-2021-2027/2021-2027-m-es-fondu-investavimo-krypciu-aptarimai-su-partneriais" TargetMode="External"/><Relationship Id="rId40" Type="http://schemas.openxmlformats.org/officeDocument/2006/relationships/hyperlink" Target="https://eur-lex.europa.eu/legal-content/EN/TXT/PDF/?uri=OJ:C:2016:269:FULL&amp;from=ET" TargetMode="External"/><Relationship Id="rId45" Type="http://schemas.openxmlformats.org/officeDocument/2006/relationships/hyperlink" Target="https://e-seimas.lrs.lt/portal/legalAct/lt/TAD/90386d20bab711ea9a12d0dada3ca61b" TargetMode="External"/><Relationship Id="rId53" Type="http://schemas.openxmlformats.org/officeDocument/2006/relationships/hyperlink" Target="https://e-seimas.lrs.lt/portal/legalAct/lt/TAD/5e3aa191a8e511eb98ccba226c8a14d7"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vpt.lrv.lt/lt/naujienos/pasirasyta-trisale-bendradarbiavimo-sutartis" TargetMode="External"/><Relationship Id="rId4" Type="http://schemas.openxmlformats.org/officeDocument/2006/relationships/settings" Target="settings.xml"/><Relationship Id="rId9" Type="http://schemas.openxmlformats.org/officeDocument/2006/relationships/hyperlink" Target="https://e-seimas.lrs.lt/portal/legalAct/lt/TAD/f82d89d12fcb11e79f4996496b137f39/asr" TargetMode="External"/><Relationship Id="rId14" Type="http://schemas.openxmlformats.org/officeDocument/2006/relationships/hyperlink" Target="http://vpt.lrv.lt/lt/statistika-ir-analize" TargetMode="External"/><Relationship Id="rId22" Type="http://schemas.openxmlformats.org/officeDocument/2006/relationships/hyperlink" Target="https://www.e-tar.lt/portal/lt/legalAct/35957860f54a11e39cfacd978b6fd9bb/asr" TargetMode="External"/><Relationship Id="rId27" Type="http://schemas.openxmlformats.org/officeDocument/2006/relationships/hyperlink" Target="https://e-seimas.lrs.lt/portal/legalAct/lt/TAD/9bc25c404ff711e485f39f55fd139d01/asr" TargetMode="External"/><Relationship Id="rId30" Type="http://schemas.openxmlformats.org/officeDocument/2006/relationships/hyperlink" Target="https://e-seimas.lrs.lt/portal/legalAct/lt/TAD/b52a4890c12711e48799bc57840226ce/asr" TargetMode="External"/><Relationship Id="rId35" Type="http://schemas.openxmlformats.org/officeDocument/2006/relationships/hyperlink" Target="https://e-seimas.lrs.lt/portal/legalAct/lt/TAD/TAIS.83679" TargetMode="External"/><Relationship Id="rId43" Type="http://schemas.openxmlformats.org/officeDocument/2006/relationships/hyperlink" Target="https://e-seimas.lrs.lt/portal/legalAct/lt/TAD/a32cf816a3a711e9aab6d8dd69c6da66?jfwid=-py58q7u2n" TargetMode="External"/><Relationship Id="rId48" Type="http://schemas.openxmlformats.org/officeDocument/2006/relationships/hyperlink" Target="https://e-seimas.lrs.lt/portal/legalAct/lt/TAD/TAIS.222522/IGdztBjtgR" TargetMode="External"/><Relationship Id="rId56" Type="http://schemas.openxmlformats.org/officeDocument/2006/relationships/footer" Target="footer1.xml"/><Relationship Id="rId8" Type="http://schemas.openxmlformats.org/officeDocument/2006/relationships/hyperlink" Target="https://www.e-tar.lt/portal/lt/legalAct/TAR.C54AFFAA7622/asr" TargetMode="External"/><Relationship Id="rId51" Type="http://schemas.openxmlformats.org/officeDocument/2006/relationships/hyperlink" Target="https://lrv.lt/lt/aktuali-informacija/xvii-vyriausybe/strateginis-valdymas/2021-2030-m-nacionalinis-pazangos-planas" TargetMode="External"/><Relationship Id="rId3" Type="http://schemas.openxmlformats.org/officeDocument/2006/relationships/styles" Target="styles.xml"/><Relationship Id="rId12" Type="http://schemas.openxmlformats.org/officeDocument/2006/relationships/hyperlink" Target="https://cvpp.eviesiejipirkimai.lt/ReportsOrProtocol" TargetMode="External"/><Relationship Id="rId17" Type="http://schemas.openxmlformats.org/officeDocument/2006/relationships/hyperlink" Target="http://vpt.lrv.lt/uploads/vpt/documents/files/Pirkimu_stebesenos_ataskaita_2017_m.pdf" TargetMode="External"/><Relationship Id="rId25" Type="http://schemas.openxmlformats.org/officeDocument/2006/relationships/hyperlink" Target="http://www.avnt.lt/veiklos-sritys/nemokumas-2/" TargetMode="External"/><Relationship Id="rId33" Type="http://schemas.openxmlformats.org/officeDocument/2006/relationships/hyperlink" Target="https://www.e-tar.lt/portal/lt/legalAct/TAR.E01B0C98E737/asr" TargetMode="External"/><Relationship Id="rId38" Type="http://schemas.openxmlformats.org/officeDocument/2006/relationships/hyperlink" Target="https://eur-lex.europa.eu/legal-content/EN/TXT/PDF/?uri=CELEX:32014R0240&amp;from=EN" TargetMode="External"/><Relationship Id="rId46" Type="http://schemas.openxmlformats.org/officeDocument/2006/relationships/hyperlink" Target="https://e-seimas.lrs.lt/portal/legalAct/lt/TAD/c581fd14438311eca8a1caec3ec4b244?jfwid=rivwzvpvg" TargetMode="External"/><Relationship Id="rId20" Type="http://schemas.openxmlformats.org/officeDocument/2006/relationships/hyperlink" Target="https://www.kt.gov.lt/karteliai-viesuosiuose-pirkimuose-2" TargetMode="External"/><Relationship Id="rId41" Type="http://schemas.openxmlformats.org/officeDocument/2006/relationships/hyperlink" Target="https://e-seimas.lrs.lt/portal/legalAct/lt/TAD/TAIS.373548?jfwid=4t02bwlx4" TargetMode="External"/><Relationship Id="rId54" Type="http://schemas.openxmlformats.org/officeDocument/2006/relationships/hyperlink" Target="https://eur-lex.europa.eu/legal-content/EN/TXT/PDF/?uri=CELEX:32014R0240&amp;from=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t/legalAct/TAR.C54AFFAA7622/asr" TargetMode="External"/><Relationship Id="rId23" Type="http://schemas.openxmlformats.org/officeDocument/2006/relationships/hyperlink" Target="http://eur-lex.europa.eu/legal-content/LIT/TXT/?uri=CELEX:32014R0651&amp;locale=lt" TargetMode="External"/><Relationship Id="rId28" Type="http://schemas.openxmlformats.org/officeDocument/2006/relationships/hyperlink" Target="https://ec.europa.eu/competition/elojade/isef/index.cfm" TargetMode="External"/><Relationship Id="rId36" Type="http://schemas.openxmlformats.org/officeDocument/2006/relationships/hyperlink" Target="https://www.e-tar.lt/portal/lt/legalAct/35957860f54a11e39cfacd978b6fd9bb/asr" TargetMode="External"/><Relationship Id="rId49" Type="http://schemas.openxmlformats.org/officeDocument/2006/relationships/hyperlink" Target="https://www.lygybe.lt/data/public/uploads/2019/06/zmoniu-su-negalia-teisiu-stebesenos-komisijos-nuostatai-.pdf" TargetMode="External"/><Relationship Id="rId57" Type="http://schemas.openxmlformats.org/officeDocument/2006/relationships/fontTable" Target="fontTable.xml"/><Relationship Id="rId10" Type="http://schemas.openxmlformats.org/officeDocument/2006/relationships/hyperlink" Target="https://vpt.lrv.lt/lt/statistika-ir-analize/ataskaitos-europos-komisijai" TargetMode="External"/><Relationship Id="rId31" Type="http://schemas.openxmlformats.org/officeDocument/2006/relationships/hyperlink" Target="https://e-seimas.lrs.lt/portal/legalAct/lt/TAD/ac49b6d229df11eb8c97e01ffe050e1c/asr" TargetMode="External"/><Relationship Id="rId44" Type="http://schemas.openxmlformats.org/officeDocument/2006/relationships/hyperlink" Target="https://www.e-tar.lt/portal/lt/legalAct/8c27c230f1b211eaa12ad7c04a383ca0" TargetMode="External"/><Relationship Id="rId52" Type="http://schemas.openxmlformats.org/officeDocument/2006/relationships/hyperlink" Target="https://e-seimas.lrs.lt/portal/legalAct/lt/TAD/90386d20bab711ea9a12d0dada3ca61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9B8C7-5782-47D3-8531-CBADA5F0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7473</Words>
  <Characters>42599</Characters>
  <Application>Microsoft Office Word</Application>
  <DocSecurity>0</DocSecurity>
  <Lines>354</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Zigmantaitė</dc:creator>
  <cp:lastModifiedBy>Urtė Morozovaitė</cp:lastModifiedBy>
  <cp:revision>1</cp:revision>
  <dcterms:created xsi:type="dcterms:W3CDTF">2024-03-14T12:39:00Z</dcterms:created>
  <dcterms:modified xsi:type="dcterms:W3CDTF">2024-03-14T12:39:00Z</dcterms:modified>
</cp:coreProperties>
</file>