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D07F" w14:textId="5E5C23A2" w:rsidR="00AC6DDF" w:rsidRDefault="00136597" w:rsidP="00136597">
      <w:pPr>
        <w:jc w:val="right"/>
        <w:rPr>
          <w:b/>
          <w:sz w:val="22"/>
          <w:szCs w:val="22"/>
        </w:rPr>
      </w:pPr>
      <w:r w:rsidRPr="00136597">
        <w:rPr>
          <w:b/>
          <w:sz w:val="22"/>
          <w:szCs w:val="22"/>
        </w:rPr>
        <w:t>Projektas</w:t>
      </w:r>
    </w:p>
    <w:p w14:paraId="0FCFEAA7" w14:textId="77777777" w:rsidR="001F7F7B" w:rsidRDefault="001F7F7B" w:rsidP="00136597">
      <w:pPr>
        <w:jc w:val="right"/>
        <w:rPr>
          <w:b/>
          <w:sz w:val="22"/>
          <w:szCs w:val="22"/>
        </w:rPr>
      </w:pPr>
    </w:p>
    <w:p w14:paraId="5FE996C6" w14:textId="6B307F40" w:rsidR="001F7F7B" w:rsidRPr="00136597" w:rsidRDefault="001F7F7B" w:rsidP="002D6D4C">
      <w:pPr>
        <w:ind w:left="9000"/>
        <w:jc w:val="both"/>
        <w:rPr>
          <w:b/>
          <w:iCs/>
          <w:szCs w:val="24"/>
        </w:rPr>
      </w:pPr>
      <w:r w:rsidRPr="001F7F7B">
        <w:rPr>
          <w:bCs/>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527312">
        <w:rPr>
          <w:szCs w:val="24"/>
        </w:rPr>
        <w:t>aprašo</w:t>
      </w:r>
      <w:r w:rsidR="002D6D4C">
        <w:rPr>
          <w:szCs w:val="24"/>
        </w:rPr>
        <w:t xml:space="preserve"> </w:t>
      </w:r>
      <w:r w:rsidR="002D6D4C" w:rsidRPr="002D6D4C">
        <w:rPr>
          <w:bCs/>
          <w:szCs w:val="24"/>
        </w:rPr>
        <w:t>1</w:t>
      </w:r>
      <w:r w:rsidRPr="002D6D4C">
        <w:rPr>
          <w:bCs/>
          <w:szCs w:val="24"/>
        </w:rPr>
        <w:t xml:space="preserve"> priedas</w:t>
      </w:r>
    </w:p>
    <w:p w14:paraId="5AEDAB5D" w14:textId="77777777" w:rsidR="00AC6DDF" w:rsidRDefault="00AC6DDF">
      <w:pPr>
        <w:jc w:val="center"/>
        <w:rPr>
          <w:i/>
          <w:szCs w:val="24"/>
        </w:rPr>
      </w:pPr>
    </w:p>
    <w:p w14:paraId="5F206932" w14:textId="4CF8B788" w:rsidR="000F0C16" w:rsidRPr="000F0C16" w:rsidRDefault="00D83C3A" w:rsidP="000F0C16">
      <w:pPr>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0" w:name="_Hlk100578052"/>
      <w:r w:rsidRPr="000F0C16">
        <w:rPr>
          <w:b/>
          <w:bCs/>
          <w:szCs w:val="24"/>
        </w:rPr>
        <w:t xml:space="preserve">NR. </w:t>
      </w:r>
      <w:r w:rsidRPr="0047771F">
        <w:rPr>
          <w:b/>
          <w:bCs/>
          <w:szCs w:val="24"/>
        </w:rPr>
        <w:t>05-001-01-04-02</w:t>
      </w:r>
      <w:r w:rsidRPr="000F0C16">
        <w:rPr>
          <w:b/>
          <w:bCs/>
          <w:szCs w:val="24"/>
        </w:rPr>
        <w:t xml:space="preserve"> „</w:t>
      </w:r>
      <w:r w:rsidRPr="00097DE6">
        <w:rPr>
          <w:b/>
          <w:bCs/>
          <w:szCs w:val="24"/>
        </w:rPr>
        <w:t>SKATINTI ĮMONES PEREITI LINK NEUTRALIOS KLIMATUI EKONOMIKOS</w:t>
      </w:r>
      <w:r w:rsidRPr="000F0C16">
        <w:rPr>
          <w:b/>
          <w:bCs/>
          <w:szCs w:val="24"/>
        </w:rPr>
        <w:t>“ VEIKLOS „</w:t>
      </w:r>
      <w:r w:rsidRPr="00F936CC">
        <w:rPr>
          <w:b/>
          <w:bCs/>
          <w:szCs w:val="24"/>
        </w:rPr>
        <w:t xml:space="preserve">SKATINTI </w:t>
      </w:r>
      <w:r>
        <w:rPr>
          <w:b/>
          <w:bCs/>
          <w:szCs w:val="24"/>
        </w:rPr>
        <w:t>ATSINAUJINANČIŲ ENERGIJOS IŠTEKLIŲ</w:t>
      </w:r>
      <w:r w:rsidRPr="00F936CC">
        <w:rPr>
          <w:b/>
          <w:bCs/>
          <w:szCs w:val="24"/>
        </w:rPr>
        <w:t xml:space="preserve"> DIEGIMĄ PRAMONĖS ĮMONĖSE</w:t>
      </w:r>
      <w:r w:rsidRPr="000F0C16">
        <w:rPr>
          <w:b/>
          <w:bCs/>
          <w:szCs w:val="24"/>
        </w:rPr>
        <w:t>“ PROJEKTŲ FINANSAVIMO SĄLYGŲ APRAŠAS</w:t>
      </w:r>
      <w:bookmarkEnd w:id="0"/>
    </w:p>
    <w:p w14:paraId="6061BED8" w14:textId="77777777" w:rsidR="00AC6DDF" w:rsidRDefault="00AC6DDF">
      <w:pPr>
        <w:rPr>
          <w:i/>
          <w:szCs w:val="24"/>
        </w:rPr>
      </w:pPr>
    </w:p>
    <w:p w14:paraId="2FB5E31A" w14:textId="77777777" w:rsidR="00AC6DDF" w:rsidRDefault="00AC6DD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AC6DDF" w14:paraId="05C858E6" w14:textId="77777777">
        <w:tc>
          <w:tcPr>
            <w:tcW w:w="14856" w:type="dxa"/>
            <w:gridSpan w:val="12"/>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tc>
          <w:tcPr>
            <w:tcW w:w="1110" w:type="dxa"/>
            <w:vAlign w:val="center"/>
          </w:tcPr>
          <w:p w14:paraId="72071025" w14:textId="77777777" w:rsidR="00AC6DDF" w:rsidRDefault="00320FC9">
            <w:pPr>
              <w:jc w:val="center"/>
              <w:rPr>
                <w:b/>
                <w:sz w:val="20"/>
                <w:szCs w:val="22"/>
              </w:rPr>
            </w:pPr>
            <w:r>
              <w:rPr>
                <w:b/>
                <w:sz w:val="20"/>
                <w:szCs w:val="22"/>
              </w:rPr>
              <w:t>Veiklos ar poveiklėspavadini-mas</w:t>
            </w:r>
          </w:p>
        </w:tc>
        <w:tc>
          <w:tcPr>
            <w:tcW w:w="1023" w:type="dxa"/>
            <w:vAlign w:val="center"/>
          </w:tcPr>
          <w:p w14:paraId="14035C2C" w14:textId="77777777" w:rsidR="00AC6DDF" w:rsidRDefault="00320FC9">
            <w:pPr>
              <w:jc w:val="center"/>
              <w:rPr>
                <w:b/>
                <w:sz w:val="20"/>
                <w:szCs w:val="22"/>
              </w:rPr>
            </w:pPr>
            <w:r>
              <w:rPr>
                <w:b/>
                <w:sz w:val="20"/>
                <w:szCs w:val="22"/>
              </w:rPr>
              <w:t>Finansa-vimo šaltinis</w:t>
            </w:r>
          </w:p>
        </w:tc>
        <w:tc>
          <w:tcPr>
            <w:tcW w:w="1236" w:type="dxa"/>
            <w:vAlign w:val="center"/>
          </w:tcPr>
          <w:p w14:paraId="5FF3B9DB" w14:textId="77777777" w:rsidR="00AC6DDF" w:rsidRDefault="00320FC9">
            <w:pPr>
              <w:jc w:val="center"/>
              <w:rPr>
                <w:b/>
                <w:sz w:val="20"/>
                <w:szCs w:val="22"/>
              </w:rPr>
            </w:pPr>
            <w:r>
              <w:rPr>
                <w:b/>
                <w:bCs/>
                <w:sz w:val="20"/>
                <w:szCs w:val="22"/>
              </w:rPr>
              <w:t>Prioritetas ar komponen-tas</w:t>
            </w:r>
          </w:p>
        </w:tc>
        <w:tc>
          <w:tcPr>
            <w:tcW w:w="1134" w:type="dxa"/>
            <w:vAlign w:val="center"/>
          </w:tcPr>
          <w:p w14:paraId="242DF767" w14:textId="77777777" w:rsidR="00AC6DDF" w:rsidRDefault="00320FC9">
            <w:pPr>
              <w:jc w:val="center"/>
              <w:rPr>
                <w:b/>
                <w:sz w:val="20"/>
                <w:szCs w:val="22"/>
              </w:rPr>
            </w:pPr>
            <w:r>
              <w:rPr>
                <w:b/>
                <w:bCs/>
                <w:sz w:val="20"/>
                <w:szCs w:val="22"/>
              </w:rPr>
              <w:t>Uždavi-nys ar priemonė</w:t>
            </w:r>
          </w:p>
        </w:tc>
        <w:tc>
          <w:tcPr>
            <w:tcW w:w="992" w:type="dxa"/>
            <w:vAlign w:val="center"/>
          </w:tcPr>
          <w:p w14:paraId="1278F307" w14:textId="77777777" w:rsidR="00AC6DDF" w:rsidRDefault="00320FC9">
            <w:pPr>
              <w:jc w:val="center"/>
              <w:rPr>
                <w:b/>
                <w:sz w:val="20"/>
                <w:szCs w:val="22"/>
              </w:rPr>
            </w:pPr>
            <w:r>
              <w:rPr>
                <w:b/>
                <w:bCs/>
                <w:sz w:val="20"/>
                <w:szCs w:val="22"/>
              </w:rPr>
              <w:t>Veikla ar poveiklė</w:t>
            </w:r>
          </w:p>
        </w:tc>
        <w:tc>
          <w:tcPr>
            <w:tcW w:w="1984" w:type="dxa"/>
            <w:vAlign w:val="center"/>
          </w:tcPr>
          <w:p w14:paraId="45100765" w14:textId="77777777" w:rsidR="00AC6DDF" w:rsidRDefault="00320FC9">
            <w:pPr>
              <w:jc w:val="center"/>
              <w:rPr>
                <w:b/>
                <w:sz w:val="20"/>
                <w:szCs w:val="22"/>
              </w:rPr>
            </w:pPr>
            <w:r>
              <w:rPr>
                <w:b/>
                <w:sz w:val="20"/>
                <w:szCs w:val="22"/>
              </w:rPr>
              <w:t>Intervencinės priemonės kodas</w:t>
            </w:r>
          </w:p>
        </w:tc>
        <w:tc>
          <w:tcPr>
            <w:tcW w:w="1344" w:type="dxa"/>
            <w:vAlign w:val="center"/>
          </w:tcPr>
          <w:p w14:paraId="12F87BD8" w14:textId="77777777" w:rsidR="00AC6DDF" w:rsidRDefault="00320FC9">
            <w:pPr>
              <w:jc w:val="center"/>
              <w:rPr>
                <w:b/>
                <w:bCs/>
                <w:sz w:val="20"/>
                <w:szCs w:val="22"/>
              </w:rPr>
            </w:pPr>
            <w:r>
              <w:rPr>
                <w:b/>
                <w:sz w:val="20"/>
              </w:rPr>
              <w:t>Regionas, kuriam priskiriama veikla ar poveiklė</w:t>
            </w:r>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344"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328" w:type="dxa"/>
            <w:vAlign w:val="center"/>
          </w:tcPr>
          <w:p w14:paraId="7181419F" w14:textId="77777777" w:rsidR="00AC6DDF" w:rsidRDefault="00320FC9">
            <w:pPr>
              <w:jc w:val="center"/>
              <w:rPr>
                <w:b/>
                <w:sz w:val="20"/>
                <w:szCs w:val="22"/>
              </w:rPr>
            </w:pPr>
            <w:r>
              <w:rPr>
                <w:b/>
                <w:bCs/>
                <w:sz w:val="20"/>
                <w:szCs w:val="22"/>
              </w:rPr>
              <w:t>Ekonominės veiklos kodas (-ai)</w:t>
            </w:r>
          </w:p>
        </w:tc>
        <w:tc>
          <w:tcPr>
            <w:tcW w:w="1132"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49" w:type="dxa"/>
            <w:vAlign w:val="center"/>
          </w:tcPr>
          <w:p w14:paraId="79188894" w14:textId="77777777" w:rsidR="00AC6DDF" w:rsidRDefault="00320FC9">
            <w:pPr>
              <w:jc w:val="center"/>
              <w:rPr>
                <w:b/>
                <w:bCs/>
                <w:sz w:val="20"/>
                <w:szCs w:val="22"/>
              </w:rPr>
            </w:pPr>
            <w:r>
              <w:rPr>
                <w:b/>
                <w:bCs/>
                <w:sz w:val="20"/>
                <w:szCs w:val="22"/>
              </w:rPr>
              <w:t>Lyčių lygybės matmens kodas</w:t>
            </w:r>
          </w:p>
        </w:tc>
      </w:tr>
      <w:tr w:rsidR="00AC6DDF" w14:paraId="10D314A2" w14:textId="77777777" w:rsidTr="00136597">
        <w:trPr>
          <w:trHeight w:val="2464"/>
        </w:trPr>
        <w:tc>
          <w:tcPr>
            <w:tcW w:w="1110" w:type="dxa"/>
            <w:tcMar>
              <w:left w:w="28" w:type="dxa"/>
              <w:right w:w="28" w:type="dxa"/>
            </w:tcMar>
          </w:tcPr>
          <w:p w14:paraId="00FFEA9B" w14:textId="4ADA3FBB" w:rsidR="004B3FBC" w:rsidRPr="00E13860" w:rsidRDefault="006744C0">
            <w:pPr>
              <w:jc w:val="center"/>
              <w:rPr>
                <w:bCs/>
                <w:iCs/>
                <w:sz w:val="20"/>
              </w:rPr>
            </w:pPr>
            <w:bookmarkStart w:id="1" w:name="_Hlk107294446"/>
            <w:r w:rsidRPr="00E13860">
              <w:rPr>
                <w:bCs/>
                <w:iCs/>
                <w:sz w:val="20"/>
              </w:rPr>
              <w:t xml:space="preserve">Skatinti </w:t>
            </w:r>
            <w:r w:rsidR="0059001C" w:rsidRPr="00E13860">
              <w:rPr>
                <w:bCs/>
                <w:iCs/>
                <w:sz w:val="20"/>
              </w:rPr>
              <w:t xml:space="preserve">atsinaujinančių energijos </w:t>
            </w:r>
            <w:r w:rsidR="00730643" w:rsidRPr="00E13860">
              <w:rPr>
                <w:bCs/>
                <w:iCs/>
                <w:sz w:val="20"/>
              </w:rPr>
              <w:t xml:space="preserve">išteklių (toliau </w:t>
            </w:r>
            <w:r w:rsidR="00730643" w:rsidRPr="00E13860">
              <w:rPr>
                <w:bCs/>
                <w:i/>
                <w:iCs/>
                <w:sz w:val="20"/>
              </w:rPr>
              <w:t xml:space="preserve">– </w:t>
            </w:r>
            <w:r w:rsidRPr="00E13860">
              <w:rPr>
                <w:bCs/>
                <w:iCs/>
                <w:sz w:val="20"/>
              </w:rPr>
              <w:t>AEI</w:t>
            </w:r>
            <w:r w:rsidR="00730643" w:rsidRPr="00E13860">
              <w:rPr>
                <w:bCs/>
                <w:iCs/>
                <w:sz w:val="20"/>
              </w:rPr>
              <w:t xml:space="preserve">) </w:t>
            </w:r>
            <w:r w:rsidRPr="00E13860">
              <w:rPr>
                <w:bCs/>
                <w:iCs/>
                <w:sz w:val="20"/>
              </w:rPr>
              <w:t>diegimą pramonės įmonėse</w:t>
            </w:r>
            <w:bookmarkEnd w:id="1"/>
          </w:p>
          <w:p w14:paraId="56DF4D99" w14:textId="5833E7BD" w:rsidR="00AC6DDF" w:rsidRDefault="00AC6DDF" w:rsidP="006744C0">
            <w:pPr>
              <w:rPr>
                <w:b/>
                <w:i/>
                <w:sz w:val="18"/>
                <w:szCs w:val="22"/>
              </w:rPr>
            </w:pPr>
          </w:p>
        </w:tc>
        <w:tc>
          <w:tcPr>
            <w:tcW w:w="1023"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t>2021–2027 metų Europos Sąjungos fondų investicijų programa</w:t>
            </w:r>
          </w:p>
          <w:p w14:paraId="4C065311" w14:textId="077CF214" w:rsidR="00AC6DDF" w:rsidRPr="007144DB" w:rsidRDefault="0060370A" w:rsidP="007144DB">
            <w:pPr>
              <w:jc w:val="center"/>
              <w:rPr>
                <w:sz w:val="20"/>
              </w:rPr>
            </w:pPr>
            <w:r w:rsidRPr="00E13860">
              <w:rPr>
                <w:sz w:val="20"/>
              </w:rPr>
              <w:t>(toliau – Investicijų programa)</w:t>
            </w:r>
          </w:p>
        </w:tc>
        <w:tc>
          <w:tcPr>
            <w:tcW w:w="1236" w:type="dxa"/>
            <w:tcMar>
              <w:left w:w="28" w:type="dxa"/>
              <w:right w:w="28" w:type="dxa"/>
            </w:tcMar>
          </w:tcPr>
          <w:p w14:paraId="1507ADB0" w14:textId="237ED7BC" w:rsidR="004B3FBC" w:rsidRPr="00E13860" w:rsidRDefault="00BB5F62" w:rsidP="00BB5F62">
            <w:pPr>
              <w:jc w:val="center"/>
              <w:rPr>
                <w:sz w:val="20"/>
              </w:rPr>
            </w:pPr>
            <w:r w:rsidRPr="00E13860">
              <w:rPr>
                <w:sz w:val="20"/>
                <w:lang w:val="en-US"/>
              </w:rPr>
              <w:t>2</w:t>
            </w:r>
            <w:r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15C6D131" w:rsidR="00D90F42" w:rsidRPr="00D90F42" w:rsidRDefault="00D90F42" w:rsidP="00D90F42">
            <w:pPr>
              <w:jc w:val="center"/>
              <w:rPr>
                <w:iCs/>
                <w:sz w:val="20"/>
              </w:rPr>
            </w:pPr>
            <w:r w:rsidRPr="00D90F42">
              <w:rPr>
                <w:iCs/>
                <w:sz w:val="20"/>
              </w:rPr>
              <w:t xml:space="preserve">2.2.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992" w:type="dxa"/>
            <w:tcMar>
              <w:left w:w="28" w:type="dxa"/>
              <w:right w:w="28" w:type="dxa"/>
            </w:tcMar>
          </w:tcPr>
          <w:p w14:paraId="26C6C649" w14:textId="5C55A833" w:rsidR="004C16BC" w:rsidRPr="00E13860" w:rsidRDefault="004C16BC" w:rsidP="004C16BC">
            <w:pPr>
              <w:jc w:val="center"/>
              <w:rPr>
                <w:bCs/>
                <w:sz w:val="20"/>
              </w:rPr>
            </w:pPr>
            <w:r w:rsidRPr="00E13860">
              <w:rPr>
                <w:sz w:val="20"/>
              </w:rPr>
              <w:t>2.2.3.</w:t>
            </w:r>
            <w:r w:rsidRPr="00E13860">
              <w:rPr>
                <w:bCs/>
                <w:sz w:val="20"/>
              </w:rPr>
              <w:t xml:space="preserve"> Skatinti AEI diegimą pramonės įmonėse</w:t>
            </w:r>
          </w:p>
          <w:p w14:paraId="63B3E4EE" w14:textId="32B1A6FA" w:rsidR="004B3FBC" w:rsidRDefault="004B3FBC">
            <w:pPr>
              <w:jc w:val="center"/>
              <w:rPr>
                <w:i/>
                <w:iCs/>
                <w:sz w:val="18"/>
                <w:szCs w:val="22"/>
              </w:rPr>
            </w:pPr>
          </w:p>
          <w:p w14:paraId="63890C24" w14:textId="77777777" w:rsidR="004B3FBC" w:rsidRDefault="004B3FBC">
            <w:pPr>
              <w:jc w:val="center"/>
              <w:rPr>
                <w:i/>
                <w:iCs/>
                <w:sz w:val="18"/>
                <w:szCs w:val="22"/>
              </w:rPr>
            </w:pPr>
          </w:p>
          <w:p w14:paraId="72D648DD" w14:textId="77777777" w:rsidR="004B3FBC" w:rsidRDefault="004B3FBC">
            <w:pPr>
              <w:jc w:val="center"/>
              <w:rPr>
                <w:i/>
                <w:iCs/>
                <w:sz w:val="18"/>
                <w:szCs w:val="22"/>
              </w:rPr>
            </w:pPr>
          </w:p>
          <w:p w14:paraId="12D84247" w14:textId="3A320EEF" w:rsidR="00EB37C2" w:rsidRDefault="00EB37C2" w:rsidP="007144DB">
            <w:pPr>
              <w:rPr>
                <w:i/>
                <w:iCs/>
                <w:sz w:val="18"/>
                <w:szCs w:val="22"/>
              </w:rPr>
            </w:pPr>
          </w:p>
          <w:p w14:paraId="69735FFA" w14:textId="46F54DAE" w:rsidR="00AC6DDF" w:rsidRDefault="00AC6DDF" w:rsidP="00317A6F">
            <w:pPr>
              <w:rPr>
                <w:b/>
                <w:i/>
                <w:sz w:val="18"/>
                <w:szCs w:val="22"/>
              </w:rPr>
            </w:pPr>
          </w:p>
        </w:tc>
        <w:tc>
          <w:tcPr>
            <w:tcW w:w="1984" w:type="dxa"/>
            <w:tcMar>
              <w:left w:w="28" w:type="dxa"/>
              <w:right w:w="28" w:type="dxa"/>
            </w:tcMar>
          </w:tcPr>
          <w:p w14:paraId="5130CA03" w14:textId="79AE58C0" w:rsidR="004B3FBC" w:rsidRPr="00E13860" w:rsidRDefault="00317A6F" w:rsidP="00317A6F">
            <w:pPr>
              <w:jc w:val="center"/>
              <w:rPr>
                <w:sz w:val="20"/>
              </w:rPr>
            </w:pPr>
            <w:r w:rsidRPr="00E13860">
              <w:rPr>
                <w:sz w:val="20"/>
              </w:rPr>
              <w:t>048</w:t>
            </w:r>
          </w:p>
          <w:p w14:paraId="61116567" w14:textId="77777777" w:rsidR="004B3FBC" w:rsidRDefault="004B3FBC">
            <w:pPr>
              <w:jc w:val="center"/>
              <w:rPr>
                <w:i/>
                <w:iCs/>
                <w:sz w:val="18"/>
              </w:rPr>
            </w:pPr>
          </w:p>
          <w:p w14:paraId="1063E80A" w14:textId="77777777" w:rsidR="004B3FBC" w:rsidRDefault="004B3FBC">
            <w:pPr>
              <w:jc w:val="center"/>
              <w:rPr>
                <w:i/>
                <w:iCs/>
                <w:sz w:val="18"/>
              </w:rPr>
            </w:pPr>
          </w:p>
          <w:p w14:paraId="45509E27" w14:textId="77777777" w:rsidR="004B3FBC" w:rsidRDefault="004B3FBC">
            <w:pPr>
              <w:jc w:val="center"/>
              <w:rPr>
                <w:i/>
                <w:iCs/>
                <w:sz w:val="18"/>
              </w:rPr>
            </w:pPr>
          </w:p>
          <w:p w14:paraId="56D6710A" w14:textId="77777777" w:rsidR="00317A6F" w:rsidRDefault="00317A6F">
            <w:pPr>
              <w:jc w:val="center"/>
              <w:rPr>
                <w:i/>
                <w:iCs/>
                <w:sz w:val="18"/>
              </w:rPr>
            </w:pPr>
          </w:p>
          <w:p w14:paraId="5FC15CD8" w14:textId="77777777" w:rsidR="00317A6F" w:rsidRDefault="00317A6F">
            <w:pPr>
              <w:jc w:val="center"/>
              <w:rPr>
                <w:i/>
                <w:iCs/>
                <w:sz w:val="18"/>
              </w:rPr>
            </w:pPr>
          </w:p>
          <w:p w14:paraId="2AD6EB15" w14:textId="77777777" w:rsidR="00701535" w:rsidRDefault="00701535">
            <w:pPr>
              <w:jc w:val="center"/>
              <w:rPr>
                <w:i/>
                <w:iCs/>
                <w:sz w:val="18"/>
              </w:rPr>
            </w:pPr>
          </w:p>
          <w:p w14:paraId="70B8ADC6" w14:textId="77777777" w:rsidR="00701535" w:rsidRDefault="00701535">
            <w:pPr>
              <w:jc w:val="center"/>
              <w:rPr>
                <w:i/>
                <w:iCs/>
                <w:sz w:val="18"/>
              </w:rPr>
            </w:pPr>
          </w:p>
          <w:p w14:paraId="3AE19A61" w14:textId="77777777" w:rsidR="00701535" w:rsidRDefault="00701535">
            <w:pPr>
              <w:jc w:val="center"/>
              <w:rPr>
                <w:i/>
                <w:iCs/>
                <w:sz w:val="18"/>
              </w:rPr>
            </w:pPr>
          </w:p>
          <w:p w14:paraId="35911DA6" w14:textId="51960B45" w:rsidR="00D72CF5" w:rsidRDefault="00D72CF5" w:rsidP="007144DB">
            <w:pPr>
              <w:rPr>
                <w:i/>
                <w:iCs/>
                <w:sz w:val="18"/>
              </w:rPr>
            </w:pPr>
          </w:p>
          <w:p w14:paraId="0A35E366" w14:textId="66B79FB7" w:rsidR="00AC6DDF" w:rsidRDefault="00AC6DDF">
            <w:pPr>
              <w:jc w:val="center"/>
              <w:rPr>
                <w:i/>
                <w:sz w:val="18"/>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344" w:type="dxa"/>
            <w:tcMar>
              <w:left w:w="28" w:type="dxa"/>
              <w:right w:w="28" w:type="dxa"/>
            </w:tcMar>
          </w:tcPr>
          <w:p w14:paraId="67A4C2B3" w14:textId="617A9E74" w:rsidR="004B3FBC" w:rsidRPr="00E13860" w:rsidRDefault="00F41C00">
            <w:pPr>
              <w:jc w:val="center"/>
              <w:rPr>
                <w:sz w:val="20"/>
              </w:rPr>
            </w:pPr>
            <w:r w:rsidRPr="00E13860">
              <w:rPr>
                <w:iCs/>
                <w:sz w:val="20"/>
              </w:rPr>
              <w:t>33 – Nesiorientuojant į teritoriškumą</w:t>
            </w:r>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328" w:type="dxa"/>
            <w:tcMar>
              <w:left w:w="28" w:type="dxa"/>
              <w:right w:w="28" w:type="dxa"/>
            </w:tcMar>
          </w:tcPr>
          <w:p w14:paraId="1B98A649" w14:textId="77777777" w:rsidR="00F84732" w:rsidRPr="00E13860" w:rsidRDefault="001E0D78" w:rsidP="00F84732">
            <w:pPr>
              <w:jc w:val="center"/>
              <w:rPr>
                <w:iCs/>
                <w:sz w:val="20"/>
              </w:rPr>
            </w:pPr>
            <w:r w:rsidRPr="00E13860">
              <w:rPr>
                <w:sz w:val="20"/>
              </w:rPr>
              <w:t>12</w:t>
            </w:r>
            <w:r w:rsidRPr="00E13860">
              <w:rPr>
                <w:iCs/>
                <w:sz w:val="20"/>
              </w:rPr>
              <w:t xml:space="preserve"> – </w:t>
            </w:r>
            <w:r w:rsidR="00F84732" w:rsidRPr="00E13860">
              <w:rPr>
                <w:iCs/>
                <w:sz w:val="20"/>
              </w:rPr>
              <w:t xml:space="preserve">Elektros energija, dujos, garas, karštas vanduo ir oro kondicionavimas </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2"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49" w:type="dxa"/>
            <w:tcMar>
              <w:left w:w="28" w:type="dxa"/>
              <w:right w:w="28" w:type="dxa"/>
            </w:tcMar>
          </w:tcPr>
          <w:p w14:paraId="30441546" w14:textId="4FDF04F2" w:rsidR="004B3FBC" w:rsidRPr="00E13860" w:rsidRDefault="00210C3B" w:rsidP="00210C3B">
            <w:pPr>
              <w:jc w:val="center"/>
              <w:rPr>
                <w:sz w:val="20"/>
              </w:rPr>
            </w:pPr>
            <w:r w:rsidRPr="00E13860">
              <w:rPr>
                <w:sz w:val="20"/>
              </w:rPr>
              <w:t>03 – Neutralumas 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007144DB">
        <w:trPr>
          <w:trHeight w:val="405"/>
        </w:trPr>
        <w:tc>
          <w:tcPr>
            <w:tcW w:w="3688" w:type="dxa"/>
            <w:shd w:val="clear" w:color="auto" w:fill="auto"/>
            <w:vAlign w:val="center"/>
          </w:tcPr>
          <w:p w14:paraId="6C84A9CA" w14:textId="77777777" w:rsidR="00AC6DDF" w:rsidRDefault="00320FC9">
            <w:pPr>
              <w:jc w:val="center"/>
              <w:rPr>
                <w:sz w:val="18"/>
                <w:szCs w:val="18"/>
              </w:rPr>
            </w:pPr>
            <w:r>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007144DB">
        <w:trPr>
          <w:trHeight w:val="548"/>
        </w:trPr>
        <w:tc>
          <w:tcPr>
            <w:tcW w:w="3688" w:type="dxa"/>
          </w:tcPr>
          <w:p w14:paraId="361C427A" w14:textId="5FEED646" w:rsidR="007A5D35" w:rsidRPr="00E13860" w:rsidRDefault="00E13860">
            <w:pPr>
              <w:jc w:val="center"/>
              <w:rPr>
                <w:sz w:val="20"/>
              </w:rPr>
            </w:pPr>
            <w:r w:rsidRPr="00E13860">
              <w:rPr>
                <w:sz w:val="20"/>
              </w:rPr>
              <w:lastRenderedPageBreak/>
              <w:t>Paramą gavusios įmonės (iš kurių: labai mažos, mažosios, vidutinės ir didelės)</w:t>
            </w:r>
          </w:p>
        </w:tc>
        <w:tc>
          <w:tcPr>
            <w:tcW w:w="3688" w:type="dxa"/>
          </w:tcPr>
          <w:p w14:paraId="752F07C7" w14:textId="32CDC449" w:rsidR="007A5D35" w:rsidRPr="00E13860" w:rsidRDefault="007522A0">
            <w:pPr>
              <w:jc w:val="center"/>
              <w:rPr>
                <w:sz w:val="20"/>
              </w:rPr>
            </w:pPr>
            <w:r w:rsidRPr="007522A0">
              <w:rPr>
                <w:bCs/>
                <w:sz w:val="20"/>
              </w:rPr>
              <w:t>P-05-001-01-04-02-18</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44626BF4" w14:textId="7A1BA06C" w:rsidR="007A5D35" w:rsidRPr="00E13860" w:rsidRDefault="00FE4EB6">
            <w:pPr>
              <w:jc w:val="center"/>
              <w:rPr>
                <w:sz w:val="20"/>
              </w:rPr>
            </w:pPr>
            <w:r>
              <w:rPr>
                <w:sz w:val="20"/>
              </w:rPr>
              <w:t>90</w:t>
            </w:r>
          </w:p>
        </w:tc>
      </w:tr>
      <w:tr w:rsidR="007A5D35" w14:paraId="4503E1EA" w14:textId="77777777" w:rsidTr="007144DB">
        <w:trPr>
          <w:trHeight w:val="389"/>
        </w:trPr>
        <w:tc>
          <w:tcPr>
            <w:tcW w:w="3688" w:type="dxa"/>
          </w:tcPr>
          <w:p w14:paraId="4AF3FB5C" w14:textId="0563A7B0" w:rsidR="007A5D35" w:rsidRPr="00E13860" w:rsidRDefault="00D14515">
            <w:pPr>
              <w:jc w:val="center"/>
              <w:rPr>
                <w:sz w:val="20"/>
              </w:rPr>
            </w:pPr>
            <w:r w:rsidRPr="00D14515">
              <w:rPr>
                <w:sz w:val="20"/>
              </w:rPr>
              <w:t>Paramą dotacijomis gavusios įmonės</w:t>
            </w:r>
          </w:p>
        </w:tc>
        <w:tc>
          <w:tcPr>
            <w:tcW w:w="3688" w:type="dxa"/>
          </w:tcPr>
          <w:p w14:paraId="0CFEC78D" w14:textId="1820FF3B" w:rsidR="007A5D35" w:rsidRPr="00E13860" w:rsidRDefault="00676720">
            <w:pPr>
              <w:jc w:val="center"/>
              <w:rPr>
                <w:sz w:val="20"/>
              </w:rPr>
            </w:pPr>
            <w:r w:rsidRPr="00676720">
              <w:rPr>
                <w:bCs/>
                <w:sz w:val="20"/>
              </w:rPr>
              <w:t>P-05-001-01-04-02-19</w:t>
            </w:r>
          </w:p>
        </w:tc>
        <w:tc>
          <w:tcPr>
            <w:tcW w:w="3688" w:type="dxa"/>
          </w:tcPr>
          <w:p w14:paraId="253A1882" w14:textId="25267151" w:rsidR="007A5D35" w:rsidRPr="00E13860" w:rsidRDefault="00DB69B8">
            <w:pPr>
              <w:jc w:val="center"/>
              <w:rPr>
                <w:sz w:val="20"/>
              </w:rPr>
            </w:pPr>
            <w:r>
              <w:rPr>
                <w:sz w:val="20"/>
              </w:rPr>
              <w:t>Į</w:t>
            </w:r>
            <w:r w:rsidRPr="00DB69B8">
              <w:rPr>
                <w:sz w:val="20"/>
              </w:rPr>
              <w:t>monės</w:t>
            </w:r>
          </w:p>
        </w:tc>
        <w:tc>
          <w:tcPr>
            <w:tcW w:w="3815" w:type="dxa"/>
          </w:tcPr>
          <w:p w14:paraId="40CAF41D" w14:textId="6C322813" w:rsidR="007A5D35" w:rsidRPr="00E13860" w:rsidRDefault="00FE4EB6">
            <w:pPr>
              <w:jc w:val="center"/>
              <w:rPr>
                <w:sz w:val="20"/>
              </w:rPr>
            </w:pPr>
            <w:r>
              <w:rPr>
                <w:sz w:val="20"/>
              </w:rPr>
              <w:t>90</w:t>
            </w:r>
          </w:p>
        </w:tc>
      </w:tr>
      <w:tr w:rsidR="007A5D35" w14:paraId="5B8B0CA2" w14:textId="77777777" w:rsidTr="007144DB">
        <w:trPr>
          <w:trHeight w:val="725"/>
        </w:trPr>
        <w:tc>
          <w:tcPr>
            <w:tcW w:w="3688" w:type="dxa"/>
          </w:tcPr>
          <w:p w14:paraId="1546EE0F" w14:textId="1158A18C" w:rsidR="007A5D35" w:rsidRPr="00E13860" w:rsidRDefault="001303BD">
            <w:pPr>
              <w:jc w:val="center"/>
              <w:rPr>
                <w:sz w:val="20"/>
              </w:rPr>
            </w:pPr>
            <w:r w:rsidRPr="001303BD">
              <w:rPr>
                <w:sz w:val="20"/>
              </w:rPr>
              <w:t>Visas pagamintas atsinaujinančios energijos kiekis (iš kurio: elektros, šiluminės energijos kiekis),</w:t>
            </w:r>
          </w:p>
        </w:tc>
        <w:tc>
          <w:tcPr>
            <w:tcW w:w="3688" w:type="dxa"/>
          </w:tcPr>
          <w:p w14:paraId="5D277955" w14:textId="01220106" w:rsidR="007A5D35" w:rsidRPr="00E13860" w:rsidRDefault="008B1F30">
            <w:pPr>
              <w:jc w:val="center"/>
              <w:rPr>
                <w:sz w:val="20"/>
              </w:rPr>
            </w:pPr>
            <w:r w:rsidRPr="008B1F30">
              <w:rPr>
                <w:bCs/>
                <w:iCs/>
                <w:sz w:val="20"/>
              </w:rPr>
              <w:t>R-05-001-01-04-02-07</w:t>
            </w:r>
          </w:p>
        </w:tc>
        <w:tc>
          <w:tcPr>
            <w:tcW w:w="3688" w:type="dxa"/>
          </w:tcPr>
          <w:p w14:paraId="4E66A172" w14:textId="77DF62F6" w:rsidR="007A5D35" w:rsidRPr="00E13860" w:rsidRDefault="003E342F">
            <w:pPr>
              <w:jc w:val="center"/>
              <w:rPr>
                <w:sz w:val="20"/>
              </w:rPr>
            </w:pPr>
            <w:r w:rsidRPr="003E342F">
              <w:rPr>
                <w:sz w:val="20"/>
              </w:rPr>
              <w:t>MWh/per metus</w:t>
            </w:r>
          </w:p>
        </w:tc>
        <w:tc>
          <w:tcPr>
            <w:tcW w:w="3815" w:type="dxa"/>
          </w:tcPr>
          <w:p w14:paraId="48890CDD" w14:textId="77777777" w:rsidR="003E04A3" w:rsidRPr="003E04A3" w:rsidRDefault="003E04A3" w:rsidP="003E04A3">
            <w:pPr>
              <w:jc w:val="center"/>
              <w:rPr>
                <w:sz w:val="20"/>
              </w:rPr>
            </w:pPr>
            <w:r w:rsidRPr="003E04A3">
              <w:rPr>
                <w:sz w:val="20"/>
              </w:rPr>
              <w:t>197 100</w:t>
            </w:r>
          </w:p>
          <w:p w14:paraId="524C7E03" w14:textId="77777777" w:rsidR="007A5D35" w:rsidRPr="00E13860" w:rsidRDefault="007A5D35">
            <w:pPr>
              <w:jc w:val="center"/>
              <w:rPr>
                <w:sz w:val="20"/>
              </w:rPr>
            </w:pP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AC6DDF" w14:paraId="4401F739" w14:textId="77777777">
        <w:tc>
          <w:tcPr>
            <w:tcW w:w="14709" w:type="dxa"/>
          </w:tcPr>
          <w:p w14:paraId="714A21DC" w14:textId="77777777" w:rsidR="00AC6DDF" w:rsidRDefault="00320FC9">
            <w:pPr>
              <w:rPr>
                <w:b/>
                <w:szCs w:val="24"/>
              </w:rPr>
            </w:pPr>
            <w:r>
              <w:rPr>
                <w:b/>
                <w:szCs w:val="24"/>
              </w:rPr>
              <w:t>SPECIALIEJI FINANSAVIMO REIKALAVIMAI</w:t>
            </w:r>
          </w:p>
        </w:tc>
      </w:tr>
      <w:tr w:rsidR="00AC6DDF" w14:paraId="41A7C3E4" w14:textId="77777777">
        <w:tc>
          <w:tcPr>
            <w:tcW w:w="14709" w:type="dxa"/>
          </w:tcPr>
          <w:p w14:paraId="1A76264B" w14:textId="77777777" w:rsidR="00AC6DDF" w:rsidRDefault="00320FC9">
            <w:pPr>
              <w:rPr>
                <w:b/>
                <w:bCs/>
                <w:szCs w:val="24"/>
              </w:rPr>
            </w:pPr>
            <w:r>
              <w:rPr>
                <w:b/>
                <w:bCs/>
                <w:szCs w:val="24"/>
              </w:rPr>
              <w:t>1. Taikomi teisės aktai</w:t>
            </w:r>
          </w:p>
        </w:tc>
      </w:tr>
      <w:tr w:rsidR="009C7DEF" w14:paraId="5C596B95" w14:textId="77777777">
        <w:tc>
          <w:tcPr>
            <w:tcW w:w="14709" w:type="dxa"/>
          </w:tcPr>
          <w:p w14:paraId="3B85D4D2" w14:textId="66686D98" w:rsidR="009C7DEF" w:rsidRDefault="00571343" w:rsidP="00AD353C">
            <w:pPr>
              <w:pStyle w:val="ListParagraph"/>
              <w:tabs>
                <w:tab w:val="left" w:pos="458"/>
              </w:tabs>
              <w:ind w:left="34"/>
              <w:jc w:val="both"/>
              <w:rPr>
                <w:rStyle w:val="normaltextrun"/>
                <w:color w:val="000000"/>
                <w:szCs w:val="24"/>
                <w:shd w:val="clear" w:color="auto" w:fill="FFFFFF"/>
              </w:rPr>
            </w:pPr>
            <w:r>
              <w:rPr>
                <w:szCs w:val="24"/>
                <w:lang w:val="en-US"/>
              </w:rPr>
              <w:t xml:space="preserve">1.1. </w:t>
            </w:r>
            <w:r w:rsidR="00033B3D" w:rsidRPr="00033B3D">
              <w:rPr>
                <w:szCs w:val="24"/>
              </w:rPr>
              <w:t xml:space="preserve">2022–2030 metų plėtros programos valdytojos </w:t>
            </w:r>
            <w:r w:rsidR="00033B3D">
              <w:rPr>
                <w:szCs w:val="24"/>
              </w:rPr>
              <w:t>L</w:t>
            </w:r>
            <w:r w:rsidR="00033B3D" w:rsidRPr="00033B3D">
              <w:rPr>
                <w:szCs w:val="24"/>
              </w:rPr>
              <w:t xml:space="preserve">ietuvos </w:t>
            </w:r>
            <w:r w:rsidR="00033B3D">
              <w:rPr>
                <w:szCs w:val="24"/>
              </w:rPr>
              <w:t>R</w:t>
            </w:r>
            <w:r w:rsidR="00033B3D" w:rsidRPr="00033B3D">
              <w:rPr>
                <w:szCs w:val="24"/>
              </w:rPr>
              <w:t xml:space="preserve">espublikos ekonomikos ir inovacijų ministerijos ekonomikos transformacijos ir konkurencingumo plėtros programos pažangos priemonės </w:t>
            </w:r>
            <w:r w:rsidR="00033B3D">
              <w:rPr>
                <w:szCs w:val="24"/>
              </w:rPr>
              <w:t>N</w:t>
            </w:r>
            <w:r w:rsidR="00033B3D" w:rsidRPr="00033B3D">
              <w:rPr>
                <w:szCs w:val="24"/>
              </w:rPr>
              <w:t>r. 05-001-01-04-02 „</w:t>
            </w:r>
            <w:r w:rsidR="00033B3D">
              <w:rPr>
                <w:szCs w:val="24"/>
              </w:rPr>
              <w:t>S</w:t>
            </w:r>
            <w:r w:rsidR="00033B3D" w:rsidRPr="00033B3D">
              <w:rPr>
                <w:szCs w:val="24"/>
              </w:rPr>
              <w:t>katinti įmones pereiti link neutralios klimatui ekonomikos“ veiklos „</w:t>
            </w:r>
            <w:r w:rsidR="00033B3D">
              <w:rPr>
                <w:szCs w:val="24"/>
              </w:rPr>
              <w:t>S</w:t>
            </w:r>
            <w:r w:rsidR="00033B3D" w:rsidRPr="00033B3D">
              <w:rPr>
                <w:szCs w:val="24"/>
              </w:rPr>
              <w:t>katinti atsinaujinančių energijos išteklių diegimą pramonės įmonėse“ projektų finansavimo sąlygų aprašas</w:t>
            </w:r>
            <w:r w:rsidR="00033B3D">
              <w:rPr>
                <w:szCs w:val="24"/>
              </w:rPr>
              <w:t xml:space="preserve"> </w:t>
            </w:r>
            <w:r w:rsidR="009C7DEF" w:rsidRPr="00B6150D">
              <w:rPr>
                <w:szCs w:val="24"/>
              </w:rPr>
              <w:t>(toliau – Aprašas) parengtas atsižvelgiant į:</w:t>
            </w:r>
            <w:r w:rsidR="009C7DEF" w:rsidRPr="00B6150D">
              <w:rPr>
                <w:rStyle w:val="normaltextrun"/>
                <w:color w:val="000000"/>
                <w:szCs w:val="24"/>
                <w:shd w:val="clear" w:color="auto" w:fill="FFFFFF"/>
              </w:rPr>
              <w:t xml:space="preserve"> </w:t>
            </w:r>
          </w:p>
          <w:p w14:paraId="36D54A98" w14:textId="155737DF" w:rsidR="00EA49CA" w:rsidRDefault="00667EB9" w:rsidP="00A27F50">
            <w:pPr>
              <w:pStyle w:val="ListParagraph"/>
              <w:tabs>
                <w:tab w:val="left" w:pos="458"/>
              </w:tabs>
              <w:ind w:left="34" w:firstLine="425"/>
              <w:jc w:val="both"/>
              <w:rPr>
                <w:iCs/>
                <w:color w:val="000000"/>
                <w:szCs w:val="24"/>
                <w:shd w:val="clear" w:color="auto" w:fill="FFFFFF"/>
              </w:rPr>
            </w:pPr>
            <w:r>
              <w:rPr>
                <w:rStyle w:val="normaltextrun"/>
                <w:color w:val="000000"/>
                <w:szCs w:val="24"/>
                <w:shd w:val="clear" w:color="auto" w:fill="FFFFFF"/>
              </w:rPr>
              <w:t>1.</w:t>
            </w:r>
            <w:r w:rsidR="00727596">
              <w:rPr>
                <w:rStyle w:val="normaltextrun"/>
                <w:color w:val="000000"/>
                <w:szCs w:val="24"/>
                <w:shd w:val="clear" w:color="auto" w:fill="FFFFFF"/>
              </w:rPr>
              <w:t>1.</w:t>
            </w:r>
            <w:r w:rsidR="00571343">
              <w:rPr>
                <w:rStyle w:val="normaltextrun"/>
                <w:color w:val="000000"/>
                <w:szCs w:val="24"/>
                <w:shd w:val="clear" w:color="auto" w:fill="FFFFFF"/>
              </w:rPr>
              <w:t>1.</w:t>
            </w:r>
            <w:r w:rsidR="00727596">
              <w:rPr>
                <w:rStyle w:val="normaltextrun"/>
                <w:color w:val="000000"/>
                <w:szCs w:val="24"/>
                <w:shd w:val="clear" w:color="auto" w:fill="FFFFFF"/>
              </w:rPr>
              <w:t xml:space="preserve"> </w:t>
            </w:r>
            <w:r w:rsidR="00335016" w:rsidRPr="00EA49CA">
              <w:rPr>
                <w:iCs/>
                <w:color w:val="000000"/>
                <w:szCs w:val="24"/>
                <w:shd w:val="clear" w:color="auto" w:fill="FFFFFF"/>
              </w:rPr>
              <w:t>2021 m. birželio 24 d</w:t>
            </w:r>
            <w:r w:rsidR="00335016">
              <w:rPr>
                <w:iCs/>
                <w:color w:val="000000"/>
                <w:szCs w:val="24"/>
                <w:shd w:val="clear" w:color="auto" w:fill="FFFFFF"/>
              </w:rPr>
              <w:t>.</w:t>
            </w:r>
            <w:r w:rsidR="00335016" w:rsidRPr="00EA49CA">
              <w:rPr>
                <w:iCs/>
                <w:color w:val="000000"/>
                <w:szCs w:val="24"/>
                <w:shd w:val="clear" w:color="auto" w:fill="FFFFFF"/>
              </w:rPr>
              <w:t xml:space="preserve"> </w:t>
            </w:r>
            <w:r w:rsidR="00EA49CA" w:rsidRPr="00EA49CA">
              <w:rPr>
                <w:iCs/>
                <w:color w:val="000000"/>
                <w:szCs w:val="24"/>
                <w:shd w:val="clear" w:color="auto" w:fill="FFFFFF"/>
              </w:rPr>
              <w:t>Europos Parlamento ir Tarybos reglament</w:t>
            </w:r>
            <w:r w:rsidR="00763A18">
              <w:rPr>
                <w:iCs/>
                <w:color w:val="000000"/>
                <w:szCs w:val="24"/>
                <w:shd w:val="clear" w:color="auto" w:fill="FFFFFF"/>
              </w:rPr>
              <w:t>ą</w:t>
            </w:r>
            <w:r w:rsidR="00EA49CA" w:rsidRPr="00EA49CA">
              <w:rPr>
                <w:iCs/>
                <w:color w:val="000000"/>
                <w:szCs w:val="24"/>
                <w:shd w:val="clear" w:color="auto" w:fill="FFFFFF"/>
              </w:rPr>
              <w:t xml:space="preserve"> (ES) 2021/1058 dėl Europos regioninės plėtros fondo ir Sanglaudos fondo</w:t>
            </w:r>
            <w:r w:rsidR="00A0605E">
              <w:rPr>
                <w:iCs/>
                <w:color w:val="000000"/>
                <w:szCs w:val="24"/>
                <w:shd w:val="clear" w:color="auto" w:fill="FFFFFF"/>
              </w:rPr>
              <w:t>;</w:t>
            </w:r>
          </w:p>
          <w:p w14:paraId="0FA69412" w14:textId="051B578A" w:rsidR="009B73C4" w:rsidRPr="009B73C4" w:rsidRDefault="009B73C4" w:rsidP="00A27F50">
            <w:pPr>
              <w:pStyle w:val="ListParagraph"/>
              <w:tabs>
                <w:tab w:val="left" w:pos="458"/>
              </w:tabs>
              <w:ind w:left="34" w:firstLine="425"/>
              <w:jc w:val="both"/>
              <w:rPr>
                <w:iCs/>
                <w:szCs w:val="24"/>
              </w:rPr>
            </w:pPr>
            <w:r>
              <w:rPr>
                <w:szCs w:val="24"/>
              </w:rPr>
              <w:t>1.</w:t>
            </w:r>
            <w:r w:rsidR="00571343">
              <w:rPr>
                <w:szCs w:val="24"/>
              </w:rPr>
              <w:t>1.</w:t>
            </w:r>
            <w:r>
              <w:rPr>
                <w:szCs w:val="24"/>
              </w:rPr>
              <w:t xml:space="preserve">2. </w:t>
            </w:r>
            <w:r w:rsidRPr="007456FA">
              <w:rPr>
                <w:iCs/>
                <w:szCs w:val="24"/>
              </w:rPr>
              <w:t>2021 m. birželio 24 d. Europos Parlamento ir Tarybos reglament</w:t>
            </w:r>
            <w:r>
              <w:rPr>
                <w:iCs/>
                <w:szCs w:val="24"/>
              </w:rPr>
              <w:t>ą</w:t>
            </w:r>
            <w:r w:rsidRPr="007456FA">
              <w:rPr>
                <w:iCs/>
                <w:szCs w:val="24"/>
              </w:rPr>
              <w:t xml:space="preserve"> (ES) 2021/1</w:t>
            </w:r>
            <w:r w:rsidRPr="00AD7A5B">
              <w:rPr>
                <w:iCs/>
                <w:szCs w:val="24"/>
              </w:rPr>
              <w:t>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iCs/>
                <w:szCs w:val="24"/>
              </w:rPr>
              <w:t>;</w:t>
            </w:r>
          </w:p>
          <w:p w14:paraId="37B02D0A" w14:textId="035475C1" w:rsidR="00913A1C" w:rsidRDefault="00EA0B56" w:rsidP="00A27F50">
            <w:pPr>
              <w:pStyle w:val="ListParagraph"/>
              <w:tabs>
                <w:tab w:val="left" w:pos="458"/>
              </w:tabs>
              <w:ind w:left="34" w:firstLine="425"/>
              <w:jc w:val="both"/>
              <w:rPr>
                <w:szCs w:val="24"/>
              </w:rPr>
            </w:pPr>
            <w:r>
              <w:rPr>
                <w:rStyle w:val="normaltextrun"/>
                <w:szCs w:val="24"/>
              </w:rPr>
              <w:t>1.</w:t>
            </w:r>
            <w:r w:rsidR="00571343">
              <w:rPr>
                <w:rStyle w:val="normaltextrun"/>
                <w:szCs w:val="24"/>
              </w:rPr>
              <w:t>1.</w:t>
            </w:r>
            <w:r w:rsidR="009B73C4">
              <w:rPr>
                <w:rStyle w:val="normaltextrun"/>
                <w:szCs w:val="24"/>
              </w:rPr>
              <w:t>3</w:t>
            </w:r>
            <w:r>
              <w:rPr>
                <w:rStyle w:val="normaltextrun"/>
                <w:szCs w:val="24"/>
              </w:rPr>
              <w:t xml:space="preserve">. </w:t>
            </w:r>
            <w:r w:rsidR="00913A1C" w:rsidRPr="00913A1C">
              <w:rPr>
                <w:szCs w:val="24"/>
              </w:rPr>
              <w:t xml:space="preserve">2014 m. birželio 17 d. Komisijos reglamentą (ES) Nr. 651/2014, kuriuo tam tikrų kategorijų pagalba skelbiama suderinama su vidaus rinka taikant Sutarties 107 ir 108 straipsnius, su </w:t>
            </w:r>
            <w:r w:rsidR="00093345">
              <w:rPr>
                <w:szCs w:val="24"/>
              </w:rPr>
              <w:t>visais pakeitimais</w:t>
            </w:r>
            <w:r w:rsidR="00027322">
              <w:rPr>
                <w:szCs w:val="24"/>
              </w:rPr>
              <w:t>;</w:t>
            </w:r>
          </w:p>
          <w:p w14:paraId="7A287423" w14:textId="0ED87075" w:rsidR="00755C98" w:rsidRDefault="00755C98" w:rsidP="00A27F50">
            <w:pPr>
              <w:pStyle w:val="ListParagraph"/>
              <w:tabs>
                <w:tab w:val="left" w:pos="458"/>
              </w:tabs>
              <w:ind w:left="34" w:firstLine="425"/>
              <w:jc w:val="both"/>
              <w:rPr>
                <w:szCs w:val="24"/>
              </w:rPr>
            </w:pPr>
            <w:r>
              <w:rPr>
                <w:szCs w:val="24"/>
              </w:rPr>
              <w:t>1.</w:t>
            </w:r>
            <w:r w:rsidR="00571343">
              <w:rPr>
                <w:szCs w:val="24"/>
              </w:rPr>
              <w:t>1.</w:t>
            </w:r>
            <w:r>
              <w:rPr>
                <w:szCs w:val="24"/>
              </w:rPr>
              <w:t xml:space="preserve">4. </w:t>
            </w:r>
            <w:r w:rsidR="0015216C" w:rsidRPr="0015216C">
              <w:rPr>
                <w:szCs w:val="24"/>
              </w:rPr>
              <w:t>2022–2030 m. plėtros programos valdytojos Lietuvos Respublikos ekonomikos ir inovacijų ministerijos ekonomikos transformacijos ir konkurencingumo plėtros program</w:t>
            </w:r>
            <w:r w:rsidR="0015216C">
              <w:rPr>
                <w:szCs w:val="24"/>
              </w:rPr>
              <w:t>ą</w:t>
            </w:r>
            <w:r w:rsidR="0015216C" w:rsidRPr="0015216C">
              <w:rPr>
                <w:szCs w:val="24"/>
              </w:rPr>
              <w:t>, patvirtint</w:t>
            </w:r>
            <w:r w:rsidR="0015216C">
              <w:rPr>
                <w:szCs w:val="24"/>
              </w:rPr>
              <w:t>ą</w:t>
            </w:r>
            <w:r w:rsidR="0015216C" w:rsidRPr="0015216C">
              <w:rPr>
                <w:szCs w:val="24"/>
              </w:rPr>
              <w:t xml:space="preserve"> 202</w:t>
            </w:r>
            <w:r w:rsidR="0015216C" w:rsidRPr="0015216C">
              <w:rPr>
                <w:szCs w:val="24"/>
                <w:lang w:val="en-US"/>
              </w:rPr>
              <w:t>2</w:t>
            </w:r>
            <w:r w:rsidR="0015216C" w:rsidRPr="0015216C">
              <w:rPr>
                <w:szCs w:val="24"/>
              </w:rPr>
              <w:t xml:space="preserve"> m. kovo </w:t>
            </w:r>
            <w:r w:rsidR="0015216C" w:rsidRPr="0015216C">
              <w:rPr>
                <w:szCs w:val="24"/>
                <w:lang w:val="en-US"/>
              </w:rPr>
              <w:t xml:space="preserve">16 </w:t>
            </w:r>
            <w:r w:rsidR="0015216C" w:rsidRPr="0015216C">
              <w:rPr>
                <w:szCs w:val="24"/>
              </w:rPr>
              <w:t>d. Lietuvos Respublikos Vyriausybės nutarimu Nr. 247 „Dėl 2022–2030 metų plėtros programos valdytojos Lietuvos Respublikos ekonomikos ir inovacijų ministerijos ekonomikos transformacijos ir konkurencingumo plėtros programos patvirtinimo“;</w:t>
            </w:r>
          </w:p>
          <w:p w14:paraId="383F736F" w14:textId="6D25116E" w:rsidR="00FD6FDF" w:rsidRDefault="00AD7A5B" w:rsidP="00A27F50">
            <w:pPr>
              <w:pStyle w:val="ListParagraph"/>
              <w:tabs>
                <w:tab w:val="left" w:pos="458"/>
              </w:tabs>
              <w:ind w:left="34" w:firstLine="425"/>
              <w:jc w:val="both"/>
              <w:rPr>
                <w:rStyle w:val="normaltextrun"/>
                <w:szCs w:val="24"/>
                <w:shd w:val="clear" w:color="auto" w:fill="FFFFFF"/>
              </w:rPr>
            </w:pPr>
            <w:r>
              <w:rPr>
                <w:iCs/>
                <w:szCs w:val="24"/>
              </w:rPr>
              <w:t>1.</w:t>
            </w:r>
            <w:r w:rsidR="00571343">
              <w:rPr>
                <w:iCs/>
                <w:szCs w:val="24"/>
              </w:rPr>
              <w:t>1.</w:t>
            </w:r>
            <w:r w:rsidR="00F91E18">
              <w:rPr>
                <w:iCs/>
                <w:szCs w:val="24"/>
                <w:lang w:val="en-US"/>
              </w:rPr>
              <w:t>5</w:t>
            </w:r>
            <w:r>
              <w:rPr>
                <w:iCs/>
                <w:szCs w:val="24"/>
              </w:rPr>
              <w:t xml:space="preserve">. </w:t>
            </w:r>
            <w:r w:rsidR="009C7DEF" w:rsidRPr="00763A18">
              <w:rPr>
                <w:rStyle w:val="normaltextrun"/>
                <w:szCs w:val="24"/>
                <w:shd w:val="clear" w:color="auto" w:fill="FFFFFF"/>
              </w:rPr>
              <w:t>Lietuvos Respublikos strateginio valdymo įstatymą;</w:t>
            </w:r>
          </w:p>
          <w:p w14:paraId="0E4E0664" w14:textId="0F1A08AF" w:rsidR="009E5DEF" w:rsidRDefault="00FD6FDF" w:rsidP="00A27F50">
            <w:pPr>
              <w:pStyle w:val="ListParagraph"/>
              <w:tabs>
                <w:tab w:val="left" w:pos="458"/>
              </w:tabs>
              <w:ind w:left="34" w:firstLine="425"/>
              <w:jc w:val="both"/>
              <w:rPr>
                <w:szCs w:val="24"/>
                <w:shd w:val="clear" w:color="auto" w:fill="FFFFFF"/>
              </w:rPr>
            </w:pPr>
            <w:r>
              <w:rPr>
                <w:rStyle w:val="normaltextrun"/>
                <w:lang w:val="en-US"/>
              </w:rPr>
              <w:t>1.</w:t>
            </w:r>
            <w:r w:rsidR="00571343">
              <w:rPr>
                <w:rStyle w:val="normaltextrun"/>
                <w:lang w:val="en-US"/>
              </w:rPr>
              <w:t>1.</w:t>
            </w:r>
            <w:r w:rsidR="00F91E18">
              <w:rPr>
                <w:rStyle w:val="normaltextrun"/>
                <w:lang w:val="en-US"/>
              </w:rPr>
              <w:t>6</w:t>
            </w:r>
            <w:r>
              <w:rPr>
                <w:rStyle w:val="normaltextrun"/>
                <w:lang w:val="en-US"/>
              </w:rPr>
              <w:t xml:space="preserve">. </w:t>
            </w:r>
            <w:r w:rsidR="009C7DEF" w:rsidRPr="00FD6FDF">
              <w:rPr>
                <w:szCs w:val="24"/>
                <w:shd w:val="clear" w:color="auto" w:fill="FFFFFF"/>
              </w:rPr>
              <w:t>Strateginio valdymo metodiką, patvirtintą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380F68B3" w14:textId="4E709A96" w:rsidR="005E0E1F" w:rsidRDefault="009E5DEF" w:rsidP="00A27F50">
            <w:pPr>
              <w:pStyle w:val="ListParagraph"/>
              <w:tabs>
                <w:tab w:val="left" w:pos="458"/>
              </w:tabs>
              <w:ind w:left="34" w:firstLine="425"/>
              <w:jc w:val="both"/>
              <w:rPr>
                <w:rStyle w:val="normaltextrun"/>
                <w:color w:val="000000"/>
                <w:szCs w:val="24"/>
                <w:shd w:val="clear" w:color="auto" w:fill="FFFFFF"/>
              </w:rPr>
            </w:pPr>
            <w:r w:rsidRPr="009E5DEF">
              <w:rPr>
                <w:rStyle w:val="normaltextrun"/>
                <w:lang w:val="en-US"/>
              </w:rPr>
              <w:t>1.</w:t>
            </w:r>
            <w:r w:rsidR="00571343">
              <w:rPr>
                <w:rStyle w:val="normaltextrun"/>
                <w:lang w:val="en-US"/>
              </w:rPr>
              <w:t>1.</w:t>
            </w:r>
            <w:r w:rsidR="00F91E18">
              <w:rPr>
                <w:szCs w:val="24"/>
                <w:shd w:val="clear" w:color="auto" w:fill="FFFFFF"/>
              </w:rPr>
              <w:t>7</w:t>
            </w:r>
            <w:r w:rsidRPr="009E5DEF">
              <w:rPr>
                <w:szCs w:val="24"/>
                <w:shd w:val="clear" w:color="auto" w:fill="FFFFFF"/>
              </w:rPr>
              <w:t xml:space="preserve">. </w:t>
            </w:r>
            <w:r w:rsidRPr="009E5DEF">
              <w:rPr>
                <w:rStyle w:val="normaltextrun"/>
                <w:color w:val="000000"/>
                <w:szCs w:val="24"/>
                <w:shd w:val="clear" w:color="auto" w:fill="FFFFFF"/>
              </w:rPr>
              <w:t>Lietuvos Respublikos smulkiojo ir vidutinio verslo plėtros įstatymą;</w:t>
            </w:r>
          </w:p>
          <w:p w14:paraId="6680ED84" w14:textId="56001FD7" w:rsidR="003A1942" w:rsidRPr="005723FD" w:rsidRDefault="003A1942" w:rsidP="00A27F50">
            <w:pPr>
              <w:pStyle w:val="ListParagraph"/>
              <w:tabs>
                <w:tab w:val="left" w:pos="458"/>
              </w:tabs>
              <w:ind w:left="34" w:firstLine="425"/>
              <w:jc w:val="both"/>
              <w:rPr>
                <w:szCs w:val="24"/>
                <w:shd w:val="clear" w:color="auto" w:fill="FFFFFF"/>
              </w:rPr>
            </w:pPr>
            <w:r>
              <w:rPr>
                <w:rStyle w:val="normaltextrun"/>
                <w:lang w:val="en-US"/>
              </w:rPr>
              <w:t>1.</w:t>
            </w:r>
            <w:r>
              <w:rPr>
                <w:szCs w:val="24"/>
                <w:shd w:val="clear" w:color="auto" w:fill="FFFFFF"/>
              </w:rPr>
              <w:t>1.</w:t>
            </w:r>
            <w:r w:rsidR="00F91E18">
              <w:rPr>
                <w:szCs w:val="24"/>
                <w:shd w:val="clear" w:color="auto" w:fill="FFFFFF"/>
              </w:rPr>
              <w:t>8</w:t>
            </w:r>
            <w:r>
              <w:rPr>
                <w:szCs w:val="24"/>
                <w:shd w:val="clear" w:color="auto" w:fill="FFFFFF"/>
              </w:rPr>
              <w:t xml:space="preserve">. </w:t>
            </w:r>
            <w:r w:rsidRPr="003A1942">
              <w:rPr>
                <w:szCs w:val="24"/>
                <w:shd w:val="clear" w:color="auto" w:fill="FFFFFF"/>
              </w:rPr>
              <w:t>Lietuvos Respublikos atsinaujinančių išteklių energetikos įstatymą;</w:t>
            </w:r>
          </w:p>
          <w:p w14:paraId="55095C76" w14:textId="670BB102" w:rsidR="005E0E1F" w:rsidRPr="00BF3A1F" w:rsidRDefault="005E0E1F" w:rsidP="00A27F50">
            <w:pPr>
              <w:pStyle w:val="ListParagraph"/>
              <w:tabs>
                <w:tab w:val="left" w:pos="458"/>
                <w:tab w:val="left" w:pos="595"/>
                <w:tab w:val="left" w:pos="1028"/>
              </w:tabs>
              <w:ind w:left="34" w:firstLine="425"/>
              <w:jc w:val="both"/>
              <w:rPr>
                <w:szCs w:val="24"/>
              </w:rPr>
            </w:pPr>
            <w:r w:rsidRPr="005E0E1F">
              <w:rPr>
                <w:szCs w:val="24"/>
              </w:rPr>
              <w:lastRenderedPageBreak/>
              <w:t>1.</w:t>
            </w:r>
            <w:r w:rsidR="00571343">
              <w:rPr>
                <w:szCs w:val="24"/>
              </w:rPr>
              <w:t>1.</w:t>
            </w:r>
            <w:r w:rsidR="00F91E18">
              <w:rPr>
                <w:szCs w:val="24"/>
              </w:rPr>
              <w:t>9</w:t>
            </w:r>
            <w:r w:rsidRPr="00BF3A1F">
              <w:rPr>
                <w:szCs w:val="24"/>
              </w:rPr>
              <w:t xml:space="preserve">. </w:t>
            </w:r>
            <w:r w:rsidR="004631F3" w:rsidRPr="00BF3A1F">
              <w:rPr>
                <w:szCs w:val="24"/>
              </w:rPr>
              <w:t>2021–2027 metų Europos Sąjungos fondų investicijų programos ir Ekonomikos gaivinimo ir atsparumo didinimo plano „Naujos kartos Lietuva“ administravimo taisykl</w:t>
            </w:r>
            <w:r w:rsidR="00466355" w:rsidRPr="00BF3A1F">
              <w:rPr>
                <w:szCs w:val="24"/>
              </w:rPr>
              <w:t xml:space="preserve">es, patvirtintas </w:t>
            </w:r>
            <w:r w:rsidR="000E4493" w:rsidRPr="00BF3A1F">
              <w:rPr>
                <w:szCs w:val="24"/>
              </w:rPr>
              <w:t>2022 m. birželio 22 d. Lietuvos Respublikos finansų ministro įsakym</w:t>
            </w:r>
            <w:r w:rsidR="00466355" w:rsidRPr="00BF3A1F">
              <w:rPr>
                <w:szCs w:val="24"/>
              </w:rPr>
              <w:t>u</w:t>
            </w:r>
            <w:r w:rsidR="000E4493" w:rsidRPr="00BF3A1F">
              <w:rPr>
                <w:szCs w:val="24"/>
              </w:rPr>
              <w:t xml:space="preserve"> Nr. 1K-237 „Dėl 2021–2027 metų Europos Sąjungos fondų investicijų programos ir Ekonomikos gaivinimo ir atsparumo didinimo plano „Naujos kartos Lietuva“ įgyvendinimo“</w:t>
            </w:r>
            <w:r w:rsidR="00466355" w:rsidRPr="00BF3A1F">
              <w:rPr>
                <w:szCs w:val="24"/>
              </w:rPr>
              <w:t>;</w:t>
            </w:r>
          </w:p>
          <w:p w14:paraId="12430867" w14:textId="63EC0EBF" w:rsidR="00BF3A1F" w:rsidRDefault="00B83B03" w:rsidP="00A27F50">
            <w:pPr>
              <w:pStyle w:val="ListParagraph"/>
              <w:tabs>
                <w:tab w:val="left" w:pos="458"/>
                <w:tab w:val="left" w:pos="595"/>
                <w:tab w:val="left" w:pos="1028"/>
              </w:tabs>
              <w:ind w:left="34" w:firstLine="425"/>
              <w:jc w:val="both"/>
              <w:rPr>
                <w:szCs w:val="24"/>
              </w:rPr>
            </w:pPr>
            <w:r w:rsidRPr="00BF3A1F">
              <w:rPr>
                <w:szCs w:val="24"/>
              </w:rPr>
              <w:t>1.</w:t>
            </w:r>
            <w:r w:rsidR="00571343">
              <w:rPr>
                <w:szCs w:val="24"/>
              </w:rPr>
              <w:t>1.</w:t>
            </w:r>
            <w:r w:rsidR="0095000D">
              <w:rPr>
                <w:szCs w:val="24"/>
              </w:rPr>
              <w:t>1</w:t>
            </w:r>
            <w:r w:rsidR="00F91E18">
              <w:rPr>
                <w:szCs w:val="24"/>
              </w:rPr>
              <w:t>0</w:t>
            </w:r>
            <w:r w:rsidRPr="00BF3A1F">
              <w:rPr>
                <w:szCs w:val="24"/>
              </w:rPr>
              <w:t xml:space="preserve">. </w:t>
            </w:r>
            <w:r w:rsidR="00BF3A1F" w:rsidRPr="00BF3A1F">
              <w:rPr>
                <w:szCs w:val="24"/>
              </w:rPr>
              <w:t>Projektų administravimo ir finansavimo taisykles, patvirtintas 2022 m. birželio 22 d. Lietuvos Respublikos finansų ministro įsakymu Nr.</w:t>
            </w:r>
            <w:r w:rsidR="00010C65">
              <w:rPr>
                <w:szCs w:val="24"/>
              </w:rPr>
              <w:t> </w:t>
            </w:r>
            <w:r w:rsidR="00BF3A1F" w:rsidRPr="00BF3A1F">
              <w:rPr>
                <w:szCs w:val="24"/>
              </w:rPr>
              <w:t>1K-237 „Dėl 2021–2027 metų Europos Sąjungos fondų investicijų programos ir Ekonomikos gaivinimo ir atsparumo didinimo plano „Naujos kartos Lietuva“ įgyvendinimo“</w:t>
            </w:r>
            <w:r w:rsidR="00FA67CB">
              <w:rPr>
                <w:szCs w:val="24"/>
              </w:rPr>
              <w:t xml:space="preserve"> (</w:t>
            </w:r>
            <w:r w:rsidR="00FA67CB" w:rsidRPr="00FA67CB">
              <w:rPr>
                <w:szCs w:val="24"/>
              </w:rPr>
              <w:t xml:space="preserve">toliau – </w:t>
            </w:r>
            <w:r w:rsidR="001F778A" w:rsidRPr="001F778A">
              <w:rPr>
                <w:szCs w:val="24"/>
              </w:rPr>
              <w:t>Projektų administravimo ir finansavimo taisykl</w:t>
            </w:r>
            <w:r w:rsidR="001F778A">
              <w:rPr>
                <w:szCs w:val="24"/>
              </w:rPr>
              <w:t>ė</w:t>
            </w:r>
            <w:r w:rsidR="001F778A" w:rsidRPr="001F778A">
              <w:rPr>
                <w:szCs w:val="24"/>
              </w:rPr>
              <w:t>s</w:t>
            </w:r>
            <w:r w:rsidR="00FA67CB">
              <w:rPr>
                <w:szCs w:val="24"/>
              </w:rPr>
              <w:t>)</w:t>
            </w:r>
            <w:r w:rsidR="00BF3A1F" w:rsidRPr="00BF3A1F">
              <w:rPr>
                <w:szCs w:val="24"/>
              </w:rPr>
              <w:t>;</w:t>
            </w:r>
          </w:p>
          <w:p w14:paraId="1F27FBBC" w14:textId="5986FA42" w:rsidR="00A52715" w:rsidRDefault="002C302D" w:rsidP="00A27F50">
            <w:pPr>
              <w:pStyle w:val="ListParagraph"/>
              <w:tabs>
                <w:tab w:val="left" w:pos="458"/>
                <w:tab w:val="left" w:pos="595"/>
                <w:tab w:val="left" w:pos="1028"/>
              </w:tabs>
              <w:ind w:left="34" w:firstLine="425"/>
              <w:jc w:val="both"/>
              <w:rPr>
                <w:szCs w:val="24"/>
              </w:rPr>
            </w:pPr>
            <w:r>
              <w:rPr>
                <w:szCs w:val="24"/>
              </w:rPr>
              <w:t>1.</w:t>
            </w:r>
            <w:r w:rsidR="00571343">
              <w:rPr>
                <w:szCs w:val="24"/>
              </w:rPr>
              <w:t>1.</w:t>
            </w:r>
            <w:r w:rsidR="00755C98">
              <w:rPr>
                <w:szCs w:val="24"/>
              </w:rPr>
              <w:t>1</w:t>
            </w:r>
            <w:r w:rsidR="00F91E18">
              <w:rPr>
                <w:szCs w:val="24"/>
              </w:rPr>
              <w:t>1</w:t>
            </w:r>
            <w:r>
              <w:rPr>
                <w:szCs w:val="24"/>
              </w:rPr>
              <w:t xml:space="preserve">. </w:t>
            </w:r>
            <w:r w:rsidRPr="002C302D">
              <w:rPr>
                <w:szCs w:val="24"/>
              </w:rPr>
              <w:t>Vadovaujančiosios, administruojančiosios ir audito institucijų funkcijų, įgyvendinant Ekonomikos gaivinimo ir atsparumo didinimo planą „Naujos kartos Lietuva“, paskirstymo taisykles, patvirtintas 2020 m. lapkričio 25 d. Lietuvos Respublikos Vyriausybės nutarimu Nr. 1322 „Dėl pasirengimo administruoti Europos Sąjungos fondų lėšas“;</w:t>
            </w:r>
          </w:p>
          <w:p w14:paraId="2A3B92E4" w14:textId="59D7368D" w:rsidR="00607DB6" w:rsidRPr="00607DB6" w:rsidRDefault="00607DB6" w:rsidP="00A27F50">
            <w:pPr>
              <w:pStyle w:val="ListParagraph"/>
              <w:tabs>
                <w:tab w:val="left" w:pos="458"/>
                <w:tab w:val="left" w:pos="595"/>
                <w:tab w:val="left" w:pos="1028"/>
              </w:tabs>
              <w:ind w:left="34" w:firstLine="425"/>
              <w:jc w:val="both"/>
              <w:rPr>
                <w:szCs w:val="24"/>
              </w:rPr>
            </w:pPr>
            <w:r>
              <w:rPr>
                <w:szCs w:val="24"/>
              </w:rPr>
              <w:t xml:space="preserve">1.1.12. </w:t>
            </w:r>
            <w:r w:rsidRPr="00607DB6">
              <w:rPr>
                <w:szCs w:val="24"/>
              </w:rPr>
              <w:t>2021–2027 metų Europos Sąjungos fondų investicijų programos ir ekonomikos gaivinimo ir atsparumo didinimo plano „Naujos kartos Lietuva“ stebėsenos rodiklių nustatymo ir skaičiavimo apraš</w:t>
            </w:r>
            <w:r>
              <w:rPr>
                <w:szCs w:val="24"/>
              </w:rPr>
              <w:t xml:space="preserve">as, </w:t>
            </w:r>
            <w:r w:rsidRPr="004A3B5A">
              <w:rPr>
                <w:szCs w:val="24"/>
              </w:rPr>
              <w:t>patvirtintas 202</w:t>
            </w:r>
            <w:r w:rsidR="00404F00" w:rsidRPr="004A3B5A">
              <w:rPr>
                <w:szCs w:val="24"/>
              </w:rPr>
              <w:t>2</w:t>
            </w:r>
            <w:r w:rsidRPr="004A3B5A">
              <w:rPr>
                <w:szCs w:val="24"/>
              </w:rPr>
              <w:t xml:space="preserve"> m. </w:t>
            </w:r>
            <w:r w:rsidR="00404F00" w:rsidRPr="004A3B5A">
              <w:rPr>
                <w:szCs w:val="24"/>
              </w:rPr>
              <w:t>.........</w:t>
            </w:r>
            <w:r w:rsidRPr="004A3B5A">
              <w:rPr>
                <w:szCs w:val="24"/>
              </w:rPr>
              <w:t xml:space="preserve">  d. </w:t>
            </w:r>
            <w:r w:rsidR="00404F00" w:rsidRPr="004A3B5A">
              <w:rPr>
                <w:szCs w:val="24"/>
              </w:rPr>
              <w:t>Lietuvos Respublikos finansų ministro įsakymu</w:t>
            </w:r>
            <w:r w:rsidRPr="004A3B5A">
              <w:rPr>
                <w:szCs w:val="24"/>
              </w:rPr>
              <w:t xml:space="preserve"> Nr.</w:t>
            </w:r>
            <w:r w:rsidR="004A3B5A" w:rsidRPr="004A3B5A">
              <w:rPr>
                <w:szCs w:val="24"/>
              </w:rPr>
              <w:t>....</w:t>
            </w:r>
            <w:r w:rsidRPr="004A3B5A">
              <w:rPr>
                <w:szCs w:val="24"/>
              </w:rPr>
              <w:t xml:space="preserve"> „Dėl</w:t>
            </w:r>
            <w:r w:rsidR="00404F00" w:rsidRPr="004A3B5A">
              <w:rPr>
                <w:szCs w:val="24"/>
              </w:rPr>
              <w:t>.............................</w:t>
            </w:r>
            <w:r w:rsidR="004A3B5A" w:rsidRPr="004A3B5A">
              <w:rPr>
                <w:szCs w:val="24"/>
              </w:rPr>
              <w:t>....................</w:t>
            </w:r>
            <w:r w:rsidR="00404F00" w:rsidRPr="004A3B5A">
              <w:rPr>
                <w:szCs w:val="24"/>
              </w:rPr>
              <w:t>..</w:t>
            </w:r>
            <w:r w:rsidR="005C3120" w:rsidRPr="004A3B5A">
              <w:rPr>
                <w:szCs w:val="24"/>
              </w:rPr>
              <w:t>......</w:t>
            </w:r>
            <w:r w:rsidR="00404F00" w:rsidRPr="004A3B5A">
              <w:rPr>
                <w:szCs w:val="24"/>
              </w:rPr>
              <w:t>.....</w:t>
            </w:r>
            <w:r w:rsidRPr="004A3B5A">
              <w:rPr>
                <w:szCs w:val="24"/>
              </w:rPr>
              <w:t>“;</w:t>
            </w:r>
          </w:p>
          <w:p w14:paraId="4B5BC719" w14:textId="36E83673" w:rsidR="00593025" w:rsidRDefault="00755C98" w:rsidP="00A27F50">
            <w:pPr>
              <w:pStyle w:val="ListParagraph"/>
              <w:tabs>
                <w:tab w:val="left" w:pos="458"/>
                <w:tab w:val="left" w:pos="595"/>
                <w:tab w:val="left" w:pos="1028"/>
              </w:tabs>
              <w:ind w:left="34" w:firstLine="425"/>
              <w:jc w:val="both"/>
              <w:rPr>
                <w:szCs w:val="24"/>
              </w:rPr>
            </w:pPr>
            <w:r>
              <w:rPr>
                <w:szCs w:val="24"/>
              </w:rPr>
              <w:t>1.</w:t>
            </w:r>
            <w:r w:rsidR="00571343">
              <w:rPr>
                <w:szCs w:val="24"/>
              </w:rPr>
              <w:t>1.</w:t>
            </w:r>
            <w:r>
              <w:rPr>
                <w:szCs w:val="24"/>
              </w:rPr>
              <w:t>1</w:t>
            </w:r>
            <w:r w:rsidR="00607DB6">
              <w:rPr>
                <w:szCs w:val="24"/>
              </w:rPr>
              <w:t>3</w:t>
            </w:r>
            <w:r>
              <w:rPr>
                <w:szCs w:val="24"/>
              </w:rPr>
              <w:t xml:space="preserve">. </w:t>
            </w:r>
            <w:r w:rsidRPr="00755C98">
              <w:rPr>
                <w:szCs w:val="24"/>
              </w:rPr>
              <w:t>Lietuvos Respublikos Vyriausybės 2005 m. sausio 19 d. nutarimą Nr. 35 „Dėl Suteiktos valstybės pagalbos ir nereikšmingos (</w:t>
            </w:r>
            <w:r w:rsidRPr="00755C98">
              <w:rPr>
                <w:i/>
                <w:iCs/>
                <w:szCs w:val="24"/>
              </w:rPr>
              <w:t>de minimis</w:t>
            </w:r>
            <w:r w:rsidRPr="00755C98">
              <w:rPr>
                <w:szCs w:val="24"/>
              </w:rPr>
              <w:t xml:space="preserve">) </w:t>
            </w:r>
            <w:r w:rsidRPr="00F91E18">
              <w:rPr>
                <w:szCs w:val="24"/>
              </w:rPr>
              <w:t>pagalbos registro nuostatų patvirtinimo“;</w:t>
            </w:r>
          </w:p>
          <w:p w14:paraId="057DB45F" w14:textId="4D289EE0" w:rsidR="00AD6938" w:rsidRPr="00F91E18" w:rsidRDefault="00AD6938" w:rsidP="00A27F50">
            <w:pPr>
              <w:pStyle w:val="ListParagraph"/>
              <w:tabs>
                <w:tab w:val="left" w:pos="458"/>
                <w:tab w:val="left" w:pos="595"/>
                <w:tab w:val="left" w:pos="1028"/>
              </w:tabs>
              <w:ind w:left="34" w:firstLine="425"/>
              <w:jc w:val="both"/>
              <w:rPr>
                <w:szCs w:val="24"/>
              </w:rPr>
            </w:pPr>
            <w:r w:rsidRPr="000E4D43">
              <w:rPr>
                <w:szCs w:val="24"/>
              </w:rPr>
              <w:t xml:space="preserve">1.1.14. </w:t>
            </w:r>
            <w:r w:rsidRPr="000E4D43">
              <w:rPr>
                <w:iCs/>
                <w:szCs w:val="24"/>
              </w:rPr>
              <w:t>Lietuvos Respublikos Vyriausybės 2021 m. gruodžio 22 d. nutarimą Nr. 1123 „</w:t>
            </w:r>
            <w:r w:rsidRPr="000E4D43">
              <w:rPr>
                <w:bCs/>
                <w:iCs/>
                <w:szCs w:val="24"/>
              </w:rPr>
              <w:t>Dėl regioninės pagalbos teikimo pagal Lietuvos Respublikos regioninės pagalbos žemėlapį, taikytiną nuo 2022 m. sausio 1 d. iki 2027 m. gruodžio 31 d.“</w:t>
            </w:r>
            <w:r w:rsidRPr="000E4D43">
              <w:rPr>
                <w:iCs/>
                <w:szCs w:val="24"/>
              </w:rPr>
              <w:t>;</w:t>
            </w:r>
          </w:p>
          <w:p w14:paraId="68E2E939" w14:textId="7D3FE7A9" w:rsidR="003A1942" w:rsidRPr="00755C98" w:rsidRDefault="003A1942" w:rsidP="00A27F50">
            <w:pPr>
              <w:pStyle w:val="ListParagraph"/>
              <w:tabs>
                <w:tab w:val="left" w:pos="458"/>
                <w:tab w:val="left" w:pos="595"/>
                <w:tab w:val="left" w:pos="1028"/>
              </w:tabs>
              <w:spacing w:after="0"/>
              <w:ind w:left="34" w:firstLine="425"/>
              <w:jc w:val="both"/>
              <w:rPr>
                <w:szCs w:val="24"/>
                <w:lang w:eastAsia="lt-LT"/>
              </w:rPr>
            </w:pPr>
            <w:r w:rsidRPr="00F91E18">
              <w:rPr>
                <w:szCs w:val="24"/>
              </w:rPr>
              <w:t>1.1.1</w:t>
            </w:r>
            <w:r w:rsidR="00AD6938">
              <w:rPr>
                <w:szCs w:val="24"/>
              </w:rPr>
              <w:t>5</w:t>
            </w:r>
            <w:r w:rsidRPr="00F91E18">
              <w:rPr>
                <w:szCs w:val="24"/>
              </w:rPr>
              <w:t xml:space="preserve">. </w:t>
            </w:r>
            <w:r w:rsidR="00A56940" w:rsidRPr="00F91E18">
              <w:rPr>
                <w:szCs w:val="24"/>
                <w:lang w:eastAsia="lt-LT"/>
              </w:rPr>
              <w:t>Lietuvos Respublikos ūkio ministro 2008 m. kovo 26 d. įsakym</w:t>
            </w:r>
            <w:r w:rsidR="00884173" w:rsidRPr="00F91E18">
              <w:rPr>
                <w:szCs w:val="24"/>
                <w:lang w:eastAsia="lt-LT"/>
              </w:rPr>
              <w:t>ą</w:t>
            </w:r>
            <w:r w:rsidR="00A56940" w:rsidRPr="00F91E18">
              <w:rPr>
                <w:szCs w:val="24"/>
                <w:lang w:eastAsia="lt-LT"/>
              </w:rPr>
              <w:t xml:space="preserve"> Nr. 4-119 „Dėl Smulkiojo ar vidutinio verslo subjekto statuso deklaravimo tvarkos aprašo ir Smulkiojo ar vidutinio verslo subjekto statuso deklaracijos formos patvirtinimo“</w:t>
            </w:r>
            <w:r w:rsidR="00F91E18" w:rsidRPr="00F91E18">
              <w:rPr>
                <w:szCs w:val="24"/>
                <w:lang w:eastAsia="lt-LT"/>
              </w:rPr>
              <w:t>;</w:t>
            </w:r>
          </w:p>
          <w:p w14:paraId="0D6DFE0A" w14:textId="00D4D8B1" w:rsidR="00571343" w:rsidRPr="00566B30" w:rsidRDefault="00571343" w:rsidP="00A27F50">
            <w:pPr>
              <w:tabs>
                <w:tab w:val="left" w:pos="458"/>
              </w:tabs>
              <w:jc w:val="both"/>
              <w:rPr>
                <w:szCs w:val="24"/>
                <w:lang w:eastAsia="lt-LT"/>
              </w:rPr>
            </w:pPr>
            <w:r w:rsidRPr="00566B30">
              <w:rPr>
                <w:szCs w:val="24"/>
                <w:lang w:eastAsia="lt-LT"/>
              </w:rPr>
              <w:t xml:space="preserve">1.2. </w:t>
            </w:r>
            <w:r w:rsidR="009C7DEF" w:rsidRPr="00566B30">
              <w:rPr>
                <w:szCs w:val="24"/>
                <w:lang w:eastAsia="lt-LT"/>
              </w:rPr>
              <w:t xml:space="preserve">Apraše vartojamos sąvokos suprantamos kaip apibrėžtos Aprašo </w:t>
            </w:r>
            <w:r w:rsidR="009C7DEF" w:rsidRPr="00B6150D">
              <w:rPr>
                <w:szCs w:val="24"/>
                <w:lang w:eastAsia="lt-LT"/>
              </w:rPr>
              <w:t>1</w:t>
            </w:r>
            <w:r w:rsidR="006B25DF">
              <w:rPr>
                <w:szCs w:val="24"/>
                <w:lang w:eastAsia="lt-LT"/>
              </w:rPr>
              <w:t>.1</w:t>
            </w:r>
            <w:r w:rsidR="009C7DEF" w:rsidRPr="00B6150D">
              <w:rPr>
                <w:szCs w:val="24"/>
                <w:lang w:eastAsia="lt-LT"/>
              </w:rPr>
              <w:t xml:space="preserve"> </w:t>
            </w:r>
            <w:r w:rsidR="009C7DEF" w:rsidRPr="00566B30">
              <w:rPr>
                <w:szCs w:val="24"/>
                <w:lang w:eastAsia="lt-LT"/>
              </w:rPr>
              <w:t>p</w:t>
            </w:r>
            <w:r w:rsidR="007410D2" w:rsidRPr="00566B30">
              <w:rPr>
                <w:szCs w:val="24"/>
                <w:lang w:eastAsia="lt-LT"/>
              </w:rPr>
              <w:t>apunktyje</w:t>
            </w:r>
            <w:r w:rsidR="009C7DEF" w:rsidRPr="00566B30">
              <w:rPr>
                <w:szCs w:val="24"/>
                <w:lang w:eastAsia="lt-LT"/>
              </w:rPr>
              <w:t xml:space="preserve"> nurodytuose teisės aktuose.</w:t>
            </w:r>
            <w:r w:rsidR="00983845" w:rsidRPr="00566B30">
              <w:rPr>
                <w:szCs w:val="24"/>
                <w:lang w:eastAsia="lt-LT"/>
              </w:rPr>
              <w:t xml:space="preserve"> </w:t>
            </w:r>
          </w:p>
          <w:p w14:paraId="2E1BBC9B" w14:textId="51DB9035" w:rsidR="00983845" w:rsidRPr="00983845" w:rsidRDefault="00571343" w:rsidP="00A27F50">
            <w:pPr>
              <w:tabs>
                <w:tab w:val="left" w:pos="458"/>
              </w:tabs>
              <w:jc w:val="both"/>
              <w:rPr>
                <w:color w:val="000000"/>
                <w:szCs w:val="24"/>
              </w:rPr>
            </w:pPr>
            <w:r>
              <w:rPr>
                <w:bCs/>
                <w:szCs w:val="24"/>
              </w:rPr>
              <w:t xml:space="preserve">1.3. </w:t>
            </w:r>
            <w:r w:rsidR="00983845" w:rsidRPr="00983845">
              <w:rPr>
                <w:color w:val="000000"/>
                <w:szCs w:val="24"/>
              </w:rPr>
              <w:t>Apraše vartojamos kitos sąvokos:</w:t>
            </w:r>
          </w:p>
          <w:p w14:paraId="791F5880" w14:textId="4B77DFE2" w:rsidR="00983845" w:rsidRPr="00983845" w:rsidRDefault="00983845" w:rsidP="00A27F50">
            <w:pPr>
              <w:tabs>
                <w:tab w:val="left" w:pos="458"/>
              </w:tabs>
              <w:ind w:firstLine="458"/>
              <w:jc w:val="both"/>
              <w:rPr>
                <w:color w:val="000000"/>
                <w:szCs w:val="24"/>
                <w:lang w:val="en-US"/>
              </w:rPr>
            </w:pPr>
            <w:bookmarkStart w:id="2" w:name="part_14894311dc3a491da98bed111619b289"/>
            <w:bookmarkEnd w:id="2"/>
            <w:r>
              <w:rPr>
                <w:color w:val="000000"/>
                <w:szCs w:val="24"/>
              </w:rPr>
              <w:t>1.</w:t>
            </w:r>
            <w:r w:rsidR="00571343">
              <w:rPr>
                <w:color w:val="000000"/>
                <w:szCs w:val="24"/>
              </w:rPr>
              <w:t>3</w:t>
            </w:r>
            <w:r>
              <w:rPr>
                <w:color w:val="000000"/>
                <w:szCs w:val="24"/>
              </w:rPr>
              <w:t>.</w:t>
            </w:r>
            <w:r w:rsidR="00571343">
              <w:rPr>
                <w:color w:val="000000"/>
                <w:szCs w:val="24"/>
              </w:rPr>
              <w:t>1.</w:t>
            </w:r>
            <w:r>
              <w:rPr>
                <w:color w:val="000000"/>
                <w:szCs w:val="24"/>
              </w:rPr>
              <w:t xml:space="preserve"> </w:t>
            </w:r>
            <w:r w:rsidRPr="00983845">
              <w:rPr>
                <w:b/>
                <w:bCs/>
                <w:color w:val="000000"/>
                <w:szCs w:val="24"/>
              </w:rPr>
              <w:t>Atsinaujinantys energijos ištekliai</w:t>
            </w:r>
            <w:r w:rsidRPr="00983845">
              <w:rPr>
                <w:color w:val="000000"/>
                <w:szCs w:val="24"/>
              </w:rPr>
              <w:t xml:space="preserve"> – </w:t>
            </w:r>
            <w:r w:rsidR="00D57FB6">
              <w:rPr>
                <w:color w:val="000000"/>
                <w:szCs w:val="24"/>
              </w:rPr>
              <w:t xml:space="preserve">šiame Apraše suprantami kaip </w:t>
            </w:r>
            <w:r w:rsidRPr="00983845">
              <w:rPr>
                <w:color w:val="000000"/>
                <w:szCs w:val="24"/>
              </w:rPr>
              <w:t>ištekliai</w:t>
            </w:r>
            <w:r w:rsidR="0054460F">
              <w:rPr>
                <w:color w:val="000000"/>
                <w:szCs w:val="24"/>
              </w:rPr>
              <w:t>, generuojami iš saulės</w:t>
            </w:r>
            <w:r w:rsidR="00D57FB6">
              <w:rPr>
                <w:color w:val="000000"/>
                <w:szCs w:val="24"/>
              </w:rPr>
              <w:t xml:space="preserve"> šviesos</w:t>
            </w:r>
            <w:r w:rsidR="003C3F39">
              <w:rPr>
                <w:color w:val="000000"/>
                <w:szCs w:val="24"/>
              </w:rPr>
              <w:t>;</w:t>
            </w:r>
          </w:p>
          <w:p w14:paraId="429330AB" w14:textId="72590F66" w:rsidR="00983845" w:rsidRPr="00983845" w:rsidRDefault="00983845" w:rsidP="00A27F50">
            <w:pPr>
              <w:tabs>
                <w:tab w:val="left" w:pos="458"/>
              </w:tabs>
              <w:ind w:firstLine="458"/>
              <w:jc w:val="both"/>
              <w:rPr>
                <w:color w:val="000000"/>
                <w:szCs w:val="24"/>
                <w:lang w:val="en-US"/>
              </w:rPr>
            </w:pPr>
            <w:bookmarkStart w:id="3" w:name="part_1ac54b208d1e4205b29cdf164e3b2033"/>
            <w:bookmarkEnd w:id="3"/>
            <w:r>
              <w:rPr>
                <w:color w:val="000000"/>
                <w:szCs w:val="24"/>
              </w:rPr>
              <w:t>1.3</w:t>
            </w:r>
            <w:r w:rsidRPr="00983845">
              <w:rPr>
                <w:color w:val="000000"/>
                <w:szCs w:val="24"/>
              </w:rPr>
              <w:t>.</w:t>
            </w:r>
            <w:r w:rsidR="00571343">
              <w:rPr>
                <w:color w:val="000000"/>
                <w:szCs w:val="24"/>
              </w:rPr>
              <w:t>2.</w:t>
            </w:r>
            <w:r w:rsidRPr="00983845">
              <w:rPr>
                <w:color w:val="000000"/>
                <w:szCs w:val="24"/>
              </w:rPr>
              <w:t>  </w:t>
            </w:r>
            <w:r w:rsidRPr="00983845">
              <w:rPr>
                <w:b/>
                <w:bCs/>
                <w:color w:val="000000"/>
                <w:szCs w:val="24"/>
              </w:rPr>
              <w:t>Auditorius</w:t>
            </w:r>
            <w:r w:rsidRPr="00983845">
              <w:rPr>
                <w:color w:val="000000"/>
                <w:szCs w:val="24"/>
              </w:rPr>
              <w:t xml:space="preserve"> –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gali atlikti ir juridinis asmuo, kurio bent vienas darbuotojas yra atestuotas auditorius 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 Energijos vartojimo auditą gali atlikti ir kitų ES valstybių narių auditoriai, jeigu 2012 m. spalio 25 d. Europos Parlamento </w:t>
            </w:r>
            <w:r w:rsidRPr="00983845">
              <w:rPr>
                <w:color w:val="000000"/>
                <w:szCs w:val="24"/>
              </w:rPr>
              <w:lastRenderedPageBreak/>
              <w:t>ir Tarybos direktyvos 2012/27/ES dėl energijos vartojimo efektyvumo, kuria iš dalies keičiamos direktyvos 2009/125/EB ir 2010/30/ES bei kuria panaikinamos direktyvos 2004/8/EB ir 2006/32/EB (OL 2012 L 315, p. 1) (toliau – Direktyva 2012/27/ES) 16 straipsnio 1 dalyje nurodytos sertifikavimo ir (arba) akreditavimo sistemos arba lygiavertės kvalifikavimo sistemos bus palygintos tarpusavyje ir pripaži</w:t>
            </w:r>
            <w:r w:rsidR="00B33117">
              <w:rPr>
                <w:color w:val="000000"/>
                <w:szCs w:val="24"/>
              </w:rPr>
              <w:t>ntos Lietuvos Respublikos ir EK;</w:t>
            </w:r>
          </w:p>
          <w:p w14:paraId="23BEE7DD" w14:textId="7761EBAE" w:rsidR="00983845" w:rsidRPr="00983845" w:rsidRDefault="00983845" w:rsidP="00AD353C">
            <w:pPr>
              <w:tabs>
                <w:tab w:val="left" w:pos="458"/>
              </w:tabs>
              <w:ind w:firstLine="458"/>
              <w:jc w:val="both"/>
              <w:rPr>
                <w:color w:val="000000"/>
                <w:szCs w:val="24"/>
                <w:lang w:val="en-US"/>
              </w:rPr>
            </w:pPr>
            <w:bookmarkStart w:id="4" w:name="part_b45c80e6e42c469b9e29e66604f21022"/>
            <w:bookmarkEnd w:id="4"/>
            <w:r>
              <w:rPr>
                <w:color w:val="000000"/>
                <w:szCs w:val="24"/>
              </w:rPr>
              <w:t>1.</w:t>
            </w:r>
            <w:r w:rsidR="006B25DF">
              <w:rPr>
                <w:color w:val="000000"/>
                <w:szCs w:val="24"/>
              </w:rPr>
              <w:t>3.3</w:t>
            </w:r>
            <w:r w:rsidRPr="00983845">
              <w:rPr>
                <w:color w:val="000000"/>
                <w:szCs w:val="24"/>
              </w:rPr>
              <w:t>.  </w:t>
            </w:r>
            <w:r w:rsidRPr="00983845">
              <w:rPr>
                <w:b/>
                <w:bCs/>
                <w:color w:val="000000"/>
                <w:szCs w:val="24"/>
              </w:rPr>
              <w:t>Didelė įmonė </w:t>
            </w:r>
            <w:r w:rsidRPr="00983845">
              <w:rPr>
                <w:color w:val="000000"/>
                <w:szCs w:val="24"/>
              </w:rPr>
              <w:t>–</w:t>
            </w:r>
            <w:r w:rsidR="00F60D03">
              <w:rPr>
                <w:color w:val="000000"/>
                <w:szCs w:val="24"/>
              </w:rPr>
              <w:t xml:space="preserve"> </w:t>
            </w:r>
            <w:r w:rsidR="00F60D03" w:rsidRPr="00F60D03">
              <w:rPr>
                <w:color w:val="000000"/>
                <w:szCs w:val="24"/>
              </w:rPr>
              <w:t>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w:t>
            </w:r>
            <w:r w:rsidR="00B33117">
              <w:rPr>
                <w:color w:val="000000"/>
                <w:szCs w:val="24"/>
              </w:rPr>
              <w:t>dutinio verslo plėtros įstatyme;</w:t>
            </w:r>
          </w:p>
          <w:p w14:paraId="6DD1D7A8" w14:textId="34768174" w:rsidR="00983845" w:rsidRDefault="00983845" w:rsidP="00AD353C">
            <w:pPr>
              <w:tabs>
                <w:tab w:val="left" w:pos="458"/>
              </w:tabs>
              <w:ind w:firstLine="458"/>
              <w:jc w:val="both"/>
              <w:rPr>
                <w:color w:val="000000"/>
                <w:szCs w:val="24"/>
              </w:rPr>
            </w:pPr>
            <w:bookmarkStart w:id="5" w:name="part_6c15335b0c7c498ebc8171c330eae6f9"/>
            <w:bookmarkEnd w:id="5"/>
            <w:r>
              <w:rPr>
                <w:color w:val="000000"/>
                <w:szCs w:val="24"/>
              </w:rPr>
              <w:t>1.</w:t>
            </w:r>
            <w:r w:rsidR="006B25DF">
              <w:rPr>
                <w:color w:val="000000"/>
                <w:szCs w:val="24"/>
              </w:rPr>
              <w:t>3</w:t>
            </w:r>
            <w:r w:rsidRPr="00983845">
              <w:rPr>
                <w:color w:val="000000"/>
                <w:szCs w:val="24"/>
              </w:rPr>
              <w:t>.</w:t>
            </w:r>
            <w:r w:rsidR="006B25DF">
              <w:rPr>
                <w:color w:val="000000"/>
                <w:szCs w:val="24"/>
              </w:rPr>
              <w:t>4.</w:t>
            </w:r>
            <w:r w:rsidRPr="00983845">
              <w:rPr>
                <w:color w:val="000000"/>
                <w:szCs w:val="24"/>
              </w:rPr>
              <w:t> </w:t>
            </w:r>
            <w:r w:rsidRPr="00983845">
              <w:rPr>
                <w:b/>
                <w:bCs/>
                <w:color w:val="000000"/>
                <w:szCs w:val="24"/>
              </w:rPr>
              <w:t>Energijos vartojimo auditas </w:t>
            </w:r>
            <w:r w:rsidRPr="00983845">
              <w:rPr>
                <w:color w:val="000000"/>
                <w:szCs w:val="24"/>
              </w:rPr>
              <w:t>–</w:t>
            </w:r>
            <w:r w:rsidRPr="00983845">
              <w:rPr>
                <w:b/>
                <w:bCs/>
                <w:color w:val="000000"/>
                <w:szCs w:val="24"/>
              </w:rPr>
              <w:t> </w:t>
            </w:r>
            <w:r w:rsidRPr="00983845">
              <w:rPr>
                <w:color w:val="000000"/>
                <w:szCs w:val="24"/>
              </w:rPr>
              <w:t>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 arba 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 (toliau – Įmonių, kurios nėra smulkiojo ir vidutinio verslo subjektai, energijos vartojimo audito atlikimo ir ataskaitų teikimo priežiūros tvarkos aprašas), įvertina energijos ir vandens nuostolius pramonės įmonės technologiniuose procesuose ir įrenginiuose ir numato priemones šios įmonės energijos i</w:t>
            </w:r>
            <w:r w:rsidR="00B33117">
              <w:rPr>
                <w:color w:val="000000"/>
                <w:szCs w:val="24"/>
              </w:rPr>
              <w:t>r vandens nuostoliams sumažinti;</w:t>
            </w:r>
          </w:p>
          <w:p w14:paraId="0537BFC1" w14:textId="63C47DC0" w:rsidR="005B43DC" w:rsidRPr="008A238D" w:rsidRDefault="005B43DC" w:rsidP="00BC55A2">
            <w:pPr>
              <w:tabs>
                <w:tab w:val="left" w:pos="458"/>
              </w:tabs>
              <w:ind w:firstLine="459"/>
              <w:jc w:val="both"/>
              <w:rPr>
                <w:bCs/>
                <w:color w:val="000000"/>
                <w:szCs w:val="24"/>
              </w:rPr>
            </w:pPr>
            <w:r>
              <w:rPr>
                <w:color w:val="000000"/>
                <w:szCs w:val="24"/>
              </w:rPr>
              <w:t xml:space="preserve">1.3.5. </w:t>
            </w:r>
            <w:r w:rsidRPr="0061128E">
              <w:rPr>
                <w:b/>
                <w:bCs/>
                <w:color w:val="000000"/>
                <w:szCs w:val="24"/>
              </w:rPr>
              <w:t>Gaminantis vartotojas</w:t>
            </w:r>
            <w:r w:rsidR="0061128E">
              <w:rPr>
                <w:color w:val="000000"/>
                <w:szCs w:val="24"/>
              </w:rPr>
              <w:t xml:space="preserve"> </w:t>
            </w:r>
            <w:r w:rsidR="0061128E" w:rsidRPr="0061128E">
              <w:rPr>
                <w:color w:val="000000"/>
                <w:szCs w:val="24"/>
              </w:rPr>
              <w:t>–</w:t>
            </w:r>
            <w:r w:rsidR="0061128E" w:rsidRPr="0061128E">
              <w:rPr>
                <w:b/>
                <w:bCs/>
                <w:color w:val="000000"/>
                <w:szCs w:val="24"/>
              </w:rPr>
              <w:t> </w:t>
            </w:r>
            <w:r w:rsidR="00661B68" w:rsidRPr="008A238D">
              <w:rPr>
                <w:bCs/>
                <w:color w:val="000000"/>
                <w:szCs w:val="24"/>
              </w:rPr>
              <w:t xml:space="preserve">šiame Apraše suprantamas kaip </w:t>
            </w:r>
            <w:r w:rsidR="0064307B" w:rsidRPr="008A238D">
              <w:rPr>
                <w:bCs/>
                <w:color w:val="000000"/>
                <w:szCs w:val="24"/>
              </w:rPr>
              <w:t xml:space="preserve">elektros energiją </w:t>
            </w:r>
            <w:r w:rsidR="00BC55A2" w:rsidRPr="008A238D">
              <w:rPr>
                <w:bCs/>
                <w:color w:val="000000"/>
                <w:szCs w:val="24"/>
              </w:rPr>
              <w:t xml:space="preserve">iš atsinaujinančių išteklių </w:t>
            </w:r>
            <w:r w:rsidR="008A238D" w:rsidRPr="008A238D">
              <w:rPr>
                <w:bCs/>
                <w:color w:val="000000"/>
                <w:szCs w:val="24"/>
              </w:rPr>
              <w:t xml:space="preserve">savo poreikiams </w:t>
            </w:r>
            <w:r w:rsidR="0064307B" w:rsidRPr="008A238D">
              <w:rPr>
                <w:bCs/>
                <w:color w:val="000000"/>
                <w:szCs w:val="24"/>
              </w:rPr>
              <w:t>gaminanti</w:t>
            </w:r>
            <w:r w:rsidR="001C1AC9">
              <w:rPr>
                <w:bCs/>
                <w:color w:val="000000"/>
                <w:szCs w:val="24"/>
              </w:rPr>
              <w:t>s vartotojas</w:t>
            </w:r>
            <w:r w:rsidR="00C0235E" w:rsidRPr="008A238D">
              <w:rPr>
                <w:bCs/>
                <w:color w:val="000000"/>
                <w:szCs w:val="24"/>
              </w:rPr>
              <w:t>, o nesuvartotą jos kiekį tiekianti</w:t>
            </w:r>
            <w:r w:rsidR="001C1AC9">
              <w:rPr>
                <w:bCs/>
                <w:color w:val="000000"/>
                <w:szCs w:val="24"/>
              </w:rPr>
              <w:t>s</w:t>
            </w:r>
            <w:r w:rsidR="00C0235E" w:rsidRPr="008A238D">
              <w:rPr>
                <w:bCs/>
                <w:color w:val="000000"/>
                <w:szCs w:val="24"/>
              </w:rPr>
              <w:t xml:space="preserve"> į </w:t>
            </w:r>
            <w:r w:rsidR="00BC55A2">
              <w:rPr>
                <w:bCs/>
                <w:color w:val="000000"/>
                <w:szCs w:val="24"/>
              </w:rPr>
              <w:t xml:space="preserve">elektros </w:t>
            </w:r>
            <w:r w:rsidR="00C0235E" w:rsidRPr="008A238D">
              <w:rPr>
                <w:bCs/>
                <w:color w:val="000000"/>
                <w:szCs w:val="24"/>
              </w:rPr>
              <w:t>tinklus ir atsiradus poreikiui ją susigrąžinanti</w:t>
            </w:r>
            <w:r w:rsidR="001C1AC9">
              <w:rPr>
                <w:bCs/>
                <w:color w:val="000000"/>
                <w:szCs w:val="24"/>
              </w:rPr>
              <w:t>s</w:t>
            </w:r>
            <w:r w:rsidR="00C0235E" w:rsidRPr="008A238D">
              <w:rPr>
                <w:bCs/>
                <w:color w:val="000000"/>
                <w:szCs w:val="24"/>
              </w:rPr>
              <w:t>;</w:t>
            </w:r>
          </w:p>
          <w:p w14:paraId="2F7E9C13" w14:textId="32261956" w:rsidR="00983845" w:rsidRPr="00983845" w:rsidRDefault="00983845" w:rsidP="00AD353C">
            <w:pPr>
              <w:tabs>
                <w:tab w:val="left" w:pos="458"/>
              </w:tabs>
              <w:ind w:firstLine="458"/>
              <w:jc w:val="both"/>
              <w:rPr>
                <w:color w:val="000000"/>
                <w:szCs w:val="24"/>
                <w:lang w:val="en-US"/>
              </w:rPr>
            </w:pPr>
            <w:bookmarkStart w:id="6" w:name="part_42a368c92931437189b6a462a7a815f5"/>
            <w:bookmarkStart w:id="7" w:name="part_618918995e7a4b7ab1d4b9ffb3cdb728"/>
            <w:bookmarkEnd w:id="6"/>
            <w:bookmarkEnd w:id="7"/>
            <w:r>
              <w:rPr>
                <w:color w:val="000000"/>
                <w:szCs w:val="24"/>
              </w:rPr>
              <w:t>1.</w:t>
            </w:r>
            <w:r w:rsidR="006B25DF">
              <w:rPr>
                <w:color w:val="000000"/>
                <w:szCs w:val="24"/>
              </w:rPr>
              <w:t>3</w:t>
            </w:r>
            <w:r w:rsidRPr="00983845">
              <w:rPr>
                <w:color w:val="000000"/>
                <w:szCs w:val="24"/>
              </w:rPr>
              <w:t>.</w:t>
            </w:r>
            <w:r w:rsidR="00AD353C">
              <w:rPr>
                <w:color w:val="000000"/>
                <w:szCs w:val="24"/>
              </w:rPr>
              <w:t>6</w:t>
            </w:r>
            <w:r w:rsidR="006B25DF">
              <w:rPr>
                <w:color w:val="000000"/>
                <w:szCs w:val="24"/>
              </w:rPr>
              <w:t>.</w:t>
            </w:r>
            <w:r w:rsidRPr="00983845">
              <w:rPr>
                <w:color w:val="000000"/>
                <w:szCs w:val="24"/>
              </w:rPr>
              <w:t> </w:t>
            </w:r>
            <w:r w:rsidRPr="00983845">
              <w:rPr>
                <w:b/>
                <w:bCs/>
                <w:color w:val="000000"/>
                <w:szCs w:val="24"/>
              </w:rPr>
              <w:t>Paties pareiškėjo pagamintos produkcijos pardavimo pajamos</w:t>
            </w:r>
            <w:r w:rsidRPr="00983845">
              <w:rPr>
                <w:color w:val="000000"/>
                <w:szCs w:val="24"/>
              </w:rPr>
              <w:t xml:space="preserve"> – pajamos, gautos dėl prekių pardavimo per ataskaitinį laikotarpį ir nurodytos tokiuose dokumentuose, kurie įrodo paties pareiškėjo prekių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Turi būti nurodytos pardavimo pajamos ir pateiktas pastabos numeris,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 prie Lietuvos Respublikos finansų ministerijos direktoriaus 2017 m. vasario 15 d. įsakymu Nr. V2-1 ir  3-iojo verslo apskaitos standarto „Pelno (nuostolių) ataskaita“ metodinėmis rekomendacijomis, patvirtintomis Audito, apskaitos turto vertinimo ir nemokumo valdymo tarnybos prie Lietuvos Respublikos finansų ministerijos </w:t>
            </w:r>
            <w:r w:rsidRPr="00983845">
              <w:rPr>
                <w:color w:val="000000"/>
                <w:szCs w:val="24"/>
              </w:rPr>
              <w:lastRenderedPageBreak/>
              <w:t>direktoriaus 2016 m. liepos 14 d. įsakymu Nr. V2-2. Jeigu dokumentai yra pateikiami kita negu minėtų finansinių dokumentų forma, juose turi būti pateikta visa formoje ir aiškinama</w:t>
            </w:r>
            <w:r w:rsidR="00B33117">
              <w:rPr>
                <w:color w:val="000000"/>
                <w:szCs w:val="24"/>
              </w:rPr>
              <w:t>jame rašte nurodyta informacija;</w:t>
            </w:r>
          </w:p>
          <w:p w14:paraId="27364E42" w14:textId="763D3BF8" w:rsidR="00983845" w:rsidRPr="00983845" w:rsidRDefault="00983845" w:rsidP="00AD353C">
            <w:pPr>
              <w:tabs>
                <w:tab w:val="left" w:pos="458"/>
              </w:tabs>
              <w:ind w:firstLine="458"/>
              <w:jc w:val="both"/>
              <w:rPr>
                <w:color w:val="000000"/>
                <w:szCs w:val="24"/>
                <w:lang w:val="en-US"/>
              </w:rPr>
            </w:pPr>
            <w:bookmarkStart w:id="8" w:name="part_8191e19221e84995b77c370ca7d311fe"/>
            <w:bookmarkEnd w:id="8"/>
            <w:r>
              <w:rPr>
                <w:color w:val="000000"/>
                <w:szCs w:val="24"/>
              </w:rPr>
              <w:t>1.</w:t>
            </w:r>
            <w:r w:rsidR="006B25DF">
              <w:rPr>
                <w:color w:val="000000"/>
                <w:szCs w:val="24"/>
              </w:rPr>
              <w:t>3</w:t>
            </w:r>
            <w:r w:rsidRPr="00983845">
              <w:rPr>
                <w:color w:val="000000"/>
                <w:szCs w:val="24"/>
              </w:rPr>
              <w:t>.</w:t>
            </w:r>
            <w:r w:rsidR="00AD353C">
              <w:rPr>
                <w:color w:val="000000"/>
                <w:szCs w:val="24"/>
              </w:rPr>
              <w:t>7</w:t>
            </w:r>
            <w:r w:rsidR="006B25DF">
              <w:rPr>
                <w:color w:val="000000"/>
                <w:szCs w:val="24"/>
              </w:rPr>
              <w:t>.</w:t>
            </w:r>
            <w:r w:rsidRPr="00983845">
              <w:rPr>
                <w:b/>
                <w:bCs/>
                <w:color w:val="000000"/>
                <w:szCs w:val="24"/>
              </w:rPr>
              <w:t> Pramonės įmonė </w:t>
            </w:r>
            <w:r w:rsidRPr="00983845">
              <w:rPr>
                <w:color w:val="000000"/>
                <w:szCs w:val="24"/>
              </w:rPr>
              <w:t>–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w:t>
            </w:r>
            <w:r w:rsidR="00B33117">
              <w:rPr>
                <w:color w:val="000000"/>
                <w:szCs w:val="24"/>
              </w:rPr>
              <w:t xml:space="preserve"> 51 procentą visų įmonės veiklų;</w:t>
            </w:r>
          </w:p>
          <w:p w14:paraId="5C12E7F4" w14:textId="4A3E13B1" w:rsidR="00983845" w:rsidRPr="00985E30" w:rsidRDefault="00983845" w:rsidP="00AD353C">
            <w:pPr>
              <w:tabs>
                <w:tab w:val="left" w:pos="458"/>
              </w:tabs>
              <w:ind w:firstLine="458"/>
              <w:jc w:val="both"/>
              <w:rPr>
                <w:color w:val="000000"/>
                <w:szCs w:val="24"/>
                <w:lang w:val="en-US"/>
              </w:rPr>
            </w:pPr>
            <w:bookmarkStart w:id="9" w:name="part_6e703f89bc6843e5bb0f9d8a224bf504"/>
            <w:bookmarkEnd w:id="9"/>
            <w:r>
              <w:rPr>
                <w:color w:val="000000"/>
                <w:szCs w:val="24"/>
              </w:rPr>
              <w:t>1.</w:t>
            </w:r>
            <w:r w:rsidR="006B25DF">
              <w:rPr>
                <w:color w:val="000000"/>
                <w:szCs w:val="24"/>
              </w:rPr>
              <w:t>3</w:t>
            </w:r>
            <w:r w:rsidRPr="00983845">
              <w:rPr>
                <w:color w:val="000000"/>
                <w:szCs w:val="24"/>
              </w:rPr>
              <w:t>.</w:t>
            </w:r>
            <w:r w:rsidR="00AD353C">
              <w:rPr>
                <w:color w:val="000000"/>
                <w:szCs w:val="24"/>
              </w:rPr>
              <w:t>8</w:t>
            </w:r>
            <w:r w:rsidR="006B25DF">
              <w:rPr>
                <w:color w:val="000000"/>
                <w:szCs w:val="24"/>
              </w:rPr>
              <w:t>.</w:t>
            </w:r>
            <w:r w:rsidRPr="00983845">
              <w:rPr>
                <w:b/>
                <w:bCs/>
                <w:color w:val="000000"/>
                <w:szCs w:val="24"/>
              </w:rPr>
              <w:t> Sunkumų patirianti įmonė</w:t>
            </w:r>
            <w:r w:rsidRPr="00983845">
              <w:rPr>
                <w:color w:val="000000"/>
                <w:szCs w:val="24"/>
              </w:rPr>
              <w:t xml:space="preserve"> – kaip ši sąvoka apibrėžta </w:t>
            </w:r>
            <w:r w:rsidR="0070155B" w:rsidRPr="0070155B">
              <w:rPr>
                <w:rFonts w:eastAsia="Calibri"/>
                <w:szCs w:val="22"/>
              </w:rPr>
              <w:t>Reglamento (ES) Nr. 651/2014</w:t>
            </w:r>
            <w:r w:rsidRPr="00983845">
              <w:rPr>
                <w:color w:val="000000"/>
                <w:szCs w:val="24"/>
              </w:rPr>
              <w:t xml:space="preserve"> 2 straipsnio 18 punkte.</w:t>
            </w:r>
            <w:bookmarkStart w:id="10" w:name="part_3e6d0ecd39484465b41ddc60ea1d96c4"/>
            <w:bookmarkEnd w:id="10"/>
          </w:p>
        </w:tc>
      </w:tr>
      <w:tr w:rsidR="009C7DEF" w14:paraId="0CFD7F32" w14:textId="77777777">
        <w:tc>
          <w:tcPr>
            <w:tcW w:w="14709" w:type="dxa"/>
          </w:tcPr>
          <w:p w14:paraId="6D811B34" w14:textId="77777777" w:rsidR="009C7DEF" w:rsidRDefault="009C7DEF" w:rsidP="009C7DEF">
            <w:pPr>
              <w:rPr>
                <w:b/>
                <w:szCs w:val="24"/>
              </w:rPr>
            </w:pPr>
            <w:r>
              <w:rPr>
                <w:b/>
                <w:szCs w:val="24"/>
              </w:rPr>
              <w:lastRenderedPageBreak/>
              <w:t>2. Reikalavimai projektams</w:t>
            </w:r>
          </w:p>
        </w:tc>
      </w:tr>
      <w:tr w:rsidR="009C7DEF" w14:paraId="5B9168B8" w14:textId="77777777">
        <w:tc>
          <w:tcPr>
            <w:tcW w:w="14709" w:type="dxa"/>
          </w:tcPr>
          <w:p w14:paraId="1635D072" w14:textId="6E5A8B9C" w:rsidR="00B46E7A" w:rsidRPr="00827144" w:rsidRDefault="00B46E7A" w:rsidP="004B3683">
            <w:pPr>
              <w:numPr>
                <w:ilvl w:val="1"/>
                <w:numId w:val="4"/>
              </w:numPr>
              <w:tabs>
                <w:tab w:val="left" w:pos="426"/>
              </w:tabs>
              <w:ind w:left="34" w:hanging="34"/>
              <w:jc w:val="both"/>
              <w:rPr>
                <w:szCs w:val="24"/>
              </w:rPr>
            </w:pPr>
            <w:r w:rsidRPr="00827144">
              <w:rPr>
                <w:szCs w:val="24"/>
              </w:rPr>
              <w:t>Reikalavimai pareiškėjams:</w:t>
            </w:r>
          </w:p>
          <w:p w14:paraId="3AA3BF8D" w14:textId="093E3F93" w:rsidR="00F75339" w:rsidRDefault="00525918" w:rsidP="00F75339">
            <w:pPr>
              <w:tabs>
                <w:tab w:val="left" w:pos="885"/>
              </w:tabs>
              <w:ind w:left="459"/>
              <w:jc w:val="both"/>
              <w:rPr>
                <w:szCs w:val="24"/>
              </w:rPr>
            </w:pPr>
            <w:r>
              <w:rPr>
                <w:szCs w:val="24"/>
                <w:lang w:val="en-US"/>
              </w:rPr>
              <w:t>2.1.1</w:t>
            </w:r>
            <w:r w:rsidR="00F75339" w:rsidRPr="00F75339">
              <w:rPr>
                <w:szCs w:val="24"/>
                <w:lang w:val="en-US"/>
              </w:rPr>
              <w:t>.</w:t>
            </w:r>
            <w:r w:rsidR="00F75339" w:rsidRPr="0003750F">
              <w:rPr>
                <w:szCs w:val="24"/>
              </w:rPr>
              <w:t xml:space="preserve"> Galim</w:t>
            </w:r>
            <w:r w:rsidR="00F75339">
              <w:rPr>
                <w:szCs w:val="24"/>
              </w:rPr>
              <w:t>i</w:t>
            </w:r>
            <w:r w:rsidR="00F75339" w:rsidRPr="0003750F">
              <w:rPr>
                <w:szCs w:val="24"/>
              </w:rPr>
              <w:t xml:space="preserve"> pareiškėj</w:t>
            </w:r>
            <w:r w:rsidR="00F75339">
              <w:rPr>
                <w:szCs w:val="24"/>
              </w:rPr>
              <w:t>ai</w:t>
            </w:r>
            <w:r w:rsidR="00F75339" w:rsidRPr="0003750F">
              <w:rPr>
                <w:szCs w:val="24"/>
              </w:rPr>
              <w:t xml:space="preserve"> – </w:t>
            </w:r>
            <w:r w:rsidR="00F75339">
              <w:rPr>
                <w:szCs w:val="24"/>
              </w:rPr>
              <w:t>pramonės įmonės</w:t>
            </w:r>
            <w:r w:rsidR="006B5AF3">
              <w:rPr>
                <w:szCs w:val="24"/>
              </w:rPr>
              <w:t>;</w:t>
            </w:r>
          </w:p>
          <w:p w14:paraId="635DE9A5" w14:textId="49985B33" w:rsidR="00F75339" w:rsidRDefault="00525918" w:rsidP="006B5AF3">
            <w:pPr>
              <w:tabs>
                <w:tab w:val="left" w:pos="885"/>
              </w:tabs>
              <w:ind w:left="459"/>
              <w:jc w:val="both"/>
              <w:rPr>
                <w:szCs w:val="24"/>
              </w:rPr>
            </w:pPr>
            <w:r>
              <w:rPr>
                <w:szCs w:val="24"/>
              </w:rPr>
              <w:t>2.1.2</w:t>
            </w:r>
            <w:r w:rsidR="00F75339">
              <w:rPr>
                <w:szCs w:val="24"/>
              </w:rPr>
              <w:t>.</w:t>
            </w:r>
            <w:r w:rsidR="00F75339" w:rsidRPr="0003750F">
              <w:rPr>
                <w:szCs w:val="24"/>
              </w:rPr>
              <w:t xml:space="preserve"> Projekto partne</w:t>
            </w:r>
            <w:r w:rsidR="006B5AF3">
              <w:rPr>
                <w:szCs w:val="24"/>
              </w:rPr>
              <w:t>riai nėra galimi;</w:t>
            </w:r>
          </w:p>
          <w:p w14:paraId="5E86C13F" w14:textId="13FB1B36" w:rsidR="006B5AF3" w:rsidRDefault="00525918" w:rsidP="006B5AF3">
            <w:pPr>
              <w:pStyle w:val="ListParagraph"/>
              <w:tabs>
                <w:tab w:val="left" w:pos="885"/>
              </w:tabs>
              <w:spacing w:after="0" w:line="240" w:lineRule="auto"/>
              <w:ind w:left="0" w:firstLine="458"/>
              <w:rPr>
                <w:szCs w:val="24"/>
              </w:rPr>
            </w:pPr>
            <w:r>
              <w:rPr>
                <w:szCs w:val="24"/>
              </w:rPr>
              <w:t>2.1.3</w:t>
            </w:r>
            <w:r w:rsidR="00F75339">
              <w:rPr>
                <w:szCs w:val="24"/>
              </w:rPr>
              <w:t>.</w:t>
            </w:r>
            <w:r w:rsidR="006B5AF3" w:rsidRPr="00C97300">
              <w:rPr>
                <w:szCs w:val="24"/>
              </w:rPr>
              <w:t xml:space="preserve"> Vienas pareiškėjas gali pateikti tik vieną </w:t>
            </w:r>
            <w:r w:rsidR="006B5AF3">
              <w:rPr>
                <w:szCs w:val="24"/>
              </w:rPr>
              <w:t>Projekto įgyvendinimo planą</w:t>
            </w:r>
            <w:r w:rsidR="006B5AF3" w:rsidRPr="00CE7EB0">
              <w:rPr>
                <w:szCs w:val="24"/>
              </w:rPr>
              <w:t xml:space="preserve"> (toliau – PĮP)</w:t>
            </w:r>
            <w:r w:rsidR="006B5AF3" w:rsidRPr="00C97300">
              <w:rPr>
                <w:szCs w:val="24"/>
              </w:rPr>
              <w:t xml:space="preserve">, </w:t>
            </w:r>
            <w:r w:rsidR="006B5AF3">
              <w:rPr>
                <w:szCs w:val="24"/>
              </w:rPr>
              <w:t xml:space="preserve">pagal </w:t>
            </w:r>
            <w:r w:rsidR="006B5AF3" w:rsidRPr="001F778A">
              <w:rPr>
                <w:szCs w:val="24"/>
              </w:rPr>
              <w:t>Projektų administravimo ir finansavimo taisykl</w:t>
            </w:r>
            <w:r w:rsidR="006B5AF3">
              <w:rPr>
                <w:szCs w:val="24"/>
              </w:rPr>
              <w:t>ių 1</w:t>
            </w:r>
            <w:r w:rsidR="006B5AF3" w:rsidRPr="00C97300">
              <w:rPr>
                <w:szCs w:val="24"/>
              </w:rPr>
              <w:t xml:space="preserve"> pried</w:t>
            </w:r>
            <w:r w:rsidR="006B5AF3">
              <w:rPr>
                <w:szCs w:val="24"/>
              </w:rPr>
              <w:t>ą;</w:t>
            </w:r>
          </w:p>
          <w:p w14:paraId="234FA4BC" w14:textId="22BEA874" w:rsidR="004D4BA2" w:rsidRDefault="00BB0D06" w:rsidP="006B5AF3">
            <w:pPr>
              <w:pStyle w:val="ListParagraph"/>
              <w:tabs>
                <w:tab w:val="left" w:pos="885"/>
              </w:tabs>
              <w:spacing w:after="0" w:line="240" w:lineRule="auto"/>
              <w:ind w:left="0" w:firstLine="458"/>
              <w:rPr>
                <w:szCs w:val="24"/>
              </w:rPr>
            </w:pPr>
            <w:r>
              <w:rPr>
                <w:szCs w:val="24"/>
              </w:rPr>
              <w:t xml:space="preserve">2.1.4. </w:t>
            </w:r>
            <w:r w:rsidRPr="00D16E2F">
              <w:rPr>
                <w:szCs w:val="24"/>
              </w:rPr>
              <w:t xml:space="preserve">Pareiškėjas </w:t>
            </w:r>
            <w:r w:rsidR="0064307B" w:rsidRPr="00D16E2F">
              <w:rPr>
                <w:szCs w:val="24"/>
              </w:rPr>
              <w:t>y</w:t>
            </w:r>
            <w:r w:rsidR="0064307B">
              <w:rPr>
                <w:szCs w:val="24"/>
              </w:rPr>
              <w:t>ra gaminantis vartotojas</w:t>
            </w:r>
            <w:r w:rsidR="001C1AC9">
              <w:rPr>
                <w:szCs w:val="24"/>
              </w:rPr>
              <w:t>, kaip tai apibrėžta Aprašo 1.3.5.</w:t>
            </w:r>
            <w:r w:rsidR="00364504">
              <w:rPr>
                <w:szCs w:val="24"/>
              </w:rPr>
              <w:t xml:space="preserve"> papunktyje</w:t>
            </w:r>
            <w:r w:rsidR="0064307B" w:rsidRPr="0064307B">
              <w:rPr>
                <w:szCs w:val="24"/>
              </w:rPr>
              <w:t>;</w:t>
            </w:r>
          </w:p>
          <w:p w14:paraId="73E25A28" w14:textId="201D14B5" w:rsidR="006B5AF3" w:rsidRDefault="00525918" w:rsidP="006B5AF3">
            <w:pPr>
              <w:pStyle w:val="ListParagraph"/>
              <w:tabs>
                <w:tab w:val="left" w:pos="885"/>
              </w:tabs>
              <w:spacing w:after="0" w:line="240" w:lineRule="auto"/>
              <w:ind w:left="0" w:firstLine="458"/>
              <w:rPr>
                <w:szCs w:val="24"/>
              </w:rPr>
            </w:pPr>
            <w:r>
              <w:rPr>
                <w:szCs w:val="24"/>
              </w:rPr>
              <w:t>2.1.</w:t>
            </w:r>
            <w:r w:rsidR="00BB0D06">
              <w:rPr>
                <w:szCs w:val="24"/>
              </w:rPr>
              <w:t>5</w:t>
            </w:r>
            <w:r w:rsidR="006B5AF3">
              <w:rPr>
                <w:szCs w:val="24"/>
              </w:rPr>
              <w:t xml:space="preserve">. </w:t>
            </w:r>
            <w:r w:rsidR="006B5AF3" w:rsidRPr="00141126">
              <w:rPr>
                <w:szCs w:val="24"/>
              </w:rPr>
              <w:t xml:space="preserve">Finansavimas gali būti skiriamas pareiškėjams visose srityse, išskyrus Reglamento (ES) Nr. 2021/1058 7 straipsnio 1–6 dalyse </w:t>
            </w:r>
            <w:r w:rsidR="006B5AF3">
              <w:rPr>
                <w:szCs w:val="24"/>
              </w:rPr>
              <w:t>nustatytus atvejus;</w:t>
            </w:r>
          </w:p>
          <w:p w14:paraId="16B02F49" w14:textId="3EDFFA36" w:rsidR="009D2FC4" w:rsidRPr="009D2FC4" w:rsidRDefault="009D2FC4" w:rsidP="009D2FC4">
            <w:pPr>
              <w:tabs>
                <w:tab w:val="left" w:pos="885"/>
              </w:tabs>
              <w:ind w:firstLine="459"/>
              <w:jc w:val="both"/>
              <w:rPr>
                <w:bCs/>
                <w:szCs w:val="24"/>
              </w:rPr>
            </w:pPr>
            <w:r w:rsidRPr="009D2FC4">
              <w:rPr>
                <w:szCs w:val="24"/>
              </w:rPr>
              <w:t xml:space="preserve">2.1.6. Finansavimas </w:t>
            </w:r>
            <w:r>
              <w:rPr>
                <w:szCs w:val="24"/>
              </w:rPr>
              <w:t>nėra skiriamas pareiškėj</w:t>
            </w:r>
            <w:r w:rsidR="00B60471">
              <w:rPr>
                <w:szCs w:val="24"/>
              </w:rPr>
              <w:t>ui</w:t>
            </w:r>
            <w:r>
              <w:rPr>
                <w:szCs w:val="24"/>
              </w:rPr>
              <w:t xml:space="preserve">, </w:t>
            </w:r>
            <w:r w:rsidR="00C87DBF">
              <w:rPr>
                <w:szCs w:val="24"/>
              </w:rPr>
              <w:t xml:space="preserve">kuris </w:t>
            </w:r>
            <w:r w:rsidR="00C87DBF" w:rsidRPr="009D2FC4">
              <w:rPr>
                <w:bCs/>
                <w:szCs w:val="24"/>
              </w:rPr>
              <w:t>gamin</w:t>
            </w:r>
            <w:r w:rsidR="00C87DBF">
              <w:rPr>
                <w:bCs/>
                <w:szCs w:val="24"/>
              </w:rPr>
              <w:t xml:space="preserve">a </w:t>
            </w:r>
            <w:r w:rsidR="00C87DBF" w:rsidRPr="009D2FC4">
              <w:rPr>
                <w:bCs/>
                <w:szCs w:val="24"/>
              </w:rPr>
              <w:t xml:space="preserve">energiją </w:t>
            </w:r>
            <w:r w:rsidR="00B60471" w:rsidRPr="009D2FC4">
              <w:rPr>
                <w:bCs/>
                <w:szCs w:val="24"/>
              </w:rPr>
              <w:t xml:space="preserve">iš atsinaujinančių išteklių </w:t>
            </w:r>
            <w:r>
              <w:rPr>
                <w:bCs/>
                <w:szCs w:val="24"/>
              </w:rPr>
              <w:t>nutolusiuose saul</w:t>
            </w:r>
            <w:r w:rsidR="000D73DC">
              <w:rPr>
                <w:bCs/>
                <w:szCs w:val="24"/>
              </w:rPr>
              <w:t>ė</w:t>
            </w:r>
            <w:r>
              <w:rPr>
                <w:bCs/>
                <w:szCs w:val="24"/>
              </w:rPr>
              <w:t>s parkuose;</w:t>
            </w:r>
          </w:p>
          <w:p w14:paraId="542447D0" w14:textId="4515BAD8" w:rsidR="00D65318" w:rsidRPr="008E3EF2" w:rsidRDefault="00525918" w:rsidP="008E3EF2">
            <w:pPr>
              <w:pStyle w:val="ListParagraph"/>
              <w:tabs>
                <w:tab w:val="left" w:pos="885"/>
              </w:tabs>
              <w:spacing w:after="0" w:line="240" w:lineRule="auto"/>
              <w:ind w:left="0" w:firstLine="458"/>
              <w:rPr>
                <w:szCs w:val="24"/>
              </w:rPr>
            </w:pPr>
            <w:r>
              <w:rPr>
                <w:szCs w:val="24"/>
              </w:rPr>
              <w:t>2.1.</w:t>
            </w:r>
            <w:r w:rsidR="009D2FC4">
              <w:rPr>
                <w:szCs w:val="24"/>
                <w:lang w:val="en-US"/>
              </w:rPr>
              <w:t>7</w:t>
            </w:r>
            <w:r w:rsidR="006B5AF3">
              <w:rPr>
                <w:szCs w:val="24"/>
              </w:rPr>
              <w:t xml:space="preserve">. </w:t>
            </w:r>
            <w:r w:rsidR="00B823FA" w:rsidRPr="006B5AF3">
              <w:rPr>
                <w:szCs w:val="24"/>
              </w:rPr>
              <w:t xml:space="preserve">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000000">
              <w:fldChar w:fldCharType="begin"/>
            </w:r>
            <w:r w:rsidR="00000000">
              <w:instrText xml:space="preserve"> HYPERLINK "http://www.migracija.lt" </w:instrText>
            </w:r>
            <w:r w:rsidR="00000000">
              <w:fldChar w:fldCharType="separate"/>
            </w:r>
            <w:r w:rsidR="00B823FA" w:rsidRPr="006B5AF3">
              <w:rPr>
                <w:rStyle w:val="Hyperlink"/>
                <w:szCs w:val="24"/>
              </w:rPr>
              <w:t>www.migracija.lt</w:t>
            </w:r>
            <w:r w:rsidR="00000000">
              <w:rPr>
                <w:rStyle w:val="Hyperlink"/>
                <w:szCs w:val="24"/>
              </w:rPr>
              <w:fldChar w:fldCharType="end"/>
            </w:r>
            <w:r w:rsidR="00B823FA" w:rsidRPr="006B5AF3">
              <w:rPr>
                <w:szCs w:val="24"/>
              </w:rPr>
              <w:t>.</w:t>
            </w:r>
          </w:p>
          <w:p w14:paraId="77A146F0" w14:textId="0B209C0F" w:rsidR="00B46E7A" w:rsidRPr="00827144" w:rsidRDefault="00B46E7A" w:rsidP="004B3683">
            <w:pPr>
              <w:numPr>
                <w:ilvl w:val="1"/>
                <w:numId w:val="4"/>
              </w:numPr>
              <w:tabs>
                <w:tab w:val="left" w:pos="426"/>
              </w:tabs>
              <w:ind w:left="34" w:hanging="34"/>
              <w:jc w:val="both"/>
              <w:rPr>
                <w:szCs w:val="24"/>
              </w:rPr>
            </w:pPr>
            <w:r w:rsidRPr="00827144">
              <w:rPr>
                <w:szCs w:val="24"/>
              </w:rPr>
              <w:t>Reikalavimai projektams:</w:t>
            </w:r>
          </w:p>
          <w:p w14:paraId="1919B345" w14:textId="4E012431" w:rsidR="004F77B0" w:rsidRPr="00C925F9" w:rsidRDefault="00525918" w:rsidP="00525918">
            <w:pPr>
              <w:pStyle w:val="ListParagraph"/>
              <w:numPr>
                <w:ilvl w:val="2"/>
                <w:numId w:val="4"/>
              </w:numPr>
              <w:tabs>
                <w:tab w:val="left" w:pos="1025"/>
              </w:tabs>
              <w:ind w:left="0" w:firstLine="458"/>
              <w:jc w:val="both"/>
              <w:rPr>
                <w:szCs w:val="24"/>
              </w:rPr>
            </w:pPr>
            <w:r>
              <w:rPr>
                <w:szCs w:val="24"/>
              </w:rPr>
              <w:t xml:space="preserve"> </w:t>
            </w:r>
            <w:r w:rsidR="00F67754" w:rsidRPr="00C925F9">
              <w:rPr>
                <w:szCs w:val="24"/>
              </w:rPr>
              <w:t>Projekto veiklos negali būti finansuotos ar finansuojamos iš kitų Lietuvos Respublikos valstybės biudžeto ir (arba) savivaldybių biudžetų, kitų piniginių išteklių, kuriais disponuoja valstybė ir (ar) savivaldybės, E</w:t>
            </w:r>
            <w:r w:rsidR="00F97EF6">
              <w:rPr>
                <w:szCs w:val="24"/>
              </w:rPr>
              <w:t xml:space="preserve">uropos </w:t>
            </w:r>
            <w:r w:rsidR="00F67754" w:rsidRPr="00C925F9">
              <w:rPr>
                <w:szCs w:val="24"/>
              </w:rPr>
              <w:t>S</w:t>
            </w:r>
            <w:r w:rsidR="00F97EF6">
              <w:rPr>
                <w:szCs w:val="24"/>
              </w:rPr>
              <w:t xml:space="preserve">ąjungos (toliau </w:t>
            </w:r>
            <w:r w:rsidR="00F97EF6" w:rsidRPr="00CE7EB0">
              <w:rPr>
                <w:szCs w:val="24"/>
              </w:rPr>
              <w:t>–</w:t>
            </w:r>
            <w:r w:rsidR="00F97EF6">
              <w:rPr>
                <w:szCs w:val="24"/>
              </w:rPr>
              <w:t xml:space="preserve"> ES)</w:t>
            </w:r>
            <w:r w:rsidR="00F67754" w:rsidRPr="00C925F9">
              <w:rPr>
                <w:szCs w:val="24"/>
              </w:rPr>
              <w:t xml:space="preserve"> struktūrinių fondų, kitų ES finansinės paramos priemonių ar kitos tarptautinės paramos lėšų ir kurioms apmokėti skyrus ES struktūrinių fondų lėšų jos būtų pripažintos tinkamomis finansuoti ir (arba) apmokėtos daugiau nei vieną kartą, įskaitant de minimis pagalbą</w:t>
            </w:r>
            <w:r w:rsidR="008F4A64">
              <w:rPr>
                <w:szCs w:val="24"/>
              </w:rPr>
              <w:t>;</w:t>
            </w:r>
          </w:p>
          <w:p w14:paraId="7EFBE2B1" w14:textId="371FFE38" w:rsidR="00985E30" w:rsidRPr="00B9599D" w:rsidRDefault="00985E30" w:rsidP="00525918">
            <w:pPr>
              <w:pStyle w:val="ListParagraph"/>
              <w:numPr>
                <w:ilvl w:val="2"/>
                <w:numId w:val="4"/>
              </w:numPr>
              <w:tabs>
                <w:tab w:val="left" w:pos="1025"/>
              </w:tabs>
              <w:ind w:left="0" w:firstLine="458"/>
              <w:jc w:val="both"/>
              <w:rPr>
                <w:szCs w:val="24"/>
              </w:rPr>
            </w:pPr>
            <w:r w:rsidRPr="00B9599D">
              <w:rPr>
                <w:szCs w:val="24"/>
              </w:rPr>
              <w:t>Projekto veiklos įgyvendinamos Vidurio ir vakarų Lietuvos regione</w:t>
            </w:r>
            <w:r w:rsidR="008F4A64">
              <w:rPr>
                <w:szCs w:val="24"/>
              </w:rPr>
              <w:t>;</w:t>
            </w:r>
          </w:p>
          <w:p w14:paraId="237D2CF3" w14:textId="781C6B0D" w:rsidR="0003750F" w:rsidRPr="00C925F9" w:rsidRDefault="00525918" w:rsidP="00525918">
            <w:pPr>
              <w:pStyle w:val="ListParagraph"/>
              <w:numPr>
                <w:ilvl w:val="2"/>
                <w:numId w:val="4"/>
              </w:numPr>
              <w:tabs>
                <w:tab w:val="left" w:pos="1025"/>
              </w:tabs>
              <w:ind w:left="0" w:firstLine="458"/>
              <w:jc w:val="both"/>
              <w:rPr>
                <w:szCs w:val="24"/>
              </w:rPr>
            </w:pPr>
            <w:r>
              <w:rPr>
                <w:szCs w:val="24"/>
              </w:rPr>
              <w:lastRenderedPageBreak/>
              <w:t xml:space="preserve"> </w:t>
            </w:r>
            <w:r w:rsidR="00985E30" w:rsidRPr="00C925F9">
              <w:rPr>
                <w:szCs w:val="24"/>
              </w:rPr>
              <w:t xml:space="preserve">Projektų veiklų įgyvendinimo trukmė turi būti ne ilgesnė kaip 18 mėnesių nuo iš ES fondų </w:t>
            </w:r>
            <w:r w:rsidR="009735A0">
              <w:rPr>
                <w:szCs w:val="24"/>
              </w:rPr>
              <w:t xml:space="preserve">investicijų </w:t>
            </w:r>
            <w:r w:rsidR="00985E30" w:rsidRPr="00C925F9">
              <w:rPr>
                <w:szCs w:val="24"/>
              </w:rPr>
              <w:t>lėšų bendrai finansuojamo projekto sutarties pasirašymo dienos.</w:t>
            </w:r>
            <w:r w:rsidR="00985E30" w:rsidRPr="00C925F9">
              <w:rPr>
                <w:color w:val="000000"/>
                <w:szCs w:val="24"/>
                <w:lang w:eastAsia="lt-LT"/>
              </w:rPr>
              <w:t xml:space="preserve"> </w:t>
            </w:r>
            <w:r w:rsidR="00985E30" w:rsidRPr="00C925F9">
              <w:rPr>
                <w:szCs w:val="24"/>
              </w:rPr>
              <w:t xml:space="preserve">Dėl objektyvių priežasčių, kurių projekto vykdytojas negalėjo numatyti </w:t>
            </w:r>
            <w:r w:rsidR="00CE7EB0" w:rsidRPr="00C925F9">
              <w:rPr>
                <w:szCs w:val="24"/>
              </w:rPr>
              <w:t>PĮP</w:t>
            </w:r>
            <w:r w:rsidR="00985E30" w:rsidRPr="00C925F9">
              <w:rPr>
                <w:szCs w:val="24"/>
              </w:rPr>
              <w:t xml:space="preserve"> pateikimo ir vertinimo metu, projekto veiklų įgyvendinimo laikotarpis gali būti pratęstas</w:t>
            </w:r>
            <w:r w:rsidR="008F4A64">
              <w:rPr>
                <w:szCs w:val="24"/>
              </w:rPr>
              <w:t>;</w:t>
            </w:r>
          </w:p>
          <w:p w14:paraId="14322585" w14:textId="1E3E8677" w:rsidR="0003750F" w:rsidRPr="00525918" w:rsidRDefault="00525918" w:rsidP="00525918">
            <w:pPr>
              <w:pStyle w:val="ListParagraph"/>
              <w:numPr>
                <w:ilvl w:val="2"/>
                <w:numId w:val="4"/>
              </w:numPr>
              <w:tabs>
                <w:tab w:val="left" w:pos="458"/>
                <w:tab w:val="left" w:pos="742"/>
                <w:tab w:val="left" w:pos="1025"/>
              </w:tabs>
              <w:ind w:left="0" w:firstLine="458"/>
              <w:jc w:val="both"/>
              <w:rPr>
                <w:szCs w:val="24"/>
              </w:rPr>
            </w:pPr>
            <w:r>
              <w:rPr>
                <w:szCs w:val="24"/>
              </w:rPr>
              <w:t xml:space="preserve"> </w:t>
            </w:r>
            <w:r w:rsidR="0003750F" w:rsidRPr="00525918">
              <w:rPr>
                <w:szCs w:val="24"/>
              </w:rPr>
              <w:t>Projekto veiklos turi būti baigtos ne vėliau kaip iki 202</w:t>
            </w:r>
            <w:r w:rsidR="000B50D5" w:rsidRPr="00525918">
              <w:rPr>
                <w:szCs w:val="24"/>
              </w:rPr>
              <w:t>9</w:t>
            </w:r>
            <w:r w:rsidR="0003750F" w:rsidRPr="00525918">
              <w:rPr>
                <w:szCs w:val="24"/>
              </w:rPr>
              <w:t xml:space="preserve"> m. </w:t>
            </w:r>
            <w:r w:rsidR="000B50D5" w:rsidRPr="00525918">
              <w:rPr>
                <w:szCs w:val="24"/>
              </w:rPr>
              <w:t>gruodžio</w:t>
            </w:r>
            <w:r w:rsidR="0003750F" w:rsidRPr="00525918">
              <w:rPr>
                <w:szCs w:val="24"/>
              </w:rPr>
              <w:t xml:space="preserve"> 3</w:t>
            </w:r>
            <w:r w:rsidR="000B50D5" w:rsidRPr="00525918">
              <w:rPr>
                <w:szCs w:val="24"/>
                <w:lang w:val="en-US"/>
              </w:rPr>
              <w:t>1</w:t>
            </w:r>
            <w:r w:rsidR="0003750F" w:rsidRPr="00525918">
              <w:rPr>
                <w:szCs w:val="24"/>
              </w:rPr>
              <w:t xml:space="preserve"> d.</w:t>
            </w:r>
            <w:r w:rsidR="008F4A64">
              <w:rPr>
                <w:szCs w:val="24"/>
              </w:rPr>
              <w:t>;</w:t>
            </w:r>
          </w:p>
          <w:p w14:paraId="34BD2390" w14:textId="5A4D62C7" w:rsidR="00BC0D75" w:rsidRPr="00B20805" w:rsidRDefault="00525918" w:rsidP="00525918">
            <w:pPr>
              <w:pStyle w:val="ListParagraph"/>
              <w:numPr>
                <w:ilvl w:val="2"/>
                <w:numId w:val="4"/>
              </w:numPr>
              <w:tabs>
                <w:tab w:val="left" w:pos="742"/>
                <w:tab w:val="left" w:pos="1025"/>
              </w:tabs>
              <w:ind w:left="0" w:firstLine="458"/>
              <w:jc w:val="both"/>
              <w:rPr>
                <w:szCs w:val="24"/>
              </w:rPr>
            </w:pPr>
            <w:r>
              <w:rPr>
                <w:szCs w:val="24"/>
              </w:rPr>
              <w:t xml:space="preserve"> </w:t>
            </w:r>
            <w:r w:rsidR="0003750F" w:rsidRPr="00B20805">
              <w:rPr>
                <w:szCs w:val="24"/>
              </w:rPr>
              <w:t xml:space="preserve">Pagal Aprašą projektams įgyvendinti skiriama iki </w:t>
            </w:r>
            <w:r w:rsidR="007354E6" w:rsidRPr="00B20805">
              <w:rPr>
                <w:szCs w:val="24"/>
                <w:lang w:val="en-US"/>
              </w:rPr>
              <w:t>1</w:t>
            </w:r>
            <w:r w:rsidR="008B174F" w:rsidRPr="00B20805">
              <w:rPr>
                <w:szCs w:val="24"/>
                <w:lang w:val="en-US"/>
              </w:rPr>
              <w:t>0 000</w:t>
            </w:r>
            <w:r w:rsidR="008B174F" w:rsidRPr="00B20805">
              <w:rPr>
                <w:szCs w:val="24"/>
              </w:rPr>
              <w:t> </w:t>
            </w:r>
            <w:r w:rsidR="0003750F" w:rsidRPr="00B20805">
              <w:rPr>
                <w:szCs w:val="24"/>
              </w:rPr>
              <w:t>000</w:t>
            </w:r>
            <w:r w:rsidR="008B174F" w:rsidRPr="00B20805">
              <w:rPr>
                <w:szCs w:val="24"/>
              </w:rPr>
              <w:t>,00</w:t>
            </w:r>
            <w:r w:rsidR="0003750F" w:rsidRPr="00B20805">
              <w:rPr>
                <w:szCs w:val="24"/>
              </w:rPr>
              <w:t xml:space="preserve"> Eur </w:t>
            </w:r>
            <w:r w:rsidR="00335084" w:rsidRPr="00B20805">
              <w:rPr>
                <w:szCs w:val="24"/>
              </w:rPr>
              <w:t>(</w:t>
            </w:r>
            <w:r w:rsidR="008B174F" w:rsidRPr="00B20805">
              <w:rPr>
                <w:szCs w:val="24"/>
              </w:rPr>
              <w:t>dešimt</w:t>
            </w:r>
            <w:r w:rsidR="0003750F" w:rsidRPr="00B20805">
              <w:rPr>
                <w:szCs w:val="24"/>
              </w:rPr>
              <w:t xml:space="preserve"> milijonų eurų)</w:t>
            </w:r>
            <w:r w:rsidR="003F34D0" w:rsidRPr="00B20805">
              <w:rPr>
                <w:szCs w:val="24"/>
              </w:rPr>
              <w:t xml:space="preserve"> </w:t>
            </w:r>
            <w:r w:rsidR="007F0AAC" w:rsidRPr="00B20805">
              <w:rPr>
                <w:szCs w:val="24"/>
              </w:rPr>
              <w:t>ES fondų</w:t>
            </w:r>
            <w:r w:rsidR="009735A0">
              <w:rPr>
                <w:szCs w:val="24"/>
              </w:rPr>
              <w:t xml:space="preserve"> investicijų</w:t>
            </w:r>
            <w:r w:rsidR="007F0AAC" w:rsidRPr="00B20805">
              <w:rPr>
                <w:szCs w:val="24"/>
              </w:rPr>
              <w:t xml:space="preserve"> (Europos regioninės plėtros fondo) lėšų</w:t>
            </w:r>
            <w:r w:rsidR="0003750F" w:rsidRPr="00B20805">
              <w:rPr>
                <w:szCs w:val="24"/>
              </w:rPr>
              <w:t>.</w:t>
            </w:r>
            <w:r w:rsidR="00F718FF" w:rsidRPr="00B20805">
              <w:rPr>
                <w:szCs w:val="24"/>
              </w:rPr>
              <w:t xml:space="preserve"> </w:t>
            </w:r>
            <w:r w:rsidR="00B70F56" w:rsidRPr="00B20805">
              <w:rPr>
                <w:szCs w:val="24"/>
              </w:rPr>
              <w:t>Jeigu paskelbus kv</w:t>
            </w:r>
            <w:r w:rsidR="00DF28CF" w:rsidRPr="00B20805">
              <w:rPr>
                <w:szCs w:val="24"/>
              </w:rPr>
              <w:t>ietimą pagal teigiamai įvertintus ir vertinamu</w:t>
            </w:r>
            <w:r w:rsidR="00B70F56" w:rsidRPr="00B20805">
              <w:rPr>
                <w:szCs w:val="24"/>
              </w:rPr>
              <w:t xml:space="preserve">s </w:t>
            </w:r>
            <w:r w:rsidR="00DF28CF" w:rsidRPr="00B20805">
              <w:rPr>
                <w:szCs w:val="24"/>
              </w:rPr>
              <w:t>PĮP</w:t>
            </w:r>
            <w:r w:rsidR="00B70F56" w:rsidRPr="00B20805">
              <w:rPr>
                <w:szCs w:val="24"/>
              </w:rPr>
              <w:t xml:space="preserve"> prašoma skirti finansavimo lėšų suma yra didesnė, negu kvietimui sk</w:t>
            </w:r>
            <w:r w:rsidR="00DF28CF" w:rsidRPr="00B20805">
              <w:rPr>
                <w:szCs w:val="24"/>
              </w:rPr>
              <w:t>irta lėšų suma, administruojančioji</w:t>
            </w:r>
            <w:r w:rsidR="00B70F56" w:rsidRPr="00B20805">
              <w:rPr>
                <w:szCs w:val="24"/>
              </w:rPr>
              <w:t xml:space="preserve"> institucija gali teikti pasiūlymą </w:t>
            </w:r>
            <w:r w:rsidR="005627CD">
              <w:rPr>
                <w:szCs w:val="24"/>
              </w:rPr>
              <w:t xml:space="preserve">Ekonomikos ir inovacijų ministerijai (toliau </w:t>
            </w:r>
            <w:r w:rsidR="005627CD" w:rsidRPr="005627CD">
              <w:rPr>
                <w:szCs w:val="24"/>
              </w:rPr>
              <w:t>–</w:t>
            </w:r>
            <w:r w:rsidR="005627CD">
              <w:rPr>
                <w:szCs w:val="24"/>
              </w:rPr>
              <w:t xml:space="preserve"> </w:t>
            </w:r>
            <w:r w:rsidR="00B70F56" w:rsidRPr="00B20805">
              <w:rPr>
                <w:szCs w:val="24"/>
              </w:rPr>
              <w:t>Ministerija</w:t>
            </w:r>
            <w:r w:rsidR="005627CD">
              <w:rPr>
                <w:szCs w:val="24"/>
              </w:rPr>
              <w:t>)</w:t>
            </w:r>
            <w:r w:rsidR="00B70F56" w:rsidRPr="00B20805">
              <w:rPr>
                <w:szCs w:val="24"/>
              </w:rPr>
              <w:t xml:space="preserve"> dėl kvietime numatytos finansavimo sumos padidinimo. Ministerijos pritarimu pagal kvietimą teikti </w:t>
            </w:r>
            <w:r w:rsidR="00051407">
              <w:rPr>
                <w:szCs w:val="24"/>
              </w:rPr>
              <w:t>PĮP</w:t>
            </w:r>
            <w:r w:rsidR="00B70F56" w:rsidRPr="00B20805">
              <w:rPr>
                <w:szCs w:val="24"/>
              </w:rPr>
              <w:t xml:space="preserve"> numatyta skirti lėšų suma gali būti padidinta, nev</w:t>
            </w:r>
            <w:r w:rsidR="00DF28CF" w:rsidRPr="00B20805">
              <w:rPr>
                <w:szCs w:val="24"/>
              </w:rPr>
              <w:t xml:space="preserve">iršijant pažangos priemonėje </w:t>
            </w:r>
            <w:r w:rsidR="00B20805" w:rsidRPr="00B20805">
              <w:rPr>
                <w:szCs w:val="24"/>
              </w:rPr>
              <w:t xml:space="preserve">šiai </w:t>
            </w:r>
            <w:r w:rsidR="00DF28CF" w:rsidRPr="00B20805">
              <w:rPr>
                <w:szCs w:val="24"/>
              </w:rPr>
              <w:t>veiklai</w:t>
            </w:r>
            <w:r w:rsidR="00B70F56" w:rsidRPr="00B20805">
              <w:rPr>
                <w:szCs w:val="24"/>
              </w:rPr>
              <w:t xml:space="preserve"> skirtos lėšų sumos ir nepažeidžiant teisėtų pareiškėjų lūkesčių</w:t>
            </w:r>
            <w:r w:rsidR="008F4A64">
              <w:rPr>
                <w:szCs w:val="24"/>
              </w:rPr>
              <w:t>;</w:t>
            </w:r>
          </w:p>
          <w:p w14:paraId="566AD9DA" w14:textId="4DDD2BBD" w:rsidR="00755577" w:rsidRPr="00525918" w:rsidRDefault="00525918" w:rsidP="00525918">
            <w:pPr>
              <w:pStyle w:val="ListParagraph"/>
              <w:numPr>
                <w:ilvl w:val="2"/>
                <w:numId w:val="4"/>
              </w:numPr>
              <w:tabs>
                <w:tab w:val="left" w:pos="742"/>
                <w:tab w:val="left" w:pos="1025"/>
              </w:tabs>
              <w:ind w:left="0" w:firstLine="458"/>
              <w:jc w:val="both"/>
              <w:rPr>
                <w:szCs w:val="24"/>
              </w:rPr>
            </w:pPr>
            <w:r>
              <w:rPr>
                <w:szCs w:val="24"/>
              </w:rPr>
              <w:t xml:space="preserve"> </w:t>
            </w:r>
            <w:r w:rsidR="00786C7A" w:rsidRPr="00525918">
              <w:rPr>
                <w:szCs w:val="24"/>
              </w:rPr>
              <w:t xml:space="preserve">Didžiausia galima projektui skirti finansavimo lėšų suma yra </w:t>
            </w:r>
            <w:r w:rsidR="00C051F5" w:rsidRPr="00525918">
              <w:rPr>
                <w:szCs w:val="24"/>
              </w:rPr>
              <w:t>225</w:t>
            </w:r>
            <w:r w:rsidR="00786C7A" w:rsidRPr="00525918">
              <w:rPr>
                <w:szCs w:val="24"/>
              </w:rPr>
              <w:t xml:space="preserve"> 000 eurų (</w:t>
            </w:r>
            <w:r w:rsidR="00C051F5" w:rsidRPr="00525918">
              <w:rPr>
                <w:szCs w:val="24"/>
              </w:rPr>
              <w:t xml:space="preserve">du šimtai dvidešimt penki tūkstančiai </w:t>
            </w:r>
            <w:r w:rsidR="00786C7A" w:rsidRPr="00525918">
              <w:rPr>
                <w:szCs w:val="24"/>
              </w:rPr>
              <w:t>eurų)</w:t>
            </w:r>
            <w:r w:rsidR="00244CB6" w:rsidRPr="00525918">
              <w:rPr>
                <w:szCs w:val="24"/>
              </w:rPr>
              <w:t xml:space="preserve">, mažiausia galima projektui skirti finansavimo lėšų suma yra </w:t>
            </w:r>
            <w:r w:rsidR="00244CB6" w:rsidRPr="00525918">
              <w:rPr>
                <w:szCs w:val="24"/>
                <w:lang w:val="en-US"/>
              </w:rPr>
              <w:t>6 750</w:t>
            </w:r>
            <w:r w:rsidR="00244CB6" w:rsidRPr="00525918">
              <w:rPr>
                <w:szCs w:val="24"/>
              </w:rPr>
              <w:t xml:space="preserve"> eurų (</w:t>
            </w:r>
            <w:r w:rsidR="003779CB" w:rsidRPr="00525918">
              <w:rPr>
                <w:szCs w:val="24"/>
              </w:rPr>
              <w:t>šeši</w:t>
            </w:r>
            <w:r w:rsidR="00244CB6" w:rsidRPr="00525918">
              <w:rPr>
                <w:szCs w:val="24"/>
              </w:rPr>
              <w:t xml:space="preserve"> tūkstančiai </w:t>
            </w:r>
            <w:r w:rsidR="003779CB" w:rsidRPr="00525918">
              <w:rPr>
                <w:szCs w:val="24"/>
              </w:rPr>
              <w:t xml:space="preserve">septyni šimtai penkiasdešimt </w:t>
            </w:r>
            <w:r w:rsidR="00244CB6" w:rsidRPr="00525918">
              <w:rPr>
                <w:szCs w:val="24"/>
              </w:rPr>
              <w:t>eurų)</w:t>
            </w:r>
            <w:r w:rsidR="008F4A64">
              <w:rPr>
                <w:szCs w:val="24"/>
              </w:rPr>
              <w:t>;</w:t>
            </w:r>
          </w:p>
          <w:p w14:paraId="31F2D45B" w14:textId="123F866C" w:rsidR="00193B58" w:rsidRPr="00525918" w:rsidRDefault="00525918" w:rsidP="00525918">
            <w:pPr>
              <w:pStyle w:val="ListParagraph"/>
              <w:numPr>
                <w:ilvl w:val="2"/>
                <w:numId w:val="4"/>
              </w:numPr>
              <w:tabs>
                <w:tab w:val="left" w:pos="1025"/>
              </w:tabs>
              <w:ind w:left="0" w:firstLine="458"/>
              <w:jc w:val="both"/>
              <w:rPr>
                <w:szCs w:val="24"/>
              </w:rPr>
            </w:pPr>
            <w:r>
              <w:rPr>
                <w:szCs w:val="24"/>
              </w:rPr>
              <w:t xml:space="preserve"> </w:t>
            </w:r>
            <w:r w:rsidR="0033674C" w:rsidRPr="00525918">
              <w:rPr>
                <w:szCs w:val="24"/>
              </w:rPr>
              <w:t>Projektų atranka atliekama konkurso būdu vienu etapu</w:t>
            </w:r>
            <w:r w:rsidR="008F4A64">
              <w:rPr>
                <w:szCs w:val="24"/>
              </w:rPr>
              <w:t>;</w:t>
            </w:r>
          </w:p>
          <w:p w14:paraId="49B3CD9C" w14:textId="6E058135" w:rsidR="0087694C" w:rsidRDefault="00525918" w:rsidP="00684D95">
            <w:pPr>
              <w:pStyle w:val="ListParagraph"/>
              <w:numPr>
                <w:ilvl w:val="2"/>
                <w:numId w:val="4"/>
              </w:numPr>
              <w:tabs>
                <w:tab w:val="left" w:pos="1025"/>
              </w:tabs>
              <w:ind w:left="0" w:firstLine="458"/>
              <w:jc w:val="both"/>
              <w:rPr>
                <w:szCs w:val="24"/>
              </w:rPr>
            </w:pPr>
            <w:r>
              <w:rPr>
                <w:szCs w:val="24"/>
              </w:rPr>
              <w:t xml:space="preserve"> </w:t>
            </w:r>
            <w:r w:rsidR="0033674C" w:rsidRPr="00525918">
              <w:rPr>
                <w:szCs w:val="24"/>
              </w:rPr>
              <w:t>P</w:t>
            </w:r>
            <w:r w:rsidR="007354E6" w:rsidRPr="00525918">
              <w:rPr>
                <w:szCs w:val="24"/>
              </w:rPr>
              <w:t>areiškėjai ir p</w:t>
            </w:r>
            <w:r w:rsidR="0033674C" w:rsidRPr="00525918">
              <w:rPr>
                <w:szCs w:val="24"/>
              </w:rPr>
              <w:t xml:space="preserve">rojektai turi atitikti bendruosius projektų atrankos kriterijus, kurių sąrašas ir vertinimo metodika nustatyti </w:t>
            </w:r>
            <w:r w:rsidR="00640DF5" w:rsidRPr="00525918">
              <w:rPr>
                <w:szCs w:val="24"/>
              </w:rPr>
              <w:t xml:space="preserve">Projektų administravimo ir finansavimo taisyklių </w:t>
            </w:r>
            <w:r w:rsidR="00D508FC" w:rsidRPr="00525918">
              <w:rPr>
                <w:szCs w:val="24"/>
              </w:rPr>
              <w:t>2</w:t>
            </w:r>
            <w:r w:rsidR="0033674C" w:rsidRPr="00525918">
              <w:rPr>
                <w:szCs w:val="24"/>
              </w:rPr>
              <w:t xml:space="preserve"> priede ir atitikti Aprašo 6 punkte nustatyt</w:t>
            </w:r>
            <w:r w:rsidR="00D508FC" w:rsidRPr="00525918">
              <w:rPr>
                <w:szCs w:val="24"/>
              </w:rPr>
              <w:t>us</w:t>
            </w:r>
            <w:r w:rsidR="0033674C" w:rsidRPr="00525918">
              <w:rPr>
                <w:szCs w:val="24"/>
              </w:rPr>
              <w:t xml:space="preserve"> special</w:t>
            </w:r>
            <w:r w:rsidR="00D508FC" w:rsidRPr="00525918">
              <w:rPr>
                <w:szCs w:val="24"/>
              </w:rPr>
              <w:t>iuosius</w:t>
            </w:r>
            <w:r w:rsidR="0033674C" w:rsidRPr="00525918">
              <w:rPr>
                <w:szCs w:val="24"/>
              </w:rPr>
              <w:t xml:space="preserve"> kriterij</w:t>
            </w:r>
            <w:r w:rsidR="00D508FC" w:rsidRPr="00525918">
              <w:rPr>
                <w:szCs w:val="24"/>
              </w:rPr>
              <w:t>us</w:t>
            </w:r>
            <w:r w:rsidR="000B66CF" w:rsidRPr="00525918">
              <w:rPr>
                <w:szCs w:val="24"/>
              </w:rPr>
              <w:t xml:space="preserve">, patvirtintus </w:t>
            </w:r>
            <w:r w:rsidR="000B66CF" w:rsidRPr="00525918">
              <w:rPr>
                <w:szCs w:val="24"/>
              </w:rPr>
              <w:br/>
              <w:t xml:space="preserve">2021–2027 metų Europos Sąjungos fondų investicijų veiksmų programos stebėsenos komiteto </w:t>
            </w:r>
            <w:r w:rsidR="000B66CF" w:rsidRPr="007F6348">
              <w:rPr>
                <w:szCs w:val="24"/>
              </w:rPr>
              <w:t xml:space="preserve">2022 m. </w:t>
            </w:r>
            <w:r w:rsidR="00C64C33" w:rsidRPr="007F6348">
              <w:rPr>
                <w:szCs w:val="24"/>
              </w:rPr>
              <w:t>.....................</w:t>
            </w:r>
            <w:r w:rsidR="000B66CF" w:rsidRPr="007F6348">
              <w:rPr>
                <w:szCs w:val="24"/>
              </w:rPr>
              <w:t xml:space="preserve"> </w:t>
            </w:r>
            <w:r w:rsidR="007F6348" w:rsidRPr="007F6348">
              <w:rPr>
                <w:szCs w:val="24"/>
              </w:rPr>
              <w:t>......</w:t>
            </w:r>
            <w:r w:rsidR="000B66CF" w:rsidRPr="007F6348">
              <w:rPr>
                <w:szCs w:val="24"/>
              </w:rPr>
              <w:t xml:space="preserve"> d. posėdžio nutarimu Nr.</w:t>
            </w:r>
            <w:r w:rsidR="007F6348" w:rsidRPr="007F6348">
              <w:rPr>
                <w:szCs w:val="24"/>
              </w:rPr>
              <w:t>..</w:t>
            </w:r>
            <w:r w:rsidR="008E3EF2">
              <w:rPr>
                <w:szCs w:val="24"/>
              </w:rPr>
              <w:t>..</w:t>
            </w:r>
            <w:r w:rsidR="007F6348" w:rsidRPr="007F6348">
              <w:rPr>
                <w:szCs w:val="24"/>
              </w:rPr>
              <w:t>..</w:t>
            </w:r>
            <w:r w:rsidR="00B70F56" w:rsidRPr="007F6348">
              <w:rPr>
                <w:szCs w:val="24"/>
              </w:rPr>
              <w:t>.</w:t>
            </w:r>
            <w:r w:rsidR="00515196" w:rsidRPr="00525918">
              <w:rPr>
                <w:szCs w:val="24"/>
              </w:rPr>
              <w:t xml:space="preserve"> </w:t>
            </w:r>
            <w:r w:rsidR="0033674C" w:rsidRPr="00525918">
              <w:rPr>
                <w:szCs w:val="24"/>
              </w:rPr>
              <w:t>Už atitiktį prioritetiniams projektų atrankos kriterijams projektams skiriami balai</w:t>
            </w:r>
            <w:r w:rsidR="00D65E62" w:rsidRPr="00525918">
              <w:rPr>
                <w:szCs w:val="24"/>
              </w:rPr>
              <w:t>, nustatyti Aprašo 6 punkte</w:t>
            </w:r>
            <w:r w:rsidR="00827144">
              <w:rPr>
                <w:szCs w:val="24"/>
              </w:rPr>
              <w:t>;</w:t>
            </w:r>
          </w:p>
          <w:p w14:paraId="009A25BE" w14:textId="0FFD458A" w:rsidR="00827144" w:rsidRDefault="00827144" w:rsidP="004F49A3">
            <w:pPr>
              <w:pStyle w:val="ListParagraph"/>
              <w:numPr>
                <w:ilvl w:val="2"/>
                <w:numId w:val="4"/>
              </w:numPr>
              <w:tabs>
                <w:tab w:val="left" w:pos="885"/>
                <w:tab w:val="left" w:pos="1026"/>
              </w:tabs>
              <w:ind w:left="27" w:firstLine="425"/>
              <w:jc w:val="both"/>
              <w:rPr>
                <w:color w:val="000000"/>
                <w:szCs w:val="24"/>
              </w:rPr>
            </w:pPr>
            <w:r w:rsidRPr="00CC325D">
              <w:rPr>
                <w:color w:val="000000"/>
                <w:szCs w:val="24"/>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įgyvendinimo pabaigos labai mažų įmonių, mažų įmonių ir vidutinių pramonės įmonių atveju ir ne mažiau kaip penkerius metus nuo projekto įgyvendinimo pabaigos didelių pramonės įmonių atveju</w:t>
            </w:r>
            <w:r w:rsidR="00E36D29">
              <w:rPr>
                <w:color w:val="000000"/>
                <w:szCs w:val="24"/>
              </w:rPr>
              <w:t>;</w:t>
            </w:r>
          </w:p>
          <w:p w14:paraId="08BC42C5" w14:textId="2DE88692" w:rsidR="00684D95" w:rsidRPr="008E3EF2" w:rsidRDefault="00E36D29" w:rsidP="008E3EF2">
            <w:pPr>
              <w:pStyle w:val="ListParagraph"/>
              <w:numPr>
                <w:ilvl w:val="2"/>
                <w:numId w:val="4"/>
              </w:numPr>
              <w:tabs>
                <w:tab w:val="left" w:pos="736"/>
                <w:tab w:val="left" w:pos="1161"/>
              </w:tabs>
              <w:ind w:left="27" w:firstLine="425"/>
              <w:jc w:val="both"/>
              <w:rPr>
                <w:color w:val="000000"/>
                <w:szCs w:val="24"/>
              </w:rPr>
            </w:pPr>
            <w:r>
              <w:rPr>
                <w:szCs w:val="24"/>
              </w:rPr>
              <w:t xml:space="preserve"> </w:t>
            </w:r>
            <w:r w:rsidRPr="0001340E">
              <w:rPr>
                <w:szCs w:val="24"/>
              </w:rPr>
              <w:t xml:space="preserve">Daiktinės pareiškėjo (partnerio) teisės į nekilnojamąjį turtą (-us) ar nekilnojamojo turto (-ų) valdymo formos (nuoma ar panauda), kuriame (-iuose) įgyvendinant projektą bus vykdomos projekto veiklos (vykdomi statybos darbai ir (ar) montuojama įranga) turi būti įregistruotos įstatymų nustatyta tvarka ir galioti ne trumpiau kaip penkerius metus </w:t>
            </w:r>
            <w:r w:rsidR="00B04141" w:rsidRPr="0001340E">
              <w:rPr>
                <w:szCs w:val="24"/>
              </w:rPr>
              <w:t xml:space="preserve">(kai projekto vykdytojas didelė įmonė) arba </w:t>
            </w:r>
            <w:r w:rsidR="0001340E" w:rsidRPr="0001340E">
              <w:rPr>
                <w:szCs w:val="24"/>
              </w:rPr>
              <w:t xml:space="preserve">ne trumpiau  kaip </w:t>
            </w:r>
            <w:r w:rsidR="00B04141" w:rsidRPr="0001340E">
              <w:rPr>
                <w:szCs w:val="24"/>
              </w:rPr>
              <w:t xml:space="preserve">trejus metus (kai projekto vykdytojas labai maža, maža ir vidutinė įmonė (toliau – MVĮ)) </w:t>
            </w:r>
            <w:r w:rsidRPr="0001340E">
              <w:rPr>
                <w:szCs w:val="24"/>
              </w:rPr>
              <w:t>nuo projekto finansavimo pabaigos.</w:t>
            </w:r>
          </w:p>
          <w:p w14:paraId="1FBC4D13" w14:textId="29E2E43E" w:rsidR="007924CA" w:rsidRPr="00D456F9" w:rsidRDefault="007924CA" w:rsidP="004B3683">
            <w:pPr>
              <w:pStyle w:val="ListParagraph"/>
              <w:spacing w:after="0" w:line="240" w:lineRule="auto"/>
              <w:ind w:left="0"/>
              <w:jc w:val="both"/>
              <w:rPr>
                <w:color w:val="000000" w:themeColor="text1"/>
                <w:szCs w:val="24"/>
              </w:rPr>
            </w:pPr>
            <w:r w:rsidRPr="00D456F9">
              <w:rPr>
                <w:color w:val="000000" w:themeColor="text1"/>
                <w:szCs w:val="24"/>
              </w:rPr>
              <w:t>2.</w:t>
            </w:r>
            <w:r w:rsidR="00001E75" w:rsidRPr="00D456F9">
              <w:rPr>
                <w:color w:val="000000" w:themeColor="text1"/>
                <w:szCs w:val="24"/>
                <w:lang w:val="en-US"/>
              </w:rPr>
              <w:t>3</w:t>
            </w:r>
            <w:r w:rsidR="009968BA" w:rsidRPr="00D456F9">
              <w:rPr>
                <w:color w:val="000000" w:themeColor="text1"/>
                <w:szCs w:val="24"/>
                <w:lang w:val="en-US"/>
              </w:rPr>
              <w:t>.</w:t>
            </w:r>
            <w:r w:rsidR="005D0EFB" w:rsidRPr="00D456F9">
              <w:rPr>
                <w:color w:val="000000" w:themeColor="text1"/>
                <w:szCs w:val="24"/>
                <w:lang w:val="en-US"/>
              </w:rPr>
              <w:t xml:space="preserve"> </w:t>
            </w:r>
            <w:r w:rsidR="005D0EFB" w:rsidRPr="00D456F9">
              <w:rPr>
                <w:color w:val="000000" w:themeColor="text1"/>
                <w:szCs w:val="24"/>
              </w:rPr>
              <w:t>Pareiškėjas turi parengti ir kartu su PĮP administruojančiajai institucijai pateikti šiuos dokumentus:</w:t>
            </w:r>
          </w:p>
          <w:p w14:paraId="12EE3E48" w14:textId="5456A96F" w:rsidR="008E0125" w:rsidRPr="008E0125" w:rsidRDefault="007924CA" w:rsidP="00E36D29">
            <w:pPr>
              <w:pStyle w:val="ListParagraph"/>
              <w:spacing w:after="0" w:line="240" w:lineRule="auto"/>
              <w:ind w:left="0" w:firstLine="458"/>
              <w:jc w:val="both"/>
              <w:rPr>
                <w:szCs w:val="24"/>
              </w:rPr>
            </w:pPr>
            <w:r w:rsidRPr="00EB2843">
              <w:rPr>
                <w:color w:val="000000" w:themeColor="text1"/>
                <w:szCs w:val="24"/>
              </w:rPr>
              <w:t>2.</w:t>
            </w:r>
            <w:r w:rsidR="00001E75">
              <w:rPr>
                <w:color w:val="000000" w:themeColor="text1"/>
                <w:szCs w:val="24"/>
              </w:rPr>
              <w:t>3</w:t>
            </w:r>
            <w:r w:rsidRPr="00EB2843">
              <w:rPr>
                <w:color w:val="000000" w:themeColor="text1"/>
                <w:szCs w:val="24"/>
              </w:rPr>
              <w:t xml:space="preserve">.1. </w:t>
            </w:r>
            <w:r w:rsidR="006C6F0D" w:rsidRPr="00EB2843">
              <w:rPr>
                <w:color w:val="000000" w:themeColor="text1"/>
                <w:szCs w:val="24"/>
              </w:rPr>
              <w:t xml:space="preserve">Projektų administravimo ir finansavimo taisyklių </w:t>
            </w:r>
            <w:r w:rsidR="00A60F94" w:rsidRPr="00EB2843">
              <w:rPr>
                <w:color w:val="000000" w:themeColor="text1"/>
                <w:szCs w:val="24"/>
              </w:rPr>
              <w:t>1</w:t>
            </w:r>
            <w:r w:rsidR="006C6F0D" w:rsidRPr="006C6F0D">
              <w:rPr>
                <w:color w:val="000000" w:themeColor="text1"/>
                <w:szCs w:val="24"/>
              </w:rPr>
              <w:t xml:space="preserve"> pried</w:t>
            </w:r>
            <w:r w:rsidR="00942D3E" w:rsidRPr="00EB2843">
              <w:rPr>
                <w:color w:val="000000" w:themeColor="text1"/>
                <w:szCs w:val="24"/>
              </w:rPr>
              <w:t xml:space="preserve">o </w:t>
            </w:r>
            <w:r w:rsidR="006C0DDE" w:rsidRPr="00EB2843">
              <w:rPr>
                <w:color w:val="000000" w:themeColor="text1"/>
                <w:szCs w:val="24"/>
              </w:rPr>
              <w:t>3</w:t>
            </w:r>
            <w:r w:rsidR="00803272">
              <w:rPr>
                <w:color w:val="000000" w:themeColor="text1"/>
                <w:szCs w:val="24"/>
              </w:rPr>
              <w:t xml:space="preserve"> ir </w:t>
            </w:r>
            <w:r w:rsidR="006C0DDE" w:rsidRPr="00EB2843">
              <w:rPr>
                <w:color w:val="000000" w:themeColor="text1"/>
                <w:szCs w:val="24"/>
              </w:rPr>
              <w:t xml:space="preserve">4 </w:t>
            </w:r>
            <w:r w:rsidRPr="00EB2843">
              <w:rPr>
                <w:color w:val="000000" w:themeColor="text1"/>
                <w:szCs w:val="24"/>
              </w:rPr>
              <w:t>pried</w:t>
            </w:r>
            <w:r w:rsidR="005D0EFB">
              <w:rPr>
                <w:color w:val="000000" w:themeColor="text1"/>
                <w:szCs w:val="24"/>
              </w:rPr>
              <w:t>us</w:t>
            </w:r>
            <w:r w:rsidRPr="00EB2843">
              <w:rPr>
                <w:color w:val="000000" w:themeColor="text1"/>
                <w:szCs w:val="24"/>
              </w:rPr>
              <w:t>;</w:t>
            </w:r>
          </w:p>
          <w:p w14:paraId="38801A80" w14:textId="13958594" w:rsidR="0031679F" w:rsidRPr="00D32573" w:rsidRDefault="00001E75" w:rsidP="001A1B7C">
            <w:pPr>
              <w:tabs>
                <w:tab w:val="left" w:pos="885"/>
              </w:tabs>
              <w:ind w:left="34" w:firstLine="458"/>
              <w:jc w:val="both"/>
              <w:rPr>
                <w:color w:val="000000"/>
                <w:szCs w:val="24"/>
                <w:lang w:val="en-US"/>
              </w:rPr>
            </w:pPr>
            <w:bookmarkStart w:id="11" w:name="part_fd9b51e46b744ab1a372b6b35ff654b1"/>
            <w:bookmarkEnd w:id="11"/>
            <w:r>
              <w:rPr>
                <w:color w:val="000000"/>
                <w:szCs w:val="24"/>
              </w:rPr>
              <w:t>2.3</w:t>
            </w:r>
            <w:r w:rsidR="0031679F" w:rsidRPr="00D32573">
              <w:rPr>
                <w:color w:val="000000"/>
                <w:szCs w:val="24"/>
              </w:rPr>
              <w:t>.</w:t>
            </w:r>
            <w:r w:rsidR="00E36D29">
              <w:rPr>
                <w:color w:val="000000"/>
                <w:szCs w:val="24"/>
                <w:lang w:val="en-US"/>
              </w:rPr>
              <w:t>2</w:t>
            </w:r>
            <w:r w:rsidR="000B17D6" w:rsidRPr="00D32573">
              <w:rPr>
                <w:color w:val="000000"/>
                <w:szCs w:val="24"/>
              </w:rPr>
              <w:t>.</w:t>
            </w:r>
            <w:r w:rsidR="0031679F" w:rsidRPr="00D32573">
              <w:rPr>
                <w:color w:val="000000"/>
                <w:szCs w:val="24"/>
              </w:rPr>
              <w:t xml:space="preserve"> </w:t>
            </w:r>
            <w:r w:rsidR="00E17409">
              <w:rPr>
                <w:color w:val="000000"/>
                <w:szCs w:val="24"/>
              </w:rPr>
              <w:t>A</w:t>
            </w:r>
            <w:r w:rsidR="0031679F" w:rsidRPr="00D32573">
              <w:rPr>
                <w:color w:val="000000"/>
                <w:szCs w:val="24"/>
              </w:rPr>
              <w:t>tlik</w:t>
            </w:r>
            <w:r w:rsidR="00E17409">
              <w:rPr>
                <w:color w:val="000000"/>
                <w:szCs w:val="24"/>
              </w:rPr>
              <w:t>to</w:t>
            </w:r>
            <w:r w:rsidR="0031679F" w:rsidRPr="00D32573">
              <w:rPr>
                <w:color w:val="000000"/>
                <w:szCs w:val="24"/>
              </w:rPr>
              <w:t xml:space="preserve"> privalom</w:t>
            </w:r>
            <w:r w:rsidR="00E17409">
              <w:rPr>
                <w:color w:val="000000"/>
                <w:szCs w:val="24"/>
              </w:rPr>
              <w:t>ojo</w:t>
            </w:r>
            <w:r w:rsidR="0031679F" w:rsidRPr="00D32573">
              <w:rPr>
                <w:color w:val="000000"/>
                <w:szCs w:val="24"/>
              </w:rPr>
              <w:t xml:space="preserve"> energijos vartojimo audit</w:t>
            </w:r>
            <w:r w:rsidR="00E17409">
              <w:rPr>
                <w:color w:val="000000"/>
                <w:szCs w:val="24"/>
              </w:rPr>
              <w:t>o</w:t>
            </w:r>
            <w:r w:rsidR="0031679F" w:rsidRPr="00D32573">
              <w:rPr>
                <w:color w:val="000000"/>
                <w:szCs w:val="24"/>
              </w:rPr>
              <w:t xml:space="preserve"> ir papildom</w:t>
            </w:r>
            <w:r w:rsidR="00E17409">
              <w:rPr>
                <w:color w:val="000000"/>
                <w:szCs w:val="24"/>
              </w:rPr>
              <w:t>o</w:t>
            </w:r>
            <w:r w:rsidR="0031679F" w:rsidRPr="00D32573">
              <w:rPr>
                <w:color w:val="000000"/>
                <w:szCs w:val="24"/>
              </w:rPr>
              <w:t xml:space="preserve"> energijos vartojimo audit</w:t>
            </w:r>
            <w:r w:rsidR="00E17409">
              <w:rPr>
                <w:color w:val="000000"/>
                <w:szCs w:val="24"/>
              </w:rPr>
              <w:t>o</w:t>
            </w:r>
            <w:r w:rsidR="00B51EB9">
              <w:rPr>
                <w:color w:val="000000"/>
                <w:szCs w:val="24"/>
              </w:rPr>
              <w:t xml:space="preserve"> ataskait</w:t>
            </w:r>
            <w:r w:rsidR="00542539">
              <w:rPr>
                <w:color w:val="000000"/>
                <w:szCs w:val="24"/>
              </w:rPr>
              <w:t>ą</w:t>
            </w:r>
            <w:r w:rsidR="0031679F" w:rsidRPr="00D32573">
              <w:rPr>
                <w:color w:val="000000"/>
                <w:szCs w:val="24"/>
              </w:rPr>
              <w:t>, jeigu tokio audito atlikimo tikslingumas buvo nustatytas privalomojo audito metu</w:t>
            </w:r>
            <w:r w:rsidR="00E17409">
              <w:rPr>
                <w:color w:val="000000"/>
                <w:szCs w:val="24"/>
              </w:rPr>
              <w:t xml:space="preserve">, kai </w:t>
            </w:r>
            <w:r w:rsidR="00E17409" w:rsidRPr="00D32573">
              <w:rPr>
                <w:color w:val="000000"/>
                <w:szCs w:val="24"/>
              </w:rPr>
              <w:t>pareiškėjas yra didelė pramonės įmonė</w:t>
            </w:r>
            <w:r w:rsidR="0031679F" w:rsidRPr="00D32573">
              <w:rPr>
                <w:color w:val="000000"/>
                <w:szCs w:val="24"/>
              </w:rPr>
              <w:t>;</w:t>
            </w:r>
          </w:p>
          <w:p w14:paraId="25856FA0" w14:textId="2014F74D" w:rsidR="0031679F" w:rsidRDefault="0031679F" w:rsidP="001A1B7C">
            <w:pPr>
              <w:tabs>
                <w:tab w:val="left" w:pos="885"/>
              </w:tabs>
              <w:ind w:firstLine="458"/>
              <w:jc w:val="both"/>
              <w:rPr>
                <w:color w:val="000000"/>
                <w:szCs w:val="24"/>
              </w:rPr>
            </w:pPr>
            <w:bookmarkStart w:id="12" w:name="part_76c49f31f9d14dba93994e07e8c1a1f4"/>
            <w:bookmarkEnd w:id="12"/>
            <w:r w:rsidRPr="00D32573">
              <w:rPr>
                <w:color w:val="000000"/>
                <w:szCs w:val="24"/>
              </w:rPr>
              <w:t>2.</w:t>
            </w:r>
            <w:r w:rsidR="00001E75">
              <w:rPr>
                <w:color w:val="000000"/>
                <w:szCs w:val="24"/>
              </w:rPr>
              <w:t>3</w:t>
            </w:r>
            <w:r w:rsidRPr="00D32573">
              <w:rPr>
                <w:color w:val="000000"/>
                <w:szCs w:val="24"/>
              </w:rPr>
              <w:t>.</w:t>
            </w:r>
            <w:r w:rsidR="00E36D29">
              <w:rPr>
                <w:color w:val="000000"/>
                <w:szCs w:val="24"/>
              </w:rPr>
              <w:t>3</w:t>
            </w:r>
            <w:r w:rsidR="000B17D6" w:rsidRPr="00D32573">
              <w:rPr>
                <w:color w:val="000000"/>
                <w:szCs w:val="24"/>
              </w:rPr>
              <w:t xml:space="preserve">. </w:t>
            </w:r>
            <w:r w:rsidRPr="00D32573">
              <w:rPr>
                <w:color w:val="000000"/>
                <w:szCs w:val="24"/>
              </w:rPr>
              <w:t xml:space="preserve"> </w:t>
            </w:r>
            <w:r w:rsidR="00E17409">
              <w:rPr>
                <w:color w:val="000000"/>
                <w:szCs w:val="24"/>
              </w:rPr>
              <w:t>A</w:t>
            </w:r>
            <w:r w:rsidRPr="00D32573">
              <w:rPr>
                <w:color w:val="000000"/>
                <w:szCs w:val="24"/>
              </w:rPr>
              <w:t>tlik</w:t>
            </w:r>
            <w:r w:rsidR="00E17409">
              <w:rPr>
                <w:color w:val="000000"/>
                <w:szCs w:val="24"/>
              </w:rPr>
              <w:t>to</w:t>
            </w:r>
            <w:r w:rsidRPr="00D32573">
              <w:rPr>
                <w:color w:val="000000"/>
                <w:szCs w:val="24"/>
              </w:rPr>
              <w:t xml:space="preserve"> energijos vartojimo audit</w:t>
            </w:r>
            <w:r w:rsidR="00B51EB9">
              <w:rPr>
                <w:color w:val="000000"/>
                <w:szCs w:val="24"/>
              </w:rPr>
              <w:t>o ataskait</w:t>
            </w:r>
            <w:r w:rsidR="00542539">
              <w:rPr>
                <w:color w:val="000000"/>
                <w:szCs w:val="24"/>
              </w:rPr>
              <w:t>ą</w:t>
            </w:r>
            <w:r w:rsidR="00E17409">
              <w:rPr>
                <w:color w:val="000000"/>
                <w:szCs w:val="24"/>
              </w:rPr>
              <w:t xml:space="preserve">, kai </w:t>
            </w:r>
            <w:r w:rsidR="00E17409" w:rsidRPr="00D32573">
              <w:rPr>
                <w:color w:val="000000"/>
                <w:szCs w:val="24"/>
              </w:rPr>
              <w:t>pareiškėjas yra labai maža įmonė, maža įmonė ir vidutinė pramonės įmonė</w:t>
            </w:r>
            <w:r w:rsidR="005A51FE">
              <w:rPr>
                <w:color w:val="000000"/>
                <w:szCs w:val="24"/>
              </w:rPr>
              <w:t>;</w:t>
            </w:r>
          </w:p>
          <w:p w14:paraId="5A8E78F3" w14:textId="5CC7CF3C" w:rsidR="005A51FE" w:rsidRPr="005A51FE" w:rsidRDefault="00E36D29" w:rsidP="004C7D10">
            <w:pPr>
              <w:ind w:firstLine="458"/>
              <w:jc w:val="both"/>
              <w:rPr>
                <w:szCs w:val="24"/>
                <w:lang w:eastAsia="lt-LT"/>
              </w:rPr>
            </w:pPr>
            <w:r>
              <w:rPr>
                <w:color w:val="000000"/>
                <w:szCs w:val="24"/>
                <w:lang w:val="en-US"/>
              </w:rPr>
              <w:lastRenderedPageBreak/>
              <w:t>2.3.4</w:t>
            </w:r>
            <w:r w:rsidR="005A51FE">
              <w:rPr>
                <w:color w:val="000000"/>
                <w:szCs w:val="24"/>
                <w:lang w:val="en-US"/>
              </w:rPr>
              <w:t xml:space="preserve">. </w:t>
            </w:r>
            <w:r w:rsidR="00752CB9">
              <w:rPr>
                <w:rFonts w:eastAsia="Calibri"/>
                <w:szCs w:val="24"/>
              </w:rPr>
              <w:t>J</w:t>
            </w:r>
            <w:r w:rsidR="005A51FE" w:rsidRPr="005A51FE">
              <w:rPr>
                <w:rFonts w:eastAsia="Calibri"/>
                <w:szCs w:val="24"/>
              </w:rPr>
              <w:t>eigu pramonės įmonės energijos vartojimo auditą atliko ir parengė ES valstybės narės auditorius, auditą parengusio auditoriaus kvalifikacijos atestato kopiją ir dokumentus, patvirtinančius, kad Direktyvos 2012/27/ES 16 straipsnio 1 dalyje nurodytos sertifikavimo ir (arba) akreditavimo sistemos arba lygiavertės kvalifikavimo sistemos yra palygintos tarpusavyje ir pripažintos Lietuvos Respublikos ir E</w:t>
            </w:r>
            <w:r w:rsidR="00CF23B8">
              <w:rPr>
                <w:rFonts w:eastAsia="Calibri"/>
                <w:szCs w:val="24"/>
              </w:rPr>
              <w:t xml:space="preserve">uropos </w:t>
            </w:r>
            <w:r w:rsidR="005A51FE" w:rsidRPr="005A51FE">
              <w:rPr>
                <w:rFonts w:eastAsia="Calibri"/>
                <w:szCs w:val="24"/>
              </w:rPr>
              <w:t>K</w:t>
            </w:r>
            <w:r w:rsidR="00CF23B8">
              <w:rPr>
                <w:rFonts w:eastAsia="Calibri"/>
                <w:szCs w:val="24"/>
              </w:rPr>
              <w:t>omisijos</w:t>
            </w:r>
            <w:r w:rsidR="005A51FE" w:rsidRPr="005A51FE">
              <w:rPr>
                <w:rFonts w:eastAsia="Calibri"/>
                <w:szCs w:val="24"/>
              </w:rPr>
              <w:t>;</w:t>
            </w:r>
          </w:p>
          <w:p w14:paraId="3E4CEAAA" w14:textId="30AB534D" w:rsidR="007C202D" w:rsidRDefault="00E36D29" w:rsidP="00E17409">
            <w:pPr>
              <w:ind w:firstLine="458"/>
              <w:jc w:val="both"/>
              <w:rPr>
                <w:szCs w:val="24"/>
                <w:lang w:eastAsia="lt-LT"/>
              </w:rPr>
            </w:pPr>
            <w:r>
              <w:rPr>
                <w:color w:val="000000"/>
                <w:szCs w:val="24"/>
              </w:rPr>
              <w:t>2.3.5</w:t>
            </w:r>
            <w:r w:rsidR="00FA3704" w:rsidRPr="00B04013">
              <w:rPr>
                <w:color w:val="000000"/>
                <w:szCs w:val="24"/>
              </w:rPr>
              <w:t xml:space="preserve">. </w:t>
            </w:r>
            <w:r w:rsidR="005C7D1D" w:rsidRPr="00B04013">
              <w:rPr>
                <w:color w:val="000000"/>
                <w:szCs w:val="24"/>
              </w:rPr>
              <w:t xml:space="preserve">Užpildytą </w:t>
            </w:r>
            <w:r w:rsidR="00B04013" w:rsidRPr="00B04013">
              <w:rPr>
                <w:color w:val="000000"/>
                <w:szCs w:val="24"/>
              </w:rPr>
              <w:t xml:space="preserve">Aprašo 3 priedą, kuriame pateikiama </w:t>
            </w:r>
            <w:r w:rsidR="00CA04B0">
              <w:rPr>
                <w:szCs w:val="24"/>
                <w:lang w:eastAsia="lt-LT"/>
              </w:rPr>
              <w:t xml:space="preserve">informacija, </w:t>
            </w:r>
            <w:r w:rsidR="00B04013" w:rsidRPr="00B04013">
              <w:rPr>
                <w:szCs w:val="24"/>
                <w:lang w:eastAsia="lt-LT"/>
              </w:rPr>
              <w:t>reikalinga</w:t>
            </w:r>
            <w:r w:rsidR="00335125" w:rsidRPr="00B04013">
              <w:rPr>
                <w:szCs w:val="24"/>
                <w:lang w:eastAsia="lt-LT"/>
              </w:rPr>
              <w:t xml:space="preserve"> projekto</w:t>
            </w:r>
            <w:r w:rsidR="00335125" w:rsidRPr="00335125">
              <w:rPr>
                <w:szCs w:val="24"/>
                <w:lang w:eastAsia="lt-LT"/>
              </w:rPr>
              <w:t xml:space="preserve"> atitikčiai projektų</w:t>
            </w:r>
            <w:r w:rsidR="00B04013">
              <w:rPr>
                <w:szCs w:val="24"/>
                <w:lang w:eastAsia="lt-LT"/>
              </w:rPr>
              <w:t xml:space="preserve"> atrankos kriterijams įvertinti;</w:t>
            </w:r>
          </w:p>
          <w:p w14:paraId="657241CD" w14:textId="666FC794" w:rsidR="001B688B" w:rsidRPr="00335125" w:rsidRDefault="00001E75" w:rsidP="001B688B">
            <w:pPr>
              <w:ind w:firstLine="458"/>
              <w:jc w:val="both"/>
              <w:rPr>
                <w:szCs w:val="24"/>
                <w:lang w:eastAsia="lt-LT"/>
              </w:rPr>
            </w:pPr>
            <w:r>
              <w:rPr>
                <w:szCs w:val="24"/>
                <w:lang w:eastAsia="lt-LT"/>
              </w:rPr>
              <w:t>2.3</w:t>
            </w:r>
            <w:r w:rsidR="001B688B">
              <w:rPr>
                <w:szCs w:val="24"/>
                <w:lang w:eastAsia="lt-LT"/>
              </w:rPr>
              <w:t>.</w:t>
            </w:r>
            <w:r w:rsidR="00E36D29">
              <w:rPr>
                <w:szCs w:val="24"/>
                <w:lang w:eastAsia="lt-LT"/>
              </w:rPr>
              <w:t>6</w:t>
            </w:r>
            <w:r w:rsidR="001B688B">
              <w:rPr>
                <w:szCs w:val="24"/>
                <w:lang w:eastAsia="lt-LT"/>
              </w:rPr>
              <w:t xml:space="preserve">. </w:t>
            </w:r>
            <w:r w:rsidR="001B688B" w:rsidRPr="001B688B">
              <w:rPr>
                <w:szCs w:val="24"/>
                <w:lang w:eastAsia="lt-LT"/>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r w:rsidR="001B688B" w:rsidRPr="001B688B">
              <w:rPr>
                <w:rFonts w:eastAsia="Calibri"/>
                <w:szCs w:val="24"/>
              </w:rPr>
              <w:t>parengtą pagal paskutinių ataskaitinių finansinių metų duomenis</w:t>
            </w:r>
            <w:r w:rsidR="001B688B" w:rsidRPr="001B688B">
              <w:rPr>
                <w:szCs w:val="24"/>
                <w:lang w:eastAsia="lt-LT"/>
              </w:rPr>
              <w:t xml:space="preserve"> (arba laisvos formos deklaraciją, jei pareiškėjas yra didelė įmonė)</w:t>
            </w:r>
            <w:r w:rsidR="008F4A64">
              <w:rPr>
                <w:szCs w:val="24"/>
                <w:lang w:eastAsia="lt-LT"/>
              </w:rPr>
              <w:t>;</w:t>
            </w:r>
          </w:p>
          <w:p w14:paraId="29747C96" w14:textId="2B7DB294" w:rsidR="008F4A64" w:rsidRPr="0057250E" w:rsidRDefault="00FD269B" w:rsidP="00E36D29">
            <w:pPr>
              <w:pStyle w:val="ListParagraph"/>
              <w:numPr>
                <w:ilvl w:val="2"/>
                <w:numId w:val="16"/>
              </w:numPr>
              <w:tabs>
                <w:tab w:val="left" w:pos="885"/>
                <w:tab w:val="left" w:pos="1026"/>
              </w:tabs>
              <w:jc w:val="both"/>
              <w:rPr>
                <w:color w:val="000000"/>
                <w:szCs w:val="24"/>
              </w:rPr>
            </w:pPr>
            <w:r>
              <w:rPr>
                <w:color w:val="000000"/>
                <w:szCs w:val="24"/>
              </w:rPr>
              <w:t xml:space="preserve"> </w:t>
            </w:r>
            <w:r w:rsidR="0041111B" w:rsidRPr="0057250E">
              <w:rPr>
                <w:color w:val="000000"/>
                <w:szCs w:val="24"/>
              </w:rPr>
              <w:t>Dokumentus, pagrindžiančius projekto biudžeto pagrįstumą (bent vienas komercinis pasiūlymas, nuorodos į rinkoje esančias kainas ir kita);</w:t>
            </w:r>
          </w:p>
          <w:p w14:paraId="7863C8B7" w14:textId="26FC88D7" w:rsidR="00A26254" w:rsidRPr="00A26254" w:rsidRDefault="004F49A3" w:rsidP="004F49A3">
            <w:pPr>
              <w:pStyle w:val="ListParagraph"/>
              <w:numPr>
                <w:ilvl w:val="2"/>
                <w:numId w:val="16"/>
              </w:numPr>
              <w:tabs>
                <w:tab w:val="left" w:pos="1019"/>
                <w:tab w:val="left" w:pos="1167"/>
              </w:tabs>
              <w:ind w:left="33" w:firstLine="425"/>
              <w:rPr>
                <w:color w:val="000000"/>
                <w:szCs w:val="24"/>
              </w:rPr>
            </w:pPr>
            <w:r>
              <w:rPr>
                <w:color w:val="000000"/>
                <w:szCs w:val="24"/>
              </w:rPr>
              <w:t xml:space="preserve"> </w:t>
            </w:r>
            <w:r w:rsidR="00A26254" w:rsidRPr="00A26254">
              <w:rPr>
                <w:color w:val="000000"/>
                <w:szCs w:val="24"/>
              </w:rPr>
              <w:t xml:space="preserve">Elektros tinklų operatoriaus išduotos </w:t>
            </w:r>
            <w:r w:rsidR="00A26254">
              <w:rPr>
                <w:color w:val="000000"/>
                <w:szCs w:val="24"/>
              </w:rPr>
              <w:t xml:space="preserve">saulės </w:t>
            </w:r>
            <w:r w:rsidR="00FD099D">
              <w:rPr>
                <w:color w:val="000000"/>
                <w:szCs w:val="24"/>
              </w:rPr>
              <w:t>elektrinės išankstine</w:t>
            </w:r>
            <w:r w:rsidR="00A26254" w:rsidRPr="00A26254">
              <w:rPr>
                <w:color w:val="000000"/>
                <w:szCs w:val="24"/>
              </w:rPr>
              <w:t>s prijungim</w:t>
            </w:r>
            <w:r w:rsidR="00D456F9">
              <w:rPr>
                <w:color w:val="000000"/>
                <w:szCs w:val="24"/>
              </w:rPr>
              <w:t>o prie energetikos tinklų sąlygas, skirta</w:t>
            </w:r>
            <w:r w:rsidR="00A26254" w:rsidRPr="00A26254">
              <w:rPr>
                <w:color w:val="000000"/>
                <w:szCs w:val="24"/>
              </w:rPr>
              <w:t>s perteklinės elektros ene</w:t>
            </w:r>
            <w:r w:rsidR="00D456F9">
              <w:rPr>
                <w:color w:val="000000"/>
                <w:szCs w:val="24"/>
              </w:rPr>
              <w:t>rgijos pardavimui arba leidimą</w:t>
            </w:r>
            <w:r w:rsidR="00A26254" w:rsidRPr="00A26254">
              <w:rPr>
                <w:color w:val="000000"/>
                <w:szCs w:val="24"/>
              </w:rPr>
              <w:t xml:space="preserve"> plėtoti elektros energijos gamybos pajėgumus, kai jis yra reikalingas, vadovaujanti Elektros energetikos įstatymo 16 straipsnio 14 dalimi;</w:t>
            </w:r>
          </w:p>
          <w:p w14:paraId="18C1BD8C" w14:textId="3B24885A" w:rsidR="009C7DEF" w:rsidRPr="00AD6938" w:rsidRDefault="001B424D" w:rsidP="002B7A65">
            <w:pPr>
              <w:pStyle w:val="ListParagraph"/>
              <w:numPr>
                <w:ilvl w:val="1"/>
                <w:numId w:val="16"/>
              </w:numPr>
              <w:tabs>
                <w:tab w:val="left" w:pos="426"/>
                <w:tab w:val="left" w:pos="1026"/>
              </w:tabs>
              <w:ind w:left="0" w:firstLine="0"/>
              <w:jc w:val="both"/>
              <w:rPr>
                <w:color w:val="000000"/>
                <w:szCs w:val="24"/>
              </w:rPr>
            </w:pPr>
            <w:r w:rsidRPr="006C440B">
              <w:rPr>
                <w:color w:val="000000"/>
                <w:szCs w:val="24"/>
              </w:rPr>
              <w:t>Papildomi matomumo viešinimo reikalavimai, kurie nenumatyti</w:t>
            </w:r>
            <w:r w:rsidR="006C440B" w:rsidRPr="006C440B">
              <w:rPr>
                <w:color w:val="000000"/>
                <w:szCs w:val="24"/>
              </w:rPr>
              <w:t xml:space="preserve"> Projektų administravimo ir finansavimo taisyklėse</w:t>
            </w:r>
            <w:r w:rsidRPr="006C440B">
              <w:rPr>
                <w:color w:val="000000"/>
                <w:szCs w:val="24"/>
              </w:rPr>
              <w:t>, nėra taikomi.</w:t>
            </w:r>
          </w:p>
        </w:tc>
      </w:tr>
      <w:tr w:rsidR="009C7DEF" w14:paraId="4F669408" w14:textId="77777777">
        <w:tc>
          <w:tcPr>
            <w:tcW w:w="14709" w:type="dxa"/>
          </w:tcPr>
          <w:p w14:paraId="746B31E8" w14:textId="77777777"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007C62A0">
        <w:trPr>
          <w:trHeight w:val="280"/>
        </w:trPr>
        <w:tc>
          <w:tcPr>
            <w:tcW w:w="1470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trPr>
          <w:trHeight w:val="285"/>
        </w:trPr>
        <w:tc>
          <w:tcPr>
            <w:tcW w:w="14709" w:type="dxa"/>
          </w:tcPr>
          <w:p w14:paraId="07CF1576" w14:textId="77777777" w:rsidR="009C7DEF" w:rsidRDefault="009C7DEF" w:rsidP="009C7DEF">
            <w:pPr>
              <w:rPr>
                <w:sz w:val="22"/>
                <w:szCs w:val="22"/>
              </w:rPr>
            </w:pPr>
            <w:r>
              <w:rPr>
                <w:b/>
                <w:szCs w:val="24"/>
              </w:rPr>
              <w:t>3. Horizontaliųjų principų (toliau – HP) reikalavimai</w:t>
            </w:r>
          </w:p>
        </w:tc>
      </w:tr>
      <w:tr w:rsidR="009C7DEF" w14:paraId="1FD2043F" w14:textId="77777777">
        <w:tc>
          <w:tcPr>
            <w:tcW w:w="14709" w:type="dxa"/>
          </w:tcPr>
          <w:p w14:paraId="54502855" w14:textId="77777777" w:rsidR="00741DB1" w:rsidRDefault="00177C1D" w:rsidP="009C7DEF">
            <w:pPr>
              <w:jc w:val="both"/>
              <w:rPr>
                <w:szCs w:val="24"/>
              </w:rPr>
            </w:pPr>
            <w:r>
              <w:rPr>
                <w:szCs w:val="24"/>
                <w:lang w:val="en-US"/>
              </w:rPr>
              <w:t xml:space="preserve">3.1. </w:t>
            </w:r>
            <w:r w:rsidRPr="00177C1D">
              <w:rPr>
                <w:szCs w:val="24"/>
              </w:rPr>
              <w:t>Neutralus – projektas negali daryti neigiamo poveikio horizontaliems principams</w:t>
            </w:r>
            <w:r w:rsidR="00741DB1">
              <w:rPr>
                <w:szCs w:val="24"/>
              </w:rPr>
              <w:t>.</w:t>
            </w:r>
          </w:p>
          <w:p w14:paraId="30B4F5E3" w14:textId="25A8D569" w:rsidR="0097428E" w:rsidRDefault="00741DB1" w:rsidP="009C7DEF">
            <w:pPr>
              <w:jc w:val="both"/>
              <w:rPr>
                <w:szCs w:val="24"/>
              </w:rPr>
            </w:pPr>
            <w:r>
              <w:rPr>
                <w:szCs w:val="24"/>
              </w:rPr>
              <w:t xml:space="preserve">3.2. </w:t>
            </w:r>
            <w:r w:rsidR="0097428E">
              <w:rPr>
                <w:szCs w:val="24"/>
              </w:rPr>
              <w:t>P</w:t>
            </w:r>
            <w:r w:rsidR="0097428E" w:rsidRPr="0097428E">
              <w:rPr>
                <w:szCs w:val="24"/>
              </w:rPr>
              <w:t>rojektų atitikties Reikšmingos žalos nedarymo horizontaliajam principui vertinimo reikalavimų aprašas pateikiamas Aprašo priede Nr. 1.</w:t>
            </w:r>
          </w:p>
          <w:p w14:paraId="39DAF411" w14:textId="7C1EF4BE" w:rsidR="009C7DEF" w:rsidRPr="007352B9" w:rsidRDefault="00D37919" w:rsidP="007352B9">
            <w:pPr>
              <w:widowControl w:val="0"/>
              <w:jc w:val="both"/>
              <w:textAlignment w:val="baseline"/>
              <w:rPr>
                <w:rFonts w:eastAsia="Calibri"/>
                <w:bCs/>
                <w:szCs w:val="24"/>
                <w:lang w:bidi="lt-LT"/>
              </w:rPr>
            </w:pPr>
            <w:r w:rsidRPr="00D37919">
              <w:rPr>
                <w:rFonts w:eastAsia="Calibri"/>
                <w:bCs/>
                <w:szCs w:val="24"/>
                <w:lang w:bidi="lt-LT"/>
              </w:rPr>
              <w:t xml:space="preserve">3.3. </w:t>
            </w:r>
            <w:r w:rsidR="002915B1" w:rsidRPr="00D37919">
              <w:rPr>
                <w:rFonts w:eastAsia="Calibri"/>
                <w:bCs/>
                <w:szCs w:val="24"/>
                <w:lang w:bidi="lt-LT"/>
              </w:rPr>
              <w:t>Projekto v</w:t>
            </w:r>
            <w:r w:rsidR="005D1B47" w:rsidRPr="00D37919">
              <w:rPr>
                <w:rFonts w:eastAsia="Calibri"/>
                <w:bCs/>
                <w:szCs w:val="24"/>
                <w:lang w:bidi="lt-LT"/>
              </w:rPr>
              <w:t>eikl</w:t>
            </w:r>
            <w:r w:rsidR="002915B1" w:rsidRPr="00D37919">
              <w:rPr>
                <w:rFonts w:eastAsia="Calibri"/>
                <w:bCs/>
                <w:szCs w:val="24"/>
                <w:lang w:bidi="lt-LT"/>
              </w:rPr>
              <w:t>os</w:t>
            </w:r>
            <w:r w:rsidR="005D1B47" w:rsidRPr="00D37919">
              <w:rPr>
                <w:rFonts w:eastAsia="Calibri"/>
                <w:bCs/>
                <w:szCs w:val="24"/>
                <w:lang w:bidi="lt-LT"/>
              </w:rPr>
              <w:t xml:space="preserve"> tiesiogiai prisideda prie darnaus vystymosi ir inovatyvumo (kūrybingumo) horizontaliojo principo: siekiant paskatinti pramonės įmones didinti AEI vartojimą, remiantis </w:t>
            </w:r>
            <w:r w:rsidR="00CF23B8">
              <w:rPr>
                <w:rFonts w:eastAsia="Calibri"/>
                <w:bCs/>
                <w:szCs w:val="24"/>
                <w:lang w:bidi="lt-LT"/>
              </w:rPr>
              <w:t>energijos vartojimo efektyvu</w:t>
            </w:r>
            <w:r w:rsidR="00AB6C86">
              <w:rPr>
                <w:rFonts w:eastAsia="Calibri"/>
                <w:bCs/>
                <w:szCs w:val="24"/>
                <w:lang w:bidi="lt-LT"/>
              </w:rPr>
              <w:t xml:space="preserve">mo </w:t>
            </w:r>
            <w:r w:rsidR="005D1B47" w:rsidRPr="00D37919">
              <w:rPr>
                <w:rFonts w:eastAsia="Calibri"/>
                <w:bCs/>
                <w:szCs w:val="24"/>
                <w:lang w:bidi="lt-LT"/>
              </w:rPr>
              <w:t>audito ataskaitomis, bus teikiamos investicijos AEI naudojančių energijos gamybos pajėgumų įrengimams, naujų AEI efektyvesnio panaudojimo technologijų kūrimui</w:t>
            </w:r>
            <w:r w:rsidR="007352B9">
              <w:rPr>
                <w:rFonts w:eastAsia="Calibri"/>
                <w:bCs/>
                <w:szCs w:val="24"/>
                <w:lang w:bidi="lt-LT"/>
              </w:rPr>
              <w:t xml:space="preserve"> ir diegimui pramonės įmonėse. </w:t>
            </w:r>
          </w:p>
        </w:tc>
      </w:tr>
      <w:tr w:rsidR="009C7DEF" w14:paraId="44F1846F" w14:textId="77777777">
        <w:tc>
          <w:tcPr>
            <w:tcW w:w="1470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t>3.1. Europos Sąjungos pagrindinių teisių chartijos (toliau – Chartija) reikalavimai</w:t>
            </w:r>
          </w:p>
        </w:tc>
      </w:tr>
      <w:tr w:rsidR="009C7DEF" w14:paraId="40F5508D" w14:textId="77777777">
        <w:tc>
          <w:tcPr>
            <w:tcW w:w="14709" w:type="dxa"/>
          </w:tcPr>
          <w:p w14:paraId="00726E12" w14:textId="45657624"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1F06F0">
              <w:rPr>
                <w:iCs/>
                <w:szCs w:val="24"/>
              </w:rPr>
              <w:t>ne</w:t>
            </w:r>
            <w:r w:rsidR="00AF5DA9" w:rsidRPr="001F06F0">
              <w:rPr>
                <w:iCs/>
                <w:szCs w:val="24"/>
              </w:rPr>
              <w:t>turi pažeisti</w:t>
            </w:r>
            <w:r w:rsidR="008C077F" w:rsidRPr="001F06F0">
              <w:rPr>
                <w:iCs/>
                <w:sz w:val="20"/>
              </w:rPr>
              <w:t xml:space="preserve"> </w:t>
            </w:r>
            <w:r w:rsidR="008C077F" w:rsidRPr="001F06F0">
              <w:rPr>
                <w:bCs/>
                <w:iCs/>
              </w:rPr>
              <w:t>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tc>
          <w:tcPr>
            <w:tcW w:w="1470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tc>
          <w:tcPr>
            <w:tcW w:w="14709" w:type="dxa"/>
          </w:tcPr>
          <w:p w14:paraId="5B4304DE" w14:textId="009F3ABF" w:rsidR="009C7DEF" w:rsidRPr="007352B9" w:rsidRDefault="007352B9" w:rsidP="009C7DEF">
            <w:pPr>
              <w:jc w:val="both"/>
              <w:rPr>
                <w:szCs w:val="24"/>
              </w:rPr>
            </w:pPr>
            <w:r>
              <w:rPr>
                <w:szCs w:val="24"/>
              </w:rPr>
              <w:t xml:space="preserve">Netaikoma. </w:t>
            </w:r>
          </w:p>
        </w:tc>
      </w:tr>
      <w:tr w:rsidR="009C7DEF" w14:paraId="435A2476" w14:textId="77777777">
        <w:tc>
          <w:tcPr>
            <w:tcW w:w="14709" w:type="dxa"/>
          </w:tcPr>
          <w:p w14:paraId="724B070B" w14:textId="77777777" w:rsidR="009C7DEF" w:rsidRDefault="009C7DEF" w:rsidP="009C7DEF">
            <w:pPr>
              <w:jc w:val="both"/>
              <w:rPr>
                <w:b/>
                <w:szCs w:val="24"/>
              </w:rPr>
            </w:pPr>
            <w:r>
              <w:rPr>
                <w:b/>
                <w:szCs w:val="24"/>
              </w:rPr>
              <w:t xml:space="preserve">5. Reikalavimai valstybės pagalbai </w:t>
            </w:r>
          </w:p>
        </w:tc>
      </w:tr>
      <w:tr w:rsidR="009C7DEF" w14:paraId="4860D0CA" w14:textId="77777777">
        <w:tc>
          <w:tcPr>
            <w:tcW w:w="14709" w:type="dxa"/>
          </w:tcPr>
          <w:p w14:paraId="2FDF9C12" w14:textId="17CF6259" w:rsidR="00823484" w:rsidRPr="00AF0747" w:rsidRDefault="002E6A2C" w:rsidP="002E6A2C">
            <w:pPr>
              <w:jc w:val="both"/>
              <w:rPr>
                <w:szCs w:val="24"/>
              </w:rPr>
            </w:pPr>
            <w:r w:rsidRPr="00AF0747">
              <w:rPr>
                <w:szCs w:val="24"/>
              </w:rPr>
              <w:t>5.1. Pagal Aprašą projekto veiklų finansavimas yra valstybės pagalba, kaip ji apibrėžta Sutarties dėl Europos Sąjungos veikimo 107 straipsnyje. Finansavimas</w:t>
            </w:r>
            <w:r w:rsidR="000C2247" w:rsidRPr="00AF0747">
              <w:rPr>
                <w:szCs w:val="24"/>
              </w:rPr>
              <w:t xml:space="preserve"> projektams</w:t>
            </w:r>
            <w:r w:rsidRPr="00AF0747">
              <w:rPr>
                <w:szCs w:val="24"/>
              </w:rPr>
              <w:t>, skiriamas kaip valstybės pagalba</w:t>
            </w:r>
            <w:r w:rsidR="000C2247" w:rsidRPr="00AF0747">
              <w:rPr>
                <w:szCs w:val="24"/>
              </w:rPr>
              <w:t xml:space="preserve"> </w:t>
            </w:r>
            <w:r w:rsidR="000052AD" w:rsidRPr="00AF0747">
              <w:rPr>
                <w:szCs w:val="24"/>
              </w:rPr>
              <w:t>yra investicinė pagalba</w:t>
            </w:r>
            <w:r w:rsidR="002403B3" w:rsidRPr="00AF0747">
              <w:rPr>
                <w:szCs w:val="24"/>
              </w:rPr>
              <w:t>,</w:t>
            </w:r>
            <w:r w:rsidR="000052AD" w:rsidRPr="00AF0747">
              <w:rPr>
                <w:szCs w:val="24"/>
              </w:rPr>
              <w:t xml:space="preserve"> </w:t>
            </w:r>
            <w:r w:rsidRPr="00AF0747">
              <w:rPr>
                <w:szCs w:val="24"/>
              </w:rPr>
              <w:t xml:space="preserve">kuri teikiama pagal </w:t>
            </w:r>
            <w:r w:rsidR="00A50508" w:rsidRPr="00AF0747">
              <w:rPr>
                <w:szCs w:val="24"/>
              </w:rPr>
              <w:t xml:space="preserve">Reglamento (ES) Nr. 651/2014 </w:t>
            </w:r>
            <w:r w:rsidRPr="00AF0747">
              <w:rPr>
                <w:szCs w:val="24"/>
              </w:rPr>
              <w:t>41 straipsn</w:t>
            </w:r>
            <w:r w:rsidR="00C900A5" w:rsidRPr="00AF0747">
              <w:rPr>
                <w:szCs w:val="24"/>
              </w:rPr>
              <w:t>į</w:t>
            </w:r>
            <w:r w:rsidRPr="00AF0747">
              <w:rPr>
                <w:szCs w:val="24"/>
              </w:rPr>
              <w:t xml:space="preserve">, </w:t>
            </w:r>
            <w:r w:rsidRPr="00AF0747">
              <w:rPr>
                <w:szCs w:val="24"/>
              </w:rPr>
              <w:lastRenderedPageBreak/>
              <w:t xml:space="preserve">atsižvelgiant į I skyriaus nuostatas bei 1 straipsnio 2–5 dalyse nustatytus apribojimus. </w:t>
            </w:r>
            <w:r w:rsidR="00AF0747" w:rsidRPr="00AF0747">
              <w:rPr>
                <w:szCs w:val="24"/>
              </w:rPr>
              <w:t xml:space="preserve">Investicinė pagalba teikiama tik naujiems įrenginiams. </w:t>
            </w:r>
            <w:r w:rsidRPr="00AF0747">
              <w:rPr>
                <w:szCs w:val="24"/>
              </w:rPr>
              <w:t>Aprašas nustato valstybės pagalbos energetikos infrastruktūrai teikimo sąlygas, kurios atitinka Reglamento (ES) Nr. 651/2014 nuostatas ir yra suderinamos su vidaus rinka. Projektų valstybės pagalbos atitikties Reglamento (ES) Nr. 651/2014 41 straipsnio nuostatoms vertinimą atlieka administruojanti institucija pagal Aprašo 2 priede nurodytus vertinimo kriterijus.</w:t>
            </w:r>
            <w:r w:rsidR="000052AD" w:rsidRPr="00AF0747">
              <w:rPr>
                <w:szCs w:val="24"/>
              </w:rPr>
              <w:t xml:space="preserve"> </w:t>
            </w:r>
          </w:p>
          <w:p w14:paraId="7566C50B" w14:textId="4B75172C" w:rsidR="002E6A2C" w:rsidRPr="00AF0747" w:rsidRDefault="002E6A2C" w:rsidP="002E6A2C">
            <w:pPr>
              <w:jc w:val="both"/>
              <w:rPr>
                <w:szCs w:val="24"/>
              </w:rPr>
            </w:pPr>
            <w:r w:rsidRPr="00AF0747">
              <w:rPr>
                <w:szCs w:val="24"/>
              </w:rPr>
              <w:t>5.2. Valstybės pagalba neteikiama:</w:t>
            </w:r>
          </w:p>
          <w:p w14:paraId="02A22585" w14:textId="2CEE80C0" w:rsidR="002E6A2C" w:rsidRPr="00DA0B5F" w:rsidRDefault="002E6A2C" w:rsidP="000914AC">
            <w:pPr>
              <w:ind w:firstLine="426"/>
              <w:jc w:val="both"/>
              <w:rPr>
                <w:szCs w:val="24"/>
              </w:rPr>
            </w:pPr>
            <w:r w:rsidRPr="00DA0B5F">
              <w:rPr>
                <w:szCs w:val="24"/>
              </w:rPr>
              <w:t>5.2.1. sunkumus patiriančioms įmonėms</w:t>
            </w:r>
            <w:r w:rsidR="004A47A3" w:rsidRPr="00DA0B5F">
              <w:rPr>
                <w:szCs w:val="24"/>
              </w:rPr>
              <w:t xml:space="preserve">, kaip apibrėžta Reglamento (ES) Nr. 651/2014 2 straipsnio 18 punkte, išskyrus atvejus, kai tai leidžiama pagal </w:t>
            </w:r>
            <w:r w:rsidR="004A47A3" w:rsidRPr="00DA0B5F">
              <w:rPr>
                <w:i/>
                <w:iCs/>
                <w:szCs w:val="24"/>
              </w:rPr>
              <w:t xml:space="preserve">de minimis </w:t>
            </w:r>
            <w:r w:rsidR="004A47A3" w:rsidRPr="00DA0B5F">
              <w:rPr>
                <w:szCs w:val="24"/>
              </w:rPr>
              <w:t>pagalbos arba laikinosios valstybės pagalbos taisykles, nustatytas siekiant reaguoti į išskirtines aplinkybes;</w:t>
            </w:r>
          </w:p>
          <w:p w14:paraId="21860FCC" w14:textId="4919EB27" w:rsidR="002E6A2C" w:rsidRPr="00DA0B5F" w:rsidRDefault="002E6A2C" w:rsidP="000914AC">
            <w:pPr>
              <w:ind w:firstLine="426"/>
              <w:jc w:val="both"/>
              <w:rPr>
                <w:szCs w:val="24"/>
              </w:rPr>
            </w:pPr>
            <w:r w:rsidRPr="00DA0B5F">
              <w:rPr>
                <w:szCs w:val="24"/>
              </w:rPr>
              <w:t xml:space="preserve">5.2.2. ūkio subjektams, kuriems išduotas vykdomasis raštas sumoms išieškoti pagal ankstesnį </w:t>
            </w:r>
            <w:r w:rsidR="00EB7172">
              <w:rPr>
                <w:szCs w:val="24"/>
              </w:rPr>
              <w:t xml:space="preserve">Europos </w:t>
            </w:r>
            <w:r w:rsidRPr="00DA0B5F">
              <w:rPr>
                <w:szCs w:val="24"/>
              </w:rPr>
              <w:t>Komisijos sprendimą, kuriame pagalba skelbiama neteisėta ir nesuderinama su vidaus rinka. Nauja valstybės pagalba negali būti teikiama iki nebus sugrąžinta neteisėta ir nesuderinama su vidaus rinka gauta valstybės pagalba;</w:t>
            </w:r>
          </w:p>
          <w:p w14:paraId="3D5121C0" w14:textId="3ADBCA36" w:rsidR="002E6A2C" w:rsidRPr="00701B56" w:rsidRDefault="002E6A2C" w:rsidP="000914AC">
            <w:pPr>
              <w:ind w:firstLine="426"/>
              <w:jc w:val="both"/>
              <w:rPr>
                <w:szCs w:val="24"/>
              </w:rPr>
            </w:pPr>
            <w:r w:rsidRPr="00DA0B5F">
              <w:rPr>
                <w:szCs w:val="24"/>
              </w:rPr>
              <w:t>5.2.</w:t>
            </w:r>
            <w:r w:rsidR="00B1461C" w:rsidRPr="00DA0B5F">
              <w:rPr>
                <w:szCs w:val="24"/>
              </w:rPr>
              <w:t>3</w:t>
            </w:r>
            <w:r w:rsidRPr="00DA0B5F">
              <w:rPr>
                <w:szCs w:val="24"/>
              </w:rPr>
              <w:t xml:space="preserve">. </w:t>
            </w:r>
            <w:r w:rsidR="008D1F2B" w:rsidRPr="00701B56">
              <w:rPr>
                <w:szCs w:val="24"/>
              </w:rPr>
              <w:t>j</w:t>
            </w:r>
            <w:r w:rsidRPr="00701B56">
              <w:rPr>
                <w:szCs w:val="24"/>
              </w:rPr>
              <w:t xml:space="preserve">ei ji neturi skatinamojo poveikio nustatyto Reglamento </w:t>
            </w:r>
            <w:r w:rsidR="00E71568" w:rsidRPr="00701B56">
              <w:rPr>
                <w:szCs w:val="24"/>
              </w:rPr>
              <w:t xml:space="preserve">(ES) Nr. 651/2014 </w:t>
            </w:r>
            <w:r w:rsidRPr="00701B56">
              <w:rPr>
                <w:szCs w:val="24"/>
              </w:rPr>
              <w:t>6 straipsnyje</w:t>
            </w:r>
            <w:r w:rsidR="008F19BC" w:rsidRPr="00701B56">
              <w:rPr>
                <w:szCs w:val="24"/>
              </w:rPr>
              <w:t>;</w:t>
            </w:r>
          </w:p>
          <w:p w14:paraId="1CE9412D" w14:textId="51603FA1" w:rsidR="008F19BC" w:rsidRPr="00701B56" w:rsidRDefault="00124D49" w:rsidP="000914AC">
            <w:pPr>
              <w:ind w:firstLine="426"/>
              <w:jc w:val="both"/>
              <w:rPr>
                <w:szCs w:val="24"/>
              </w:rPr>
            </w:pPr>
            <w:r w:rsidRPr="00701B56">
              <w:rPr>
                <w:szCs w:val="24"/>
              </w:rPr>
              <w:t>5.2.4.</w:t>
            </w:r>
            <w:r w:rsidR="00850782">
              <w:rPr>
                <w:szCs w:val="24"/>
              </w:rPr>
              <w:t xml:space="preserve"> pagal </w:t>
            </w:r>
            <w:r w:rsidR="00850782" w:rsidRPr="00850782">
              <w:rPr>
                <w:szCs w:val="24"/>
              </w:rPr>
              <w:t>Reglamento (ES) Nr. 651/2014 41 straipsn</w:t>
            </w:r>
            <w:r w:rsidR="00645520">
              <w:rPr>
                <w:szCs w:val="24"/>
              </w:rPr>
              <w:t>io 3-4 dalį</w:t>
            </w:r>
            <w:r w:rsidRPr="00701B56">
              <w:rPr>
                <w:szCs w:val="24"/>
              </w:rPr>
              <w:t>;</w:t>
            </w:r>
          </w:p>
          <w:p w14:paraId="5FD0C8A7" w14:textId="391C6CBD" w:rsidR="00823484" w:rsidRPr="00701B56" w:rsidRDefault="002403B3" w:rsidP="000914AC">
            <w:pPr>
              <w:ind w:firstLine="426"/>
              <w:jc w:val="both"/>
              <w:rPr>
                <w:szCs w:val="24"/>
              </w:rPr>
            </w:pPr>
            <w:r>
              <w:rPr>
                <w:szCs w:val="24"/>
                <w:lang w:val="en-US"/>
              </w:rPr>
              <w:t>5.2.</w:t>
            </w:r>
            <w:r w:rsidR="00850782">
              <w:rPr>
                <w:szCs w:val="24"/>
                <w:lang w:val="en-US"/>
              </w:rPr>
              <w:t>5</w:t>
            </w:r>
            <w:r>
              <w:rPr>
                <w:szCs w:val="24"/>
                <w:lang w:val="en-US"/>
              </w:rPr>
              <w:t xml:space="preserve">. </w:t>
            </w:r>
            <w:r w:rsidR="00AF0747" w:rsidRPr="0022415A">
              <w:rPr>
                <w:szCs w:val="24"/>
              </w:rPr>
              <w:t>įrenginiui pradėjus veikt</w:t>
            </w:r>
            <w:r w:rsidR="0022415A" w:rsidRPr="0022415A">
              <w:rPr>
                <w:szCs w:val="24"/>
              </w:rPr>
              <w:t>i.</w:t>
            </w:r>
          </w:p>
          <w:p w14:paraId="6C88A91A" w14:textId="3D1B5993" w:rsidR="002E6A2C" w:rsidRPr="00701B56" w:rsidRDefault="002E6A2C" w:rsidP="002E6A2C">
            <w:pPr>
              <w:jc w:val="both"/>
              <w:rPr>
                <w:szCs w:val="24"/>
              </w:rPr>
            </w:pPr>
            <w:r w:rsidRPr="00701B56">
              <w:rPr>
                <w:szCs w:val="24"/>
              </w:rPr>
              <w:t>5.3. Valstybės pagalba, kurios tinkamas finansuoti išlaidas galima nustatyti ir kuriai pagal Reglament</w:t>
            </w:r>
            <w:r w:rsidR="00E06E32" w:rsidRPr="00701B56">
              <w:rPr>
                <w:szCs w:val="24"/>
              </w:rPr>
              <w:t>ą</w:t>
            </w:r>
            <w:r w:rsidRPr="00701B56">
              <w:rPr>
                <w:szCs w:val="24"/>
              </w:rPr>
              <w:t xml:space="preserve"> </w:t>
            </w:r>
            <w:r w:rsidR="00E06E32" w:rsidRPr="00701B56">
              <w:rPr>
                <w:szCs w:val="24"/>
              </w:rPr>
              <w:t xml:space="preserve">(ES) Nr. 651/2014 </w:t>
            </w:r>
            <w:r w:rsidRPr="00701B56">
              <w:rPr>
                <w:szCs w:val="24"/>
              </w:rPr>
              <w:t>taikoma išimtis, gali būti sumuojama su:</w:t>
            </w:r>
          </w:p>
          <w:p w14:paraId="51CC28EE" w14:textId="77777777" w:rsidR="002E6A2C" w:rsidRPr="006313E9" w:rsidRDefault="002E6A2C" w:rsidP="000914AC">
            <w:pPr>
              <w:ind w:firstLine="426"/>
              <w:jc w:val="both"/>
              <w:rPr>
                <w:szCs w:val="24"/>
              </w:rPr>
            </w:pPr>
            <w:r w:rsidRPr="006313E9">
              <w:rPr>
                <w:szCs w:val="24"/>
              </w:rPr>
              <w:t>5.3.1. bet kokia kita valstybės pagalba, jei tos veiklos yra susijusios su skirtingomis tinkamomis finansuoti išlaidomis, kurias galima nustatyti;</w:t>
            </w:r>
          </w:p>
          <w:p w14:paraId="5D9BA608" w14:textId="2AF34B31" w:rsidR="00153212" w:rsidRPr="006313E9" w:rsidRDefault="002E6A2C" w:rsidP="000914AC">
            <w:pPr>
              <w:ind w:firstLine="426"/>
              <w:jc w:val="both"/>
              <w:rPr>
                <w:szCs w:val="24"/>
              </w:rPr>
            </w:pPr>
            <w:r w:rsidRPr="006313E9">
              <w:rPr>
                <w:szCs w:val="24"/>
              </w:rPr>
              <w:t xml:space="preserve">5.3.2. bet kokia kita valstybės pagalba, susijusi su tomis pačiomis tinkamomis finansuoti išlaidomis, kurios iš dalies arba visiškai sutampa, tik jeigu taip susumavus, didžiausia pagalbos suma neviršija Reglamento 41 straipsnio </w:t>
            </w:r>
            <w:r w:rsidR="008E7805" w:rsidRPr="006313E9">
              <w:rPr>
                <w:szCs w:val="24"/>
                <w:lang w:val="en-US"/>
              </w:rPr>
              <w:t xml:space="preserve">7 </w:t>
            </w:r>
            <w:proofErr w:type="spellStart"/>
            <w:r w:rsidR="008E7805" w:rsidRPr="006313E9">
              <w:rPr>
                <w:szCs w:val="24"/>
                <w:lang w:val="en-US"/>
              </w:rPr>
              <w:t>dalyje</w:t>
            </w:r>
            <w:proofErr w:type="spellEnd"/>
            <w:r w:rsidRPr="006313E9">
              <w:rPr>
                <w:szCs w:val="24"/>
              </w:rPr>
              <w:t xml:space="preserve"> nustatytos pagalbos ribos, o didžiausias pagalbos intensyvumas neviršija Reglamento 41 straipsnio </w:t>
            </w:r>
            <w:r w:rsidR="00CD3314" w:rsidRPr="006313E9">
              <w:rPr>
                <w:szCs w:val="24"/>
              </w:rPr>
              <w:t>7 dalyje</w:t>
            </w:r>
            <w:r w:rsidRPr="006313E9">
              <w:rPr>
                <w:szCs w:val="24"/>
              </w:rPr>
              <w:t xml:space="preserve"> nustatyto pagalbos intensyvumo.</w:t>
            </w:r>
          </w:p>
          <w:p w14:paraId="4E8AE967" w14:textId="611EA961" w:rsidR="00236B25" w:rsidRPr="006313E9" w:rsidRDefault="002E6A2C" w:rsidP="002E6A2C">
            <w:pPr>
              <w:jc w:val="both"/>
              <w:rPr>
                <w:szCs w:val="24"/>
              </w:rPr>
            </w:pPr>
            <w:r w:rsidRPr="006313E9">
              <w:rPr>
                <w:szCs w:val="24"/>
              </w:rPr>
              <w:t xml:space="preserve">5.4. Valstybės pagalba, kuriai pagal Reglamentą taikoma išimtis, nesumuojama su jokia de minimis pagalba, susijusia su tomis pačiomis tinkamomis finansuoti išlaidomis, jei susumavus būtų viršytas pagalbos intensyvumas, kaip nustatyta Reglamento </w:t>
            </w:r>
            <w:r w:rsidR="00C76567" w:rsidRPr="006313E9">
              <w:rPr>
                <w:szCs w:val="24"/>
              </w:rPr>
              <w:t xml:space="preserve">(ES) Nr. 651/2014 </w:t>
            </w:r>
            <w:r w:rsidRPr="006313E9">
              <w:rPr>
                <w:szCs w:val="24"/>
              </w:rPr>
              <w:t>8 straipsnio 5 dalyje.</w:t>
            </w:r>
          </w:p>
          <w:p w14:paraId="7A6FCF7C" w14:textId="592CDE0A" w:rsidR="002E6A2C" w:rsidRDefault="002E6A2C" w:rsidP="002E6A2C">
            <w:pPr>
              <w:jc w:val="both"/>
              <w:rPr>
                <w:szCs w:val="24"/>
              </w:rPr>
            </w:pPr>
            <w:r w:rsidRPr="006313E9">
              <w:rPr>
                <w:szCs w:val="24"/>
              </w:rPr>
              <w:t>5.5. Administruojančioji institucija PĮP vertinimo metu patikrina pareiškėjo teisę gauti valstybės pagalbą pagal Reglamentą</w:t>
            </w:r>
            <w:r w:rsidR="00EF528A" w:rsidRPr="006313E9">
              <w:rPr>
                <w:szCs w:val="24"/>
              </w:rPr>
              <w:t xml:space="preserve"> (ES) Nr. 651/2014</w:t>
            </w:r>
            <w:r w:rsidRPr="006313E9">
              <w:rPr>
                <w:szCs w:val="24"/>
              </w:rPr>
              <w:t>, o Ministerijai priėmus sprendimą finansuoti projektą, per 5 darbo dienas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2AED6CB6" w14:textId="5E15B2DF" w:rsidR="00703A22" w:rsidRDefault="00703A22" w:rsidP="00703A22">
            <w:pPr>
              <w:jc w:val="both"/>
              <w:rPr>
                <w:szCs w:val="24"/>
              </w:rPr>
            </w:pPr>
            <w:r>
              <w:rPr>
                <w:szCs w:val="24"/>
              </w:rPr>
              <w:t xml:space="preserve">5.6. </w:t>
            </w:r>
            <w:r w:rsidRPr="006A632D">
              <w:rPr>
                <w:szCs w:val="24"/>
              </w:rPr>
              <w:t>Projektas gali būti pradėtas įgyvendinti ne anksčiau nei po PĮP registravimo įgyvendinančiojoje institucijoje dienos, tačiau projekto išlaidos nuo PĮP registravimo įgyvendinančiojoje institucijoje dienos iki finansavimo projektui skyrimo yra patiriamos pareiškėjo rizika.</w:t>
            </w:r>
          </w:p>
          <w:p w14:paraId="1CB0DED2" w14:textId="5D8E3355" w:rsidR="009C7DEF" w:rsidRPr="008B6D2F" w:rsidRDefault="00703A22" w:rsidP="009C7DEF">
            <w:pPr>
              <w:jc w:val="both"/>
              <w:rPr>
                <w:szCs w:val="24"/>
                <w:highlight w:val="green"/>
              </w:rPr>
            </w:pPr>
            <w:r>
              <w:rPr>
                <w:szCs w:val="24"/>
              </w:rPr>
              <w:t xml:space="preserve">5.7. </w:t>
            </w:r>
            <w:r w:rsidRPr="006A632D">
              <w:rPr>
                <w:szCs w:val="24"/>
              </w:rPr>
              <w:t>Jeigu projektas, kuriam prašoma finansavimo, pradedamas įgyvendinti iki PĮP registravimo įgyvendinančiojoje institucijoje dienos, visas projektas tampa netinkamas ir jam finansavimas neskiriamas</w:t>
            </w:r>
            <w:r>
              <w:rPr>
                <w:szCs w:val="24"/>
              </w:rPr>
              <w:t>.</w:t>
            </w:r>
          </w:p>
        </w:tc>
      </w:tr>
      <w:tr w:rsidR="009C7DEF" w14:paraId="605F932F" w14:textId="77777777">
        <w:tc>
          <w:tcPr>
            <w:tcW w:w="1470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0095735B">
        <w:trPr>
          <w:trHeight w:val="1129"/>
        </w:trPr>
        <w:tc>
          <w:tcPr>
            <w:tcW w:w="1470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005C2254">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left w:val="single" w:sz="6" w:space="0" w:color="000000"/>
                    <w:bottom w:val="single" w:sz="6" w:space="0" w:color="000000"/>
                    <w:right w:val="single" w:sz="6" w:space="0" w:color="000000"/>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left w:val="single" w:sz="6" w:space="0" w:color="000000"/>
                    <w:bottom w:val="single" w:sz="6" w:space="0" w:color="000000"/>
                    <w:right w:val="single" w:sz="6" w:space="0" w:color="000000"/>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005C2254">
              <w:tc>
                <w:tcPr>
                  <w:tcW w:w="701" w:type="dxa"/>
                  <w:tcBorders>
                    <w:top w:val="single" w:sz="6" w:space="0" w:color="000000"/>
                    <w:left w:val="single" w:sz="6" w:space="0" w:color="000000"/>
                    <w:bottom w:val="single" w:sz="6" w:space="0" w:color="000000"/>
                    <w:right w:val="single" w:sz="6" w:space="0" w:color="000000"/>
                  </w:tcBorders>
                </w:tcPr>
                <w:p w14:paraId="44BF90C1" w14:textId="226107A8" w:rsidR="009C7DEF" w:rsidRPr="00E63066" w:rsidRDefault="00E63066" w:rsidP="009C7DEF">
                  <w:pPr>
                    <w:jc w:val="both"/>
                    <w:rPr>
                      <w:i/>
                      <w:iCs/>
                      <w:szCs w:val="24"/>
                      <w:lang w:val="en-US"/>
                    </w:rPr>
                  </w:pPr>
                  <w:r>
                    <w:rPr>
                      <w:i/>
                      <w:iCs/>
                      <w:szCs w:val="24"/>
                      <w:lang w:val="en-US"/>
                    </w:rPr>
                    <w:t>1</w:t>
                  </w:r>
                </w:p>
              </w:tc>
              <w:tc>
                <w:tcPr>
                  <w:tcW w:w="1593" w:type="dxa"/>
                  <w:tcBorders>
                    <w:top w:val="single" w:sz="6" w:space="0" w:color="000000"/>
                    <w:left w:val="single" w:sz="6" w:space="0" w:color="000000"/>
                    <w:bottom w:val="single" w:sz="6" w:space="0" w:color="000000"/>
                    <w:right w:val="single" w:sz="6" w:space="0" w:color="000000"/>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03AD4AD1" w14:textId="5F275084" w:rsidR="009C7DEF" w:rsidRPr="007F67B5" w:rsidRDefault="00807B89" w:rsidP="009C7DEF">
                  <w:pPr>
                    <w:jc w:val="both"/>
                    <w:rPr>
                      <w:i/>
                      <w:iCs/>
                      <w:szCs w:val="24"/>
                    </w:rPr>
                  </w:pPr>
                  <w:r w:rsidRPr="007F67B5">
                    <w:rPr>
                      <w:i/>
                      <w:iCs/>
                    </w:rPr>
                    <w:t xml:space="preserve">Projekte numatytos veiklos turi atitikti kartu su </w:t>
                  </w:r>
                  <w:r w:rsidR="0025589B">
                    <w:rPr>
                      <w:i/>
                      <w:iCs/>
                    </w:rPr>
                    <w:t xml:space="preserve">PĮP </w:t>
                  </w:r>
                  <w:r w:rsidRPr="007F67B5">
                    <w:rPr>
                      <w:i/>
                      <w:iCs/>
                    </w:rPr>
                    <w:t>pateiktoje energijos vartojimo audito ataskaitoje, parengtoje ne anksčiau kaip 2 metai iki PĮP pateikimo, rekomenduojamas priemones</w:t>
                  </w:r>
                  <w:r w:rsidRPr="007F67B5">
                    <w:t>.</w:t>
                  </w:r>
                </w:p>
              </w:tc>
              <w:tc>
                <w:tcPr>
                  <w:tcW w:w="5245" w:type="dxa"/>
                  <w:tcBorders>
                    <w:top w:val="single" w:sz="6" w:space="0" w:color="000000"/>
                    <w:left w:val="single" w:sz="6" w:space="0" w:color="000000"/>
                    <w:bottom w:val="single" w:sz="6" w:space="0" w:color="000000"/>
                    <w:right w:val="single" w:sz="6" w:space="0" w:color="000000"/>
                  </w:tcBorders>
                </w:tcPr>
                <w:p w14:paraId="2A1BEFCC" w14:textId="1B877265" w:rsidR="009C7DEF" w:rsidRPr="004E0F9F" w:rsidRDefault="009B0DF3" w:rsidP="004E0F9F">
                  <w:pPr>
                    <w:widowControl w:val="0"/>
                    <w:jc w:val="both"/>
                    <w:textAlignment w:val="baseline"/>
                    <w:rPr>
                      <w:i/>
                      <w:iCs/>
                    </w:rPr>
                  </w:pPr>
                  <w:r w:rsidRPr="009B0DF3">
                    <w:rPr>
                      <w:bCs/>
                      <w:i/>
                      <w:iCs/>
                    </w:rPr>
                    <w:t>V</w:t>
                  </w:r>
                  <w:r w:rsidRPr="009B0DF3">
                    <w:rPr>
                      <w:i/>
                      <w:iCs/>
                    </w:rPr>
                    <w:t xml:space="preserve">ertinama, ar prašomos finansuoti veiklos atitinka kartu su PĮP pateiktoje Energijos išteklių ir vandens vartojimo technologiniuose procesuose ir įrenginiuose audito, parengto vadovaujantis </w:t>
                  </w:r>
                  <w:hyperlink r:id="rId12" w:history="1">
                    <w:r w:rsidRPr="009B0DF3">
                      <w:rPr>
                        <w:i/>
                        <w:iCs/>
                        <w:color w:val="0000FF"/>
                        <w:u w:val="single"/>
                      </w:rPr>
                      <w:t>Lietuvos Respublikos energetikos ministro 2010 m. gegužės 10 d. įsakymu Nr. 1-141</w:t>
                    </w:r>
                  </w:hyperlink>
                  <w:r w:rsidRPr="009B0DF3">
                    <w:rPr>
                      <w:i/>
                      <w:iCs/>
                    </w:rPr>
                    <w:t xml:space="preserve"> „Dėl Energijos, energijos išteklių ir vandens vartojimo audito atlikimo technologiniuose procesuose ir įrenginiuose metodikos patvirtinimo“ patvirtinta metodika, ataskaitoje, parengtoje ne anksčiau kaip 2 metai iki PĮP pateikimo, rekomenduojamas priemones.</w:t>
                  </w:r>
                </w:p>
              </w:tc>
              <w:tc>
                <w:tcPr>
                  <w:tcW w:w="1701" w:type="dxa"/>
                  <w:tcBorders>
                    <w:top w:val="single" w:sz="6" w:space="0" w:color="000000"/>
                    <w:left w:val="single" w:sz="6" w:space="0" w:color="000000"/>
                    <w:bottom w:val="single" w:sz="6" w:space="0" w:color="000000"/>
                    <w:right w:val="single" w:sz="6" w:space="0" w:color="000000"/>
                  </w:tcBorders>
                </w:tcPr>
                <w:p w14:paraId="0CCB1D9C" w14:textId="77777777" w:rsidR="009C7DEF" w:rsidRDefault="009C7DEF" w:rsidP="009C7DEF">
                  <w:pPr>
                    <w:jc w:val="both"/>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673B9B7F" w14:textId="77777777" w:rsidR="009C7DEF" w:rsidRDefault="009C7DEF" w:rsidP="009C7DEF">
                  <w:pPr>
                    <w:jc w:val="both"/>
                    <w:rPr>
                      <w:i/>
                      <w:iCs/>
                      <w:szCs w:val="24"/>
                    </w:rPr>
                  </w:pPr>
                </w:p>
              </w:tc>
            </w:tr>
            <w:tr w:rsidR="005C2254" w14:paraId="1A59CD16" w14:textId="77777777" w:rsidTr="005C2254">
              <w:tc>
                <w:tcPr>
                  <w:tcW w:w="701" w:type="dxa"/>
                  <w:tcBorders>
                    <w:top w:val="single" w:sz="6" w:space="0" w:color="000000"/>
                    <w:left w:val="single" w:sz="6" w:space="0" w:color="000000"/>
                    <w:bottom w:val="single" w:sz="6" w:space="0" w:color="000000"/>
                    <w:right w:val="single" w:sz="6" w:space="0" w:color="000000"/>
                  </w:tcBorders>
                </w:tcPr>
                <w:p w14:paraId="69F4E41D" w14:textId="7F6F86ED" w:rsidR="005C2254" w:rsidRDefault="00E63066" w:rsidP="005C2254">
                  <w:pPr>
                    <w:jc w:val="both"/>
                    <w:rPr>
                      <w:i/>
                      <w:iCs/>
                      <w:szCs w:val="24"/>
                    </w:rPr>
                  </w:pPr>
                  <w:r>
                    <w:rPr>
                      <w:i/>
                      <w:iCs/>
                      <w:szCs w:val="24"/>
                    </w:rPr>
                    <w:t>2</w:t>
                  </w:r>
                </w:p>
              </w:tc>
              <w:tc>
                <w:tcPr>
                  <w:tcW w:w="1593" w:type="dxa"/>
                  <w:tcBorders>
                    <w:top w:val="single" w:sz="6" w:space="0" w:color="000000"/>
                    <w:left w:val="single" w:sz="6" w:space="0" w:color="000000"/>
                    <w:bottom w:val="single" w:sz="6" w:space="0" w:color="000000"/>
                    <w:right w:val="single" w:sz="6" w:space="0" w:color="000000"/>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1A2A427A" w14:textId="50CA7415" w:rsidR="005C2254" w:rsidRPr="007F67B5" w:rsidRDefault="005C2254" w:rsidP="005C2254">
                  <w:pPr>
                    <w:jc w:val="both"/>
                    <w:rPr>
                      <w:i/>
                      <w:iCs/>
                      <w:szCs w:val="24"/>
                    </w:rPr>
                  </w:pPr>
                  <w:r w:rsidRPr="007F67B5">
                    <w:rPr>
                      <w:i/>
                      <w:iCs/>
                    </w:rPr>
                    <w:t>Pareiškėjas iki PĮP pateikimo yra ne trumpiau kaip 3 metus veikianti pramonės įmonė, kurios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w:t>
                  </w:r>
                </w:p>
              </w:tc>
              <w:tc>
                <w:tcPr>
                  <w:tcW w:w="5245" w:type="dxa"/>
                  <w:shd w:val="clear" w:color="auto" w:fill="auto"/>
                </w:tcPr>
                <w:p w14:paraId="7D339905" w14:textId="77777777" w:rsidR="005C2254" w:rsidRDefault="005C2254" w:rsidP="005C2254">
                  <w:pPr>
                    <w:tabs>
                      <w:tab w:val="left" w:pos="486"/>
                    </w:tabs>
                    <w:jc w:val="both"/>
                    <w:rPr>
                      <w:i/>
                      <w:iCs/>
                    </w:rPr>
                  </w:pPr>
                  <w:r w:rsidRPr="00CD64C5">
                    <w:rPr>
                      <w:i/>
                      <w:iCs/>
                    </w:rPr>
                    <w:t xml:space="preserve">Vertinama, ar pareiškėjas </w:t>
                  </w:r>
                  <w:r w:rsidRPr="003E2EA3">
                    <w:rPr>
                      <w:i/>
                      <w:iCs/>
                    </w:rPr>
                    <w:t>iki PĮP pateikimo</w:t>
                  </w:r>
                  <w:r w:rsidRPr="003E2EA3">
                    <w:rPr>
                      <w:b/>
                      <w:bCs/>
                      <w:i/>
                      <w:iCs/>
                    </w:rPr>
                    <w:t xml:space="preserve"> </w:t>
                  </w:r>
                  <w:r w:rsidRPr="00CD64C5">
                    <w:rPr>
                      <w:i/>
                      <w:iCs/>
                    </w:rPr>
                    <w:t xml:space="preserve">yra pramonės </w:t>
                  </w:r>
                  <w:r w:rsidRPr="00CD64C5">
                    <w:rPr>
                      <w:bCs/>
                      <w:i/>
                      <w:iCs/>
                    </w:rPr>
                    <w:t>įmonė</w:t>
                  </w:r>
                  <w:r w:rsidRPr="00CD64C5">
                    <w:rPr>
                      <w:i/>
                      <w:iCs/>
                    </w:rPr>
                    <w:t>, kuri turi pakankamai patirties, t. y. veikia ne trumpiau kaip trejus 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3F8249B4" w14:textId="77777777" w:rsidR="005C2254" w:rsidRDefault="005C2254" w:rsidP="005C2254">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 xml:space="preserve">įmonė, vykdanti pramonės ekonominę veiklą pagal Ekonominės veiklos rūšių klasifikatorių (EVRK 2 red.), patvirtintą Statistikos </w:t>
                  </w:r>
                  <w:r w:rsidRPr="002401AB">
                    <w:rPr>
                      <w:i/>
                      <w:iCs/>
                    </w:rPr>
                    <w:lastRenderedPageBreak/>
                    <w:t>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04526605" w14:textId="77777777" w:rsidR="005C2254" w:rsidRPr="00CC5A0F" w:rsidRDefault="005C2254" w:rsidP="005C2254">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6820894F" w14:textId="607B0845" w:rsidR="005C2254" w:rsidRPr="00CC5A0F" w:rsidRDefault="005C2254" w:rsidP="005C2254">
                  <w:pPr>
                    <w:pStyle w:val="ListParagraph"/>
                    <w:tabs>
                      <w:tab w:val="left" w:pos="486"/>
                    </w:tabs>
                    <w:ind w:left="0"/>
                    <w:jc w:val="both"/>
                    <w:rPr>
                      <w:i/>
                      <w:iCs/>
                    </w:rPr>
                  </w:pPr>
                  <w:bookmarkStart w:id="13" w:name="_Hlk110350296"/>
                  <w:r w:rsidRPr="00CC5A0F">
                    <w:rPr>
                      <w:i/>
                      <w:iCs/>
                    </w:rPr>
                    <w:t>Įmonės pačios pagamintos produkcijos pajamos tikrinamos pagal metinių finansinių ataskaitų rinkinių duomenis</w:t>
                  </w:r>
                  <w:r>
                    <w:rPr>
                      <w:i/>
                      <w:iCs/>
                    </w:rPr>
                    <w:t xml:space="preserve"> ir (ar) kitus </w:t>
                  </w:r>
                  <w:r w:rsidRPr="00C71290">
                    <w:rPr>
                      <w:i/>
                      <w:iCs/>
                    </w:rPr>
                    <w:t xml:space="preserve">pačios </w:t>
                  </w:r>
                  <w:r>
                    <w:rPr>
                      <w:i/>
                      <w:iCs/>
                    </w:rPr>
                    <w:t>į</w:t>
                  </w:r>
                  <w:r w:rsidRPr="00C71290">
                    <w:rPr>
                      <w:i/>
                      <w:iCs/>
                    </w:rPr>
                    <w:t>monės pagamintos produkcijos pajam</w:t>
                  </w:r>
                  <w:r>
                    <w:rPr>
                      <w:i/>
                      <w:iCs/>
                    </w:rPr>
                    <w:t>a</w:t>
                  </w:r>
                  <w:r w:rsidRPr="00C71290">
                    <w:rPr>
                      <w:i/>
                      <w:iCs/>
                    </w:rPr>
                    <w:t xml:space="preserve">s </w:t>
                  </w:r>
                  <w:r>
                    <w:rPr>
                      <w:i/>
                      <w:iCs/>
                    </w:rPr>
                    <w:t>pagrindžiančius buhalterinės apskaitos dokumentus</w:t>
                  </w:r>
                  <w:r w:rsidRPr="00CC5A0F">
                    <w:rPr>
                      <w:i/>
                      <w:iCs/>
                    </w:rPr>
                    <w:t>.</w:t>
                  </w:r>
                </w:p>
                <w:bookmarkEnd w:id="13"/>
                <w:p w14:paraId="43407E15" w14:textId="77777777" w:rsidR="005C2254" w:rsidRDefault="005C2254" w:rsidP="005C2254">
                  <w:pPr>
                    <w:tabs>
                      <w:tab w:val="left" w:pos="486"/>
                    </w:tabs>
                    <w:jc w:val="both"/>
                    <w:rPr>
                      <w:bCs/>
                      <w:i/>
                      <w:iCs/>
                    </w:rPr>
                  </w:pPr>
                  <w:r w:rsidRPr="00CC5A0F">
                    <w:rPr>
                      <w:bCs/>
                      <w:i/>
                      <w:iCs/>
                    </w:rPr>
                    <w:t>Pa</w:t>
                  </w:r>
                  <w:r>
                    <w:rPr>
                      <w:bCs/>
                      <w:i/>
                      <w:iCs/>
                    </w:rPr>
                    <w:t>čios</w:t>
                  </w:r>
                  <w:r w:rsidRPr="00CC5A0F">
                    <w:rPr>
                      <w:bCs/>
                      <w:i/>
                      <w:iCs/>
                    </w:rPr>
                    <w:t xml:space="preserve"> pagaminta produkcija – įmonės gaminami gaminiai ir (arba) teikiamos paslaugos</w:t>
                  </w:r>
                  <w:r>
                    <w:rPr>
                      <w:bCs/>
                      <w:i/>
                      <w:iCs/>
                    </w:rPr>
                    <w:t>.</w:t>
                  </w:r>
                </w:p>
                <w:p w14:paraId="1C31B210" w14:textId="77777777" w:rsidR="005C2254" w:rsidRPr="00CD64C5" w:rsidRDefault="005C2254" w:rsidP="005C2254">
                  <w:pPr>
                    <w:tabs>
                      <w:tab w:val="left" w:pos="486"/>
                    </w:tabs>
                    <w:jc w:val="both"/>
                    <w:rPr>
                      <w:i/>
                      <w:iCs/>
                    </w:rPr>
                  </w:pPr>
                </w:p>
                <w:p w14:paraId="62450348" w14:textId="3988DFC3" w:rsidR="005C2254" w:rsidRDefault="005C2254" w:rsidP="005C2254">
                  <w:pPr>
                    <w:jc w:val="both"/>
                    <w:rPr>
                      <w:i/>
                      <w:iCs/>
                      <w:szCs w:val="24"/>
                    </w:rPr>
                  </w:pPr>
                  <w:r w:rsidRPr="00CD64C5">
                    <w:rPr>
                      <w:i/>
                      <w:iCs/>
                    </w:rPr>
                    <w:lastRenderedPageBreak/>
                    <w:t>Šis projektų atrankos kriterijus taikomas tik projekto vertinimo metu.</w:t>
                  </w:r>
                </w:p>
              </w:tc>
              <w:tc>
                <w:tcPr>
                  <w:tcW w:w="1701" w:type="dxa"/>
                  <w:tcBorders>
                    <w:top w:val="single" w:sz="6" w:space="0" w:color="000000"/>
                    <w:left w:val="single" w:sz="6" w:space="0" w:color="000000"/>
                    <w:bottom w:val="single" w:sz="6" w:space="0" w:color="000000"/>
                    <w:right w:val="single" w:sz="6" w:space="0" w:color="000000"/>
                  </w:tcBorders>
                </w:tcPr>
                <w:p w14:paraId="0C9BCD82" w14:textId="77777777" w:rsidR="005C2254" w:rsidRDefault="005C2254" w:rsidP="005C2254">
                  <w:pPr>
                    <w:jc w:val="both"/>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50279A5D" w14:textId="77777777" w:rsidR="005C2254" w:rsidRDefault="005C2254" w:rsidP="005C2254">
                  <w:pPr>
                    <w:jc w:val="both"/>
                    <w:rPr>
                      <w:i/>
                      <w:iCs/>
                      <w:szCs w:val="24"/>
                    </w:rPr>
                  </w:pPr>
                </w:p>
              </w:tc>
            </w:tr>
            <w:tr w:rsidR="005C2254" w14:paraId="20CA89B8" w14:textId="77777777" w:rsidTr="005C2254">
              <w:tc>
                <w:tcPr>
                  <w:tcW w:w="701" w:type="dxa"/>
                  <w:tcBorders>
                    <w:top w:val="single" w:sz="6" w:space="0" w:color="000000"/>
                    <w:left w:val="single" w:sz="6" w:space="0" w:color="000000"/>
                    <w:bottom w:val="single" w:sz="6" w:space="0" w:color="000000"/>
                    <w:right w:val="single" w:sz="6" w:space="0" w:color="000000"/>
                  </w:tcBorders>
                </w:tcPr>
                <w:p w14:paraId="0FE4C1B7" w14:textId="0F5853EE" w:rsidR="005C2254" w:rsidRPr="00A938C5" w:rsidRDefault="00E63066" w:rsidP="005C2254">
                  <w:pPr>
                    <w:jc w:val="both"/>
                    <w:rPr>
                      <w:i/>
                      <w:iCs/>
                      <w:szCs w:val="24"/>
                      <w:lang w:val="en-US"/>
                    </w:rPr>
                  </w:pPr>
                  <w:r>
                    <w:rPr>
                      <w:i/>
                      <w:iCs/>
                      <w:szCs w:val="24"/>
                      <w:lang w:val="en-US"/>
                    </w:rPr>
                    <w:lastRenderedPageBreak/>
                    <w:t>3</w:t>
                  </w:r>
                </w:p>
              </w:tc>
              <w:tc>
                <w:tcPr>
                  <w:tcW w:w="1593" w:type="dxa"/>
                  <w:tcBorders>
                    <w:top w:val="single" w:sz="6" w:space="0" w:color="000000"/>
                    <w:left w:val="single" w:sz="6" w:space="0" w:color="000000"/>
                    <w:bottom w:val="single" w:sz="6" w:space="0" w:color="000000"/>
                    <w:right w:val="single" w:sz="6" w:space="0" w:color="000000"/>
                  </w:tcBorders>
                </w:tcPr>
                <w:p w14:paraId="55E8450C" w14:textId="250BA2CA" w:rsidR="005C2254" w:rsidRDefault="005C2254" w:rsidP="005C22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4AADC6B5" w14:textId="4E1F46AC" w:rsidR="005C2254" w:rsidRDefault="005C2254" w:rsidP="005C2254">
                  <w:pPr>
                    <w:jc w:val="both"/>
                    <w:rPr>
                      <w:i/>
                      <w:iCs/>
                      <w:szCs w:val="24"/>
                    </w:rPr>
                  </w:pPr>
                  <w:r w:rsidRPr="00223225">
                    <w:rPr>
                      <w:i/>
                      <w:iCs/>
                      <w:szCs w:val="24"/>
                    </w:rPr>
                    <w:t>Energijos, kurią numatoma gauti iš planuojamų įdiegti atsinaujinančius energijos išteklius naudojančių energijos gamybos pajėgumų, dalis bendrame pareiškėjo energijos sąnaudų balanse.</w:t>
                  </w:r>
                </w:p>
              </w:tc>
              <w:tc>
                <w:tcPr>
                  <w:tcW w:w="5245" w:type="dxa"/>
                  <w:tcBorders>
                    <w:top w:val="single" w:sz="6" w:space="0" w:color="000000"/>
                    <w:left w:val="single" w:sz="6" w:space="0" w:color="000000"/>
                    <w:bottom w:val="single" w:sz="6" w:space="0" w:color="000000"/>
                    <w:right w:val="single" w:sz="6" w:space="0" w:color="000000"/>
                  </w:tcBorders>
                </w:tcPr>
                <w:p w14:paraId="035A886A" w14:textId="0223A345" w:rsidR="00215A64" w:rsidRPr="00215A64" w:rsidRDefault="00215A64" w:rsidP="0050717E">
                  <w:pPr>
                    <w:jc w:val="both"/>
                    <w:rPr>
                      <w:i/>
                      <w:iCs/>
                    </w:rPr>
                  </w:pPr>
                  <w:r w:rsidRPr="00215A64">
                    <w:rPr>
                      <w:i/>
                      <w:iCs/>
                    </w:rPr>
                    <w:t>Vertinama, kokią dalį bendrame pareiškėjo energijos sąnaudų balanse sudarys energija, gaunama iš planuojamų įdiegti atsinaujinančius energijos išteklius naudojančių energijos gamybos pajėgumų. Kuo didesnis šis energijos sąnaudų santykis, tuo didesnis balas skiriamas projektui.</w:t>
                  </w:r>
                </w:p>
                <w:p w14:paraId="432FF032" w14:textId="77777777" w:rsidR="00215A64" w:rsidRPr="00215A64" w:rsidRDefault="00215A64" w:rsidP="0050717E">
                  <w:pPr>
                    <w:jc w:val="both"/>
                    <w:rPr>
                      <w:i/>
                      <w:iCs/>
                    </w:rPr>
                  </w:pPr>
                  <w:r w:rsidRPr="00215A64">
                    <w:rPr>
                      <w:i/>
                      <w:iCs/>
                    </w:rPr>
                    <w:t>Formulė: Y = X</w:t>
                  </w:r>
                  <w:r w:rsidRPr="00215A64">
                    <w:rPr>
                      <w:i/>
                      <w:iCs/>
                      <w:vertAlign w:val="subscript"/>
                    </w:rPr>
                    <w:t>1</w:t>
                  </w:r>
                  <w:r w:rsidRPr="00215A64">
                    <w:rPr>
                      <w:i/>
                      <w:iCs/>
                    </w:rPr>
                    <w:t>/ X</w:t>
                  </w:r>
                  <w:r w:rsidRPr="00215A64">
                    <w:rPr>
                      <w:i/>
                      <w:iCs/>
                      <w:vertAlign w:val="subscript"/>
                    </w:rPr>
                    <w:t>2</w:t>
                  </w:r>
                  <w:r w:rsidRPr="00215A64">
                    <w:rPr>
                      <w:i/>
                      <w:iCs/>
                    </w:rPr>
                    <w:t>, kur</w:t>
                  </w:r>
                </w:p>
                <w:p w14:paraId="211E9604" w14:textId="77777777" w:rsidR="00215A64" w:rsidRPr="00215A64" w:rsidRDefault="00215A64" w:rsidP="0050717E">
                  <w:pPr>
                    <w:jc w:val="both"/>
                    <w:rPr>
                      <w:i/>
                      <w:iCs/>
                    </w:rPr>
                  </w:pPr>
                  <w:r w:rsidRPr="00215A64">
                    <w:rPr>
                      <w:i/>
                      <w:iCs/>
                    </w:rPr>
                    <w:t>X</w:t>
                  </w:r>
                  <w:r w:rsidRPr="00215A64">
                    <w:rPr>
                      <w:i/>
                      <w:iCs/>
                      <w:vertAlign w:val="subscript"/>
                    </w:rPr>
                    <w:t>1</w:t>
                  </w:r>
                  <w:r w:rsidRPr="00215A64">
                    <w:rPr>
                      <w:i/>
                      <w:iCs/>
                    </w:rPr>
                    <w:t xml:space="preserve"> – energija, kurią planuojama gauti įdiegus atsinaujinančius energijos išteklius naudojančius gamybos pajėgumus;</w:t>
                  </w:r>
                </w:p>
                <w:p w14:paraId="2D6DE7DA" w14:textId="77777777" w:rsidR="00215A64" w:rsidRPr="00215A64" w:rsidRDefault="00215A64" w:rsidP="0050717E">
                  <w:pPr>
                    <w:jc w:val="both"/>
                    <w:rPr>
                      <w:i/>
                      <w:iCs/>
                    </w:rPr>
                  </w:pPr>
                  <w:r w:rsidRPr="00215A64">
                    <w:rPr>
                      <w:i/>
                      <w:iCs/>
                    </w:rPr>
                    <w:t>X</w:t>
                  </w:r>
                  <w:r w:rsidRPr="00215A64">
                    <w:rPr>
                      <w:i/>
                      <w:iCs/>
                      <w:vertAlign w:val="subscript"/>
                    </w:rPr>
                    <w:t>2</w:t>
                  </w:r>
                  <w:r w:rsidRPr="00215A64">
                    <w:rPr>
                      <w:i/>
                      <w:iCs/>
                    </w:rPr>
                    <w:t xml:space="preserve"> – bendras pareiškėjo energijos sąnaudų balansas;</w:t>
                  </w:r>
                </w:p>
                <w:p w14:paraId="6C646C36" w14:textId="77777777" w:rsidR="00215A64" w:rsidRPr="00215A64" w:rsidRDefault="00215A64" w:rsidP="0050717E">
                  <w:pPr>
                    <w:widowControl w:val="0"/>
                    <w:jc w:val="both"/>
                    <w:textAlignment w:val="baseline"/>
                  </w:pPr>
                  <w:r w:rsidRPr="00215A64">
                    <w:rPr>
                      <w:i/>
                      <w:iCs/>
                    </w:rPr>
                    <w:t>Y – santykis tarp energijos, kurią planuojama gauti įdiegus atsinaujinančius energijos išteklius naudojančius gamybos pajėgumus ir bendro pareiškėjo energijos sąnaudų balanso</w:t>
                  </w:r>
                  <w:r w:rsidRPr="00215A64">
                    <w:t>.</w:t>
                  </w:r>
                </w:p>
                <w:p w14:paraId="5527440B" w14:textId="63984189" w:rsidR="005C2254" w:rsidRPr="005907F9" w:rsidRDefault="005C2254" w:rsidP="005C2254">
                  <w:pPr>
                    <w:jc w:val="both"/>
                    <w:rPr>
                      <w:i/>
                      <w:iCs/>
                      <w:szCs w:val="24"/>
                      <w:lang w:val="en-US"/>
                    </w:rPr>
                  </w:pPr>
                </w:p>
                <w:p w14:paraId="5E6A322F" w14:textId="77777777" w:rsidR="005C2254" w:rsidRPr="005907F9" w:rsidRDefault="005C2254" w:rsidP="005C2254">
                  <w:pPr>
                    <w:jc w:val="both"/>
                    <w:rPr>
                      <w:i/>
                      <w:iCs/>
                      <w:szCs w:val="24"/>
                      <w:lang w:val="en-US"/>
                    </w:rPr>
                  </w:pPr>
                  <w:r w:rsidRPr="005907F9">
                    <w:rPr>
                      <w:i/>
                      <w:iCs/>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4019244E" w14:textId="5E549F27" w:rsidR="005C2254" w:rsidRPr="005907F9" w:rsidRDefault="005C2254" w:rsidP="005C2254">
                  <w:pPr>
                    <w:jc w:val="both"/>
                    <w:rPr>
                      <w:i/>
                      <w:iCs/>
                      <w:szCs w:val="24"/>
                      <w:lang w:val="en-US"/>
                    </w:rPr>
                  </w:pPr>
                  <w:r w:rsidRPr="005907F9">
                    <w:rPr>
                      <w:i/>
                      <w:iCs/>
                      <w:szCs w:val="24"/>
                    </w:rPr>
                    <w:t> Jeigu pirmieji projektai, pagal kuriuos numatomas vienodas energijos sąnaudų santykis, sudaro daugiau nei 20 proc. projektų, tuomet visiems jiems suteikiami 5 balai. Tokiu atveju 4 balai suteikiami pirmiesiems 20 proc. likusių projektų, 3 balai – kitiems 20 proc. projektų ir t. t.</w:t>
                  </w:r>
                </w:p>
                <w:p w14:paraId="1F928A52" w14:textId="77777777" w:rsidR="005C2254" w:rsidRPr="005907F9" w:rsidRDefault="005C2254" w:rsidP="005C2254">
                  <w:pPr>
                    <w:jc w:val="both"/>
                    <w:rPr>
                      <w:i/>
                      <w:iCs/>
                      <w:szCs w:val="24"/>
                      <w:lang w:val="en-US"/>
                    </w:rPr>
                  </w:pPr>
                  <w:r w:rsidRPr="005907F9">
                    <w:rPr>
                      <w:i/>
                      <w:iCs/>
                      <w:szCs w:val="24"/>
                    </w:rPr>
                    <w:lastRenderedPageBreak/>
                    <w:t> </w:t>
                  </w:r>
                </w:p>
                <w:p w14:paraId="07ACF66F" w14:textId="720B7C74" w:rsidR="005C2254" w:rsidRPr="00A50C77" w:rsidRDefault="005C2254" w:rsidP="005C2254">
                  <w:pPr>
                    <w:jc w:val="both"/>
                    <w:rPr>
                      <w:i/>
                      <w:iCs/>
                      <w:szCs w:val="24"/>
                      <w:lang w:val="en-US"/>
                    </w:rPr>
                  </w:pPr>
                  <w:r w:rsidRPr="005907F9">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left w:val="single" w:sz="6" w:space="0" w:color="000000"/>
                    <w:bottom w:val="single" w:sz="6" w:space="0" w:color="000000"/>
                    <w:right w:val="single" w:sz="6" w:space="0" w:color="000000"/>
                  </w:tcBorders>
                </w:tcPr>
                <w:p w14:paraId="1176AA4A" w14:textId="3A4132C3" w:rsidR="005C2254" w:rsidRDefault="00F1133A" w:rsidP="00F1133A">
                  <w:pPr>
                    <w:jc w:val="center"/>
                    <w:rPr>
                      <w:i/>
                      <w:iCs/>
                      <w:szCs w:val="24"/>
                    </w:rPr>
                  </w:pPr>
                  <w:r>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106F8192" w14:textId="64DF74C3" w:rsidR="005C2254" w:rsidRDefault="00F1133A" w:rsidP="00F1133A">
                  <w:pPr>
                    <w:jc w:val="center"/>
                    <w:rPr>
                      <w:i/>
                      <w:iCs/>
                      <w:szCs w:val="24"/>
                    </w:rPr>
                  </w:pPr>
                  <w:r>
                    <w:rPr>
                      <w:i/>
                      <w:iCs/>
                      <w:szCs w:val="24"/>
                    </w:rPr>
                    <w:t>12</w:t>
                  </w:r>
                </w:p>
              </w:tc>
            </w:tr>
            <w:tr w:rsidR="005C2254" w14:paraId="23DEC2B0" w14:textId="77777777" w:rsidTr="005C2254">
              <w:tc>
                <w:tcPr>
                  <w:tcW w:w="701" w:type="dxa"/>
                  <w:tcBorders>
                    <w:top w:val="single" w:sz="6" w:space="0" w:color="000000"/>
                    <w:left w:val="single" w:sz="6" w:space="0" w:color="000000"/>
                    <w:bottom w:val="single" w:sz="6" w:space="0" w:color="000000"/>
                    <w:right w:val="single" w:sz="6" w:space="0" w:color="000000"/>
                  </w:tcBorders>
                </w:tcPr>
                <w:p w14:paraId="04286F5A" w14:textId="59C32AC1" w:rsidR="005C2254" w:rsidRDefault="00E63066" w:rsidP="005C2254">
                  <w:pPr>
                    <w:jc w:val="both"/>
                    <w:rPr>
                      <w:i/>
                      <w:iCs/>
                      <w:szCs w:val="24"/>
                    </w:rPr>
                  </w:pPr>
                  <w:r>
                    <w:rPr>
                      <w:i/>
                      <w:iCs/>
                      <w:szCs w:val="24"/>
                    </w:rPr>
                    <w:t>4</w:t>
                  </w:r>
                </w:p>
              </w:tc>
              <w:tc>
                <w:tcPr>
                  <w:tcW w:w="1593" w:type="dxa"/>
                  <w:tcBorders>
                    <w:top w:val="single" w:sz="6" w:space="0" w:color="000000"/>
                    <w:left w:val="single" w:sz="6" w:space="0" w:color="000000"/>
                    <w:bottom w:val="single" w:sz="6" w:space="0" w:color="000000"/>
                    <w:right w:val="single" w:sz="6" w:space="0" w:color="000000"/>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446C0C09" w14:textId="425BBEA1" w:rsidR="005C2254" w:rsidRDefault="005C2254" w:rsidP="005C2254">
                  <w:pPr>
                    <w:jc w:val="both"/>
                    <w:rPr>
                      <w:i/>
                      <w:iCs/>
                      <w:szCs w:val="24"/>
                    </w:rPr>
                  </w:pPr>
                  <w:r w:rsidRPr="0071077A">
                    <w:rPr>
                      <w:i/>
                      <w:iCs/>
                      <w:szCs w:val="24"/>
                    </w:rPr>
                    <w:t>Projekto efektyvumas</w:t>
                  </w:r>
                </w:p>
              </w:tc>
              <w:tc>
                <w:tcPr>
                  <w:tcW w:w="5245" w:type="dxa"/>
                  <w:tcBorders>
                    <w:top w:val="single" w:sz="6" w:space="0" w:color="000000"/>
                    <w:left w:val="single" w:sz="6" w:space="0" w:color="000000"/>
                    <w:bottom w:val="single" w:sz="6" w:space="0" w:color="000000"/>
                    <w:right w:val="single" w:sz="6" w:space="0" w:color="000000"/>
                  </w:tcBorders>
                </w:tcPr>
                <w:p w14:paraId="4307882E" w14:textId="77777777" w:rsidR="00C02666" w:rsidRPr="00C02666" w:rsidRDefault="00C02666" w:rsidP="004C2F19">
                  <w:pPr>
                    <w:widowControl w:val="0"/>
                    <w:jc w:val="both"/>
                    <w:textAlignment w:val="baseline"/>
                    <w:rPr>
                      <w:bCs/>
                      <w:i/>
                      <w:iCs/>
                    </w:rPr>
                  </w:pPr>
                  <w:r w:rsidRPr="00C02666">
                    <w:rPr>
                      <w:bCs/>
                      <w:i/>
                      <w:iCs/>
                    </w:rPr>
                    <w:t>Vertinamas santykis tarp pareiškėjo planuojamų atsinaujinančių energijos išteklių gamybos pajėgumų ir prašomos finansavimo sumos.</w:t>
                  </w:r>
                </w:p>
                <w:p w14:paraId="13001B77" w14:textId="77777777" w:rsidR="00C02666" w:rsidRPr="00C02666" w:rsidRDefault="00C02666" w:rsidP="004C2F19">
                  <w:pPr>
                    <w:jc w:val="both"/>
                    <w:rPr>
                      <w:i/>
                      <w:iCs/>
                    </w:rPr>
                  </w:pPr>
                  <w:r w:rsidRPr="00C02666">
                    <w:rPr>
                      <w:i/>
                      <w:iCs/>
                    </w:rPr>
                    <w:t>Formulė: Y = X</w:t>
                  </w:r>
                  <w:r w:rsidRPr="00C02666">
                    <w:rPr>
                      <w:i/>
                      <w:iCs/>
                      <w:vertAlign w:val="subscript"/>
                    </w:rPr>
                    <w:t>1</w:t>
                  </w:r>
                  <w:r w:rsidRPr="00C02666">
                    <w:rPr>
                      <w:i/>
                      <w:iCs/>
                    </w:rPr>
                    <w:t>/ X</w:t>
                  </w:r>
                  <w:r w:rsidRPr="00C02666">
                    <w:rPr>
                      <w:i/>
                      <w:iCs/>
                      <w:vertAlign w:val="subscript"/>
                    </w:rPr>
                    <w:t>2</w:t>
                  </w:r>
                  <w:r w:rsidRPr="00C02666">
                    <w:rPr>
                      <w:i/>
                      <w:iCs/>
                    </w:rPr>
                    <w:t>, kur</w:t>
                  </w:r>
                </w:p>
                <w:p w14:paraId="062A540A" w14:textId="77777777" w:rsidR="00C02666" w:rsidRPr="00C02666" w:rsidRDefault="00C02666" w:rsidP="004C2F19">
                  <w:pPr>
                    <w:jc w:val="both"/>
                    <w:rPr>
                      <w:i/>
                      <w:iCs/>
                    </w:rPr>
                  </w:pPr>
                  <w:r w:rsidRPr="00C02666">
                    <w:rPr>
                      <w:i/>
                      <w:iCs/>
                    </w:rPr>
                    <w:t>X</w:t>
                  </w:r>
                  <w:r w:rsidRPr="00C02666">
                    <w:rPr>
                      <w:i/>
                      <w:iCs/>
                      <w:vertAlign w:val="subscript"/>
                    </w:rPr>
                    <w:t>1</w:t>
                  </w:r>
                  <w:r w:rsidRPr="00C02666">
                    <w:rPr>
                      <w:i/>
                      <w:iCs/>
                    </w:rPr>
                    <w:t xml:space="preserve"> –</w:t>
                  </w:r>
                  <w:r w:rsidRPr="00C02666">
                    <w:rPr>
                      <w:bCs/>
                      <w:i/>
                      <w:iCs/>
                      <w:lang w:eastAsia="lt-LT"/>
                    </w:rPr>
                    <w:t xml:space="preserve"> </w:t>
                  </w:r>
                  <w:r w:rsidRPr="00C02666">
                    <w:rPr>
                      <w:bCs/>
                      <w:i/>
                      <w:iCs/>
                    </w:rPr>
                    <w:t>pareiškėjo planuojamų atsinaujinančių energijos išteklių gamybos pajėgumai kW;</w:t>
                  </w:r>
                </w:p>
                <w:p w14:paraId="20E6B2C4" w14:textId="77777777" w:rsidR="00C02666" w:rsidRPr="00C02666" w:rsidRDefault="00C02666" w:rsidP="004C2F19">
                  <w:pPr>
                    <w:jc w:val="both"/>
                    <w:rPr>
                      <w:i/>
                      <w:iCs/>
                    </w:rPr>
                  </w:pPr>
                  <w:r w:rsidRPr="00C02666">
                    <w:rPr>
                      <w:i/>
                      <w:iCs/>
                    </w:rPr>
                    <w:t>X</w:t>
                  </w:r>
                  <w:r w:rsidRPr="00C02666">
                    <w:rPr>
                      <w:i/>
                      <w:iCs/>
                      <w:vertAlign w:val="subscript"/>
                    </w:rPr>
                    <w:t>2</w:t>
                  </w:r>
                  <w:r w:rsidRPr="00C02666">
                    <w:rPr>
                      <w:i/>
                      <w:iCs/>
                    </w:rPr>
                    <w:t xml:space="preserve"> – </w:t>
                  </w:r>
                  <w:r w:rsidRPr="00C02666">
                    <w:rPr>
                      <w:bCs/>
                      <w:i/>
                      <w:iCs/>
                      <w:lang w:eastAsia="lt-LT"/>
                    </w:rPr>
                    <w:t xml:space="preserve">pareiškėjo </w:t>
                  </w:r>
                  <w:r w:rsidRPr="00C02666">
                    <w:rPr>
                      <w:bCs/>
                      <w:i/>
                      <w:iCs/>
                    </w:rPr>
                    <w:t>prašoma finansavimo suma Eur;</w:t>
                  </w:r>
                </w:p>
                <w:p w14:paraId="4D64C658" w14:textId="77777777" w:rsidR="00C02666" w:rsidRPr="00C02666" w:rsidRDefault="00C02666" w:rsidP="004C2F19">
                  <w:pPr>
                    <w:jc w:val="both"/>
                    <w:rPr>
                      <w:bCs/>
                      <w:i/>
                      <w:iCs/>
                    </w:rPr>
                  </w:pPr>
                  <w:r w:rsidRPr="00C02666">
                    <w:rPr>
                      <w:i/>
                      <w:iCs/>
                    </w:rPr>
                    <w:t xml:space="preserve">Y – santykis tarp </w:t>
                  </w:r>
                  <w:r w:rsidRPr="00C02666">
                    <w:rPr>
                      <w:bCs/>
                      <w:i/>
                      <w:iCs/>
                    </w:rPr>
                    <w:t>pareiškėjo planuojamų atsinaujinančių išteklių energijos gamybos pajėgumų ir prašomos finansavimo sumos.</w:t>
                  </w:r>
                </w:p>
                <w:p w14:paraId="08E451FF" w14:textId="77777777" w:rsidR="005C2254" w:rsidRDefault="005C2254" w:rsidP="004C2F19">
                  <w:pPr>
                    <w:jc w:val="both"/>
                    <w:rPr>
                      <w:i/>
                      <w:iCs/>
                      <w:szCs w:val="24"/>
                    </w:rPr>
                  </w:pPr>
                </w:p>
                <w:p w14:paraId="466F095F" w14:textId="5D8B22EC" w:rsidR="008D2E51" w:rsidRDefault="000B6D81" w:rsidP="008D2E51">
                  <w:pPr>
                    <w:jc w:val="both"/>
                    <w:rPr>
                      <w:bCs/>
                      <w:i/>
                      <w:iCs/>
                      <w:lang w:eastAsia="lt-LT"/>
                    </w:rPr>
                  </w:pPr>
                  <w:r w:rsidRPr="000B6D81">
                    <w:rPr>
                      <w:bCs/>
                      <w:i/>
                      <w:iCs/>
                      <w:lang w:eastAsia="lt-LT"/>
                    </w:rPr>
                    <w:t>Daugiau balų skiriama projektams, kurių nurodytas santykis yra didesnis</w:t>
                  </w:r>
                </w:p>
                <w:p w14:paraId="3DC797F1" w14:textId="77777777" w:rsidR="000B6D81" w:rsidRPr="008D2E51" w:rsidRDefault="000B6D81" w:rsidP="008D2E51">
                  <w:pPr>
                    <w:jc w:val="both"/>
                    <w:rPr>
                      <w:i/>
                      <w:iCs/>
                      <w:szCs w:val="24"/>
                    </w:rPr>
                  </w:pPr>
                </w:p>
                <w:p w14:paraId="2CC76385" w14:textId="77777777" w:rsidR="008D2E51" w:rsidRPr="008D2E51" w:rsidRDefault="008D2E51" w:rsidP="008D2E51">
                  <w:pPr>
                    <w:jc w:val="both"/>
                    <w:rPr>
                      <w:i/>
                      <w:iCs/>
                      <w:szCs w:val="24"/>
                    </w:rPr>
                  </w:pPr>
                  <w:r w:rsidRPr="008D2E51">
                    <w:rPr>
                      <w:i/>
                      <w:iCs/>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7841AF44" w14:textId="77777777" w:rsidR="008D2E51" w:rsidRPr="008D2E51" w:rsidRDefault="008D2E51" w:rsidP="008D2E51">
                  <w:pPr>
                    <w:jc w:val="both"/>
                    <w:rPr>
                      <w:i/>
                      <w:iCs/>
                      <w:szCs w:val="24"/>
                    </w:rPr>
                  </w:pPr>
                  <w:r w:rsidRPr="008D2E51">
                    <w:rPr>
                      <w:i/>
                      <w:iCs/>
                      <w:szCs w:val="24"/>
                    </w:rPr>
                    <w:t xml:space="preserve"> </w:t>
                  </w:r>
                </w:p>
                <w:p w14:paraId="0AEDCEA0" w14:textId="77777777" w:rsidR="008D2E51" w:rsidRPr="008D2E51" w:rsidRDefault="008D2E51" w:rsidP="008D2E51">
                  <w:pPr>
                    <w:jc w:val="both"/>
                    <w:rPr>
                      <w:i/>
                      <w:iCs/>
                      <w:szCs w:val="24"/>
                    </w:rPr>
                  </w:pPr>
                  <w:r w:rsidRPr="008D2E51">
                    <w:rPr>
                      <w:i/>
                      <w:iCs/>
                      <w:szCs w:val="24"/>
                    </w:rPr>
                    <w:t xml:space="preserve">Jeigu pirmieji projektai, pagal  kuriuos numatomas vienodas energijos sąnaudų santykis, sudaro daugiau nei 20 proc. projektų, tuomet visiems jiems suteikiami 5 balai. Tokiu atveju 4 balai suteikiami </w:t>
                  </w:r>
                  <w:r w:rsidRPr="008D2E51">
                    <w:rPr>
                      <w:i/>
                      <w:iCs/>
                      <w:szCs w:val="24"/>
                    </w:rPr>
                    <w:lastRenderedPageBreak/>
                    <w:t>pirmiesiems 20 proc. likusių projektų, 3 balai – kitiems 20 proc. projektų ir t. t.</w:t>
                  </w:r>
                </w:p>
                <w:p w14:paraId="601C7A9C" w14:textId="77777777" w:rsidR="008D2E51" w:rsidRPr="008D2E51" w:rsidRDefault="008D2E51" w:rsidP="008D2E51">
                  <w:pPr>
                    <w:jc w:val="both"/>
                    <w:rPr>
                      <w:i/>
                      <w:iCs/>
                      <w:szCs w:val="24"/>
                    </w:rPr>
                  </w:pPr>
                  <w:r w:rsidRPr="008D2E51">
                    <w:rPr>
                      <w:i/>
                      <w:iCs/>
                      <w:szCs w:val="24"/>
                    </w:rPr>
                    <w:t xml:space="preserve"> </w:t>
                  </w:r>
                </w:p>
                <w:p w14:paraId="0016A00C" w14:textId="69B63DD6" w:rsidR="008D2E51" w:rsidRPr="004E0F9F" w:rsidRDefault="008D2E51" w:rsidP="005C2254">
                  <w:pPr>
                    <w:jc w:val="both"/>
                    <w:rPr>
                      <w:i/>
                      <w:iCs/>
                      <w:szCs w:val="24"/>
                      <w:lang w:val="en-US"/>
                    </w:rPr>
                  </w:pPr>
                  <w:r w:rsidRPr="008D2E51">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left w:val="single" w:sz="6" w:space="0" w:color="000000"/>
                    <w:bottom w:val="single" w:sz="6" w:space="0" w:color="000000"/>
                    <w:right w:val="single" w:sz="6" w:space="0" w:color="000000"/>
                  </w:tcBorders>
                </w:tcPr>
                <w:p w14:paraId="7F06999D" w14:textId="6B8F3EC5" w:rsidR="005C2254" w:rsidRDefault="00F1133A" w:rsidP="00F1133A">
                  <w:pPr>
                    <w:jc w:val="center"/>
                    <w:rPr>
                      <w:i/>
                      <w:iCs/>
                      <w:szCs w:val="24"/>
                    </w:rPr>
                  </w:pPr>
                  <w:r>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3B401126" w14:textId="7167F4EA" w:rsidR="005C2254" w:rsidRDefault="00F1133A" w:rsidP="00F1133A">
                  <w:pPr>
                    <w:jc w:val="center"/>
                    <w:rPr>
                      <w:i/>
                      <w:iCs/>
                      <w:szCs w:val="24"/>
                    </w:rPr>
                  </w:pPr>
                  <w:r>
                    <w:rPr>
                      <w:i/>
                      <w:iCs/>
                      <w:szCs w:val="24"/>
                    </w:rPr>
                    <w:t>6</w:t>
                  </w:r>
                </w:p>
              </w:tc>
            </w:tr>
            <w:tr w:rsidR="005C2254" w14:paraId="045D95EA" w14:textId="77777777" w:rsidTr="005C2254">
              <w:tc>
                <w:tcPr>
                  <w:tcW w:w="701" w:type="dxa"/>
                  <w:tcBorders>
                    <w:top w:val="single" w:sz="6" w:space="0" w:color="000000"/>
                    <w:left w:val="single" w:sz="6" w:space="0" w:color="000000"/>
                    <w:bottom w:val="single" w:sz="6" w:space="0" w:color="000000"/>
                    <w:right w:val="single" w:sz="6" w:space="0" w:color="000000"/>
                  </w:tcBorders>
                </w:tcPr>
                <w:p w14:paraId="3F4BB71A" w14:textId="128F30AE" w:rsidR="005C2254" w:rsidRDefault="00E63066" w:rsidP="005C2254">
                  <w:pPr>
                    <w:jc w:val="both"/>
                    <w:rPr>
                      <w:i/>
                      <w:iCs/>
                      <w:szCs w:val="24"/>
                    </w:rPr>
                  </w:pPr>
                  <w:r>
                    <w:rPr>
                      <w:i/>
                      <w:iCs/>
                      <w:szCs w:val="24"/>
                    </w:rPr>
                    <w:t>5</w:t>
                  </w:r>
                </w:p>
              </w:tc>
              <w:tc>
                <w:tcPr>
                  <w:tcW w:w="1593" w:type="dxa"/>
                  <w:tcBorders>
                    <w:top w:val="single" w:sz="6" w:space="0" w:color="000000"/>
                    <w:left w:val="single" w:sz="6" w:space="0" w:color="000000"/>
                    <w:bottom w:val="single" w:sz="6" w:space="0" w:color="000000"/>
                    <w:right w:val="single" w:sz="6" w:space="0" w:color="000000"/>
                  </w:tcBorders>
                </w:tcPr>
                <w:p w14:paraId="56BC2886" w14:textId="1815F737" w:rsidR="005C2254" w:rsidRDefault="005C2254" w:rsidP="005C22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0B6B92D8" w14:textId="0275446C" w:rsidR="005C2254" w:rsidRPr="000F380F" w:rsidRDefault="005C2254" w:rsidP="005C2254">
                  <w:pPr>
                    <w:jc w:val="both"/>
                    <w:rPr>
                      <w:bCs/>
                      <w:i/>
                      <w:iCs/>
                      <w:szCs w:val="24"/>
                    </w:rPr>
                  </w:pPr>
                  <w:r w:rsidRPr="000F380F">
                    <w:rPr>
                      <w:bCs/>
                      <w:i/>
                      <w:iCs/>
                    </w:rPr>
                    <w:t>Pareiškėjai yra pramonės įmonės, kurios dar neturi įdiegtų atsinaujinančių energijos išteklių pajėgumų</w:t>
                  </w:r>
                </w:p>
              </w:tc>
              <w:tc>
                <w:tcPr>
                  <w:tcW w:w="5245" w:type="dxa"/>
                  <w:tcBorders>
                    <w:top w:val="single" w:sz="6" w:space="0" w:color="000000"/>
                    <w:left w:val="single" w:sz="6" w:space="0" w:color="000000"/>
                    <w:bottom w:val="single" w:sz="6" w:space="0" w:color="000000"/>
                    <w:right w:val="single" w:sz="6" w:space="0" w:color="000000"/>
                  </w:tcBorders>
                </w:tcPr>
                <w:p w14:paraId="38ED2D1B" w14:textId="4BE412C2" w:rsidR="005C2254" w:rsidRPr="004E0F9F" w:rsidRDefault="005C2254" w:rsidP="004E0F9F">
                  <w:pPr>
                    <w:widowControl w:val="0"/>
                    <w:jc w:val="both"/>
                    <w:textAlignment w:val="baseline"/>
                    <w:rPr>
                      <w:bCs/>
                      <w:i/>
                      <w:iCs/>
                      <w:lang w:eastAsia="lt-LT"/>
                    </w:rPr>
                  </w:pPr>
                  <w:r w:rsidRPr="0094023F">
                    <w:rPr>
                      <w:bCs/>
                      <w:i/>
                      <w:szCs w:val="24"/>
                      <w:lang w:eastAsia="lt-LT"/>
                    </w:rPr>
                    <w:t xml:space="preserve">Vertinama ar pareiškėjas iš viso dar neturi įdiegtų atsinaujinančių energijos išteklių </w:t>
                  </w:r>
                  <w:r w:rsidRPr="0094023F">
                    <w:rPr>
                      <w:bCs/>
                      <w:i/>
                      <w:iCs/>
                    </w:rPr>
                    <w:t xml:space="preserve">pajėgumų. </w:t>
                  </w:r>
                  <w:r w:rsidR="00FD0F67">
                    <w:rPr>
                      <w:bCs/>
                      <w:i/>
                      <w:iCs/>
                      <w:lang w:val="en-US"/>
                    </w:rPr>
                    <w:t>5</w:t>
                  </w:r>
                  <w:r w:rsidR="00FD0F67">
                    <w:rPr>
                      <w:bCs/>
                      <w:i/>
                      <w:iCs/>
                    </w:rPr>
                    <w:t xml:space="preserve"> balai </w:t>
                  </w:r>
                  <w:r w:rsidR="00FD0F67">
                    <w:rPr>
                      <w:bCs/>
                      <w:i/>
                      <w:iCs/>
                      <w:lang w:eastAsia="lt-LT"/>
                    </w:rPr>
                    <w:t xml:space="preserve">skiriami </w:t>
                  </w:r>
                  <w:r w:rsidRPr="0094023F">
                    <w:rPr>
                      <w:bCs/>
                      <w:i/>
                      <w:iCs/>
                      <w:lang w:eastAsia="lt-LT"/>
                    </w:rPr>
                    <w:t>pareiškėja</w:t>
                  </w:r>
                  <w:r w:rsidR="00FD0F67">
                    <w:rPr>
                      <w:bCs/>
                      <w:i/>
                      <w:iCs/>
                      <w:lang w:eastAsia="lt-LT"/>
                    </w:rPr>
                    <w:t>ms</w:t>
                  </w:r>
                  <w:r w:rsidRPr="0094023F">
                    <w:rPr>
                      <w:bCs/>
                      <w:i/>
                      <w:iCs/>
                      <w:lang w:eastAsia="lt-LT"/>
                    </w:rPr>
                    <w:t xml:space="preserve">, kurie iki PĮP pateikimo dar neturi įsidiegę jokių </w:t>
                  </w:r>
                  <w:r w:rsidRPr="0094023F">
                    <w:rPr>
                      <w:bCs/>
                      <w:i/>
                      <w:szCs w:val="24"/>
                      <w:lang w:eastAsia="lt-LT"/>
                    </w:rPr>
                    <w:t xml:space="preserve">atsinaujinančių energijos </w:t>
                  </w:r>
                  <w:r w:rsidRPr="0094023F">
                    <w:rPr>
                      <w:bCs/>
                      <w:i/>
                      <w:iCs/>
                      <w:lang w:eastAsia="lt-LT"/>
                    </w:rPr>
                    <w:t>išteklių pajėgumų. Priešingu atveju suteik</w:t>
                  </w:r>
                  <w:r w:rsidR="00FD0F67">
                    <w:rPr>
                      <w:bCs/>
                      <w:i/>
                      <w:iCs/>
                      <w:lang w:eastAsia="lt-LT"/>
                    </w:rPr>
                    <w:t>iama</w:t>
                  </w:r>
                  <w:r w:rsidRPr="0094023F">
                    <w:rPr>
                      <w:bCs/>
                      <w:i/>
                      <w:iCs/>
                      <w:lang w:eastAsia="lt-LT"/>
                    </w:rPr>
                    <w:t xml:space="preserve"> </w:t>
                  </w:r>
                  <w:r w:rsidR="00FD0F67">
                    <w:rPr>
                      <w:bCs/>
                      <w:i/>
                      <w:iCs/>
                      <w:lang w:eastAsia="lt-LT"/>
                    </w:rPr>
                    <w:t>0</w:t>
                  </w:r>
                  <w:r w:rsidRPr="0094023F">
                    <w:rPr>
                      <w:bCs/>
                      <w:i/>
                      <w:iCs/>
                      <w:lang w:eastAsia="lt-LT"/>
                    </w:rPr>
                    <w:t xml:space="preserve"> balų.</w:t>
                  </w:r>
                </w:p>
              </w:tc>
              <w:tc>
                <w:tcPr>
                  <w:tcW w:w="1701" w:type="dxa"/>
                  <w:tcBorders>
                    <w:top w:val="single" w:sz="6" w:space="0" w:color="000000"/>
                    <w:left w:val="single" w:sz="6" w:space="0" w:color="000000"/>
                    <w:bottom w:val="single" w:sz="6" w:space="0" w:color="000000"/>
                    <w:right w:val="single" w:sz="6" w:space="0" w:color="000000"/>
                  </w:tcBorders>
                </w:tcPr>
                <w:p w14:paraId="7DE826F8" w14:textId="01A854E3" w:rsidR="005C2254" w:rsidRDefault="00136EA7" w:rsidP="00F1133A">
                  <w:pPr>
                    <w:jc w:val="center"/>
                    <w:rPr>
                      <w:i/>
                      <w:iCs/>
                      <w:szCs w:val="24"/>
                    </w:rPr>
                  </w:pPr>
                  <w:r>
                    <w:rPr>
                      <w:i/>
                      <w:iCs/>
                      <w:szCs w:val="24"/>
                    </w:rPr>
                    <w:t>5</w:t>
                  </w:r>
                </w:p>
              </w:tc>
              <w:tc>
                <w:tcPr>
                  <w:tcW w:w="1809" w:type="dxa"/>
                  <w:tcBorders>
                    <w:top w:val="single" w:sz="6" w:space="0" w:color="000000"/>
                    <w:left w:val="single" w:sz="6" w:space="0" w:color="000000"/>
                    <w:bottom w:val="single" w:sz="6" w:space="0" w:color="000000"/>
                    <w:right w:val="single" w:sz="6" w:space="0" w:color="000000"/>
                  </w:tcBorders>
                </w:tcPr>
                <w:p w14:paraId="4E2BE0D8" w14:textId="31CD4B14" w:rsidR="005C2254" w:rsidRDefault="00136EA7" w:rsidP="00136EA7">
                  <w:pPr>
                    <w:jc w:val="center"/>
                    <w:rPr>
                      <w:i/>
                      <w:iCs/>
                      <w:szCs w:val="24"/>
                    </w:rPr>
                  </w:pPr>
                  <w:r>
                    <w:rPr>
                      <w:i/>
                      <w:iCs/>
                      <w:szCs w:val="24"/>
                    </w:rPr>
                    <w:t>2</w:t>
                  </w:r>
                </w:p>
              </w:tc>
            </w:tr>
            <w:tr w:rsidR="00766754" w14:paraId="6AAF8E36" w14:textId="77777777" w:rsidTr="00DE18B4">
              <w:tc>
                <w:tcPr>
                  <w:tcW w:w="10941" w:type="dxa"/>
                  <w:gridSpan w:val="4"/>
                  <w:tcBorders>
                    <w:top w:val="single" w:sz="6" w:space="0" w:color="000000"/>
                    <w:left w:val="single" w:sz="6" w:space="0" w:color="000000"/>
                    <w:bottom w:val="single" w:sz="6" w:space="0" w:color="000000"/>
                    <w:right w:val="single" w:sz="6" w:space="0" w:color="000000"/>
                  </w:tcBorders>
                </w:tcPr>
                <w:p w14:paraId="727FB5B9" w14:textId="2D514505" w:rsidR="00766754" w:rsidRPr="0094023F" w:rsidRDefault="00766754" w:rsidP="00766754">
                  <w:pPr>
                    <w:widowControl w:val="0"/>
                    <w:jc w:val="both"/>
                    <w:textAlignment w:val="baseline"/>
                    <w:rPr>
                      <w:bCs/>
                      <w:i/>
                      <w:szCs w:val="24"/>
                      <w:lang w:eastAsia="lt-LT"/>
                    </w:rPr>
                  </w:pPr>
                  <w:r w:rsidRPr="00363309">
                    <w:rPr>
                      <w:color w:val="000000"/>
                      <w:szCs w:val="24"/>
                    </w:rPr>
                    <w:t>Minimali privaloma surinkti balų suma</w:t>
                  </w:r>
                  <w:r>
                    <w:rPr>
                      <w:color w:val="000000"/>
                      <w:szCs w:val="24"/>
                    </w:rPr>
                    <w:t xml:space="preserve"> – </w:t>
                  </w:r>
                  <w:r w:rsidR="005E2009">
                    <w:rPr>
                      <w:color w:val="000000"/>
                      <w:szCs w:val="24"/>
                    </w:rPr>
                    <w:t>50</w:t>
                  </w:r>
                  <w:r w:rsidRPr="009970D6">
                    <w:rPr>
                      <w:i/>
                      <w:iCs/>
                      <w:color w:val="000000"/>
                      <w:szCs w:val="24"/>
                    </w:rPr>
                    <w:t xml:space="preserve"> </w:t>
                  </w:r>
                  <w:r w:rsidRPr="00513BD1">
                    <w:rPr>
                      <w:color w:val="000000"/>
                      <w:szCs w:val="24"/>
                    </w:rPr>
                    <w:t>bal</w:t>
                  </w:r>
                  <w:r w:rsidR="00D34509">
                    <w:rPr>
                      <w:color w:val="000000"/>
                      <w:szCs w:val="24"/>
                    </w:rPr>
                    <w:t>ų</w:t>
                  </w:r>
                </w:p>
              </w:tc>
              <w:tc>
                <w:tcPr>
                  <w:tcW w:w="1701" w:type="dxa"/>
                  <w:tcBorders>
                    <w:top w:val="single" w:sz="6" w:space="0" w:color="000000"/>
                    <w:left w:val="single" w:sz="6" w:space="0" w:color="000000"/>
                    <w:bottom w:val="single" w:sz="6" w:space="0" w:color="000000"/>
                    <w:right w:val="single" w:sz="6" w:space="0" w:color="000000"/>
                  </w:tcBorders>
                </w:tcPr>
                <w:p w14:paraId="286B722B" w14:textId="77777777" w:rsidR="00766754" w:rsidRDefault="00766754" w:rsidP="00766754">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3D07AE1E" w14:textId="77777777" w:rsidR="00766754" w:rsidRDefault="00766754" w:rsidP="00766754">
                  <w:pPr>
                    <w:jc w:val="center"/>
                    <w:rPr>
                      <w:i/>
                      <w:iCs/>
                      <w:szCs w:val="24"/>
                    </w:rPr>
                  </w:pPr>
                </w:p>
              </w:tc>
            </w:tr>
            <w:tr w:rsidR="00766754" w14:paraId="7A0C43C7" w14:textId="77777777" w:rsidTr="00DE18B4">
              <w:tc>
                <w:tcPr>
                  <w:tcW w:w="10941" w:type="dxa"/>
                  <w:gridSpan w:val="4"/>
                  <w:tcBorders>
                    <w:top w:val="single" w:sz="6" w:space="0" w:color="000000"/>
                    <w:left w:val="single" w:sz="6" w:space="0" w:color="000000"/>
                    <w:bottom w:val="single" w:sz="6" w:space="0" w:color="000000"/>
                    <w:right w:val="single" w:sz="6" w:space="0" w:color="000000"/>
                  </w:tcBorders>
                </w:tcPr>
                <w:p w14:paraId="46D1C753" w14:textId="3B62F9E0"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left w:val="single" w:sz="6" w:space="0" w:color="000000"/>
                    <w:bottom w:val="single" w:sz="6" w:space="0" w:color="000000"/>
                    <w:right w:val="single" w:sz="6" w:space="0" w:color="000000"/>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left w:val="single" w:sz="6" w:space="0" w:color="000000"/>
                    <w:bottom w:val="single" w:sz="6" w:space="0" w:color="000000"/>
                    <w:right w:val="single" w:sz="6" w:space="0" w:color="000000"/>
                  </w:tcBorders>
                </w:tcPr>
                <w:p w14:paraId="2A28CB4E" w14:textId="77777777" w:rsidR="00766754" w:rsidRDefault="00766754" w:rsidP="00766754">
                  <w:pPr>
                    <w:jc w:val="center"/>
                    <w:rPr>
                      <w:i/>
                      <w:iCs/>
                      <w:szCs w:val="24"/>
                    </w:rPr>
                  </w:pPr>
                </w:p>
              </w:tc>
            </w:tr>
            <w:tr w:rsidR="00766754" w14:paraId="58A97312" w14:textId="77777777" w:rsidTr="00DE18B4">
              <w:tc>
                <w:tcPr>
                  <w:tcW w:w="10941" w:type="dxa"/>
                  <w:gridSpan w:val="4"/>
                  <w:tcBorders>
                    <w:top w:val="single" w:sz="6" w:space="0" w:color="000000"/>
                    <w:left w:val="single" w:sz="6" w:space="0" w:color="000000"/>
                    <w:bottom w:val="single" w:sz="6" w:space="0" w:color="000000"/>
                    <w:right w:val="single" w:sz="6" w:space="0" w:color="000000"/>
                  </w:tcBorders>
                </w:tcPr>
                <w:p w14:paraId="5F18ECF3" w14:textId="77777777" w:rsidR="00766754" w:rsidRDefault="00766754" w:rsidP="00766754">
                  <w:pPr>
                    <w:jc w:val="both"/>
                    <w:rPr>
                      <w:color w:val="000000"/>
                      <w:szCs w:val="24"/>
                    </w:rPr>
                  </w:pPr>
                  <w:r>
                    <w:rPr>
                      <w:color w:val="000000"/>
                      <w:szCs w:val="24"/>
                    </w:rPr>
                    <w:t>Balas apskaičiuojamas pagal formulę, kur P – projekto surinktas balų skaičius, Y – kriterijaus gautas vertinimo balas ir S – kriterijui suteiktas svorio koeficientas:</w:t>
                  </w:r>
                </w:p>
                <w:p w14:paraId="39774E61" w14:textId="1E1758FB"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 Y</w:t>
                  </w:r>
                  <w:r w:rsidRPr="0041619D">
                    <w:rPr>
                      <w:color w:val="000000"/>
                      <w:szCs w:val="24"/>
                      <w:vertAlign w:val="subscript"/>
                    </w:rPr>
                    <w:t>3</w:t>
                  </w:r>
                  <w:r w:rsidRPr="0041619D">
                    <w:rPr>
                      <w:color w:val="000000"/>
                      <w:szCs w:val="24"/>
                    </w:rPr>
                    <w:t xml:space="preserve"> * S</w:t>
                  </w:r>
                  <w:r w:rsidRPr="0041619D">
                    <w:rPr>
                      <w:color w:val="000000"/>
                      <w:szCs w:val="24"/>
                      <w:vertAlign w:val="subscript"/>
                    </w:rPr>
                    <w:t>3</w:t>
                  </w:r>
                  <w:r w:rsidRPr="0041619D">
                    <w:rPr>
                      <w:color w:val="000000"/>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3106AD17" w14:textId="77777777" w:rsidR="00766754" w:rsidRDefault="00766754" w:rsidP="00766754">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682B1AA1" w14:textId="77777777" w:rsidR="00766754" w:rsidRDefault="00766754" w:rsidP="00766754">
                  <w:pPr>
                    <w:jc w:val="center"/>
                    <w:rPr>
                      <w:i/>
                      <w:iCs/>
                      <w:szCs w:val="24"/>
                    </w:rPr>
                  </w:pPr>
                </w:p>
              </w:tc>
            </w:tr>
            <w:tr w:rsidR="00766754" w14:paraId="1807ED69" w14:textId="77777777" w:rsidTr="00DE18B4">
              <w:tc>
                <w:tcPr>
                  <w:tcW w:w="14451" w:type="dxa"/>
                  <w:gridSpan w:val="6"/>
                  <w:tcBorders>
                    <w:top w:val="single" w:sz="6" w:space="0" w:color="000000"/>
                    <w:left w:val="single" w:sz="6" w:space="0" w:color="000000"/>
                    <w:bottom w:val="single" w:sz="6" w:space="0" w:color="000000"/>
                    <w:right w:val="single" w:sz="6" w:space="0" w:color="000000"/>
                  </w:tcBorders>
                </w:tcPr>
                <w:p w14:paraId="31E42263" w14:textId="64F30A52" w:rsidR="00766754" w:rsidRPr="009970D6" w:rsidRDefault="00B0605C" w:rsidP="009970D6">
                  <w:pPr>
                    <w:jc w:val="both"/>
                    <w:rPr>
                      <w:szCs w:val="24"/>
                    </w:rPr>
                  </w:pPr>
                  <w:r w:rsidRPr="00B0605C">
                    <w:rPr>
                      <w:szCs w:val="24"/>
                    </w:rPr>
                    <w:t xml:space="preserve">Jei projektas vertinimo metu nesurenka Aprašo 6 punkte nurodytos minimalios balų sumos, PĮP atmetamas. </w:t>
                  </w:r>
                  <w:r w:rsidRPr="00CE21A7">
                    <w:rPr>
                      <w:szCs w:val="24"/>
                    </w:rPr>
                    <w:t>Jeigu projektai surenka vienodą galutinį balų skaičių ir kuriems nepakanka kvietimui teikti PĮP skirtos finansavimo lėšų sumos, pirmenybė teikiama projektams, surinkusiems daugiau balų pagal pirmąjį projektų finansavimo sąlygų apraše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r w:rsidRPr="00B0605C">
                    <w:rPr>
                      <w:szCs w:val="24"/>
                    </w:rPr>
                    <w:t xml:space="preserve"> </w:t>
                  </w:r>
                </w:p>
              </w:tc>
            </w:tr>
          </w:tbl>
          <w:p w14:paraId="70D83139" w14:textId="196E6B82" w:rsidR="00AF0322" w:rsidRDefault="00AF0322" w:rsidP="00CE21A7">
            <w:pPr>
              <w:jc w:val="both"/>
              <w:rPr>
                <w:i/>
                <w:sz w:val="22"/>
                <w:szCs w:val="22"/>
              </w:rPr>
            </w:pPr>
          </w:p>
        </w:tc>
      </w:tr>
      <w:tr w:rsidR="009C7DEF" w14:paraId="1A613389" w14:textId="77777777">
        <w:trPr>
          <w:trHeight w:val="309"/>
        </w:trPr>
        <w:tc>
          <w:tcPr>
            <w:tcW w:w="1470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trPr>
          <w:trHeight w:val="2186"/>
        </w:trPr>
        <w:tc>
          <w:tcPr>
            <w:tcW w:w="14709" w:type="dxa"/>
          </w:tcPr>
          <w:p w14:paraId="4727FBB1" w14:textId="0F433A11" w:rsidR="00091801" w:rsidRPr="00091801" w:rsidRDefault="00091801" w:rsidP="009C7DEF">
            <w:pPr>
              <w:jc w:val="both"/>
              <w:rPr>
                <w:iCs/>
                <w:szCs w:val="22"/>
              </w:rPr>
            </w:pPr>
            <w:r>
              <w:rPr>
                <w:iCs/>
                <w:szCs w:val="22"/>
              </w:rPr>
              <w:lastRenderedPageBreak/>
              <w:t>Netaikoma.</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9C7DEF" w14:paraId="6588F25B"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DDF5A28" w14:textId="77777777" w:rsidR="009C7DEF" w:rsidRDefault="009C7DEF" w:rsidP="009C7DEF">
                  <w:pPr>
                    <w:rPr>
                      <w:b/>
                      <w:bCs/>
                      <w:szCs w:val="24"/>
                    </w:rPr>
                  </w:pPr>
                  <w:r>
                    <w:rPr>
                      <w:b/>
                      <w:bCs/>
                      <w:szCs w:val="24"/>
                    </w:rPr>
                    <w:t>Eil.Nr.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C929A42" w14:textId="77777777" w:rsidR="009C7DEF" w:rsidRDefault="009C7DEF" w:rsidP="009C7DEF">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F3494D8" w14:textId="77777777" w:rsidR="009C7DEF" w:rsidRDefault="009C7DEF" w:rsidP="009C7DEF">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F3EE527" w14:textId="77777777" w:rsidR="009C7DEF" w:rsidRDefault="009C7DEF" w:rsidP="009C7DEF">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5AE9FC55" w14:textId="77777777" w:rsidR="009C7DEF" w:rsidRDefault="009C7DEF" w:rsidP="009C7DEF">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5D8229C2" w14:textId="77777777" w:rsidR="009C7DEF" w:rsidRDefault="009C7DEF" w:rsidP="009C7DEF">
                  <w:pPr>
                    <w:jc w:val="center"/>
                    <w:rPr>
                      <w:b/>
                      <w:bCs/>
                      <w:szCs w:val="24"/>
                    </w:rPr>
                  </w:pPr>
                  <w:r>
                    <w:rPr>
                      <w:b/>
                      <w:bCs/>
                      <w:szCs w:val="24"/>
                    </w:rPr>
                    <w:t>Kriterijaus svorio koeficientas</w:t>
                  </w:r>
                </w:p>
              </w:tc>
            </w:tr>
            <w:tr w:rsidR="009C7DEF" w14:paraId="56423B23" w14:textId="77777777">
              <w:tc>
                <w:tcPr>
                  <w:tcW w:w="701" w:type="dxa"/>
                  <w:tcBorders>
                    <w:top w:val="single" w:sz="6" w:space="0" w:color="000000"/>
                    <w:left w:val="single" w:sz="6" w:space="0" w:color="000000"/>
                    <w:bottom w:val="single" w:sz="6" w:space="0" w:color="000000"/>
                    <w:right w:val="single" w:sz="6" w:space="0" w:color="000000"/>
                  </w:tcBorders>
                </w:tcPr>
                <w:p w14:paraId="51C68910" w14:textId="77777777" w:rsidR="009C7DEF" w:rsidRDefault="009C7DEF" w:rsidP="009C7DEF">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48851C41"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599C39A"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6F1CA8D"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4F47ABB"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2154D46" w14:textId="77777777" w:rsidR="009C7DEF" w:rsidRDefault="009C7DEF" w:rsidP="009C7DEF">
                  <w:pPr>
                    <w:jc w:val="both"/>
                    <w:rPr>
                      <w:i/>
                      <w:iCs/>
                      <w:szCs w:val="24"/>
                    </w:rPr>
                  </w:pPr>
                </w:p>
              </w:tc>
            </w:tr>
            <w:tr w:rsidR="009C7DEF" w14:paraId="646191C0" w14:textId="77777777">
              <w:tc>
                <w:tcPr>
                  <w:tcW w:w="701" w:type="dxa"/>
                  <w:tcBorders>
                    <w:top w:val="single" w:sz="6" w:space="0" w:color="000000"/>
                    <w:left w:val="single" w:sz="6" w:space="0" w:color="000000"/>
                    <w:bottom w:val="single" w:sz="6" w:space="0" w:color="000000"/>
                    <w:right w:val="single" w:sz="6" w:space="0" w:color="000000"/>
                  </w:tcBorders>
                </w:tcPr>
                <w:p w14:paraId="45E39D35" w14:textId="77777777" w:rsidR="009C7DEF" w:rsidRDefault="009C7DEF" w:rsidP="009C7DEF">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4812DEE2"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6FD5BC5"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0B65BFA"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EF33D45"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482436E" w14:textId="77777777" w:rsidR="009C7DEF" w:rsidRDefault="009C7DEF" w:rsidP="009C7DEF">
                  <w:pPr>
                    <w:jc w:val="both"/>
                    <w:rPr>
                      <w:i/>
                      <w:iCs/>
                      <w:szCs w:val="24"/>
                    </w:rPr>
                  </w:pPr>
                </w:p>
              </w:tc>
            </w:tr>
            <w:tr w:rsidR="009C7DEF" w14:paraId="793897E9" w14:textId="77777777">
              <w:tc>
                <w:tcPr>
                  <w:tcW w:w="701" w:type="dxa"/>
                  <w:tcBorders>
                    <w:top w:val="single" w:sz="6" w:space="0" w:color="000000"/>
                    <w:left w:val="single" w:sz="6" w:space="0" w:color="000000"/>
                    <w:bottom w:val="single" w:sz="6" w:space="0" w:color="000000"/>
                    <w:right w:val="single" w:sz="6" w:space="0" w:color="000000"/>
                  </w:tcBorders>
                </w:tcPr>
                <w:p w14:paraId="0E2154D6" w14:textId="77777777" w:rsidR="009C7DEF" w:rsidRDefault="009C7DEF" w:rsidP="009C7DEF">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2FC0404E"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7D6FAA67"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FE928DB"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ED121B6"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807403F" w14:textId="77777777" w:rsidR="009C7DEF" w:rsidRDefault="009C7DEF" w:rsidP="009C7DEF">
                  <w:pPr>
                    <w:jc w:val="both"/>
                    <w:rPr>
                      <w:i/>
                      <w:iCs/>
                      <w:szCs w:val="24"/>
                    </w:rPr>
                  </w:pPr>
                </w:p>
              </w:tc>
            </w:tr>
          </w:tbl>
          <w:p w14:paraId="0B28BC7C" w14:textId="1D2E326D" w:rsidR="009C7DEF" w:rsidRDefault="009C7DEF" w:rsidP="009C7DEF">
            <w:pPr>
              <w:jc w:val="both"/>
              <w:rPr>
                <w:i/>
                <w:sz w:val="22"/>
                <w:szCs w:val="22"/>
              </w:rPr>
            </w:pPr>
          </w:p>
        </w:tc>
      </w:tr>
      <w:tr w:rsidR="009C7DEF" w14:paraId="66AF4B46" w14:textId="77777777">
        <w:tc>
          <w:tcPr>
            <w:tcW w:w="1470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tc>
          <w:tcPr>
            <w:tcW w:w="14709" w:type="dxa"/>
          </w:tcPr>
          <w:p w14:paraId="54C354CB" w14:textId="2D07BAFD" w:rsidR="00FA53A0" w:rsidRPr="00FA53A0" w:rsidRDefault="00FA53A0" w:rsidP="00FA53A0">
            <w:pPr>
              <w:rPr>
                <w:szCs w:val="24"/>
              </w:rPr>
            </w:pPr>
            <w:r w:rsidRPr="00FA53A0">
              <w:rPr>
                <w:szCs w:val="24"/>
              </w:rPr>
              <w:t xml:space="preserve">7.1. Projekto vykdytojas, turi užtikrinti investicijų tęstinumą, t. y. projektų, kurių veiklos susijusios su investicijomis į infrastruktūrą, vykdytojai per 5 metus </w:t>
            </w:r>
            <w:r w:rsidR="001E0979">
              <w:rPr>
                <w:szCs w:val="24"/>
              </w:rPr>
              <w:t xml:space="preserve">(kai projekto vykdytojas didelė įmonė) arba per 3 metus (kai projekto vykdytojas </w:t>
            </w:r>
            <w:r w:rsidR="00B04141" w:rsidRPr="00B04141">
              <w:rPr>
                <w:szCs w:val="24"/>
              </w:rPr>
              <w:t>MVĮ</w:t>
            </w:r>
            <w:r w:rsidR="000E4E84" w:rsidRPr="00B04141">
              <w:rPr>
                <w:szCs w:val="24"/>
              </w:rPr>
              <w:t>)</w:t>
            </w:r>
            <w:r w:rsidR="001E0979">
              <w:rPr>
                <w:szCs w:val="24"/>
              </w:rPr>
              <w:t xml:space="preserve"> </w:t>
            </w:r>
            <w:r w:rsidRPr="00FA53A0">
              <w:rPr>
                <w:szCs w:val="24"/>
              </w:rPr>
              <w:t>nuo projekto finansavimo pabaigos arba projektų, kuriems taikomos valstybės pagalbos taisyklės, vykdytojai per valstybės pagalbos taisyklėse nustatytą laikotarpį</w:t>
            </w:r>
            <w:r w:rsidRPr="00E057E6">
              <w:rPr>
                <w:szCs w:val="24"/>
              </w:rPr>
              <w:t>:</w:t>
            </w:r>
          </w:p>
          <w:p w14:paraId="6498CB02" w14:textId="7A02BB31" w:rsidR="00FA53A0" w:rsidRPr="00FA53A0" w:rsidRDefault="00FA53A0" w:rsidP="00E057E6">
            <w:pPr>
              <w:tabs>
                <w:tab w:val="left" w:pos="567"/>
                <w:tab w:val="left" w:pos="993"/>
              </w:tabs>
              <w:ind w:firstLine="426"/>
              <w:rPr>
                <w:szCs w:val="24"/>
              </w:rPr>
            </w:pPr>
            <w:r w:rsidRPr="00FA53A0">
              <w:rPr>
                <w:szCs w:val="24"/>
              </w:rPr>
              <w:t>7.1.1.</w:t>
            </w:r>
            <w:r w:rsidRPr="00FA53A0">
              <w:rPr>
                <w:szCs w:val="24"/>
              </w:rPr>
              <w:tab/>
              <w:t>negali nutraukti gamybinės veiklos arba perkelti jos už Lietuvos ribų</w:t>
            </w:r>
            <w:r w:rsidR="00063ECC">
              <w:rPr>
                <w:szCs w:val="24"/>
              </w:rPr>
              <w:t>;</w:t>
            </w:r>
          </w:p>
          <w:p w14:paraId="54B0EEB5" w14:textId="4C0AFF3B" w:rsidR="00FA53A0" w:rsidRPr="00FA53A0" w:rsidRDefault="00FA53A0" w:rsidP="00E057E6">
            <w:pPr>
              <w:ind w:firstLine="426"/>
              <w:rPr>
                <w:szCs w:val="24"/>
              </w:rPr>
            </w:pPr>
            <w:r w:rsidRPr="00FA53A0">
              <w:rPr>
                <w:szCs w:val="24"/>
              </w:rPr>
              <w:t>7.1.2. negali pakeisti infrastruktūros objekto nuosavybės teisių, jei dėl to įmonė arba viešojo sektoriaus institucija įgytų nederamą pranašumą</w:t>
            </w:r>
            <w:r w:rsidR="00063ECC">
              <w:rPr>
                <w:szCs w:val="24"/>
              </w:rPr>
              <w:t>;</w:t>
            </w:r>
          </w:p>
          <w:p w14:paraId="22C26D92" w14:textId="58ED4B1E" w:rsidR="00FA53A0" w:rsidRPr="00FA53A0" w:rsidRDefault="00FA53A0" w:rsidP="00E057E6">
            <w:pPr>
              <w:tabs>
                <w:tab w:val="left" w:pos="709"/>
                <w:tab w:val="left" w:pos="993"/>
              </w:tabs>
              <w:ind w:firstLine="426"/>
              <w:rPr>
                <w:szCs w:val="24"/>
              </w:rPr>
            </w:pPr>
            <w:r w:rsidRPr="00FA53A0">
              <w:rPr>
                <w:szCs w:val="24"/>
              </w:rPr>
              <w:t>7.1.2.</w:t>
            </w:r>
            <w:r w:rsidRPr="00FA53A0">
              <w:rPr>
                <w:szCs w:val="24"/>
              </w:rPr>
              <w:tab/>
            </w:r>
            <w:r w:rsidR="00E057E6" w:rsidRPr="00E057E6">
              <w:rPr>
                <w:szCs w:val="24"/>
              </w:rPr>
              <w:t xml:space="preserve"> </w:t>
            </w:r>
            <w:r w:rsidRPr="00FA53A0">
              <w:rPr>
                <w:szCs w:val="24"/>
              </w:rPr>
              <w:t>negali iš esmės pakeisti veiklos, kuriai buvo skirtos investicijos, pobūdžio, tikslų arba vykdymo sąlygų, jei tai pakenktų projekto tikslams.</w:t>
            </w:r>
          </w:p>
          <w:p w14:paraId="6DE79B23" w14:textId="79E70A17" w:rsidR="009C7DEF" w:rsidRPr="0063486A" w:rsidRDefault="00FA53A0" w:rsidP="00FA53A0">
            <w:pPr>
              <w:rPr>
                <w:szCs w:val="24"/>
                <w:highlight w:val="yellow"/>
              </w:rPr>
            </w:pPr>
            <w:r w:rsidRPr="00E057E6">
              <w:rPr>
                <w:szCs w:val="24"/>
              </w:rPr>
              <w:t xml:space="preserve">7.2. Jeigu projekto vykdytojas nesilaiko investicijų tęstinumo reikalavimo, nustatyto Aprašo 7.1 </w:t>
            </w:r>
            <w:r w:rsidR="00D56016">
              <w:rPr>
                <w:szCs w:val="24"/>
              </w:rPr>
              <w:t>pa</w:t>
            </w:r>
            <w:r w:rsidRPr="00E057E6">
              <w:rPr>
                <w:szCs w:val="24"/>
              </w:rPr>
              <w:t>punkt</w:t>
            </w:r>
            <w:r w:rsidR="00D56016">
              <w:rPr>
                <w:szCs w:val="24"/>
              </w:rPr>
              <w:t>yje</w:t>
            </w:r>
            <w:r w:rsidRPr="00E057E6">
              <w:rPr>
                <w:szCs w:val="24"/>
              </w:rPr>
              <w:t>, jis turi grąžinti projektui finansuoti išmokėtų lėšų sumą, proporcingą reikalavimo nesilaikymo laikotarpiui.</w:t>
            </w:r>
          </w:p>
        </w:tc>
      </w:tr>
      <w:tr w:rsidR="009C7DEF" w14:paraId="565B4FFF" w14:textId="77777777">
        <w:tc>
          <w:tcPr>
            <w:tcW w:w="14709" w:type="dxa"/>
          </w:tcPr>
          <w:p w14:paraId="10F65D05" w14:textId="77777777" w:rsidR="009C7DEF" w:rsidRDefault="009C7DEF" w:rsidP="009C7DEF">
            <w:pPr>
              <w:rPr>
                <w:szCs w:val="24"/>
              </w:rPr>
            </w:pPr>
            <w:r>
              <w:rPr>
                <w:b/>
                <w:szCs w:val="24"/>
              </w:rPr>
              <w:t>8. Kiti reikalavimai</w:t>
            </w:r>
          </w:p>
        </w:tc>
      </w:tr>
      <w:tr w:rsidR="009C7DEF" w14:paraId="372296D5" w14:textId="77777777">
        <w:tc>
          <w:tcPr>
            <w:tcW w:w="14709" w:type="dxa"/>
          </w:tcPr>
          <w:p w14:paraId="5C2FF6F9" w14:textId="4B124F31" w:rsidR="009C7DEF" w:rsidRPr="0065312E" w:rsidRDefault="00AC77A5" w:rsidP="009C24FC">
            <w:pPr>
              <w:tabs>
                <w:tab w:val="left" w:pos="426"/>
              </w:tabs>
              <w:jc w:val="both"/>
              <w:rPr>
                <w:iCs/>
                <w:szCs w:val="24"/>
              </w:rPr>
            </w:pPr>
            <w:r>
              <w:rPr>
                <w:iCs/>
                <w:szCs w:val="24"/>
              </w:rPr>
              <w:t>8.</w:t>
            </w:r>
            <w:r w:rsidR="002D2DFD">
              <w:rPr>
                <w:iCs/>
                <w:szCs w:val="24"/>
                <w:lang w:val="en-US"/>
              </w:rPr>
              <w:t>1</w:t>
            </w:r>
            <w:r>
              <w:rPr>
                <w:iCs/>
                <w:szCs w:val="24"/>
              </w:rPr>
              <w:t xml:space="preserve">. </w:t>
            </w:r>
            <w:r w:rsidR="0065312E" w:rsidRPr="0065312E">
              <w:rPr>
                <w:iCs/>
                <w:szCs w:val="24"/>
              </w:rPr>
              <w:t xml:space="preserve">Projektų įgyvendinimo priežiūrai sudaromas Projekto (-ų) priežiūros komitetas, kuris stebi projekto įgyvendinimo pažangą ir teikia rekomendacijas projektų vykdytojams dėl projekto įgyvendinimo. Projekto (-ų) priežiūros komitetas sudaromas iš </w:t>
            </w:r>
            <w:r w:rsidR="0065312E">
              <w:rPr>
                <w:iCs/>
                <w:szCs w:val="24"/>
              </w:rPr>
              <w:t>administruojančiosios</w:t>
            </w:r>
            <w:r w:rsidR="0065312E" w:rsidRPr="0065312E">
              <w:rPr>
                <w:iCs/>
                <w:szCs w:val="24"/>
              </w:rPr>
              <w:t xml:space="preserve"> institucijos ir Ministerijos atstovų, į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0065312E" w:rsidRPr="0065312E">
              <w:rPr>
                <w:iCs/>
                <w:szCs w:val="24"/>
              </w:rPr>
              <w:t>. Projekto (-ų) priežiūros komiteto sudėtis tvirtinama Lietuvos Respublikos ekonomikos ir inovacijų ministro įsakymu, o jo veiklos principai nustatomi</w:t>
            </w:r>
            <w:r w:rsidR="0065312E">
              <w:rPr>
                <w:iCs/>
                <w:szCs w:val="24"/>
              </w:rPr>
              <w:t xml:space="preserve"> </w:t>
            </w:r>
            <w:r w:rsidR="0065312E" w:rsidRPr="0065312E">
              <w:rPr>
                <w:iCs/>
                <w:szCs w:val="24"/>
              </w:rPr>
              <w:t>šio komiteto darbo reglamente.</w:t>
            </w:r>
          </w:p>
        </w:tc>
      </w:tr>
      <w:tr w:rsidR="009C7DEF" w14:paraId="5CA1EB55" w14:textId="77777777">
        <w:tc>
          <w:tcPr>
            <w:tcW w:w="14709" w:type="dxa"/>
          </w:tcPr>
          <w:p w14:paraId="45014431" w14:textId="77777777" w:rsidR="009C7DEF" w:rsidRDefault="009C7DEF" w:rsidP="009C7DEF">
            <w:pPr>
              <w:rPr>
                <w:b/>
                <w:szCs w:val="24"/>
              </w:rPr>
            </w:pPr>
            <w:r>
              <w:rPr>
                <w:b/>
                <w:szCs w:val="24"/>
              </w:rPr>
              <w:t>IŠLAIDŲ TINKAMUMO FINANSUOTI REIKALAVIMAI</w:t>
            </w:r>
          </w:p>
        </w:tc>
      </w:tr>
      <w:tr w:rsidR="009C7DEF" w14:paraId="5DBF5E54" w14:textId="77777777">
        <w:tc>
          <w:tcPr>
            <w:tcW w:w="1470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tc>
          <w:tcPr>
            <w:tcW w:w="14709" w:type="dxa"/>
          </w:tcPr>
          <w:p w14:paraId="15D846F2" w14:textId="711108E9" w:rsidR="008150E7" w:rsidRPr="005B78CC" w:rsidRDefault="008150E7" w:rsidP="008150E7">
            <w:pPr>
              <w:jc w:val="both"/>
              <w:rPr>
                <w:szCs w:val="24"/>
              </w:rPr>
            </w:pPr>
            <w:r w:rsidRPr="00D41929">
              <w:rPr>
                <w:szCs w:val="24"/>
              </w:rPr>
              <w:t xml:space="preserve">9.1. Projekto išlaidos turi atitikti </w:t>
            </w:r>
            <w:r w:rsidR="00984CA2" w:rsidRPr="00D41929">
              <w:rPr>
                <w:szCs w:val="24"/>
              </w:rPr>
              <w:t>Projektų administravimo ir finansavimo taisykl</w:t>
            </w:r>
            <w:r w:rsidR="000F1B03" w:rsidRPr="00D41929">
              <w:rPr>
                <w:szCs w:val="24"/>
              </w:rPr>
              <w:t xml:space="preserve">ėse </w:t>
            </w:r>
            <w:r w:rsidRPr="00D41929">
              <w:rPr>
                <w:szCs w:val="24"/>
              </w:rPr>
              <w:t>išdėstytus projekto išlaidoms taikomus reikalavimus.</w:t>
            </w:r>
          </w:p>
          <w:p w14:paraId="554B3D8D" w14:textId="5B58480A" w:rsidR="005C2429" w:rsidRPr="005B78CC" w:rsidRDefault="00D85303" w:rsidP="008150E7">
            <w:pPr>
              <w:tabs>
                <w:tab w:val="left" w:pos="360"/>
              </w:tabs>
              <w:jc w:val="both"/>
              <w:rPr>
                <w:color w:val="000000"/>
                <w:shd w:val="clear" w:color="auto" w:fill="FFFFFF"/>
              </w:rPr>
            </w:pPr>
            <w:r w:rsidRPr="005B78CC">
              <w:rPr>
                <w:szCs w:val="24"/>
              </w:rPr>
              <w:t>9.</w:t>
            </w:r>
            <w:r w:rsidR="005B78CC">
              <w:rPr>
                <w:szCs w:val="24"/>
              </w:rPr>
              <w:t>2</w:t>
            </w:r>
            <w:r w:rsidR="0037713F" w:rsidRPr="005B78CC">
              <w:rPr>
                <w:szCs w:val="24"/>
              </w:rPr>
              <w:t>.</w:t>
            </w:r>
            <w:r w:rsidR="007E5B59" w:rsidRPr="005B78CC">
              <w:rPr>
                <w:szCs w:val="24"/>
              </w:rPr>
              <w:t xml:space="preserve"> Tinkamos finansuoti projekto išlaid</w:t>
            </w:r>
            <w:r w:rsidR="00BE2773" w:rsidRPr="005B78CC">
              <w:rPr>
                <w:szCs w:val="24"/>
              </w:rPr>
              <w:t xml:space="preserve">os pagal </w:t>
            </w:r>
            <w:r w:rsidR="00BE2773" w:rsidRPr="005B78CC">
              <w:rPr>
                <w:color w:val="000000"/>
                <w:shd w:val="clear" w:color="auto" w:fill="FFFFFF"/>
              </w:rPr>
              <w:t>Reglamento (ES) Nr. 651/2014 41 straipsn</w:t>
            </w:r>
            <w:r w:rsidR="004B3111" w:rsidRPr="005B78CC">
              <w:rPr>
                <w:color w:val="000000"/>
                <w:shd w:val="clear" w:color="auto" w:fill="FFFFFF"/>
              </w:rPr>
              <w:t>io 6 dalį</w:t>
            </w:r>
            <w:r w:rsidR="00BE2773" w:rsidRPr="005B78CC">
              <w:rPr>
                <w:color w:val="000000"/>
                <w:shd w:val="clear" w:color="auto" w:fill="FFFFFF"/>
              </w:rPr>
              <w:t xml:space="preserve"> yra laikomos papildomos investicinės (įranga ir įrenginiai) išlaidos, būtinos AEI gamybai skatinti ir apskaičiuojamos </w:t>
            </w:r>
            <w:r w:rsidR="005C2429" w:rsidRPr="005B78CC">
              <w:rPr>
                <w:color w:val="000000"/>
                <w:shd w:val="clear" w:color="auto" w:fill="FFFFFF"/>
              </w:rPr>
              <w:t>taip:</w:t>
            </w:r>
          </w:p>
          <w:p w14:paraId="1CF43C62" w14:textId="5E0FF784" w:rsidR="00764DF5" w:rsidRPr="005B78CC" w:rsidRDefault="00764DF5" w:rsidP="00A82072">
            <w:pPr>
              <w:tabs>
                <w:tab w:val="left" w:pos="360"/>
              </w:tabs>
              <w:ind w:firstLine="426"/>
              <w:jc w:val="both"/>
              <w:rPr>
                <w:color w:val="000000"/>
                <w:shd w:val="clear" w:color="auto" w:fill="FFFFFF"/>
              </w:rPr>
            </w:pPr>
            <w:r w:rsidRPr="005B78CC">
              <w:rPr>
                <w:color w:val="000000"/>
                <w:shd w:val="clear" w:color="auto" w:fill="FFFFFF"/>
              </w:rPr>
              <w:t>9.</w:t>
            </w:r>
            <w:r w:rsidR="005B78CC">
              <w:rPr>
                <w:color w:val="000000"/>
                <w:shd w:val="clear" w:color="auto" w:fill="FFFFFF"/>
              </w:rPr>
              <w:t>2</w:t>
            </w:r>
            <w:r w:rsidRPr="005B78CC">
              <w:rPr>
                <w:color w:val="000000"/>
                <w:shd w:val="clear" w:color="auto" w:fill="FFFFFF"/>
              </w:rPr>
              <w:t xml:space="preserve">.1. </w:t>
            </w:r>
            <w:r w:rsidR="00F4415F" w:rsidRPr="005B78CC">
              <w:rPr>
                <w:color w:val="000000"/>
                <w:shd w:val="clear" w:color="auto" w:fill="FFFFFF"/>
              </w:rPr>
              <w:t>jeigu investicijų į atsinaujinančių išteklių energijos gamybą išlaidų dalį visose investicinėse išlaidose galima lengvai nustatyti kaip atskirą investiciją, pavyzdžiui, kaip jau esamų įrenginių papildomą dalį, ši su atsinaujinančių išteklių energija susijusių išlaidų dalis yra tinkamos finansuoti išlaidos;</w:t>
            </w:r>
          </w:p>
          <w:p w14:paraId="74623D75" w14:textId="05FA00E1" w:rsidR="00764DF5" w:rsidRPr="00D41929" w:rsidRDefault="00764DF5" w:rsidP="00A82072">
            <w:pPr>
              <w:tabs>
                <w:tab w:val="left" w:pos="360"/>
              </w:tabs>
              <w:ind w:firstLine="426"/>
              <w:jc w:val="both"/>
              <w:rPr>
                <w:color w:val="000000"/>
                <w:shd w:val="clear" w:color="auto" w:fill="FFFFFF"/>
              </w:rPr>
            </w:pPr>
            <w:r w:rsidRPr="005B78CC">
              <w:rPr>
                <w:color w:val="000000"/>
                <w:shd w:val="clear" w:color="auto" w:fill="FFFFFF"/>
              </w:rPr>
              <w:lastRenderedPageBreak/>
              <w:t>9.</w:t>
            </w:r>
            <w:r w:rsidR="005B78CC">
              <w:rPr>
                <w:color w:val="000000"/>
                <w:shd w:val="clear" w:color="auto" w:fill="FFFFFF"/>
              </w:rPr>
              <w:t>2</w:t>
            </w:r>
            <w:r w:rsidRPr="005B78CC">
              <w:rPr>
                <w:color w:val="000000"/>
                <w:shd w:val="clear" w:color="auto" w:fill="FFFFFF"/>
              </w:rPr>
              <w:t>.</w:t>
            </w:r>
            <w:r w:rsidR="005B78CC">
              <w:rPr>
                <w:color w:val="000000"/>
                <w:shd w:val="clear" w:color="auto" w:fill="FFFFFF"/>
              </w:rPr>
              <w:t>2.</w:t>
            </w:r>
            <w:r w:rsidRPr="005B78CC">
              <w:rPr>
                <w:color w:val="000000"/>
                <w:shd w:val="clear" w:color="auto" w:fill="FFFFFF"/>
              </w:rPr>
              <w:t xml:space="preserve"> </w:t>
            </w:r>
            <w:r w:rsidR="005B78CC" w:rsidRPr="005B78CC">
              <w:rPr>
                <w:color w:val="000000"/>
                <w:shd w:val="clear" w:color="auto" w:fill="FFFFFF"/>
              </w:rPr>
              <w:t>jeigu investicijų į atsinaujinančių išteklių energijos gamybą išlaidų dalį galima nustatyti lyginant su panašiomis mažiau aplinkai naudingomis investicijomis, kurios, tikėtina, būtų įvykdytos be pagalbos, šis abiejų investicijų išlaidų skirtumas nurodo su atsinaujinančiąja energija susijusias išlaidas ir sudaro tinkamas finansuoti išlaidas;</w:t>
            </w:r>
          </w:p>
          <w:p w14:paraId="203DD42E" w14:textId="30E2693D" w:rsidR="00CC511E" w:rsidRDefault="0037713F" w:rsidP="008150E7">
            <w:pPr>
              <w:tabs>
                <w:tab w:val="left" w:pos="360"/>
              </w:tabs>
              <w:jc w:val="both"/>
              <w:rPr>
                <w:color w:val="000000"/>
                <w:shd w:val="clear" w:color="auto" w:fill="FFFFFF"/>
              </w:rPr>
            </w:pPr>
            <w:r w:rsidRPr="005B78CC">
              <w:rPr>
                <w:szCs w:val="24"/>
              </w:rPr>
              <w:t>9.</w:t>
            </w:r>
            <w:r w:rsidR="00A02186">
              <w:rPr>
                <w:szCs w:val="24"/>
              </w:rPr>
              <w:t>3</w:t>
            </w:r>
            <w:r w:rsidRPr="005B78CC">
              <w:rPr>
                <w:szCs w:val="24"/>
              </w:rPr>
              <w:t xml:space="preserve">. </w:t>
            </w:r>
            <w:r w:rsidR="00EA085E" w:rsidRPr="005B78CC">
              <w:rPr>
                <w:szCs w:val="24"/>
              </w:rPr>
              <w:t xml:space="preserve">Didžiausia galima projekto finansuojamoji dalis pagal įmonės dydį apskaičiuojama pagal </w:t>
            </w:r>
            <w:r w:rsidR="00EA085E" w:rsidRPr="005B78CC">
              <w:rPr>
                <w:color w:val="000000"/>
                <w:shd w:val="clear" w:color="auto" w:fill="FFFFFF"/>
              </w:rPr>
              <w:t xml:space="preserve">Reglamento </w:t>
            </w:r>
            <w:r w:rsidR="00B84BBD" w:rsidRPr="005B78CC">
              <w:rPr>
                <w:color w:val="000000"/>
                <w:shd w:val="clear" w:color="auto" w:fill="FFFFFF"/>
              </w:rPr>
              <w:t xml:space="preserve">(ES) Nr. 651/2014 41 straipsnio </w:t>
            </w:r>
            <w:r w:rsidR="004B3111" w:rsidRPr="005B78CC">
              <w:rPr>
                <w:color w:val="000000"/>
                <w:shd w:val="clear" w:color="auto" w:fill="FFFFFF"/>
              </w:rPr>
              <w:t>7 dalies a punkt</w:t>
            </w:r>
            <w:r w:rsidR="00EA085E" w:rsidRPr="005B78CC">
              <w:rPr>
                <w:color w:val="000000"/>
                <w:shd w:val="clear" w:color="auto" w:fill="FFFFFF"/>
              </w:rPr>
              <w:t>ą</w:t>
            </w:r>
            <w:r w:rsidR="007E4C31" w:rsidRPr="005B78CC">
              <w:rPr>
                <w:color w:val="000000"/>
                <w:shd w:val="clear" w:color="auto" w:fill="FFFFFF"/>
              </w:rPr>
              <w:t xml:space="preserve"> ir 8 dalį</w:t>
            </w:r>
            <w:r w:rsidR="00CC511E">
              <w:rPr>
                <w:color w:val="000000"/>
                <w:shd w:val="clear" w:color="auto" w:fill="FFFFFF"/>
              </w:rPr>
              <w:t>:</w:t>
            </w:r>
          </w:p>
          <w:p w14:paraId="78EC11EA" w14:textId="63958A1C" w:rsidR="00CC511E" w:rsidRDefault="00630CF3" w:rsidP="00A82072">
            <w:pPr>
              <w:tabs>
                <w:tab w:val="left" w:pos="360"/>
              </w:tabs>
              <w:ind w:firstLine="426"/>
              <w:jc w:val="both"/>
              <w:rPr>
                <w:color w:val="000000"/>
                <w:shd w:val="clear" w:color="auto" w:fill="FFFFFF"/>
              </w:rPr>
            </w:pPr>
            <w:r>
              <w:rPr>
                <w:color w:val="000000"/>
                <w:shd w:val="clear" w:color="auto" w:fill="FFFFFF"/>
              </w:rPr>
              <w:t xml:space="preserve">9.3.1. </w:t>
            </w:r>
            <w:r w:rsidR="00430E0E" w:rsidRPr="00430E0E">
              <w:rPr>
                <w:color w:val="000000"/>
                <w:shd w:val="clear" w:color="auto" w:fill="FFFFFF"/>
              </w:rPr>
              <w:t xml:space="preserve">iki </w:t>
            </w:r>
            <w:r w:rsidR="00364FB9">
              <w:rPr>
                <w:color w:val="000000"/>
                <w:shd w:val="clear" w:color="auto" w:fill="FFFFFF"/>
                <w:lang w:val="en-US"/>
              </w:rPr>
              <w:t>6</w:t>
            </w:r>
            <w:r w:rsidR="00430E0E" w:rsidRPr="00430E0E">
              <w:rPr>
                <w:color w:val="000000"/>
                <w:shd w:val="clear" w:color="auto" w:fill="FFFFFF"/>
              </w:rPr>
              <w:t>5 proc. visų tinkamų finansuoti projekto išlaidų</w:t>
            </w:r>
            <w:r w:rsidR="00044E47">
              <w:rPr>
                <w:color w:val="000000"/>
                <w:shd w:val="clear" w:color="auto" w:fill="FFFFFF"/>
              </w:rPr>
              <w:t xml:space="preserve">, kai pareiškėjas yra </w:t>
            </w:r>
            <w:r w:rsidR="00364FB9" w:rsidRPr="00364FB9">
              <w:rPr>
                <w:color w:val="000000"/>
                <w:shd w:val="clear" w:color="auto" w:fill="FFFFFF"/>
              </w:rPr>
              <w:t xml:space="preserve">labai maža </w:t>
            </w:r>
            <w:r w:rsidR="00B1798E">
              <w:rPr>
                <w:color w:val="000000"/>
                <w:shd w:val="clear" w:color="auto" w:fill="FFFFFF"/>
              </w:rPr>
              <w:t xml:space="preserve">arba </w:t>
            </w:r>
            <w:r w:rsidR="00364FB9" w:rsidRPr="00364FB9">
              <w:rPr>
                <w:color w:val="000000"/>
                <w:shd w:val="clear" w:color="auto" w:fill="FFFFFF"/>
              </w:rPr>
              <w:t>maža įmonė</w:t>
            </w:r>
            <w:r w:rsidR="00B1798E">
              <w:rPr>
                <w:color w:val="000000"/>
                <w:shd w:val="clear" w:color="auto" w:fill="FFFFFF"/>
              </w:rPr>
              <w:t>;</w:t>
            </w:r>
          </w:p>
          <w:p w14:paraId="09276F18" w14:textId="1C387038" w:rsidR="00630CF3" w:rsidRPr="00430E0E" w:rsidRDefault="00630CF3" w:rsidP="00A82072">
            <w:pPr>
              <w:tabs>
                <w:tab w:val="left" w:pos="360"/>
              </w:tabs>
              <w:ind w:firstLine="426"/>
              <w:jc w:val="both"/>
              <w:rPr>
                <w:color w:val="000000"/>
                <w:shd w:val="clear" w:color="auto" w:fill="FFFFFF"/>
              </w:rPr>
            </w:pPr>
            <w:r w:rsidRPr="00430E0E">
              <w:rPr>
                <w:color w:val="000000"/>
                <w:shd w:val="clear" w:color="auto" w:fill="FFFFFF"/>
              </w:rPr>
              <w:t>9.3.2.</w:t>
            </w:r>
            <w:r w:rsidR="00430E0E" w:rsidRPr="00430E0E">
              <w:rPr>
                <w:szCs w:val="24"/>
              </w:rPr>
              <w:t xml:space="preserve"> </w:t>
            </w:r>
            <w:r w:rsidR="00430E0E" w:rsidRPr="00430E0E">
              <w:rPr>
                <w:color w:val="000000"/>
                <w:shd w:val="clear" w:color="auto" w:fill="FFFFFF"/>
              </w:rPr>
              <w:t xml:space="preserve">iki </w:t>
            </w:r>
            <w:r w:rsidR="00205A37">
              <w:rPr>
                <w:color w:val="000000"/>
                <w:shd w:val="clear" w:color="auto" w:fill="FFFFFF"/>
                <w:lang w:val="en-US"/>
              </w:rPr>
              <w:t>5</w:t>
            </w:r>
            <w:r w:rsidR="00430E0E" w:rsidRPr="00430E0E">
              <w:rPr>
                <w:color w:val="000000"/>
                <w:shd w:val="clear" w:color="auto" w:fill="FFFFFF"/>
              </w:rPr>
              <w:t>5 proc. visų tinkamų finansuoti projekto išlaidų</w:t>
            </w:r>
            <w:r w:rsidR="00E86D4C">
              <w:rPr>
                <w:color w:val="000000"/>
                <w:shd w:val="clear" w:color="auto" w:fill="FFFFFF"/>
              </w:rPr>
              <w:t xml:space="preserve">, </w:t>
            </w:r>
            <w:r w:rsidR="00E86D4C" w:rsidRPr="00E86D4C">
              <w:rPr>
                <w:color w:val="000000"/>
                <w:shd w:val="clear" w:color="auto" w:fill="FFFFFF"/>
              </w:rPr>
              <w:t xml:space="preserve">kai pareiškėjas yra </w:t>
            </w:r>
            <w:r w:rsidR="00E86D4C">
              <w:rPr>
                <w:color w:val="000000"/>
                <w:shd w:val="clear" w:color="auto" w:fill="FFFFFF"/>
              </w:rPr>
              <w:t xml:space="preserve">vidutinė </w:t>
            </w:r>
            <w:r w:rsidR="00E86D4C" w:rsidRPr="00E86D4C">
              <w:rPr>
                <w:color w:val="000000"/>
                <w:shd w:val="clear" w:color="auto" w:fill="FFFFFF"/>
              </w:rPr>
              <w:t>įmonė</w:t>
            </w:r>
            <w:r w:rsidR="004E1249">
              <w:rPr>
                <w:color w:val="000000"/>
                <w:shd w:val="clear" w:color="auto" w:fill="FFFFFF"/>
              </w:rPr>
              <w:t>;</w:t>
            </w:r>
          </w:p>
          <w:p w14:paraId="5A5CC311" w14:textId="52CBEBBE" w:rsidR="007E5B59" w:rsidRDefault="00630CF3" w:rsidP="00A82072">
            <w:pPr>
              <w:tabs>
                <w:tab w:val="left" w:pos="360"/>
              </w:tabs>
              <w:ind w:firstLine="426"/>
              <w:jc w:val="both"/>
              <w:rPr>
                <w:color w:val="000000"/>
                <w:shd w:val="clear" w:color="auto" w:fill="FFFFFF"/>
              </w:rPr>
            </w:pPr>
            <w:r w:rsidRPr="00430E0E">
              <w:rPr>
                <w:color w:val="000000"/>
                <w:shd w:val="clear" w:color="auto" w:fill="FFFFFF"/>
              </w:rPr>
              <w:t>9.3.3.</w:t>
            </w:r>
            <w:r w:rsidR="00430E0E" w:rsidRPr="00430E0E">
              <w:rPr>
                <w:szCs w:val="24"/>
              </w:rPr>
              <w:t xml:space="preserve"> </w:t>
            </w:r>
            <w:r w:rsidR="00430E0E" w:rsidRPr="00430E0E">
              <w:rPr>
                <w:color w:val="000000"/>
                <w:shd w:val="clear" w:color="auto" w:fill="FFFFFF"/>
              </w:rPr>
              <w:t xml:space="preserve">iki </w:t>
            </w:r>
            <w:r w:rsidR="004E1249">
              <w:rPr>
                <w:color w:val="000000"/>
                <w:shd w:val="clear" w:color="auto" w:fill="FFFFFF"/>
                <w:lang w:val="en-US"/>
              </w:rPr>
              <w:t>4</w:t>
            </w:r>
            <w:r w:rsidR="00430E0E" w:rsidRPr="00430E0E">
              <w:rPr>
                <w:color w:val="000000"/>
                <w:shd w:val="clear" w:color="auto" w:fill="FFFFFF"/>
              </w:rPr>
              <w:t>5 proc. visų tinkamų finansuoti projekto išlaidų</w:t>
            </w:r>
            <w:r w:rsidR="004E1249">
              <w:rPr>
                <w:color w:val="000000"/>
                <w:shd w:val="clear" w:color="auto" w:fill="FFFFFF"/>
              </w:rPr>
              <w:t>, kai pareiškėjas yra didelė įmonė;</w:t>
            </w:r>
          </w:p>
          <w:p w14:paraId="741FBE5F" w14:textId="128C6954" w:rsidR="0023568E" w:rsidRPr="004A4A46" w:rsidRDefault="0023568E" w:rsidP="00F509C6">
            <w:pPr>
              <w:tabs>
                <w:tab w:val="left" w:pos="360"/>
              </w:tabs>
              <w:jc w:val="both"/>
              <w:rPr>
                <w:color w:val="000000"/>
                <w:shd w:val="clear" w:color="auto" w:fill="FFFFFF"/>
              </w:rPr>
            </w:pPr>
            <w:r w:rsidRPr="002D2DFD">
              <w:rPr>
                <w:color w:val="000000"/>
                <w:shd w:val="clear" w:color="auto" w:fill="FFFFFF"/>
              </w:rPr>
              <w:t xml:space="preserve">9.4. </w:t>
            </w:r>
            <w:r w:rsidR="00F509C6" w:rsidRPr="002D2DFD">
              <w:rPr>
                <w:color w:val="000000"/>
                <w:shd w:val="clear" w:color="auto" w:fill="FFFFFF"/>
              </w:rPr>
              <w:t xml:space="preserve">Pagalbos intensyvumas gali būti padidintas 15 procentinių punktų, kai investicijos vykdomos </w:t>
            </w:r>
            <w:r w:rsidR="00A16ABF" w:rsidRPr="002D2DFD">
              <w:rPr>
                <w:szCs w:val="24"/>
                <w:lang w:eastAsia="lt-LT"/>
              </w:rPr>
              <w:t>Alytaus</w:t>
            </w:r>
            <w:r w:rsidR="00D61EB2" w:rsidRPr="002D2DFD">
              <w:rPr>
                <w:szCs w:val="24"/>
                <w:lang w:eastAsia="lt-LT"/>
              </w:rPr>
              <w:t>,</w:t>
            </w:r>
            <w:r w:rsidR="00A16ABF" w:rsidRPr="002D2DFD">
              <w:rPr>
                <w:szCs w:val="24"/>
                <w:lang w:eastAsia="lt-LT"/>
              </w:rPr>
              <w:t xml:space="preserve"> Kauno,</w:t>
            </w:r>
            <w:r w:rsidR="00D61EB2" w:rsidRPr="002D2DFD">
              <w:rPr>
                <w:szCs w:val="24"/>
                <w:lang w:eastAsia="lt-LT"/>
              </w:rPr>
              <w:t xml:space="preserve"> </w:t>
            </w:r>
            <w:r w:rsidR="00A16ABF" w:rsidRPr="002D2DFD">
              <w:rPr>
                <w:szCs w:val="24"/>
                <w:lang w:eastAsia="lt-LT"/>
              </w:rPr>
              <w:t>Klaipėdos</w:t>
            </w:r>
            <w:r w:rsidR="00D61EB2" w:rsidRPr="002D2DFD">
              <w:rPr>
                <w:szCs w:val="24"/>
                <w:lang w:eastAsia="lt-LT"/>
              </w:rPr>
              <w:t xml:space="preserve">, </w:t>
            </w:r>
            <w:r w:rsidR="00A16ABF" w:rsidRPr="002D2DFD">
              <w:rPr>
                <w:szCs w:val="24"/>
                <w:lang w:eastAsia="lt-LT"/>
              </w:rPr>
              <w:t>Marijampolės</w:t>
            </w:r>
            <w:r w:rsidR="00D61EB2" w:rsidRPr="002D2DFD">
              <w:rPr>
                <w:szCs w:val="24"/>
                <w:lang w:eastAsia="lt-LT"/>
              </w:rPr>
              <w:t xml:space="preserve">, </w:t>
            </w:r>
            <w:r w:rsidR="00A16ABF" w:rsidRPr="002D2DFD">
              <w:rPr>
                <w:szCs w:val="24"/>
                <w:lang w:eastAsia="lt-LT"/>
              </w:rPr>
              <w:t>Panevėžio, Šiaulių, Tauragės</w:t>
            </w:r>
            <w:r w:rsidR="00D61EB2" w:rsidRPr="002D2DFD">
              <w:rPr>
                <w:szCs w:val="24"/>
                <w:lang w:eastAsia="lt-LT"/>
              </w:rPr>
              <w:t xml:space="preserve">, </w:t>
            </w:r>
            <w:r w:rsidR="00A16ABF" w:rsidRPr="002D2DFD">
              <w:rPr>
                <w:szCs w:val="24"/>
                <w:lang w:eastAsia="lt-LT"/>
              </w:rPr>
              <w:t xml:space="preserve">Telšių </w:t>
            </w:r>
            <w:r w:rsidR="00D61EB2" w:rsidRPr="002D2DFD">
              <w:rPr>
                <w:szCs w:val="24"/>
                <w:lang w:eastAsia="lt-LT"/>
              </w:rPr>
              <w:t xml:space="preserve">ir </w:t>
            </w:r>
            <w:r w:rsidR="00A16ABF" w:rsidRPr="002D2DFD">
              <w:rPr>
                <w:szCs w:val="24"/>
                <w:lang w:eastAsia="lt-LT"/>
              </w:rPr>
              <w:t>Utenos apskrit</w:t>
            </w:r>
            <w:r w:rsidR="00D61EB2" w:rsidRPr="002D2DFD">
              <w:rPr>
                <w:szCs w:val="24"/>
                <w:lang w:eastAsia="lt-LT"/>
              </w:rPr>
              <w:t>yse</w:t>
            </w:r>
            <w:r w:rsidR="00DA085C" w:rsidRPr="002D2DFD">
              <w:rPr>
                <w:szCs w:val="24"/>
                <w:lang w:eastAsia="lt-LT"/>
              </w:rPr>
              <w:t xml:space="preserve"> t. y.</w:t>
            </w:r>
            <w:r w:rsidR="006816CC" w:rsidRPr="002D2DFD">
              <w:rPr>
                <w:szCs w:val="24"/>
                <w:lang w:eastAsia="lt-LT"/>
              </w:rPr>
              <w:t xml:space="preserve"> </w:t>
            </w:r>
            <w:r w:rsidR="00F509C6" w:rsidRPr="002D2DFD">
              <w:rPr>
                <w:color w:val="000000"/>
                <w:shd w:val="clear" w:color="auto" w:fill="FFFFFF"/>
              </w:rPr>
              <w:t xml:space="preserve">remiamose vietovėse, tenkinančiose </w:t>
            </w:r>
            <w:r w:rsidR="00B87ECC" w:rsidRPr="002D2DFD">
              <w:rPr>
                <w:color w:val="000000"/>
                <w:shd w:val="clear" w:color="auto" w:fill="FFFFFF"/>
              </w:rPr>
              <w:t>Sutarties dėl Europos Sąjungos veikimo</w:t>
            </w:r>
            <w:r w:rsidR="00F509C6" w:rsidRPr="002D2DFD">
              <w:rPr>
                <w:color w:val="000000"/>
                <w:shd w:val="clear" w:color="auto" w:fill="FFFFFF"/>
              </w:rPr>
              <w:t>107 straipsnio 3 dalies a punkto sąlygas</w:t>
            </w:r>
            <w:r w:rsidR="00100148" w:rsidRPr="002D2DFD">
              <w:rPr>
                <w:color w:val="000000"/>
                <w:shd w:val="clear" w:color="auto" w:fill="FFFFFF"/>
              </w:rPr>
              <w:t>.</w:t>
            </w:r>
          </w:p>
          <w:p w14:paraId="2932FEF9" w14:textId="0E9EC592" w:rsidR="007E5B59" w:rsidRPr="00C01C93" w:rsidRDefault="001C7606" w:rsidP="00AF49E2">
            <w:pPr>
              <w:tabs>
                <w:tab w:val="left" w:pos="451"/>
              </w:tabs>
              <w:jc w:val="both"/>
              <w:textAlignment w:val="baseline"/>
              <w:rPr>
                <w:szCs w:val="24"/>
                <w:lang w:eastAsia="lt-LT"/>
              </w:rPr>
            </w:pPr>
            <w:r w:rsidRPr="00C01C93">
              <w:t>9.</w:t>
            </w:r>
            <w:r w:rsidR="0018278A">
              <w:t>5</w:t>
            </w:r>
            <w:r w:rsidRPr="00C01C93">
              <w:t>. Kryžminis finansavimas netaikomas.</w:t>
            </w:r>
          </w:p>
          <w:p w14:paraId="79009A4B" w14:textId="27A9AEAA" w:rsidR="009C7DEF" w:rsidRPr="00546FE4" w:rsidRDefault="00E50B97" w:rsidP="009C7DEF">
            <w:pPr>
              <w:jc w:val="both"/>
              <w:rPr>
                <w:rFonts w:eastAsia="Calibri"/>
                <w:szCs w:val="24"/>
              </w:rPr>
            </w:pPr>
            <w:r w:rsidRPr="00E50B97">
              <w:rPr>
                <w:color w:val="000000"/>
              </w:rPr>
              <w:t>9.</w:t>
            </w:r>
            <w:r w:rsidR="0018278A">
              <w:rPr>
                <w:color w:val="000000"/>
                <w:lang w:val="en-US"/>
              </w:rPr>
              <w:t>6</w:t>
            </w:r>
            <w:r w:rsidRPr="00E50B97">
              <w:rPr>
                <w:color w:val="000000"/>
              </w:rPr>
              <w:t>.</w:t>
            </w:r>
            <w:r w:rsidRPr="00E50B97">
              <w:rPr>
                <w:rFonts w:eastAsia="Calibri"/>
                <w:szCs w:val="24"/>
              </w:rPr>
              <w:t xml:space="preserve"> Projekto tinkamų finansuoti išlaidų dalis, kurios nepadengia projektui skiriamo finansavimo lėšos, turi būti finansuojama iš projekto vykdytojo lėšų.</w:t>
            </w:r>
          </w:p>
        </w:tc>
      </w:tr>
      <w:tr w:rsidR="009C7DEF" w14:paraId="602B5D2A" w14:textId="77777777">
        <w:trPr>
          <w:trHeight w:val="349"/>
        </w:trPr>
        <w:tc>
          <w:tcPr>
            <w:tcW w:w="14709" w:type="dxa"/>
          </w:tcPr>
          <w:p w14:paraId="65F41736" w14:textId="77777777" w:rsidR="009C7DEF" w:rsidRDefault="009C7DEF" w:rsidP="009C7DEF">
            <w:pPr>
              <w:jc w:val="both"/>
              <w:rPr>
                <w:szCs w:val="24"/>
              </w:rPr>
            </w:pPr>
            <w:r>
              <w:rPr>
                <w:b/>
                <w:szCs w:val="24"/>
              </w:rPr>
              <w:lastRenderedPageBreak/>
              <w:t>10. Projektų veiklų ir jungtinio projekto projektų įgyvendinimui taikomi supaprastintai apmokamų išlaidų dydžiai</w:t>
            </w:r>
          </w:p>
        </w:tc>
      </w:tr>
      <w:tr w:rsidR="009C7DEF" w14:paraId="6B1C8204" w14:textId="77777777">
        <w:tc>
          <w:tcPr>
            <w:tcW w:w="14709" w:type="dxa"/>
          </w:tcPr>
          <w:p w14:paraId="6A61BEEB" w14:textId="2CCC8E5D" w:rsidR="009C7DEF" w:rsidRDefault="00F00379" w:rsidP="009C7DEF">
            <w:pPr>
              <w:jc w:val="both"/>
              <w:rPr>
                <w:szCs w:val="24"/>
              </w:rPr>
            </w:pPr>
            <w:r>
              <w:rPr>
                <w:szCs w:val="24"/>
              </w:rPr>
              <w:t>Netaikoma.</w:t>
            </w:r>
          </w:p>
          <w:p w14:paraId="3E7E56B5" w14:textId="77777777" w:rsidR="00EA32D5" w:rsidRPr="00EA32D5" w:rsidRDefault="00EA32D5" w:rsidP="009C7D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9C7DEF" w14:paraId="708AA8CA" w14:textId="77777777">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Default="009C7DEF" w:rsidP="009C7DEF">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630FDF0" w14:textId="77777777" w:rsidR="009C7DEF" w:rsidRDefault="009C7DEF" w:rsidP="009C7DEF">
                  <w:pPr>
                    <w:jc w:val="both"/>
                    <w:rPr>
                      <w:b/>
                      <w:bCs/>
                      <w:sz w:val="22"/>
                      <w:szCs w:val="22"/>
                    </w:rPr>
                  </w:pPr>
                  <w:r>
                    <w:rPr>
                      <w:rFonts w:ascii="MS Gothic" w:eastAsia="MS Gothic" w:hAnsi="MS Gothic" w:cs="MS Gothic"/>
                      <w:b/>
                      <w:bCs/>
                      <w:sz w:val="22"/>
                      <w:szCs w:val="22"/>
                    </w:rPr>
                    <w:t>☐</w:t>
                  </w:r>
                  <w:r>
                    <w:rPr>
                      <w:b/>
                      <w:bCs/>
                      <w:sz w:val="22"/>
                      <w:szCs w:val="22"/>
                    </w:rPr>
                    <w:t xml:space="preserve"> Neindeksuojama</w:t>
                  </w:r>
                </w:p>
              </w:tc>
            </w:tr>
            <w:tr w:rsidR="009C7DEF" w14:paraId="6210132F" w14:textId="77777777">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Default="009C7DEF" w:rsidP="009C7DEF">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Default="009C7DEF" w:rsidP="009C7DEF">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Default="009C7DEF" w:rsidP="009C7DEF">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Default="009C7DEF" w:rsidP="009C7DEF">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Default="009C7DEF" w:rsidP="009C7DEF">
                  <w:pPr>
                    <w:jc w:val="center"/>
                    <w:rPr>
                      <w:b/>
                      <w:bCs/>
                      <w:sz w:val="22"/>
                      <w:szCs w:val="22"/>
                    </w:rPr>
                  </w:pPr>
                  <w:r>
                    <w:rPr>
                      <w:b/>
                      <w:bCs/>
                      <w:sz w:val="22"/>
                      <w:szCs w:val="22"/>
                    </w:rPr>
                    <w:t>Papildoma informacija</w:t>
                  </w:r>
                </w:p>
              </w:tc>
            </w:tr>
            <w:tr w:rsidR="009C7DEF" w14:paraId="6FF1FFC3" w14:textId="77777777">
              <w:tc>
                <w:tcPr>
                  <w:tcW w:w="2889" w:type="dxa"/>
                  <w:tcBorders>
                    <w:top w:val="single" w:sz="8" w:space="0" w:color="auto"/>
                    <w:left w:val="single" w:sz="8" w:space="0" w:color="auto"/>
                    <w:bottom w:val="single" w:sz="8" w:space="0" w:color="auto"/>
                    <w:right w:val="single" w:sz="8" w:space="0" w:color="auto"/>
                  </w:tcBorders>
                </w:tcPr>
                <w:p w14:paraId="1DBCDD13" w14:textId="77777777" w:rsidR="009C7DEF" w:rsidRDefault="009C7DEF" w:rsidP="009C7DEF">
                  <w:pPr>
                    <w:jc w:val="center"/>
                    <w:rPr>
                      <w:i/>
                      <w:iCs/>
                      <w:sz w:val="20"/>
                    </w:rPr>
                  </w:pPr>
                  <w:r>
                    <w:rPr>
                      <w:i/>
                      <w:iCs/>
                      <w:sz w:val="20"/>
                    </w:rPr>
                    <w:t>Nurodomos projektų veiklos ir (ar) išlaidos, kurioms bus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tcPr>
                <w:p w14:paraId="7179E410" w14:textId="77777777" w:rsidR="009C7DEF" w:rsidRDefault="009C7DEF" w:rsidP="009C7DEF">
                  <w:pPr>
                    <w:jc w:val="center"/>
                    <w:rPr>
                      <w:i/>
                      <w:iCs/>
                      <w:sz w:val="20"/>
                    </w:rPr>
                  </w:pPr>
                  <w:r>
                    <w:rPr>
                      <w:i/>
                      <w:iCs/>
                      <w:sz w:val="20"/>
                    </w:rPr>
                    <w:t>Nurodomas supaprastintai apmokamų išlaidų dydžio kodas iš Supaprastintai apmokamų išlaidų dydžių registro.</w:t>
                  </w:r>
                </w:p>
              </w:tc>
              <w:tc>
                <w:tcPr>
                  <w:tcW w:w="2890" w:type="dxa"/>
                  <w:tcBorders>
                    <w:top w:val="single" w:sz="8" w:space="0" w:color="auto"/>
                    <w:left w:val="single" w:sz="8" w:space="0" w:color="auto"/>
                    <w:bottom w:val="single" w:sz="8" w:space="0" w:color="auto"/>
                    <w:right w:val="single" w:sz="8" w:space="0" w:color="auto"/>
                  </w:tcBorders>
                </w:tcPr>
                <w:p w14:paraId="6C2F228F" w14:textId="77777777" w:rsidR="009C7DEF" w:rsidRDefault="009C7DEF" w:rsidP="009C7DEF">
                  <w:pPr>
                    <w:jc w:val="center"/>
                    <w:rPr>
                      <w:i/>
                      <w:iCs/>
                      <w:sz w:val="20"/>
                    </w:rPr>
                  </w:pPr>
                  <w:r>
                    <w:rPr>
                      <w:i/>
                      <w:iCs/>
                      <w:sz w:val="20"/>
                    </w:rPr>
                    <w:t>Nurodoma supaprastintai apmokamų išlaidų dydžio versija iš Supaprastintai apmokamų išlaidų dydžių registro. Pildoma, tik jei supaprastintai apmokamų išlaidų dydžiai projektų įgyvendinimo metu nebus perskaičiuojami (indeksuojami).</w:t>
                  </w:r>
                </w:p>
              </w:tc>
              <w:tc>
                <w:tcPr>
                  <w:tcW w:w="2890" w:type="dxa"/>
                  <w:tcBorders>
                    <w:top w:val="single" w:sz="8" w:space="0" w:color="auto"/>
                    <w:left w:val="single" w:sz="8" w:space="0" w:color="auto"/>
                    <w:bottom w:val="single" w:sz="8" w:space="0" w:color="auto"/>
                    <w:right w:val="single" w:sz="8" w:space="0" w:color="auto"/>
                  </w:tcBorders>
                </w:tcPr>
                <w:p w14:paraId="674DC5C0" w14:textId="77777777" w:rsidR="009C7DEF" w:rsidRDefault="009C7DEF" w:rsidP="009C7DEF">
                  <w:pPr>
                    <w:jc w:val="center"/>
                    <w:rPr>
                      <w:i/>
                      <w:iCs/>
                      <w:sz w:val="20"/>
                    </w:rPr>
                  </w:pPr>
                  <w:r>
                    <w:rPr>
                      <w:i/>
                      <w:iCs/>
                      <w:sz w:val="20"/>
                    </w:rPr>
                    <w:t>Nurodomas supaprastintai apmokamų išlaidų dydžio pavadinimas iš Supaprastintai apmokamų išlaidų dydžių registro.</w:t>
                  </w:r>
                </w:p>
              </w:tc>
              <w:tc>
                <w:tcPr>
                  <w:tcW w:w="2890" w:type="dxa"/>
                  <w:tcBorders>
                    <w:top w:val="single" w:sz="8" w:space="0" w:color="auto"/>
                    <w:left w:val="single" w:sz="8" w:space="0" w:color="auto"/>
                    <w:bottom w:val="single" w:sz="8" w:space="0" w:color="auto"/>
                    <w:right w:val="single" w:sz="8" w:space="0" w:color="auto"/>
                  </w:tcBorders>
                </w:tcPr>
                <w:p w14:paraId="2DA8560E" w14:textId="77777777" w:rsidR="009C7DEF" w:rsidRDefault="009C7DEF" w:rsidP="009C7DEF">
                  <w:pPr>
                    <w:jc w:val="center"/>
                    <w:rPr>
                      <w:i/>
                      <w:iCs/>
                      <w:sz w:val="20"/>
                    </w:rPr>
                  </w:pPr>
                  <w:r>
                    <w:rPr>
                      <w:i/>
                      <w:iCs/>
                      <w:sz w:val="20"/>
                    </w:rPr>
                    <w:t>Jeigu įgyvendinant jungtinius projektus nurodoma fiksuotoji projekto išlaidų norma, kuri bus taikoma netiesioginėms išlaidoms apmokėti, nurodoma, kieno (jungtinio projekto vykdytojo ir (ar) jungtinio projekto projektų vykdytojų) netiesioginės išlaidos gali būti apmokamos pagal nurodytą fiksuotąją projekto išlaidų normą.</w:t>
                  </w:r>
                </w:p>
                <w:p w14:paraId="2DFA21DE" w14:textId="77777777" w:rsidR="009C7DEF" w:rsidRDefault="009C7DEF" w:rsidP="009C7DEF">
                  <w:pPr>
                    <w:jc w:val="center"/>
                    <w:rPr>
                      <w:i/>
                      <w:iCs/>
                      <w:sz w:val="20"/>
                    </w:rPr>
                  </w:pPr>
                  <w:r>
                    <w:rPr>
                      <w:i/>
                      <w:iCs/>
                      <w:sz w:val="20"/>
                    </w:rPr>
                    <w:lastRenderedPageBreak/>
                    <w:t>Jeigu taikomas su išlaidomis nesiejamas projekto finansavimas, pateikiamas rezultatų pasiekimui ir išlaidų apmokėjimui fiksuoti sudarytas atsiskaitymo tvarkaraštis, kuriame nurodomos tarpinių rezultatų reikšmės, įvykdymo sąlygos ir planuojamos išmokėti sumos, pasiekus tarpinius rezultatus.</w:t>
                  </w:r>
                </w:p>
              </w:tc>
            </w:tr>
          </w:tbl>
          <w:p w14:paraId="31EDCBEF" w14:textId="77777777" w:rsidR="009C7DEF" w:rsidRDefault="009C7DEF" w:rsidP="009C7DEF">
            <w:pPr>
              <w:jc w:val="both"/>
              <w:rPr>
                <w:i/>
                <w:iCs/>
                <w:szCs w:val="24"/>
              </w:rPr>
            </w:pPr>
          </w:p>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0C36E2C" w14:textId="30228B95" w:rsidR="00AC6DDF" w:rsidRDefault="00320FC9">
      <w:pPr>
        <w:spacing w:line="276" w:lineRule="auto"/>
        <w:jc w:val="center"/>
        <w:rPr>
          <w:rFonts w:eastAsia="Calibri"/>
          <w:szCs w:val="24"/>
        </w:rPr>
      </w:pPr>
      <w:r>
        <w:rPr>
          <w:rFonts w:eastAsia="Calibri"/>
          <w:szCs w:val="24"/>
        </w:rPr>
        <w:t>________________</w:t>
      </w:r>
    </w:p>
    <w:p w14:paraId="3851966A" w14:textId="0BBA91F4" w:rsidR="00E84937" w:rsidRDefault="00E84937">
      <w:pPr>
        <w:spacing w:line="276" w:lineRule="auto"/>
        <w:jc w:val="center"/>
        <w:rPr>
          <w:szCs w:val="24"/>
        </w:rPr>
      </w:pPr>
    </w:p>
    <w:p w14:paraId="0F7E0174" w14:textId="700A8160" w:rsidR="00E84937" w:rsidRDefault="00E84937">
      <w:pPr>
        <w:spacing w:line="276" w:lineRule="auto"/>
        <w:jc w:val="center"/>
        <w:rPr>
          <w:szCs w:val="24"/>
        </w:rPr>
      </w:pPr>
    </w:p>
    <w:p w14:paraId="5E122F97" w14:textId="7AB8AD76" w:rsidR="00E84937" w:rsidRDefault="00E84937">
      <w:pPr>
        <w:spacing w:line="276" w:lineRule="auto"/>
        <w:jc w:val="center"/>
        <w:rPr>
          <w:szCs w:val="24"/>
        </w:rPr>
      </w:pPr>
    </w:p>
    <w:p w14:paraId="19E38081" w14:textId="47C5996C" w:rsidR="00E84937" w:rsidRDefault="00E84937">
      <w:pPr>
        <w:spacing w:line="276" w:lineRule="auto"/>
        <w:jc w:val="center"/>
        <w:rPr>
          <w:szCs w:val="24"/>
        </w:rPr>
      </w:pPr>
    </w:p>
    <w:p w14:paraId="029BA5CC" w14:textId="4F12653F" w:rsidR="00E84937" w:rsidRDefault="00E84937">
      <w:pPr>
        <w:spacing w:line="276" w:lineRule="auto"/>
        <w:jc w:val="center"/>
        <w:rPr>
          <w:szCs w:val="24"/>
        </w:rPr>
      </w:pPr>
    </w:p>
    <w:p w14:paraId="41583197" w14:textId="77777777" w:rsidR="00604626" w:rsidRDefault="00604626" w:rsidP="0091358F">
      <w:pPr>
        <w:ind w:left="9639"/>
        <w:jc w:val="both"/>
        <w:rPr>
          <w:color w:val="000000"/>
          <w:szCs w:val="24"/>
        </w:rPr>
      </w:pPr>
    </w:p>
    <w:p w14:paraId="44B6DDDB" w14:textId="77777777" w:rsidR="00604626" w:rsidRDefault="00604626" w:rsidP="0091358F">
      <w:pPr>
        <w:ind w:left="9639"/>
        <w:jc w:val="both"/>
        <w:rPr>
          <w:color w:val="000000"/>
          <w:szCs w:val="24"/>
        </w:rPr>
      </w:pPr>
    </w:p>
    <w:p w14:paraId="046D6036" w14:textId="77777777" w:rsidR="00604626" w:rsidRDefault="00604626" w:rsidP="0091358F">
      <w:pPr>
        <w:ind w:left="9639"/>
        <w:jc w:val="both"/>
        <w:rPr>
          <w:color w:val="000000"/>
          <w:szCs w:val="24"/>
        </w:rPr>
      </w:pPr>
    </w:p>
    <w:p w14:paraId="50238BCF" w14:textId="77777777" w:rsidR="00604626" w:rsidRDefault="00604626" w:rsidP="0091358F">
      <w:pPr>
        <w:ind w:left="9639"/>
        <w:jc w:val="both"/>
        <w:rPr>
          <w:color w:val="000000"/>
          <w:szCs w:val="24"/>
        </w:rPr>
      </w:pPr>
    </w:p>
    <w:p w14:paraId="3CC9469C" w14:textId="77777777" w:rsidR="00604626" w:rsidRDefault="00604626" w:rsidP="0091358F">
      <w:pPr>
        <w:ind w:left="9639"/>
        <w:jc w:val="both"/>
        <w:rPr>
          <w:color w:val="000000"/>
          <w:szCs w:val="24"/>
        </w:rPr>
      </w:pPr>
    </w:p>
    <w:p w14:paraId="14E9B13A" w14:textId="77777777" w:rsidR="00604626" w:rsidRDefault="00604626" w:rsidP="0091358F">
      <w:pPr>
        <w:ind w:left="9639"/>
        <w:jc w:val="both"/>
        <w:rPr>
          <w:color w:val="000000"/>
          <w:szCs w:val="24"/>
        </w:rPr>
      </w:pPr>
    </w:p>
    <w:p w14:paraId="17013146" w14:textId="77777777" w:rsidR="00604626" w:rsidRDefault="00604626" w:rsidP="0091358F">
      <w:pPr>
        <w:ind w:left="9639"/>
        <w:jc w:val="both"/>
        <w:rPr>
          <w:color w:val="000000"/>
          <w:szCs w:val="24"/>
        </w:rPr>
      </w:pPr>
    </w:p>
    <w:p w14:paraId="7B094255" w14:textId="77777777" w:rsidR="00604626" w:rsidRDefault="00604626" w:rsidP="0091358F">
      <w:pPr>
        <w:ind w:left="9639"/>
        <w:jc w:val="both"/>
        <w:rPr>
          <w:color w:val="000000"/>
          <w:szCs w:val="24"/>
        </w:rPr>
      </w:pPr>
    </w:p>
    <w:p w14:paraId="1C04BDE6" w14:textId="77777777" w:rsidR="00604626" w:rsidRDefault="00604626" w:rsidP="0091358F">
      <w:pPr>
        <w:ind w:left="9639"/>
        <w:jc w:val="both"/>
        <w:rPr>
          <w:color w:val="000000"/>
          <w:szCs w:val="24"/>
        </w:rPr>
      </w:pPr>
    </w:p>
    <w:p w14:paraId="2331CA34" w14:textId="77777777" w:rsidR="00604626" w:rsidRDefault="00604626" w:rsidP="0091358F">
      <w:pPr>
        <w:ind w:left="9639"/>
        <w:jc w:val="both"/>
        <w:rPr>
          <w:color w:val="000000"/>
          <w:szCs w:val="24"/>
        </w:rPr>
      </w:pPr>
    </w:p>
    <w:p w14:paraId="291A48E1" w14:textId="77777777" w:rsidR="00604626" w:rsidRDefault="00604626" w:rsidP="0091358F">
      <w:pPr>
        <w:ind w:left="9639"/>
        <w:jc w:val="both"/>
        <w:rPr>
          <w:color w:val="000000"/>
          <w:szCs w:val="24"/>
        </w:rPr>
      </w:pPr>
    </w:p>
    <w:p w14:paraId="17DA46F6" w14:textId="42DCBBB8" w:rsidR="00E84937" w:rsidRDefault="00264C24" w:rsidP="0091358F">
      <w:pPr>
        <w:ind w:left="9639"/>
        <w:jc w:val="both"/>
        <w:rPr>
          <w:bCs/>
          <w:szCs w:val="24"/>
        </w:rPr>
      </w:pPr>
      <w:r w:rsidRPr="00264C24">
        <w:rPr>
          <w:color w:val="000000"/>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264C24">
        <w:rPr>
          <w:szCs w:val="24"/>
          <w:lang w:eastAsia="lt-LT"/>
        </w:rPr>
        <w:t>veiklos „</w:t>
      </w:r>
      <w:r w:rsidRPr="00264C24">
        <w:rPr>
          <w:bCs/>
          <w:szCs w:val="24"/>
          <w:lang w:eastAsia="lt-LT"/>
        </w:rPr>
        <w:t xml:space="preserve">Skatinti </w:t>
      </w:r>
      <w:r w:rsidR="006475ED" w:rsidRPr="006475ED">
        <w:rPr>
          <w:bCs/>
          <w:iCs/>
          <w:szCs w:val="24"/>
          <w:lang w:eastAsia="lt-LT"/>
        </w:rPr>
        <w:t xml:space="preserve">atsinaujinančių energijos išteklių </w:t>
      </w:r>
      <w:r w:rsidRPr="00264C24">
        <w:rPr>
          <w:bCs/>
          <w:szCs w:val="24"/>
          <w:lang w:eastAsia="lt-LT"/>
        </w:rPr>
        <w:t>diegimą pramonės įmonėse</w:t>
      </w:r>
      <w:r w:rsidRPr="00264C24">
        <w:rPr>
          <w:szCs w:val="24"/>
          <w:lang w:eastAsia="lt-LT"/>
        </w:rPr>
        <w:t xml:space="preserve">“ projektų finansavimo sąlygų aprašo </w:t>
      </w:r>
    </w:p>
    <w:p w14:paraId="2BE119F8" w14:textId="59E75E30" w:rsidR="00E84937" w:rsidRDefault="00DD3924" w:rsidP="0091358F">
      <w:pPr>
        <w:ind w:left="9639"/>
        <w:jc w:val="both"/>
        <w:rPr>
          <w:szCs w:val="24"/>
        </w:rPr>
      </w:pPr>
      <w:r>
        <w:rPr>
          <w:szCs w:val="24"/>
        </w:rPr>
        <w:t>1</w:t>
      </w:r>
      <w:r w:rsidR="00E84937">
        <w:rPr>
          <w:szCs w:val="24"/>
        </w:rPr>
        <w:t xml:space="preserve"> priedas</w:t>
      </w:r>
    </w:p>
    <w:p w14:paraId="75AE0752" w14:textId="77777777" w:rsidR="00E84937" w:rsidRDefault="00E84937" w:rsidP="00E84937">
      <w:pPr>
        <w:jc w:val="center"/>
        <w:rPr>
          <w:i/>
          <w:iCs/>
          <w:szCs w:val="24"/>
        </w:rPr>
      </w:pPr>
    </w:p>
    <w:p w14:paraId="4E9C5F4B" w14:textId="77777777" w:rsidR="00E84937" w:rsidRDefault="00E84937" w:rsidP="00E84937">
      <w:pPr>
        <w:jc w:val="center"/>
        <w:rPr>
          <w:rFonts w:eastAsia="Calibri"/>
          <w:b/>
          <w:bCs/>
          <w:szCs w:val="24"/>
        </w:rPr>
      </w:pPr>
    </w:p>
    <w:p w14:paraId="6000B07D" w14:textId="77777777" w:rsidR="00E84937" w:rsidRDefault="00E84937" w:rsidP="00E8493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14:paraId="64F703AD" w14:textId="77777777" w:rsidTr="00C0062B">
        <w:tc>
          <w:tcPr>
            <w:tcW w:w="3545" w:type="dxa"/>
          </w:tcPr>
          <w:p w14:paraId="5FBE6293" w14:textId="77777777" w:rsidR="00E84937" w:rsidRDefault="00E84937" w:rsidP="00DE18B4">
            <w:pPr>
              <w:jc w:val="center"/>
              <w:rPr>
                <w:rFonts w:eastAsia="Calibri"/>
                <w:b/>
                <w:szCs w:val="24"/>
              </w:rPr>
            </w:pPr>
            <w:r>
              <w:rPr>
                <w:rFonts w:eastAsia="Calibri"/>
                <w:b/>
                <w:szCs w:val="24"/>
              </w:rPr>
              <w:t>Aplinkos tikslai</w:t>
            </w:r>
          </w:p>
          <w:p w14:paraId="25D89338" w14:textId="77777777" w:rsidR="00E84937" w:rsidRDefault="00E84937" w:rsidP="00DE18B4">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0094A1D1" w14:textId="77777777" w:rsidR="00E84937" w:rsidRDefault="00E84937" w:rsidP="00DE18B4">
            <w:pPr>
              <w:jc w:val="center"/>
              <w:rPr>
                <w:rFonts w:eastAsia="Calibri"/>
                <w:b/>
                <w:szCs w:val="24"/>
              </w:rPr>
            </w:pPr>
            <w:r>
              <w:rPr>
                <w:rFonts w:eastAsia="Calibri"/>
                <w:b/>
                <w:szCs w:val="24"/>
              </w:rPr>
              <w:t>Pagrindimas</w:t>
            </w:r>
          </w:p>
          <w:p w14:paraId="61107390" w14:textId="77777777" w:rsidR="00E84937" w:rsidRDefault="00E84937" w:rsidP="00DE18B4">
            <w:pPr>
              <w:jc w:val="both"/>
              <w:rPr>
                <w:rFonts w:eastAsia="Calibri"/>
                <w:b/>
                <w:szCs w:val="24"/>
              </w:rPr>
            </w:pPr>
            <w:r>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Default="00E84937" w:rsidP="00DE18B4">
            <w:pPr>
              <w:jc w:val="center"/>
              <w:rPr>
                <w:rFonts w:eastAsia="Calibri"/>
                <w:i/>
                <w:sz w:val="20"/>
              </w:rPr>
            </w:pPr>
            <w:r>
              <w:rPr>
                <w:rFonts w:eastAsia="Calibri"/>
                <w:b/>
                <w:szCs w:val="24"/>
              </w:rPr>
              <w:t>Pagrindimo dokumentai</w:t>
            </w:r>
          </w:p>
          <w:p w14:paraId="3F741FDC" w14:textId="77777777" w:rsidR="00E84937" w:rsidRDefault="00E84937" w:rsidP="00DE18B4">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7D760E49" w14:textId="03B9B338" w:rsidR="007B00A2" w:rsidRDefault="00204E04" w:rsidP="007B00A2">
            <w:pPr>
              <w:jc w:val="both"/>
              <w:rPr>
                <w:rFonts w:eastAsia="Calibri"/>
                <w:bCs/>
                <w:szCs w:val="24"/>
              </w:rPr>
            </w:pPr>
            <w:r w:rsidRPr="00204E04">
              <w:rPr>
                <w:rFonts w:eastAsia="Calibri"/>
                <w:bCs/>
                <w:szCs w:val="24"/>
              </w:rPr>
              <w:t xml:space="preserve">Vertinama, kad planuojama įgyvendinti </w:t>
            </w:r>
            <w:r w:rsidR="008F0EF5">
              <w:rPr>
                <w:rFonts w:eastAsia="Calibri"/>
                <w:bCs/>
                <w:szCs w:val="24"/>
              </w:rPr>
              <w:t>veikl</w:t>
            </w:r>
            <w:r>
              <w:rPr>
                <w:rFonts w:eastAsia="Calibri"/>
                <w:bCs/>
                <w:szCs w:val="24"/>
              </w:rPr>
              <w:t>a</w:t>
            </w:r>
            <w:r w:rsidR="008F0EF5">
              <w:rPr>
                <w:rFonts w:eastAsia="Calibri"/>
                <w:bCs/>
                <w:szCs w:val="24"/>
              </w:rPr>
              <w:t xml:space="preserve"> </w:t>
            </w:r>
            <w:r w:rsidR="007B00A2" w:rsidRPr="00D320E0">
              <w:rPr>
                <w:rFonts w:eastAsia="Calibri"/>
                <w:bCs/>
                <w:szCs w:val="24"/>
              </w:rPr>
              <w:t xml:space="preserve">neturės jokio neigiamo tiesioginio ar netiesioginio poveikio klimato kaitos švelninimo tikslui viso gyvavimo ciklo metu, nes nenumatoma, kad įgyvendinant veiklas galėtų būti šiltnamio efektą sukeliančių dujų išsiskyrimas, kadangi investuojama į </w:t>
            </w:r>
            <w:r w:rsidR="007B00A2">
              <w:rPr>
                <w:rFonts w:eastAsia="Calibri"/>
                <w:bCs/>
                <w:szCs w:val="24"/>
              </w:rPr>
              <w:t xml:space="preserve">AEI naudojančius gamybos įrengimus </w:t>
            </w:r>
            <w:r w:rsidR="007B00A2" w:rsidRPr="00D320E0">
              <w:rPr>
                <w:rFonts w:eastAsia="Calibri"/>
                <w:bCs/>
                <w:szCs w:val="24"/>
              </w:rPr>
              <w:t xml:space="preserve">ir </w:t>
            </w:r>
            <w:r w:rsidR="007B00A2">
              <w:rPr>
                <w:rFonts w:eastAsia="Calibri"/>
                <w:bCs/>
                <w:szCs w:val="24"/>
              </w:rPr>
              <w:t>naujas  AEI efektyvesnio panaudojimo technologijas.</w:t>
            </w:r>
          </w:p>
          <w:p w14:paraId="1BEE81E9" w14:textId="5A238D27" w:rsidR="007B00A2" w:rsidRPr="007B02A4" w:rsidRDefault="007B00A2" w:rsidP="007B00A2">
            <w:pPr>
              <w:jc w:val="both"/>
              <w:rPr>
                <w:rFonts w:eastAsia="Calibri"/>
                <w:bCs/>
                <w:szCs w:val="24"/>
              </w:rPr>
            </w:pPr>
            <w:r w:rsidRPr="00377881">
              <w:rPr>
                <w:rFonts w:eastAsia="Calibri"/>
                <w:bCs/>
                <w:szCs w:val="24"/>
              </w:rPr>
              <w:lastRenderedPageBreak/>
              <w:t>Įgyvendinat veiklas bus laikomasi energijos efektyvumo elgesio kodekse ir kituose dokumentuose, nurodytuose 2021 m. birželio 4 d. Komisijos deleguotajame reglamente (ES) 2021/2139, nustatytų reikalavimų.</w:t>
            </w:r>
          </w:p>
        </w:tc>
        <w:tc>
          <w:tcPr>
            <w:tcW w:w="4224" w:type="dxa"/>
          </w:tcPr>
          <w:p w14:paraId="7453F98A" w14:textId="4CDEA48B" w:rsidR="007B00A2" w:rsidRPr="007B00A2" w:rsidRDefault="007B00A2" w:rsidP="007B00A2">
            <w:pPr>
              <w:tabs>
                <w:tab w:val="left" w:pos="589"/>
              </w:tabs>
              <w:jc w:val="both"/>
              <w:rPr>
                <w:rFonts w:eastAsia="Calibri"/>
                <w:iCs/>
                <w:szCs w:val="24"/>
              </w:rPr>
            </w:pPr>
            <w:r w:rsidRPr="007B00A2">
              <w:rPr>
                <w:rFonts w:eastAsia="Calibri"/>
                <w:iCs/>
                <w:szCs w:val="24"/>
              </w:rPr>
              <w:lastRenderedPageBreak/>
              <w:t>Netaikoma</w:t>
            </w:r>
            <w:r w:rsidR="00B704E7">
              <w:rPr>
                <w:rFonts w:eastAsia="Calibri"/>
                <w:iCs/>
                <w:szCs w:val="24"/>
              </w:rPr>
              <w:t>, kadangi</w:t>
            </w:r>
            <w:r w:rsidR="00B704E7" w:rsidRPr="00B704E7">
              <w:rPr>
                <w:szCs w:val="24"/>
              </w:rPr>
              <w:t xml:space="preserve"> </w:t>
            </w:r>
            <w:r w:rsidR="00B704E7">
              <w:rPr>
                <w:szCs w:val="24"/>
              </w:rPr>
              <w:t>v</w:t>
            </w:r>
            <w:r w:rsidR="00B704E7" w:rsidRPr="00B704E7">
              <w:rPr>
                <w:rFonts w:eastAsia="Calibri"/>
                <w:iCs/>
                <w:szCs w:val="24"/>
              </w:rPr>
              <w:t>eikla 100 procentų prisideda prie klimato kaitos švelninimo tikslo</w:t>
            </w:r>
            <w:r w:rsidR="00734797">
              <w:rPr>
                <w:rFonts w:eastAsia="Calibri"/>
                <w:iCs/>
                <w:szCs w:val="24"/>
              </w:rPr>
              <w:t>.</w:t>
            </w:r>
          </w:p>
          <w:p w14:paraId="0E2D5730" w14:textId="77777777" w:rsidR="007B00A2" w:rsidRDefault="007B00A2" w:rsidP="007B00A2">
            <w:pPr>
              <w:tabs>
                <w:tab w:val="left" w:pos="589"/>
              </w:tabs>
              <w:jc w:val="both"/>
              <w:rPr>
                <w:rFonts w:eastAsia="Calibri"/>
                <w:i/>
                <w:sz w:val="20"/>
              </w:rPr>
            </w:pP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04AB7152" w14:textId="5D6CC122" w:rsidR="007B00A2" w:rsidRPr="00544A2D" w:rsidRDefault="007E0330" w:rsidP="007B00A2">
            <w:pPr>
              <w:jc w:val="both"/>
              <w:rPr>
                <w:szCs w:val="24"/>
              </w:rPr>
            </w:pPr>
            <w:r w:rsidRPr="007E0330">
              <w:rPr>
                <w:bCs/>
                <w:szCs w:val="24"/>
              </w:rPr>
              <w:t xml:space="preserve">Vertinama, kad planuojama įgyvendinti </w:t>
            </w:r>
            <w:r w:rsidR="00204E04">
              <w:rPr>
                <w:bCs/>
                <w:szCs w:val="24"/>
              </w:rPr>
              <w:t xml:space="preserve">veikla </w:t>
            </w:r>
            <w:r w:rsidR="007B00A2" w:rsidRPr="00544A2D">
              <w:rPr>
                <w:szCs w:val="24"/>
              </w:rPr>
              <w:t xml:space="preserve">dėl savo pobūdžio neturės jokio neigiamo tiesioginio ar netiesioginio poveikio </w:t>
            </w:r>
            <w:r w:rsidR="007B00A2" w:rsidRPr="00544A2D">
              <w:rPr>
                <w:bCs/>
                <w:szCs w:val="24"/>
              </w:rPr>
              <w:t>viso gyvavimo ciklo metu</w:t>
            </w:r>
            <w:r w:rsidR="007B00A2" w:rsidRPr="00544A2D">
              <w:rPr>
                <w:szCs w:val="24"/>
              </w:rPr>
              <w:t xml:space="preserve"> prisitaikymui prie klimato kaitos tikslo ir neigiamos įtakos žmonėms, gamtai ar turtui, kadangi </w:t>
            </w:r>
            <w:r w:rsidR="007B00A2" w:rsidRPr="00544A2D">
              <w:rPr>
                <w:bCs/>
                <w:szCs w:val="24"/>
              </w:rPr>
              <w:t>investuoja</w:t>
            </w:r>
            <w:r w:rsidR="00B138BD">
              <w:rPr>
                <w:bCs/>
                <w:szCs w:val="24"/>
              </w:rPr>
              <w:t>ma į  AEI naudojančius gamybos į</w:t>
            </w:r>
            <w:r w:rsidR="007B00A2" w:rsidRPr="00544A2D">
              <w:rPr>
                <w:bCs/>
                <w:szCs w:val="24"/>
              </w:rPr>
              <w:t>rengimus ir naujas AEI efektyvesnio panaudojimo technologijas.</w:t>
            </w:r>
          </w:p>
          <w:p w14:paraId="4027186D" w14:textId="77777777" w:rsidR="007B00A2" w:rsidRPr="00544A2D" w:rsidRDefault="007B00A2" w:rsidP="007B00A2">
            <w:pPr>
              <w:jc w:val="both"/>
              <w:rPr>
                <w:szCs w:val="24"/>
              </w:rPr>
            </w:pPr>
            <w:r w:rsidRPr="00544A2D">
              <w:rPr>
                <w:szCs w:val="24"/>
              </w:rPr>
              <w:t>Įgyvendinat veiklas bus laikomasi energijos efektyvumo elgesio kodekse ir kituose dokumentuose, nurodytuose 2021 m. birželio 4 d. Komisijos deleguotajame reglamente (ES) 2021/2139, nustatytų reikalavimų.</w:t>
            </w:r>
          </w:p>
          <w:p w14:paraId="5AF2AC46" w14:textId="36E0EBEF" w:rsidR="007B00A2" w:rsidRDefault="007B00A2" w:rsidP="00590FB9">
            <w:pPr>
              <w:jc w:val="both"/>
              <w:rPr>
                <w:rFonts w:eastAsia="Calibri"/>
                <w:bCs/>
                <w:szCs w:val="24"/>
              </w:rPr>
            </w:pPr>
            <w:r w:rsidRPr="00544A2D">
              <w:rPr>
                <w:szCs w:val="24"/>
              </w:rPr>
              <w:t xml:space="preserve">Įsigyjama įranga/technologinių procesų infrastruktūra privalės atitikti (tai bus numatoma atitinkamuose įrangos įsigijimo dokumentuose) efektyvumo, tvarumo, ilgaamžiškumo reikalavimus pagal Direktyvą 2009/125/EC ir Direktyvą 2011/65/EU. </w:t>
            </w:r>
          </w:p>
        </w:tc>
        <w:tc>
          <w:tcPr>
            <w:tcW w:w="4224" w:type="dxa"/>
          </w:tcPr>
          <w:p w14:paraId="2AC7E34E" w14:textId="2974A4F6" w:rsidR="007B00A2" w:rsidRPr="0031784B" w:rsidRDefault="0031784B" w:rsidP="007B00A2">
            <w:pPr>
              <w:jc w:val="both"/>
              <w:rPr>
                <w:rFonts w:eastAsia="Calibri"/>
                <w:bCs/>
                <w:szCs w:val="24"/>
              </w:rPr>
            </w:pPr>
            <w:r w:rsidRPr="0031784B">
              <w:rPr>
                <w:rFonts w:eastAsia="Calibri"/>
                <w:bCs/>
                <w:szCs w:val="24"/>
              </w:rPr>
              <w:t>Veikla neturės tiesioginio ar netiesioginio neigiamo poveikio prisitaikymo prie klimato kaitos tikslui, todėl pagrindimo dokumentai neteikiami</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57E1DF66" w14:textId="77777777" w:rsidR="007B00A2" w:rsidRPr="00544A2D" w:rsidRDefault="007B00A2" w:rsidP="007B00A2">
            <w:pPr>
              <w:jc w:val="both"/>
              <w:rPr>
                <w:rFonts w:eastAsia="Calibri"/>
                <w:bCs/>
                <w:szCs w:val="24"/>
              </w:rPr>
            </w:pPr>
            <w:r w:rsidRPr="00544A2D">
              <w:rPr>
                <w:bCs/>
                <w:szCs w:val="24"/>
              </w:rPr>
              <w:t xml:space="preserve">Vertinama, kad planuojama įgyvendinti veikla, </w:t>
            </w:r>
            <w:r w:rsidRPr="00544A2D">
              <w:rPr>
                <w:rFonts w:eastAsia="Calibri"/>
                <w:bCs/>
                <w:szCs w:val="24"/>
              </w:rPr>
              <w:t>neturi jokio numatomo neigiamo tiesioginio ar netiesioginio poveikio šiam aplinkos tikslui arba numatomas jos poveikis yra nereikšmingas, t. y. nedaro tiesioginio ir pirminio netiesioginio poveikio per visą gyvavimo ciklą, todėl laikoma, kad ši veikla atitinka</w:t>
            </w:r>
            <w:r w:rsidRPr="00544A2D">
              <w:rPr>
                <w:rFonts w:eastAsia="Calibri"/>
                <w:b/>
                <w:bCs/>
                <w:szCs w:val="24"/>
              </w:rPr>
              <w:t xml:space="preserve"> </w:t>
            </w:r>
            <w:r w:rsidRPr="00544A2D">
              <w:rPr>
                <w:rFonts w:eastAsia="Calibri"/>
                <w:bCs/>
                <w:szCs w:val="24"/>
              </w:rPr>
              <w:t xml:space="preserve">Tausus vandens ir jūrų išteklių naudojimas ir apsauga, tikslą. </w:t>
            </w:r>
          </w:p>
          <w:p w14:paraId="0F4443CB" w14:textId="77777777" w:rsidR="007B00A2" w:rsidRPr="00544A2D" w:rsidRDefault="007B00A2" w:rsidP="007B00A2">
            <w:pPr>
              <w:jc w:val="both"/>
              <w:rPr>
                <w:rFonts w:eastAsia="Calibri"/>
                <w:bCs/>
                <w:szCs w:val="24"/>
              </w:rPr>
            </w:pPr>
            <w:r w:rsidRPr="00544A2D">
              <w:rPr>
                <w:rFonts w:eastAsia="Calibri"/>
                <w:bCs/>
                <w:szCs w:val="24"/>
              </w:rPr>
              <w:t>Įgyvendinat veiklas bus laikomasi energijos efektyvumo elgesio kodekse ir kituose dokumentuose, nurodytuose 2021 m. birželio 4 d. Komisijos deleguotajame reglamente (ES) 2021/2139, nustatytų reikalavimų.</w:t>
            </w:r>
          </w:p>
          <w:p w14:paraId="68CC4F56" w14:textId="48E98043" w:rsidR="007B00A2" w:rsidRDefault="007B00A2" w:rsidP="007B00A2">
            <w:pPr>
              <w:jc w:val="both"/>
              <w:rPr>
                <w:rFonts w:eastAsia="Calibri"/>
                <w:b/>
                <w:szCs w:val="24"/>
              </w:rPr>
            </w:pPr>
            <w:r w:rsidRPr="00544A2D">
              <w:rPr>
                <w:rFonts w:eastAsia="Calibri"/>
                <w:bCs/>
                <w:szCs w:val="24"/>
              </w:rPr>
              <w:t>Planuojama įsigyti įranga/kuriamos technologijos privalės atitikti (tai bus numatoma atitinkamuose įrangos įsigijimo dokumentuose) efektyvumo, tvarumo, ilgaamžiškumo reikalavimus pagal Direktyvą 2009/125/EC ir Direktyvą 2011/65/EU.</w:t>
            </w:r>
          </w:p>
        </w:tc>
        <w:tc>
          <w:tcPr>
            <w:tcW w:w="4224" w:type="dxa"/>
          </w:tcPr>
          <w:p w14:paraId="010C9600" w14:textId="25B46D6C" w:rsidR="007B00A2" w:rsidRDefault="006206D2" w:rsidP="007B00A2">
            <w:pPr>
              <w:jc w:val="both"/>
              <w:rPr>
                <w:rFonts w:eastAsia="Calibri"/>
                <w:bCs/>
                <w:szCs w:val="24"/>
              </w:rPr>
            </w:pPr>
            <w:r w:rsidRPr="006206D2">
              <w:rPr>
                <w:rFonts w:eastAsia="Calibri"/>
                <w:bCs/>
                <w:szCs w:val="24"/>
              </w:rPr>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„Tausus vandens ir jūrų išteklių naudojimas ir apsauga“ aplinkos tikslas </w:t>
            </w:r>
            <w:r w:rsidRPr="006206D2">
              <w:rPr>
                <w:rFonts w:eastAsia="Calibri"/>
                <w:bCs/>
                <w:szCs w:val="24"/>
              </w:rPr>
              <w:lastRenderedPageBreak/>
              <w:t>netaikomas, todėl pagrindimo dokumentai neteikiami.</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7229" w:type="dxa"/>
          </w:tcPr>
          <w:p w14:paraId="4B570439" w14:textId="77777777" w:rsidR="007B00A2" w:rsidRDefault="007B00A2" w:rsidP="007B00A2">
            <w:pPr>
              <w:jc w:val="both"/>
              <w:rPr>
                <w:szCs w:val="24"/>
              </w:rPr>
            </w:pPr>
            <w:r w:rsidRPr="00544A2D">
              <w:rPr>
                <w:szCs w:val="24"/>
              </w:rPr>
              <w:t xml:space="preserve">Vertinama, kad planuojama įgyvendinti veikla, neturi jokio numatomo neigiamo tiesioginio ar netiesioginio poveikio šiam aplinkos tikslui arba numatomas jos poveikis yra nereikšmingas, t. y. nedaro tiesioginio ir pirminio netiesioginio poveikio per visą gyvavimo ciklą, todėl laikoma, kad ši veikla atitinka Žiedinė ekonomika, įskaitant atliekų prevenciją ir perdirbimą, tikslą. </w:t>
            </w:r>
          </w:p>
          <w:p w14:paraId="6449EBA7" w14:textId="77777777" w:rsidR="007B00A2" w:rsidRPr="00F2768E" w:rsidRDefault="007B00A2" w:rsidP="007B00A2">
            <w:pPr>
              <w:jc w:val="both"/>
              <w:rPr>
                <w:szCs w:val="24"/>
              </w:rPr>
            </w:pPr>
            <w:r w:rsidRPr="00544A2D">
              <w:rPr>
                <w:szCs w:val="24"/>
              </w:rPr>
              <w:t>Įgyvendinat veiklas bus laikomasi energijos efektyvumo elgesio kodekse ir kituose dokumentuose, nurodytuose 2021 m. birželio 4 d. Komisijos deleguotajame reglamente (ES</w:t>
            </w:r>
            <w:r w:rsidRPr="00F2768E">
              <w:rPr>
                <w:szCs w:val="24"/>
              </w:rPr>
              <w:t>) 2021/2139, nustatytų reikalavimų, taip pat vadovaujamasi Europos Parlamento ir Tarybos Direktyva (ES) 2018 m. gruodžio 11 d. 2018/2001 dėl skatinimo naudoti atsinaujinančiųjų išteklių energiją, bendrosios išimties reglamento nuostatomis, kuriuose nustatyti reikalavimai užtikrinti taršos prevenciją ir kontrolę, tausų išteklių naudojimą ir apsaugą.</w:t>
            </w:r>
          </w:p>
          <w:p w14:paraId="02E2438F" w14:textId="77777777" w:rsidR="007B00A2" w:rsidRPr="00F2768E" w:rsidRDefault="007B00A2" w:rsidP="007B00A2">
            <w:pPr>
              <w:jc w:val="both"/>
              <w:rPr>
                <w:szCs w:val="24"/>
              </w:rPr>
            </w:pPr>
            <w:r w:rsidRPr="00F2768E">
              <w:rPr>
                <w:szCs w:val="24"/>
              </w:rPr>
              <w:t>Kadangi investuojama į  AEI naudojančius gamybos įrengimus ir naujų AEI efektyvesnio panaudojimo technologijų kūrimą ir diegimą, numatoma, kad įranga privalės atitikti (tai bus numatoma atitinkamuose įrangos įsigijimo dokumentuose) efektyvumo, tvarumo, ilgaamžiškumo reikalavimus pagal Direktyvą 2009/125/EC ir Direktyvą 2011/65/EU.</w:t>
            </w:r>
          </w:p>
          <w:p w14:paraId="75216612" w14:textId="3D4668EA" w:rsidR="007B00A2" w:rsidRDefault="007B00A2" w:rsidP="007B00A2">
            <w:pPr>
              <w:jc w:val="both"/>
              <w:rPr>
                <w:rFonts w:eastAsia="Calibri"/>
                <w:bCs/>
                <w:szCs w:val="24"/>
              </w:rPr>
            </w:pPr>
            <w:r w:rsidRPr="00544A2D">
              <w:rPr>
                <w:szCs w:val="24"/>
              </w:rPr>
              <w:t>Pasibaigus įsigytos įrangos naudingo tarnavimo laikui, įrangos tiekėjai (pardavėjai) privalės (tai bus numatoma atitinkamuose įrangos įsigijimo dokumentuose) įrangos atliekas sutvarkyti vadovaudamiesi Direktyvos 2012/19/EU reikalavimais.</w:t>
            </w:r>
          </w:p>
        </w:tc>
        <w:tc>
          <w:tcPr>
            <w:tcW w:w="4224" w:type="dxa"/>
          </w:tcPr>
          <w:p w14:paraId="562D1748" w14:textId="09564B4B" w:rsidR="004E42FE" w:rsidRPr="004E42FE" w:rsidRDefault="00FF0FDE" w:rsidP="004E42FE">
            <w:pPr>
              <w:jc w:val="both"/>
              <w:rPr>
                <w:rFonts w:eastAsia="Calibri"/>
                <w:szCs w:val="24"/>
              </w:rPr>
            </w:pPr>
            <w:r w:rsidRPr="00FF0FDE">
              <w:rPr>
                <w:rFonts w:eastAsia="Calibri"/>
                <w:bCs/>
                <w:szCs w:val="24"/>
              </w:rPr>
              <w:t xml:space="preserve">Pareiškėjas PĮP </w:t>
            </w:r>
            <w:r w:rsidR="004E42FE" w:rsidRPr="004E42FE">
              <w:rPr>
                <w:rFonts w:eastAsia="Calibri"/>
                <w:bCs/>
                <w:szCs w:val="24"/>
              </w:rPr>
              <w:t>turės patvirtinti, kad  bus laikomasi reikalavimų dėl statybinių atliekų susidarymo ir tvarkymo,</w:t>
            </w:r>
            <w:r w:rsidR="004E42FE" w:rsidRPr="004E42FE">
              <w:rPr>
                <w:rFonts w:eastAsia="Calibri"/>
                <w:szCs w:val="24"/>
              </w:rPr>
              <w:t xml:space="preserve"> nustatytų Statybinių atliekų tvarkymo taisyklėse, patvirtintose Lietuvos Respublikos aplinkos ministro 2006 m. gruodžio 29 d. įsakymu Nr. D1-637 „Dėl statybinių atliekų tvarkymo taisyklių patvirtinimo“. </w:t>
            </w:r>
          </w:p>
          <w:p w14:paraId="7CBBE821" w14:textId="77777777" w:rsidR="00FF0FDE" w:rsidRDefault="00FF0FDE" w:rsidP="00FF0FDE">
            <w:pPr>
              <w:jc w:val="both"/>
              <w:rPr>
                <w:rFonts w:eastAsia="Calibri"/>
                <w:szCs w:val="24"/>
              </w:rPr>
            </w:pPr>
            <w:r w:rsidRPr="00FF0FDE">
              <w:rPr>
                <w:rFonts w:eastAsia="Calibri"/>
                <w:szCs w:val="24"/>
              </w:rPr>
              <w:t>Dėl įdiegtos įrangos eksploatavimo laiko pabaigos, pateikti dokumentą su informacija, kaip bus utilizuota įranga pasibaigus jos eksploatacijos laikui.</w:t>
            </w:r>
          </w:p>
          <w:p w14:paraId="1D55BFC5" w14:textId="59DEDD3D" w:rsidR="004E42FE" w:rsidRDefault="004E42FE" w:rsidP="00E506AB">
            <w:pPr>
              <w:jc w:val="both"/>
              <w:rPr>
                <w:rFonts w:eastAsia="Calibri"/>
                <w:szCs w:val="24"/>
              </w:rPr>
            </w:pP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2D3BE011" w14:textId="77777777" w:rsidR="004E42FE" w:rsidRPr="00544A2D" w:rsidRDefault="004E42FE" w:rsidP="004E42FE">
            <w:pPr>
              <w:jc w:val="both"/>
              <w:rPr>
                <w:szCs w:val="24"/>
              </w:rPr>
            </w:pPr>
            <w:r w:rsidRPr="00544A2D">
              <w:rPr>
                <w:szCs w:val="24"/>
              </w:rPr>
              <w:t xml:space="preserve">Vertinama, kad planuojama įgyvendinti veikla, neturi jokio numatomo neigiamo tiesioginio ar netiesioginio poveikio šiam aplinkos tikslui arba numatomas jos poveikis yra nereikšmingas, t. y. nedaro tiesioginio ir pirminio netiesioginio poveikio per visą gyvavimo ciklą, todėl laikoma, kad ši veikla atitinka Oro, vandens ar žemės taršos prevencija ir kontrolė, tikslą. </w:t>
            </w:r>
          </w:p>
          <w:p w14:paraId="6D0FC976" w14:textId="77777777" w:rsidR="004E42FE" w:rsidRPr="00544A2D" w:rsidRDefault="004E42FE" w:rsidP="004E42FE">
            <w:pPr>
              <w:jc w:val="both"/>
              <w:rPr>
                <w:szCs w:val="24"/>
              </w:rPr>
            </w:pPr>
            <w:r w:rsidRPr="00544A2D">
              <w:rPr>
                <w:szCs w:val="24"/>
              </w:rPr>
              <w:lastRenderedPageBreak/>
              <w:t>Kadangi investuojama į  AEI naudojančius gamybos įrengimus ir naujų AEI efektyvesnio panaudojimo technologijų kūrimą ir diegimą, numatoma, kad įranga privalės atitikti visus aukščiausius kokybės reikalavimus todėl nenumatoma, kad padidės teršalų išmetimas į orą, vandenį ar žemę.</w:t>
            </w:r>
          </w:p>
          <w:p w14:paraId="11B0932E" w14:textId="77777777" w:rsidR="004E42FE" w:rsidRPr="00971B33" w:rsidRDefault="004E42FE" w:rsidP="004E42FE">
            <w:pPr>
              <w:jc w:val="both"/>
              <w:rPr>
                <w:szCs w:val="24"/>
              </w:rPr>
            </w:pPr>
            <w:r w:rsidRPr="00971B33">
              <w:rPr>
                <w:szCs w:val="24"/>
              </w:rPr>
              <w:t>Įgyvendinat veiklas bus laikomasi energijos efektyvumo elgesio kodekse ir kituose dokumentuose, nurodytuose 2021 m. birželio 4 d. Komisijos deleguotajame reglamente (ES) 2021/2139, nustatytų reikalavimų.</w:t>
            </w:r>
          </w:p>
          <w:p w14:paraId="5DB5309B" w14:textId="3E0B00FC" w:rsidR="004E42FE" w:rsidRDefault="004E42FE" w:rsidP="004E42FE">
            <w:pPr>
              <w:jc w:val="both"/>
              <w:rPr>
                <w:rFonts w:eastAsia="Calibri"/>
                <w:b/>
                <w:szCs w:val="24"/>
              </w:rPr>
            </w:pPr>
            <w:r w:rsidRPr="00971B33">
              <w:rPr>
                <w:szCs w:val="24"/>
              </w:rPr>
              <w:t>Planuojama įsigyti įranga/kuriamos technologijos privalės atitikti (tai bus numatoma atitinkamuose įrangos įsigijimo dokumentuose) efektyvumo, tvarumo, ilgaamžiškumo reikalavimus pagal Direktyvą 2009/125/EC ir Direktyvą 2011/65/EU.</w:t>
            </w:r>
          </w:p>
        </w:tc>
        <w:tc>
          <w:tcPr>
            <w:tcW w:w="4224" w:type="dxa"/>
          </w:tcPr>
          <w:p w14:paraId="0B168C2B" w14:textId="33D09433" w:rsidR="004E42FE" w:rsidRDefault="004E42FE" w:rsidP="004E42FE">
            <w:pPr>
              <w:jc w:val="both"/>
              <w:rPr>
                <w:rFonts w:eastAsia="Calibri"/>
                <w:szCs w:val="24"/>
              </w:rPr>
            </w:pPr>
            <w:r>
              <w:lastRenderedPageBreak/>
              <w:t xml:space="preserve">Vadovaujantis 2021 m. birželio 4 d. Komisijos deleguotojo reglamento (ES) 2021/2139, kuriuo Europos Parlamento ir Tarybos reglamentas (ES) 2020/852 papildomas nustatant techninės analizės kriterijus, pagal kuriuos nustatoma, kokiomis sąlygomis ekonominė veikla </w:t>
            </w:r>
            <w:r>
              <w:lastRenderedPageBreak/>
              <w:t>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Pr>
                <w:rFonts w:eastAsia="Calibri"/>
                <w:bCs/>
                <w:szCs w:val="24"/>
              </w:rPr>
              <w:t>Oro, vandens ar žemės taršos prevencija ir kontrolė</w:t>
            </w:r>
            <w:r>
              <w:rPr>
                <w:rFonts w:eastAsia="Calibri"/>
                <w:szCs w:val="24"/>
              </w:rPr>
              <w:t>“</w:t>
            </w:r>
            <w:r>
              <w:t xml:space="preserve"> aplinkos tikslas netaikomas, todėl pagrindimo dokumentai neteikiami.</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7229" w:type="dxa"/>
          </w:tcPr>
          <w:p w14:paraId="456AD475" w14:textId="77777777" w:rsidR="004E42FE" w:rsidRPr="006C2EBB" w:rsidRDefault="004E42FE" w:rsidP="004E42FE">
            <w:pPr>
              <w:jc w:val="both"/>
              <w:rPr>
                <w:rFonts w:eastAsia="Calibri"/>
                <w:bCs/>
                <w:szCs w:val="24"/>
              </w:rPr>
            </w:pPr>
            <w:r w:rsidRPr="006C2EBB">
              <w:rPr>
                <w:rFonts w:eastAsia="Calibri"/>
                <w:bCs/>
                <w:szCs w:val="24"/>
              </w:rPr>
              <w:t>Vertinama, kad planuojama įgyvendinti veikla, neturi jokio numatomo neigiamo tiesioginio ar netiesioginio poveikio šiam aplinkos tikslui arba numatomas jos poveikis yra nereikšmingas, t. y. nedaro tiesioginio ir pirminio netiesioginio poveikio per visą gyvavimo ciklą, todėl laikoma, kad ši veikla atitinka</w:t>
            </w:r>
            <w:r>
              <w:rPr>
                <w:rFonts w:eastAsia="Calibri"/>
                <w:szCs w:val="24"/>
              </w:rPr>
              <w:t xml:space="preserve"> </w:t>
            </w:r>
            <w:r w:rsidRPr="00310E63">
              <w:rPr>
                <w:rFonts w:eastAsia="Calibri"/>
                <w:bCs/>
                <w:szCs w:val="24"/>
              </w:rPr>
              <w:t>Biologinės įvairovės ir ekosistemų apsauga ir atkūrimas</w:t>
            </w:r>
            <w:r w:rsidRPr="006C2EBB">
              <w:rPr>
                <w:rFonts w:eastAsia="Calibri"/>
                <w:bCs/>
                <w:szCs w:val="24"/>
              </w:rPr>
              <w:t xml:space="preserve">, tikslą. </w:t>
            </w:r>
          </w:p>
          <w:p w14:paraId="2E657149" w14:textId="77777777" w:rsidR="004E42FE" w:rsidRPr="00A652FD" w:rsidRDefault="004E42FE" w:rsidP="004E42FE">
            <w:pPr>
              <w:jc w:val="both"/>
              <w:rPr>
                <w:szCs w:val="24"/>
              </w:rPr>
            </w:pPr>
            <w:r w:rsidRPr="00A652FD">
              <w:rPr>
                <w:szCs w:val="24"/>
              </w:rPr>
              <w:t>Įsigyjama įranga</w:t>
            </w:r>
            <w:r>
              <w:rPr>
                <w:szCs w:val="24"/>
              </w:rPr>
              <w:t>/kuriamos technologijos</w:t>
            </w:r>
            <w:r w:rsidRPr="00A652FD">
              <w:rPr>
                <w:szCs w:val="24"/>
              </w:rPr>
              <w:t xml:space="preserve"> privalės atitikti (tai bus numatoma atitinkamuose įrangos įsigijimo dokumentuose) efektyvumo, tvarumo, ilgaamžiškumo reikalavimus pagal Direktyvą 2009/125/EC ir Direktyvą 2011/65/EU. </w:t>
            </w:r>
          </w:p>
          <w:p w14:paraId="04B7BCC3" w14:textId="77777777" w:rsidR="004E42FE" w:rsidRPr="00A652FD" w:rsidRDefault="004E42FE" w:rsidP="004E42FE">
            <w:pPr>
              <w:jc w:val="both"/>
              <w:rPr>
                <w:bCs/>
                <w:szCs w:val="24"/>
              </w:rPr>
            </w:pPr>
            <w:r w:rsidRPr="00A652FD">
              <w:rPr>
                <w:bCs/>
                <w:szCs w:val="24"/>
              </w:rPr>
              <w:t>Įgyvendinat veiklas bus laikomasi energijos efektyvumo elgesio kodekse ir kituose dokumentuose, nurodytuose 2021 m. birželio 4 d. Komisijos deleguotajame reglamente (ES) 2021/2139, nustatytų reikalavimų.</w:t>
            </w:r>
          </w:p>
          <w:p w14:paraId="3913060A" w14:textId="17D14402" w:rsidR="004E42FE" w:rsidRDefault="004E42FE" w:rsidP="004E42FE">
            <w:pPr>
              <w:jc w:val="both"/>
              <w:rPr>
                <w:rFonts w:eastAsia="Calibri"/>
                <w:b/>
                <w:szCs w:val="24"/>
              </w:rPr>
            </w:pPr>
            <w:r w:rsidRPr="00A652FD">
              <w:rPr>
                <w:szCs w:val="24"/>
              </w:rPr>
              <w:t>Planuojamos įgyvendinti veiklos bus vykdomos jau urbanizuotose vietovėse ir neturės poveikio „Natura 2000“ teritorijoms, biologinei įvairovei ir ekosistemai.</w:t>
            </w:r>
          </w:p>
        </w:tc>
        <w:tc>
          <w:tcPr>
            <w:tcW w:w="4224" w:type="dxa"/>
          </w:tcPr>
          <w:p w14:paraId="471F0674" w14:textId="77777777" w:rsidR="004E42FE" w:rsidRPr="007B00A2" w:rsidRDefault="004E42FE" w:rsidP="004E42FE">
            <w:pPr>
              <w:tabs>
                <w:tab w:val="left" w:pos="589"/>
              </w:tabs>
              <w:jc w:val="both"/>
              <w:rPr>
                <w:rFonts w:eastAsia="Calibri"/>
                <w:iCs/>
                <w:szCs w:val="24"/>
              </w:rPr>
            </w:pPr>
            <w:r w:rsidRPr="007B00A2">
              <w:rPr>
                <w:rFonts w:eastAsia="Calibri"/>
                <w:iCs/>
                <w:szCs w:val="24"/>
              </w:rPr>
              <w:t>Netaikoma.</w:t>
            </w:r>
          </w:p>
          <w:p w14:paraId="29DB8035" w14:textId="77777777" w:rsidR="004E42FE" w:rsidRDefault="004E42FE" w:rsidP="004E42FE">
            <w:pPr>
              <w:jc w:val="both"/>
              <w:rPr>
                <w:rFonts w:eastAsia="Calibri"/>
                <w:szCs w:val="24"/>
              </w:rPr>
            </w:pPr>
          </w:p>
        </w:tc>
      </w:tr>
    </w:tbl>
    <w:p w14:paraId="6DCF207B" w14:textId="77777777" w:rsidR="00E84937" w:rsidRDefault="00E84937" w:rsidP="00E84937"/>
    <w:p w14:paraId="3E1E054C" w14:textId="77777777" w:rsidR="00E84937" w:rsidRDefault="00E84937" w:rsidP="00E84937">
      <w:pPr>
        <w:spacing w:line="276" w:lineRule="auto"/>
        <w:jc w:val="center"/>
        <w:rPr>
          <w:sz w:val="22"/>
          <w:szCs w:val="22"/>
          <w:u w:val="single"/>
        </w:rPr>
      </w:pPr>
      <w:r>
        <w:rPr>
          <w:rFonts w:ascii="Calibri" w:eastAsia="Calibri" w:hAnsi="Calibri"/>
          <w:sz w:val="22"/>
          <w:szCs w:val="22"/>
          <w:u w:val="single"/>
        </w:rPr>
        <w:t>________________</w:t>
      </w:r>
    </w:p>
    <w:p w14:paraId="4D2C6967" w14:textId="3BD47E71" w:rsidR="00E84937" w:rsidRDefault="00E84937">
      <w:pPr>
        <w:spacing w:line="276" w:lineRule="auto"/>
        <w:jc w:val="center"/>
        <w:rPr>
          <w:szCs w:val="24"/>
        </w:rPr>
      </w:pPr>
    </w:p>
    <w:p w14:paraId="6049D8B8" w14:textId="77777777" w:rsidR="00A13FE6" w:rsidRDefault="00A13FE6" w:rsidP="006475ED">
      <w:pPr>
        <w:ind w:left="9180"/>
        <w:jc w:val="both"/>
        <w:rPr>
          <w:szCs w:val="24"/>
        </w:rPr>
      </w:pPr>
      <w:bookmarkStart w:id="14" w:name="_Hlk111119221"/>
    </w:p>
    <w:p w14:paraId="72D4E325" w14:textId="12E1175C" w:rsidR="006475ED" w:rsidRPr="006475ED" w:rsidRDefault="006475ED" w:rsidP="006475ED">
      <w:pPr>
        <w:ind w:left="9180"/>
        <w:jc w:val="both"/>
        <w:rPr>
          <w:bCs/>
          <w:szCs w:val="24"/>
        </w:rPr>
      </w:pPr>
      <w:r w:rsidRPr="006475ED">
        <w:rPr>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Pr="006475ED">
        <w:rPr>
          <w:bCs/>
          <w:szCs w:val="24"/>
        </w:rPr>
        <w:t xml:space="preserve">Skatinti </w:t>
      </w:r>
      <w:r w:rsidRPr="006475ED">
        <w:rPr>
          <w:bCs/>
          <w:iCs/>
          <w:szCs w:val="24"/>
        </w:rPr>
        <w:t xml:space="preserve">atsinaujinančių energijos išteklių </w:t>
      </w:r>
      <w:r w:rsidRPr="006475ED">
        <w:rPr>
          <w:bCs/>
          <w:szCs w:val="24"/>
        </w:rPr>
        <w:t>diegimą pramonės įmonėse</w:t>
      </w:r>
      <w:r w:rsidRPr="006475ED">
        <w:rPr>
          <w:szCs w:val="24"/>
        </w:rPr>
        <w:t xml:space="preserve">“ projektų finansavimo sąlygų aprašo </w:t>
      </w:r>
    </w:p>
    <w:p w14:paraId="6E137C89" w14:textId="77777777" w:rsidR="00D11B16" w:rsidRPr="006D1F1F" w:rsidRDefault="00D11B16" w:rsidP="00D11B16">
      <w:pPr>
        <w:ind w:left="9180"/>
        <w:jc w:val="both"/>
        <w:rPr>
          <w:szCs w:val="24"/>
        </w:rPr>
      </w:pPr>
      <w:r w:rsidRPr="006D1F1F">
        <w:rPr>
          <w:szCs w:val="24"/>
        </w:rPr>
        <w:t>2 priedas</w:t>
      </w:r>
      <w:bookmarkEnd w:id="14"/>
    </w:p>
    <w:p w14:paraId="7C9D7F10" w14:textId="77777777" w:rsidR="00D11B16" w:rsidRPr="00A95DDB" w:rsidRDefault="00D11B16" w:rsidP="00D11B16">
      <w:pPr>
        <w:pStyle w:val="Default"/>
        <w:contextualSpacing/>
        <w:jc w:val="center"/>
        <w:rPr>
          <w:rFonts w:ascii="Times New Roman" w:hAnsi="Times New Roman" w:cs="Times New Roman"/>
          <w:b/>
          <w:bCs/>
          <w:caps/>
        </w:rPr>
      </w:pPr>
    </w:p>
    <w:p w14:paraId="41208D36" w14:textId="77777777" w:rsidR="00D11B16" w:rsidRPr="00A95DDB" w:rsidRDefault="00D11B16" w:rsidP="00D11B16">
      <w:pPr>
        <w:pStyle w:val="Default"/>
        <w:contextualSpacing/>
        <w:jc w:val="center"/>
        <w:rPr>
          <w:rFonts w:ascii="Times New Roman" w:hAnsi="Times New Roman" w:cs="Times New Roman"/>
          <w:b/>
          <w:bCs/>
          <w:caps/>
        </w:rPr>
      </w:pPr>
      <w:r w:rsidRPr="00A95DDB">
        <w:rPr>
          <w:rFonts w:ascii="Times New Roman" w:hAnsi="Times New Roman" w:cs="Times New Roman"/>
          <w:b/>
          <w:bCs/>
          <w:caps/>
        </w:rPr>
        <w:t>PROJEKTŲ ATITIKTIES VALSTYBĖS PAGALBOS TAISYKLĖMS Patikros lapas</w:t>
      </w:r>
    </w:p>
    <w:p w14:paraId="18D628F6" w14:textId="77777777" w:rsidR="00D11B16" w:rsidRPr="00A95DDB" w:rsidRDefault="00D11B16" w:rsidP="00D11B16">
      <w:pPr>
        <w:pStyle w:val="Default"/>
        <w:contextualSpacing/>
        <w:jc w:val="center"/>
        <w:rPr>
          <w:rFonts w:ascii="Times New Roman" w:hAnsi="Times New Roman" w:cs="Times New Roman"/>
          <w:b/>
          <w:bCs/>
          <w:caps/>
          <w:sz w:val="16"/>
          <w:szCs w:val="16"/>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D11B16" w:rsidRPr="00A95DDB" w14:paraId="4C1EFDEC" w14:textId="77777777" w:rsidTr="00DE18B4">
        <w:trPr>
          <w:trHeight w:val="305"/>
        </w:trPr>
        <w:tc>
          <w:tcPr>
            <w:tcW w:w="14562" w:type="dxa"/>
            <w:shd w:val="clear" w:color="auto" w:fill="BFBFBF"/>
          </w:tcPr>
          <w:p w14:paraId="6AEE1EC3" w14:textId="77777777" w:rsidR="00D11B16" w:rsidRPr="00A95DDB" w:rsidRDefault="00D11B16" w:rsidP="00DE18B4">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I. Priemonės teisinis pagrindas</w:t>
            </w:r>
          </w:p>
        </w:tc>
      </w:tr>
      <w:tr w:rsidR="00D11B16" w:rsidRPr="00A95DDB" w14:paraId="0ED417B6" w14:textId="77777777" w:rsidTr="00DE18B4">
        <w:trPr>
          <w:trHeight w:val="934"/>
        </w:trPr>
        <w:tc>
          <w:tcPr>
            <w:tcW w:w="14562" w:type="dxa"/>
            <w:shd w:val="clear" w:color="auto" w:fill="auto"/>
          </w:tcPr>
          <w:p w14:paraId="5C0033E7" w14:textId="77777777" w:rsidR="00D11B16" w:rsidRPr="00A95DDB" w:rsidRDefault="00D11B16" w:rsidP="00DE18B4">
            <w:pPr>
              <w:pStyle w:val="Default"/>
              <w:jc w:val="both"/>
              <w:rPr>
                <w:rFonts w:ascii="Times New Roman" w:eastAsia="Times New Roman" w:hAnsi="Times New Roman" w:cs="Times New Roman"/>
                <w:bCs/>
                <w:color w:val="FF0000"/>
                <w:lang w:eastAsia="lt-LT"/>
              </w:rPr>
            </w:pPr>
            <w:r w:rsidRPr="00A95DDB">
              <w:rPr>
                <w:rFonts w:ascii="Times New Roman" w:eastAsia="Times New Roman" w:hAnsi="Times New Roman" w:cs="Times New Roman"/>
                <w:bCs/>
                <w:color w:val="auto"/>
                <w:lang w:eastAsia="lt-LT"/>
              </w:rPr>
              <w:t xml:space="preserve">2014 m. birželio 17 d. Komisijos reglamentas (ES) Nr. 651/2014, kuriuo tam tikrų kategorijų pagalba skelbiama suderinama su vidaus rinka taikant Sutarties 107 ir 108 straipsnius (OL 2014 L 187, p. 1) (toliau – Reglamentas), </w:t>
            </w:r>
            <w:r w:rsidRPr="00A95DDB">
              <w:rPr>
                <w:rFonts w:ascii="Times New Roman" w:eastAsia="Times New Roman" w:hAnsi="Times New Roman" w:cs="Times New Roman"/>
                <w:b/>
                <w:bCs/>
                <w:color w:val="auto"/>
                <w:lang w:eastAsia="lt-LT"/>
              </w:rPr>
              <w:t>I skyrius, III skyriaus 7 skirsnio „Pagalba aplinkos apsaugai“ 4</w:t>
            </w:r>
            <w:r>
              <w:rPr>
                <w:rFonts w:ascii="Times New Roman" w:eastAsia="Times New Roman" w:hAnsi="Times New Roman" w:cs="Times New Roman"/>
                <w:b/>
                <w:bCs/>
                <w:color w:val="auto"/>
                <w:lang w:eastAsia="lt-LT"/>
              </w:rPr>
              <w:t>1</w:t>
            </w:r>
            <w:r w:rsidRPr="00A95DDB">
              <w:rPr>
                <w:rFonts w:ascii="Times New Roman" w:eastAsia="Times New Roman" w:hAnsi="Times New Roman" w:cs="Times New Roman"/>
                <w:b/>
                <w:bCs/>
                <w:color w:val="auto"/>
                <w:lang w:eastAsia="lt-LT"/>
              </w:rPr>
              <w:t xml:space="preserve"> straipsnis „</w:t>
            </w:r>
            <w:r w:rsidRPr="00F823E2">
              <w:rPr>
                <w:rFonts w:ascii="Times New Roman" w:eastAsia="Times New Roman" w:hAnsi="Times New Roman" w:cs="Times New Roman"/>
                <w:b/>
                <w:bCs/>
                <w:color w:val="auto"/>
                <w:lang w:eastAsia="lt-LT"/>
              </w:rPr>
              <w:t>Investicinė pagalba atsinaujinančių išteklių energijos gamybai skatinti</w:t>
            </w:r>
            <w:r w:rsidRPr="00A95DDB">
              <w:rPr>
                <w:rFonts w:ascii="Times New Roman" w:eastAsia="Times New Roman" w:hAnsi="Times New Roman" w:cs="Times New Roman"/>
                <w:b/>
                <w:bCs/>
                <w:color w:val="auto"/>
                <w:lang w:eastAsia="lt-LT"/>
              </w:rPr>
              <w:t>“.</w:t>
            </w:r>
          </w:p>
        </w:tc>
      </w:tr>
    </w:tbl>
    <w:p w14:paraId="799E5F14" w14:textId="77777777" w:rsidR="00D11B16" w:rsidRPr="00A95DDB" w:rsidRDefault="00D11B16" w:rsidP="00D11B16">
      <w:pPr>
        <w:pStyle w:val="Default"/>
        <w:contextualSpacing/>
        <w:jc w:val="center"/>
        <w:rPr>
          <w:rFonts w:ascii="Times New Roman" w:hAnsi="Times New Roman" w:cs="Times New Roman"/>
          <w:caps/>
          <w:color w:val="auto"/>
        </w:rPr>
      </w:pPr>
    </w:p>
    <w:tbl>
      <w:tblPr>
        <w:tblW w:w="1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58"/>
      </w:tblGrid>
      <w:tr w:rsidR="00D11B16" w:rsidRPr="00A95DDB" w14:paraId="1B831910" w14:textId="77777777" w:rsidTr="00DE18B4">
        <w:trPr>
          <w:trHeight w:val="280"/>
        </w:trPr>
        <w:tc>
          <w:tcPr>
            <w:tcW w:w="14607" w:type="dxa"/>
            <w:gridSpan w:val="2"/>
            <w:shd w:val="clear" w:color="auto" w:fill="BFBFBF"/>
          </w:tcPr>
          <w:p w14:paraId="4BB28AC9" w14:textId="77777777" w:rsidR="00D11B16" w:rsidRPr="00A95DDB" w:rsidRDefault="00D11B16" w:rsidP="00DE18B4">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II. Duomenys apie paraišką/projektą </w:t>
            </w:r>
          </w:p>
        </w:tc>
      </w:tr>
      <w:tr w:rsidR="00D11B16" w:rsidRPr="00A95DDB" w14:paraId="70E51D07" w14:textId="77777777" w:rsidTr="00DE18B4">
        <w:trPr>
          <w:trHeight w:val="422"/>
        </w:trPr>
        <w:tc>
          <w:tcPr>
            <w:tcW w:w="4649" w:type="dxa"/>
            <w:shd w:val="clear" w:color="auto" w:fill="auto"/>
          </w:tcPr>
          <w:p w14:paraId="0F653EB3" w14:textId="77777777" w:rsidR="00D11B16" w:rsidRPr="00A95DDB" w:rsidRDefault="00D11B16" w:rsidP="00DE18B4">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Paraiškos/projekto numeris </w:t>
            </w:r>
          </w:p>
        </w:tc>
        <w:tc>
          <w:tcPr>
            <w:tcW w:w="9958" w:type="dxa"/>
            <w:shd w:val="clear" w:color="auto" w:fill="auto"/>
          </w:tcPr>
          <w:p w14:paraId="3A23223C" w14:textId="77777777" w:rsidR="00D11B16" w:rsidRPr="00A95DDB" w:rsidRDefault="00D11B16" w:rsidP="00DE18B4">
            <w:pPr>
              <w:pStyle w:val="Default"/>
              <w:contextualSpacing/>
              <w:jc w:val="both"/>
              <w:rPr>
                <w:rFonts w:ascii="Times New Roman" w:eastAsia="Times New Roman" w:hAnsi="Times New Roman" w:cs="Times New Roman"/>
                <w:lang w:eastAsia="lt-LT"/>
              </w:rPr>
            </w:pPr>
          </w:p>
        </w:tc>
      </w:tr>
      <w:tr w:rsidR="00D11B16" w:rsidRPr="00A95DDB" w14:paraId="1BD043E5" w14:textId="77777777" w:rsidTr="00DE18B4">
        <w:trPr>
          <w:trHeight w:val="560"/>
        </w:trPr>
        <w:tc>
          <w:tcPr>
            <w:tcW w:w="4649" w:type="dxa"/>
            <w:shd w:val="clear" w:color="auto" w:fill="auto"/>
          </w:tcPr>
          <w:p w14:paraId="20978F74" w14:textId="77777777" w:rsidR="00D11B16" w:rsidRPr="00A95DDB" w:rsidRDefault="00D11B16" w:rsidP="00DE18B4">
            <w:pPr>
              <w:pStyle w:val="Default"/>
              <w:contextualSpacing/>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Pareiškėjo/projekto vykdytojo pavadinimas </w:t>
            </w:r>
          </w:p>
        </w:tc>
        <w:tc>
          <w:tcPr>
            <w:tcW w:w="9958" w:type="dxa"/>
            <w:shd w:val="clear" w:color="auto" w:fill="auto"/>
          </w:tcPr>
          <w:p w14:paraId="71671CFF" w14:textId="77777777" w:rsidR="00D11B16" w:rsidRPr="00A95DDB" w:rsidRDefault="00D11B16" w:rsidP="00DE18B4">
            <w:pPr>
              <w:pStyle w:val="Default"/>
              <w:contextualSpacing/>
              <w:jc w:val="both"/>
              <w:rPr>
                <w:rFonts w:ascii="Times New Roman" w:eastAsia="Times New Roman" w:hAnsi="Times New Roman" w:cs="Times New Roman"/>
                <w:lang w:eastAsia="lt-LT"/>
              </w:rPr>
            </w:pPr>
          </w:p>
        </w:tc>
      </w:tr>
      <w:tr w:rsidR="00D11B16" w:rsidRPr="00A95DDB" w14:paraId="441B91D7" w14:textId="77777777" w:rsidTr="00DE18B4">
        <w:trPr>
          <w:trHeight w:val="280"/>
        </w:trPr>
        <w:tc>
          <w:tcPr>
            <w:tcW w:w="4649" w:type="dxa"/>
            <w:shd w:val="clear" w:color="auto" w:fill="auto"/>
          </w:tcPr>
          <w:p w14:paraId="1FC97957" w14:textId="77777777" w:rsidR="00D11B16" w:rsidRPr="00A95DDB" w:rsidRDefault="00D11B16" w:rsidP="00DE18B4">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Projekto pavadinimas </w:t>
            </w:r>
          </w:p>
        </w:tc>
        <w:tc>
          <w:tcPr>
            <w:tcW w:w="9958" w:type="dxa"/>
            <w:shd w:val="clear" w:color="auto" w:fill="auto"/>
          </w:tcPr>
          <w:p w14:paraId="0F40CD95" w14:textId="77777777" w:rsidR="00D11B16" w:rsidRPr="00A95DDB" w:rsidRDefault="00D11B16" w:rsidP="00DE18B4">
            <w:pPr>
              <w:pStyle w:val="Default"/>
              <w:contextualSpacing/>
              <w:jc w:val="both"/>
              <w:rPr>
                <w:rFonts w:ascii="Times New Roman" w:eastAsia="Times New Roman" w:hAnsi="Times New Roman" w:cs="Times New Roman"/>
                <w:b/>
                <w:bCs/>
                <w:lang w:eastAsia="lt-LT"/>
              </w:rPr>
            </w:pPr>
          </w:p>
        </w:tc>
      </w:tr>
    </w:tbl>
    <w:p w14:paraId="70B6AE3C" w14:textId="77777777" w:rsidR="00D11B16" w:rsidRPr="00A95DDB" w:rsidRDefault="00D11B16" w:rsidP="00D11B16">
      <w:pPr>
        <w:contextualSpacing/>
        <w:rPr>
          <w:szCs w:val="24"/>
        </w:r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4345"/>
        <w:gridCol w:w="3106"/>
        <w:gridCol w:w="149"/>
        <w:gridCol w:w="843"/>
        <w:gridCol w:w="851"/>
        <w:gridCol w:w="1563"/>
        <w:gridCol w:w="2952"/>
      </w:tblGrid>
      <w:tr w:rsidR="00D11B16" w:rsidRPr="00D90E2D" w14:paraId="6180E556" w14:textId="77777777" w:rsidTr="002F14E3">
        <w:tc>
          <w:tcPr>
            <w:tcW w:w="14575" w:type="dxa"/>
            <w:gridSpan w:val="8"/>
            <w:shd w:val="clear" w:color="auto" w:fill="BFBFBF"/>
          </w:tcPr>
          <w:p w14:paraId="2B47186D"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hAnsi="Times New Roman" w:cs="Times New Roman"/>
                <w:b/>
                <w:bCs/>
                <w:lang w:eastAsia="lt-LT"/>
              </w:rPr>
              <w:t>III. Projekto patikra dėl atitikties</w:t>
            </w:r>
            <w:r w:rsidRPr="00D90E2D">
              <w:rPr>
                <w:rFonts w:ascii="Times New Roman" w:hAnsi="Times New Roman" w:cs="Times New Roman"/>
                <w:b/>
                <w:bCs/>
                <w:color w:val="auto"/>
                <w:lang w:eastAsia="lt-LT"/>
              </w:rPr>
              <w:t xml:space="preserve"> Reglamento I skyriaus bendriesiems ir Reglamento III skyriaus 7 skirsnio „Pagalba aplinkos apsaugai“ 41 straipsnio „</w:t>
            </w:r>
            <w:r w:rsidRPr="00D90E2D">
              <w:rPr>
                <w:rFonts w:ascii="Times New Roman" w:eastAsia="Times New Roman" w:hAnsi="Times New Roman" w:cs="Times New Roman"/>
                <w:b/>
                <w:bCs/>
                <w:color w:val="auto"/>
                <w:lang w:eastAsia="lt-LT"/>
              </w:rPr>
              <w:t>Investicinė pagalba atsinaujinančių išteklių energijos gamybai skatinti</w:t>
            </w:r>
            <w:r w:rsidRPr="00D90E2D">
              <w:rPr>
                <w:rFonts w:ascii="Times New Roman" w:hAnsi="Times New Roman" w:cs="Times New Roman"/>
                <w:b/>
                <w:bCs/>
                <w:color w:val="auto"/>
                <w:lang w:eastAsia="lt-LT"/>
              </w:rPr>
              <w:t>“</w:t>
            </w:r>
            <w:r w:rsidRPr="00D90E2D">
              <w:rPr>
                <w:rFonts w:ascii="Times New Roman" w:hAnsi="Times New Roman" w:cs="Times New Roman"/>
                <w:b/>
                <w:bCs/>
                <w:lang w:eastAsia="lt-LT"/>
              </w:rPr>
              <w:t xml:space="preserve"> reikalavimams</w:t>
            </w:r>
          </w:p>
        </w:tc>
      </w:tr>
      <w:tr w:rsidR="00D11B16" w:rsidRPr="00D90E2D" w14:paraId="1E992650" w14:textId="77777777" w:rsidTr="002F14E3">
        <w:tc>
          <w:tcPr>
            <w:tcW w:w="766" w:type="dxa"/>
          </w:tcPr>
          <w:p w14:paraId="28EB08FB" w14:textId="77777777" w:rsidR="00D11B16" w:rsidRPr="00D90E2D" w:rsidRDefault="00D11B16" w:rsidP="00DE18B4">
            <w:pPr>
              <w:pStyle w:val="Default"/>
              <w:tabs>
                <w:tab w:val="left" w:pos="0"/>
              </w:tabs>
              <w:ind w:right="-465"/>
              <w:contextualSpacing/>
              <w:rPr>
                <w:rFonts w:ascii="Times New Roman" w:eastAsia="Times New Roman" w:hAnsi="Times New Roman" w:cs="Times New Roman"/>
                <w:lang w:eastAsia="lt-LT"/>
              </w:rPr>
            </w:pPr>
            <w:r w:rsidRPr="00D90E2D">
              <w:rPr>
                <w:rFonts w:ascii="Times New Roman" w:eastAsia="Times New Roman" w:hAnsi="Times New Roman" w:cs="Times New Roman"/>
                <w:b/>
                <w:bCs/>
                <w:lang w:eastAsia="lt-LT"/>
              </w:rPr>
              <w:t xml:space="preserve">Nr. </w:t>
            </w:r>
          </w:p>
        </w:tc>
        <w:tc>
          <w:tcPr>
            <w:tcW w:w="7451" w:type="dxa"/>
            <w:gridSpan w:val="2"/>
          </w:tcPr>
          <w:p w14:paraId="5BC45EDF"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b/>
                <w:bCs/>
                <w:lang w:eastAsia="lt-LT"/>
              </w:rPr>
              <w:t xml:space="preserve">Klausimai </w:t>
            </w:r>
          </w:p>
        </w:tc>
        <w:tc>
          <w:tcPr>
            <w:tcW w:w="992" w:type="dxa"/>
            <w:gridSpan w:val="2"/>
          </w:tcPr>
          <w:p w14:paraId="17787B1D"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b/>
                <w:bCs/>
                <w:lang w:eastAsia="lt-LT"/>
              </w:rPr>
              <w:t xml:space="preserve">Rezultatas </w:t>
            </w:r>
          </w:p>
        </w:tc>
        <w:tc>
          <w:tcPr>
            <w:tcW w:w="5366" w:type="dxa"/>
            <w:gridSpan w:val="3"/>
          </w:tcPr>
          <w:p w14:paraId="0417C2CF"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Pastabos:</w:t>
            </w:r>
          </w:p>
        </w:tc>
      </w:tr>
      <w:tr w:rsidR="00D11B16" w:rsidRPr="00D90E2D" w14:paraId="1337CFC0" w14:textId="77777777" w:rsidTr="002F14E3">
        <w:trPr>
          <w:trHeight w:val="505"/>
        </w:trPr>
        <w:tc>
          <w:tcPr>
            <w:tcW w:w="14575" w:type="dxa"/>
            <w:gridSpan w:val="8"/>
          </w:tcPr>
          <w:p w14:paraId="745F9DDB" w14:textId="77777777" w:rsidR="00D11B16" w:rsidRPr="00D90E2D" w:rsidRDefault="00D11B16" w:rsidP="00DE18B4">
            <w:pPr>
              <w:pStyle w:val="Default"/>
              <w:contextualSpacing/>
              <w:jc w:val="both"/>
              <w:rPr>
                <w:rFonts w:ascii="Times New Roman" w:eastAsia="Times New Roman" w:hAnsi="Times New Roman" w:cs="Times New Roman"/>
                <w:b/>
                <w:bCs/>
                <w:lang w:eastAsia="lt-LT"/>
              </w:rPr>
            </w:pPr>
            <w:r w:rsidRPr="00D90E2D">
              <w:rPr>
                <w:rFonts w:ascii="Times New Roman" w:eastAsia="Times New Roman" w:hAnsi="Times New Roman" w:cs="Times New Roman"/>
                <w:b/>
                <w:bCs/>
                <w:lang w:eastAsia="lt-LT"/>
              </w:rPr>
              <w:t>Bendrieji reikalavimai</w:t>
            </w:r>
          </w:p>
        </w:tc>
      </w:tr>
      <w:tr w:rsidR="00D11B16" w:rsidRPr="00D90E2D" w14:paraId="4C6A7EA8" w14:textId="77777777" w:rsidTr="002F14E3">
        <w:tc>
          <w:tcPr>
            <w:tcW w:w="766" w:type="dxa"/>
          </w:tcPr>
          <w:p w14:paraId="5F29AF85"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5D3F790D" w14:textId="77777777" w:rsidR="00D11B16" w:rsidRPr="00D90E2D" w:rsidRDefault="00D11B16" w:rsidP="00DE18B4">
            <w:pPr>
              <w:jc w:val="both"/>
              <w:rPr>
                <w:szCs w:val="24"/>
                <w:lang w:eastAsia="lt-LT"/>
              </w:rPr>
            </w:pPr>
            <w:r w:rsidRPr="00D90E2D">
              <w:rPr>
                <w:szCs w:val="24"/>
                <w:lang w:eastAsia="lt-LT"/>
              </w:rPr>
              <w:t xml:space="preserve">Ar pagalba nėra teikiama su eksportu susijusiai veiklai trečiosiose šalyse arba valstybėse narėse, t. y. pagalbai, tiesiogiai susijusiai su eksportuojamais kiekiais, platinimo tinklo kūrimu bei veikla arba su kitomis einamosiomis </w:t>
            </w:r>
            <w:r w:rsidRPr="00D90E2D">
              <w:rPr>
                <w:szCs w:val="24"/>
                <w:lang w:eastAsia="lt-LT"/>
              </w:rPr>
              <w:lastRenderedPageBreak/>
              <w:t>išlaidomis, susijusiomis su eksporto veikla? (Reglamento 1 straipsnio 2 dalies c punktas)</w:t>
            </w:r>
          </w:p>
        </w:tc>
        <w:tc>
          <w:tcPr>
            <w:tcW w:w="992" w:type="dxa"/>
            <w:gridSpan w:val="2"/>
          </w:tcPr>
          <w:p w14:paraId="6713CB9A" w14:textId="77777777" w:rsidR="00D11B16" w:rsidRPr="00D90E2D" w:rsidRDefault="00D11B16" w:rsidP="00DE18B4">
            <w:pPr>
              <w:rPr>
                <w:szCs w:val="24"/>
                <w:lang w:eastAsia="lt-LT"/>
              </w:rPr>
            </w:pPr>
            <w:r w:rsidRPr="00D90E2D">
              <w:rPr>
                <w:szCs w:val="24"/>
                <w:lang w:eastAsia="lt-LT"/>
              </w:rPr>
              <w:lastRenderedPageBreak/>
              <w:t>□ Taip</w:t>
            </w:r>
          </w:p>
        </w:tc>
        <w:tc>
          <w:tcPr>
            <w:tcW w:w="851" w:type="dxa"/>
          </w:tcPr>
          <w:p w14:paraId="7D76B1A7"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4D8A4449" w14:textId="77777777" w:rsidR="00D11B16" w:rsidRPr="00D90E2D" w:rsidRDefault="00D11B16" w:rsidP="00DE18B4">
            <w:pPr>
              <w:autoSpaceDE w:val="0"/>
              <w:autoSpaceDN w:val="0"/>
              <w:adjustRightInd w:val="0"/>
              <w:jc w:val="both"/>
              <w:rPr>
                <w:szCs w:val="24"/>
                <w:lang w:eastAsia="lt-LT"/>
              </w:rPr>
            </w:pPr>
          </w:p>
        </w:tc>
      </w:tr>
      <w:tr w:rsidR="00D11B16" w:rsidRPr="00D90E2D" w14:paraId="0B031FDA" w14:textId="77777777" w:rsidTr="002F14E3">
        <w:tc>
          <w:tcPr>
            <w:tcW w:w="766" w:type="dxa"/>
          </w:tcPr>
          <w:p w14:paraId="2C89E094"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407956AC" w14:textId="77777777" w:rsidR="00D11B16" w:rsidRPr="00D90E2D" w:rsidRDefault="00D11B16" w:rsidP="00DE18B4">
            <w:pPr>
              <w:jc w:val="both"/>
              <w:rPr>
                <w:color w:val="000000"/>
                <w:szCs w:val="24"/>
                <w:lang w:eastAsia="lt-LT"/>
              </w:rPr>
            </w:pPr>
            <w:r w:rsidRPr="00D90E2D">
              <w:rPr>
                <w:color w:val="000000"/>
                <w:szCs w:val="24"/>
                <w:lang w:eastAsia="lt-LT"/>
              </w:rPr>
              <w:t xml:space="preserve">Ar dėl pagalbos nėra remiamas </w:t>
            </w:r>
            <w:r w:rsidRPr="00D90E2D">
              <w:rPr>
                <w:b/>
                <w:bCs/>
                <w:color w:val="000000"/>
                <w:szCs w:val="24"/>
                <w:lang w:eastAsia="lt-LT"/>
              </w:rPr>
              <w:t>vietinių prekių naudojimas</w:t>
            </w:r>
            <w:r w:rsidRPr="00D90E2D">
              <w:rPr>
                <w:color w:val="000000"/>
                <w:szCs w:val="24"/>
                <w:lang w:eastAsia="lt-LT"/>
              </w:rPr>
              <w:t>, vietoj importuojamų prekių? (Reglamento 1 straipsnio 2 dalies d punktas)</w:t>
            </w:r>
          </w:p>
        </w:tc>
        <w:tc>
          <w:tcPr>
            <w:tcW w:w="992" w:type="dxa"/>
            <w:gridSpan w:val="2"/>
          </w:tcPr>
          <w:p w14:paraId="09FED436" w14:textId="77777777" w:rsidR="00D11B16" w:rsidRPr="00D90E2D" w:rsidRDefault="00D11B16" w:rsidP="00DE18B4">
            <w:pPr>
              <w:rPr>
                <w:szCs w:val="24"/>
                <w:lang w:eastAsia="lt-LT"/>
              </w:rPr>
            </w:pPr>
            <w:r w:rsidRPr="00D90E2D">
              <w:rPr>
                <w:szCs w:val="24"/>
                <w:lang w:eastAsia="lt-LT"/>
              </w:rPr>
              <w:t>□ Taip</w:t>
            </w:r>
          </w:p>
        </w:tc>
        <w:tc>
          <w:tcPr>
            <w:tcW w:w="851" w:type="dxa"/>
          </w:tcPr>
          <w:p w14:paraId="101FD949"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30DF8BCE" w14:textId="77777777" w:rsidR="00D11B16" w:rsidRPr="00D90E2D" w:rsidRDefault="00D11B16" w:rsidP="00DE18B4">
            <w:pPr>
              <w:autoSpaceDE w:val="0"/>
              <w:autoSpaceDN w:val="0"/>
              <w:adjustRightInd w:val="0"/>
              <w:jc w:val="both"/>
              <w:rPr>
                <w:szCs w:val="24"/>
                <w:lang w:eastAsia="lt-LT"/>
              </w:rPr>
            </w:pPr>
          </w:p>
        </w:tc>
      </w:tr>
      <w:tr w:rsidR="00D11B16" w:rsidRPr="00D90E2D" w14:paraId="417D36E5" w14:textId="77777777" w:rsidTr="002F14E3">
        <w:tc>
          <w:tcPr>
            <w:tcW w:w="766" w:type="dxa"/>
          </w:tcPr>
          <w:p w14:paraId="11E9A2A6"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lang w:eastAsia="lt-LT"/>
              </w:rPr>
            </w:pPr>
          </w:p>
        </w:tc>
        <w:tc>
          <w:tcPr>
            <w:tcW w:w="7451" w:type="dxa"/>
            <w:gridSpan w:val="2"/>
            <w:shd w:val="clear" w:color="auto" w:fill="auto"/>
          </w:tcPr>
          <w:p w14:paraId="4B11737A" w14:textId="77777777" w:rsidR="00D11B16" w:rsidRPr="00D90E2D" w:rsidRDefault="00D11B16" w:rsidP="00DE18B4">
            <w:pPr>
              <w:spacing w:before="100" w:beforeAutospacing="1" w:after="100" w:afterAutospacing="1"/>
              <w:jc w:val="both"/>
              <w:rPr>
                <w:szCs w:val="24"/>
                <w:lang w:eastAsia="lt-LT"/>
              </w:rPr>
            </w:pPr>
            <w:r w:rsidRPr="00D90E2D">
              <w:rPr>
                <w:szCs w:val="24"/>
                <w:lang w:eastAsia="lt-LT"/>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išskyrus pagalbą mokymui, pagalbą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tc>
          <w:tcPr>
            <w:tcW w:w="992" w:type="dxa"/>
            <w:gridSpan w:val="2"/>
          </w:tcPr>
          <w:p w14:paraId="7787D97F" w14:textId="77777777" w:rsidR="00D11B16" w:rsidRPr="00D90E2D" w:rsidRDefault="00D11B16" w:rsidP="00DE18B4">
            <w:pPr>
              <w:rPr>
                <w:szCs w:val="24"/>
              </w:rPr>
            </w:pPr>
            <w:r w:rsidRPr="00D90E2D">
              <w:rPr>
                <w:szCs w:val="24"/>
                <w:lang w:eastAsia="lt-LT"/>
              </w:rPr>
              <w:t>□ Taip</w:t>
            </w:r>
          </w:p>
        </w:tc>
        <w:tc>
          <w:tcPr>
            <w:tcW w:w="851" w:type="dxa"/>
          </w:tcPr>
          <w:p w14:paraId="31AFD699"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41C86FFE" w14:textId="77777777" w:rsidR="00D11B16" w:rsidRPr="00D90E2D" w:rsidRDefault="00D11B16" w:rsidP="00DE18B4">
            <w:pPr>
              <w:autoSpaceDE w:val="0"/>
              <w:autoSpaceDN w:val="0"/>
              <w:adjustRightInd w:val="0"/>
              <w:jc w:val="both"/>
              <w:rPr>
                <w:szCs w:val="24"/>
                <w:lang w:eastAsia="lt-LT"/>
              </w:rPr>
            </w:pPr>
          </w:p>
        </w:tc>
      </w:tr>
      <w:tr w:rsidR="00D11B16" w:rsidRPr="00D90E2D" w14:paraId="4DA4E3AA" w14:textId="77777777" w:rsidTr="002F14E3">
        <w:tc>
          <w:tcPr>
            <w:tcW w:w="766" w:type="dxa"/>
          </w:tcPr>
          <w:p w14:paraId="7BAFBDF0"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lang w:eastAsia="lt-LT"/>
              </w:rPr>
            </w:pPr>
          </w:p>
        </w:tc>
        <w:tc>
          <w:tcPr>
            <w:tcW w:w="7451" w:type="dxa"/>
            <w:gridSpan w:val="2"/>
            <w:shd w:val="clear" w:color="auto" w:fill="auto"/>
          </w:tcPr>
          <w:p w14:paraId="20169CB8" w14:textId="43552E1C" w:rsidR="00D11B16" w:rsidRPr="00D90E2D" w:rsidRDefault="00131005" w:rsidP="00DE18B4">
            <w:pPr>
              <w:spacing w:before="100" w:beforeAutospacing="1" w:after="100" w:afterAutospacing="1"/>
              <w:jc w:val="both"/>
              <w:rPr>
                <w:color w:val="000000"/>
                <w:szCs w:val="24"/>
                <w:lang w:eastAsia="lt-LT"/>
              </w:rPr>
            </w:pPr>
            <w:r w:rsidRPr="00131005">
              <w:rPr>
                <w:color w:val="000000"/>
                <w:szCs w:val="24"/>
                <w:lang w:eastAsia="lt-LT"/>
              </w:rPr>
              <w:t xml:space="preserve">Ar pagalba nėra teikiama </w:t>
            </w:r>
            <w:r w:rsidRPr="00131005">
              <w:rPr>
                <w:b/>
                <w:bCs/>
                <w:color w:val="000000"/>
                <w:szCs w:val="24"/>
                <w:lang w:eastAsia="lt-LT"/>
              </w:rPr>
              <w:t>pirminės žemės ūkio produktų</w:t>
            </w:r>
            <w:r w:rsidRPr="00131005">
              <w:rPr>
                <w:color w:val="000000"/>
                <w:szCs w:val="24"/>
                <w:vertAlign w:val="superscript"/>
                <w:lang w:eastAsia="lt-LT"/>
              </w:rPr>
              <w:t>i</w:t>
            </w:r>
            <w:r w:rsidRPr="00131005">
              <w:rPr>
                <w:b/>
                <w:bCs/>
                <w:color w:val="000000"/>
                <w:szCs w:val="24"/>
                <w:lang w:eastAsia="lt-LT"/>
              </w:rPr>
              <w:t xml:space="preserve"> gamybos sektoriuje</w:t>
            </w:r>
            <w:r w:rsidRPr="00131005">
              <w:rPr>
                <w:color w:val="000000"/>
                <w:szCs w:val="24"/>
                <w:vertAlign w:val="superscript"/>
                <w:lang w:eastAsia="lt-LT"/>
              </w:rPr>
              <w:t>ii</w:t>
            </w:r>
            <w:r w:rsidRPr="00131005">
              <w:rPr>
                <w:b/>
                <w:bCs/>
                <w:color w:val="000000"/>
                <w:szCs w:val="24"/>
                <w:lang w:eastAsia="lt-LT"/>
              </w:rPr>
              <w:t xml:space="preserve">, </w:t>
            </w:r>
            <w:r w:rsidRPr="00131005">
              <w:rPr>
                <w:color w:val="000000"/>
                <w:szCs w:val="24"/>
                <w:lang w:eastAsia="lt-LT"/>
              </w:rPr>
              <w:t>išskyrus 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 (Reglamento 1 straipsnio 3 dalies b punktas)</w:t>
            </w:r>
          </w:p>
        </w:tc>
        <w:tc>
          <w:tcPr>
            <w:tcW w:w="992" w:type="dxa"/>
            <w:gridSpan w:val="2"/>
          </w:tcPr>
          <w:p w14:paraId="1E87147D" w14:textId="77777777" w:rsidR="00D11B16" w:rsidRPr="00D90E2D" w:rsidRDefault="00D11B16" w:rsidP="00DE18B4">
            <w:pPr>
              <w:rPr>
                <w:szCs w:val="24"/>
              </w:rPr>
            </w:pPr>
            <w:r w:rsidRPr="00D90E2D">
              <w:rPr>
                <w:szCs w:val="24"/>
                <w:lang w:eastAsia="lt-LT"/>
              </w:rPr>
              <w:t>□ Taip</w:t>
            </w:r>
          </w:p>
        </w:tc>
        <w:tc>
          <w:tcPr>
            <w:tcW w:w="851" w:type="dxa"/>
          </w:tcPr>
          <w:p w14:paraId="3F29CA7D"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4149F766" w14:textId="77777777" w:rsidR="00D11B16" w:rsidRPr="00D90E2D" w:rsidRDefault="00D11B16" w:rsidP="00DE18B4">
            <w:pPr>
              <w:autoSpaceDE w:val="0"/>
              <w:autoSpaceDN w:val="0"/>
              <w:adjustRightInd w:val="0"/>
              <w:jc w:val="both"/>
              <w:rPr>
                <w:szCs w:val="24"/>
                <w:lang w:eastAsia="lt-LT"/>
              </w:rPr>
            </w:pPr>
          </w:p>
        </w:tc>
      </w:tr>
      <w:tr w:rsidR="00D11B16" w:rsidRPr="00D90E2D" w14:paraId="7E6D8F93" w14:textId="77777777" w:rsidTr="002F14E3">
        <w:tc>
          <w:tcPr>
            <w:tcW w:w="766" w:type="dxa"/>
          </w:tcPr>
          <w:p w14:paraId="49BEC1E8"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lang w:eastAsia="lt-LT"/>
              </w:rPr>
            </w:pPr>
          </w:p>
        </w:tc>
        <w:tc>
          <w:tcPr>
            <w:tcW w:w="7451" w:type="dxa"/>
            <w:gridSpan w:val="2"/>
            <w:shd w:val="clear" w:color="auto" w:fill="auto"/>
          </w:tcPr>
          <w:p w14:paraId="3621B042" w14:textId="77777777" w:rsidR="00D11B16" w:rsidRPr="00D90E2D" w:rsidRDefault="00D11B16" w:rsidP="00DE18B4">
            <w:pPr>
              <w:jc w:val="both"/>
              <w:rPr>
                <w:szCs w:val="24"/>
                <w:lang w:eastAsia="lt-LT"/>
              </w:rPr>
            </w:pPr>
            <w:r w:rsidRPr="00D90E2D">
              <w:rPr>
                <w:szCs w:val="24"/>
              </w:rPr>
              <w:t>Ar pagalba nėra teikiama žemės ūkio produktų perdirbimo</w:t>
            </w:r>
            <w:r w:rsidRPr="00D90E2D">
              <w:rPr>
                <w:szCs w:val="24"/>
                <w:vertAlign w:val="superscript"/>
              </w:rPr>
              <w:t>iii</w:t>
            </w:r>
            <w:r w:rsidRPr="00D90E2D">
              <w:rPr>
                <w:szCs w:val="24"/>
              </w:rPr>
              <w:t xml:space="preserve"> ir prekybos jais sektoriuje, šiais atvejais: kai pagalbos suma nustatoma pagal iš pirminės produkcijos gamintojų įsigytų arba atitinkamų įmonių rinkai pateiktų tokių produktų kainą arba kiekį; kai pagalba priklauso nuo to, ar ji bus iš dalies arba visa perduota pirminės produkcijos gamintojams? (Reglamento 1 straipsnio 3 dalies c punktas)</w:t>
            </w:r>
          </w:p>
        </w:tc>
        <w:tc>
          <w:tcPr>
            <w:tcW w:w="992" w:type="dxa"/>
            <w:gridSpan w:val="2"/>
          </w:tcPr>
          <w:p w14:paraId="457398B0" w14:textId="77777777" w:rsidR="00D11B16" w:rsidRPr="00D90E2D" w:rsidRDefault="00D11B16" w:rsidP="00DE18B4">
            <w:pPr>
              <w:rPr>
                <w:szCs w:val="24"/>
                <w:lang w:eastAsia="lt-LT"/>
              </w:rPr>
            </w:pPr>
            <w:r w:rsidRPr="00D90E2D">
              <w:rPr>
                <w:szCs w:val="24"/>
                <w:lang w:eastAsia="lt-LT"/>
              </w:rPr>
              <w:t>□ Taip</w:t>
            </w:r>
          </w:p>
        </w:tc>
        <w:tc>
          <w:tcPr>
            <w:tcW w:w="851" w:type="dxa"/>
          </w:tcPr>
          <w:p w14:paraId="7EB56110"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Ne</w:t>
            </w:r>
          </w:p>
        </w:tc>
        <w:tc>
          <w:tcPr>
            <w:tcW w:w="4515" w:type="dxa"/>
            <w:gridSpan w:val="2"/>
          </w:tcPr>
          <w:p w14:paraId="0F59ADCF" w14:textId="77777777" w:rsidR="00D11B16" w:rsidRPr="00D90E2D" w:rsidRDefault="00D11B16" w:rsidP="00DE18B4">
            <w:pPr>
              <w:autoSpaceDE w:val="0"/>
              <w:autoSpaceDN w:val="0"/>
              <w:adjustRightInd w:val="0"/>
              <w:jc w:val="both"/>
              <w:rPr>
                <w:szCs w:val="24"/>
                <w:lang w:eastAsia="lt-LT"/>
              </w:rPr>
            </w:pPr>
          </w:p>
        </w:tc>
      </w:tr>
      <w:tr w:rsidR="00D11B16" w:rsidRPr="00D90E2D" w14:paraId="094D5057" w14:textId="77777777" w:rsidTr="002F14E3">
        <w:tc>
          <w:tcPr>
            <w:tcW w:w="766" w:type="dxa"/>
          </w:tcPr>
          <w:p w14:paraId="4C29EF24"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lang w:eastAsia="lt-LT"/>
              </w:rPr>
            </w:pPr>
          </w:p>
        </w:tc>
        <w:tc>
          <w:tcPr>
            <w:tcW w:w="7451" w:type="dxa"/>
            <w:gridSpan w:val="2"/>
            <w:shd w:val="clear" w:color="auto" w:fill="auto"/>
          </w:tcPr>
          <w:p w14:paraId="7FC811EA" w14:textId="77777777" w:rsidR="00D11B16" w:rsidRPr="00D90E2D" w:rsidRDefault="00D11B16" w:rsidP="00DE18B4">
            <w:pPr>
              <w:spacing w:before="100" w:beforeAutospacing="1" w:after="100" w:afterAutospacing="1"/>
              <w:jc w:val="both"/>
              <w:rPr>
                <w:szCs w:val="24"/>
                <w:lang w:eastAsia="lt-LT"/>
              </w:rPr>
            </w:pPr>
            <w:r w:rsidRPr="00D90E2D">
              <w:rPr>
                <w:szCs w:val="24"/>
                <w:lang w:eastAsia="lt-LT"/>
              </w:rPr>
              <w:t xml:space="preserve">Ar pagalba nėra teikiama nekonkurencingų anglių kasyklų uždarymui palengvinti, kuriai taikomas Tarybos sprendimas Nr. 2010/787/ES dėl </w:t>
            </w:r>
            <w:r w:rsidRPr="00D90E2D">
              <w:rPr>
                <w:szCs w:val="24"/>
                <w:lang w:eastAsia="lt-LT"/>
              </w:rPr>
              <w:lastRenderedPageBreak/>
              <w:t>valstybės pagalbos nekonkurencingų anglių kasyklų uždarymui palengvinti? (Reglamento 1 straipsnio 3 dalies d punktas)</w:t>
            </w:r>
          </w:p>
        </w:tc>
        <w:tc>
          <w:tcPr>
            <w:tcW w:w="992" w:type="dxa"/>
            <w:gridSpan w:val="2"/>
          </w:tcPr>
          <w:p w14:paraId="3964360B" w14:textId="77777777" w:rsidR="00D11B16" w:rsidRPr="00D90E2D" w:rsidRDefault="00D11B16" w:rsidP="00DE18B4">
            <w:pPr>
              <w:rPr>
                <w:szCs w:val="24"/>
              </w:rPr>
            </w:pPr>
            <w:r w:rsidRPr="00D90E2D">
              <w:rPr>
                <w:szCs w:val="24"/>
                <w:lang w:eastAsia="lt-LT"/>
              </w:rPr>
              <w:lastRenderedPageBreak/>
              <w:t>□ Taip</w:t>
            </w:r>
          </w:p>
        </w:tc>
        <w:tc>
          <w:tcPr>
            <w:tcW w:w="851" w:type="dxa"/>
          </w:tcPr>
          <w:p w14:paraId="547A1D89"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6BCBECEE" w14:textId="77777777" w:rsidR="00D11B16" w:rsidRPr="00D90E2D" w:rsidRDefault="00D11B16" w:rsidP="00DE18B4">
            <w:pPr>
              <w:autoSpaceDE w:val="0"/>
              <w:autoSpaceDN w:val="0"/>
              <w:adjustRightInd w:val="0"/>
              <w:jc w:val="both"/>
              <w:rPr>
                <w:szCs w:val="24"/>
                <w:lang w:eastAsia="lt-LT"/>
              </w:rPr>
            </w:pPr>
          </w:p>
        </w:tc>
      </w:tr>
      <w:tr w:rsidR="00D11B16" w:rsidRPr="00D90E2D" w14:paraId="485CC3BA" w14:textId="77777777" w:rsidTr="002F14E3">
        <w:tc>
          <w:tcPr>
            <w:tcW w:w="766" w:type="dxa"/>
          </w:tcPr>
          <w:p w14:paraId="760FC00A"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554746CD" w14:textId="77777777" w:rsidR="00D11B16" w:rsidRPr="00D90E2D" w:rsidRDefault="00D11B16" w:rsidP="00DE18B4">
            <w:pPr>
              <w:jc w:val="both"/>
              <w:rPr>
                <w:szCs w:val="24"/>
                <w:lang w:eastAsia="lt-LT"/>
              </w:rPr>
            </w:pPr>
            <w:r w:rsidRPr="00D90E2D">
              <w:rPr>
                <w:szCs w:val="24"/>
                <w:lang w:eastAsia="lt-LT"/>
              </w:rPr>
              <w:t>Tuo atveju jei pareiškėjas veikia ir 3, 4 ir 5 punkte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92" w:type="dxa"/>
            <w:gridSpan w:val="2"/>
          </w:tcPr>
          <w:p w14:paraId="2A741A63" w14:textId="77777777" w:rsidR="00D11B16" w:rsidRPr="00D90E2D" w:rsidRDefault="00D11B16" w:rsidP="00DE18B4">
            <w:pPr>
              <w:rPr>
                <w:szCs w:val="24"/>
              </w:rPr>
            </w:pPr>
            <w:r w:rsidRPr="00D90E2D">
              <w:rPr>
                <w:szCs w:val="24"/>
                <w:lang w:eastAsia="lt-LT"/>
              </w:rPr>
              <w:t>□ Taip</w:t>
            </w:r>
          </w:p>
        </w:tc>
        <w:tc>
          <w:tcPr>
            <w:tcW w:w="851" w:type="dxa"/>
          </w:tcPr>
          <w:p w14:paraId="432521BB"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028BCDA4" w14:textId="77777777" w:rsidR="00D11B16" w:rsidRPr="00D90E2D" w:rsidRDefault="00D11B16" w:rsidP="00DE18B4">
            <w:pPr>
              <w:pStyle w:val="Default"/>
              <w:contextualSpacing/>
              <w:jc w:val="both"/>
              <w:rPr>
                <w:rFonts w:ascii="Times New Roman" w:eastAsia="Times New Roman" w:hAnsi="Times New Roman" w:cs="Times New Roman"/>
                <w:lang w:eastAsia="lt-LT"/>
              </w:rPr>
            </w:pPr>
          </w:p>
        </w:tc>
      </w:tr>
      <w:tr w:rsidR="00D11B16" w:rsidRPr="00D90E2D" w14:paraId="0A0E3777" w14:textId="77777777" w:rsidTr="002F14E3">
        <w:tc>
          <w:tcPr>
            <w:tcW w:w="766" w:type="dxa"/>
          </w:tcPr>
          <w:p w14:paraId="29CD846D"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4C5E0983" w14:textId="77777777" w:rsidR="00D11B16" w:rsidRPr="00D90E2D" w:rsidRDefault="00D11B16" w:rsidP="00DE18B4">
            <w:pPr>
              <w:jc w:val="both"/>
              <w:rPr>
                <w:color w:val="000000"/>
                <w:szCs w:val="24"/>
                <w:lang w:eastAsia="lt-LT"/>
              </w:rPr>
            </w:pPr>
            <w:r w:rsidRPr="00D90E2D">
              <w:rPr>
                <w:color w:val="000000"/>
                <w:szCs w:val="24"/>
              </w:rPr>
              <w:t xml:space="preserve">Ar pagalba nėra teikiama įmonei, kuriai išduotas </w:t>
            </w:r>
            <w:r w:rsidRPr="00D90E2D">
              <w:rPr>
                <w:b/>
                <w:bCs/>
                <w:color w:val="000000"/>
                <w:szCs w:val="24"/>
              </w:rPr>
              <w:t>vykdomasis raštas sumoms išieškoti</w:t>
            </w:r>
            <w:r w:rsidRPr="00D90E2D">
              <w:rPr>
                <w:color w:val="000000"/>
                <w:szCs w:val="24"/>
              </w:rPr>
              <w:t xml:space="preserve"> pagal Komisijos sprendimą, kuriame tos pačios valstybės narės suteikta pagalba skelbiama neteisėta ir nesuderinama su vidaus rinka? (Reglamento 1 straipsnio 4 dalies a punktas)</w:t>
            </w:r>
          </w:p>
        </w:tc>
        <w:tc>
          <w:tcPr>
            <w:tcW w:w="992" w:type="dxa"/>
            <w:gridSpan w:val="2"/>
          </w:tcPr>
          <w:p w14:paraId="4E9FBE1B" w14:textId="77777777" w:rsidR="00D11B16" w:rsidRPr="00D90E2D" w:rsidRDefault="00D11B16" w:rsidP="00DE18B4">
            <w:pPr>
              <w:rPr>
                <w:szCs w:val="24"/>
              </w:rPr>
            </w:pPr>
            <w:r w:rsidRPr="00D90E2D">
              <w:rPr>
                <w:szCs w:val="24"/>
                <w:lang w:eastAsia="lt-LT"/>
              </w:rPr>
              <w:t>□ Taip</w:t>
            </w:r>
          </w:p>
        </w:tc>
        <w:tc>
          <w:tcPr>
            <w:tcW w:w="851" w:type="dxa"/>
          </w:tcPr>
          <w:p w14:paraId="614CF1A4"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5FDF06A1" w14:textId="77777777" w:rsidR="00D11B16" w:rsidRPr="00D90E2D" w:rsidRDefault="00D11B16" w:rsidP="00DE18B4">
            <w:pPr>
              <w:pStyle w:val="Default"/>
              <w:contextualSpacing/>
              <w:jc w:val="both"/>
              <w:rPr>
                <w:rFonts w:ascii="Times New Roman" w:eastAsia="Times New Roman" w:hAnsi="Times New Roman" w:cs="Times New Roman"/>
                <w:lang w:eastAsia="lt-LT"/>
              </w:rPr>
            </w:pPr>
          </w:p>
        </w:tc>
      </w:tr>
      <w:tr w:rsidR="00D11B16" w:rsidRPr="00D90E2D" w14:paraId="0689AB6F" w14:textId="77777777" w:rsidTr="002F14E3">
        <w:tc>
          <w:tcPr>
            <w:tcW w:w="766" w:type="dxa"/>
            <w:shd w:val="clear" w:color="auto" w:fill="auto"/>
          </w:tcPr>
          <w:p w14:paraId="5E729610"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6CF3C8BD" w14:textId="77777777" w:rsidR="00D11B16" w:rsidRPr="00D90E2D" w:rsidRDefault="00D11B16" w:rsidP="00DE18B4">
            <w:pPr>
              <w:jc w:val="both"/>
              <w:rPr>
                <w:color w:val="000000"/>
                <w:szCs w:val="24"/>
                <w:lang w:eastAsia="lt-LT"/>
              </w:rPr>
            </w:pPr>
            <w:r w:rsidRPr="00D90E2D">
              <w:rPr>
                <w:color w:val="000000"/>
                <w:szCs w:val="24"/>
                <w:lang w:eastAsia="lt-LT"/>
              </w:rPr>
              <w:t xml:space="preserve">Kokiai kategorijai priskiriamas </w:t>
            </w:r>
            <w:r w:rsidRPr="00D90E2D">
              <w:rPr>
                <w:b/>
                <w:bCs/>
                <w:color w:val="000000"/>
                <w:szCs w:val="24"/>
                <w:lang w:eastAsia="lt-LT"/>
              </w:rPr>
              <w:t>pareiškėjas</w:t>
            </w:r>
            <w:r w:rsidRPr="00D90E2D">
              <w:rPr>
                <w:color w:val="000000"/>
                <w:szCs w:val="24"/>
                <w:lang w:eastAsia="lt-LT"/>
              </w:rPr>
              <w:t>? (Reglamento 1 priedas)</w:t>
            </w:r>
          </w:p>
        </w:tc>
        <w:tc>
          <w:tcPr>
            <w:tcW w:w="992" w:type="dxa"/>
            <w:gridSpan w:val="2"/>
          </w:tcPr>
          <w:p w14:paraId="5F68EE33" w14:textId="77777777" w:rsidR="00D11B16" w:rsidRPr="00D90E2D" w:rsidRDefault="00D11B16" w:rsidP="00DE18B4">
            <w:pPr>
              <w:rPr>
                <w:szCs w:val="24"/>
              </w:rPr>
            </w:pPr>
            <w:r w:rsidRPr="00D90E2D">
              <w:rPr>
                <w:szCs w:val="24"/>
                <w:lang w:eastAsia="lt-LT"/>
              </w:rPr>
              <w:t>□ Taip</w:t>
            </w:r>
          </w:p>
        </w:tc>
        <w:tc>
          <w:tcPr>
            <w:tcW w:w="851" w:type="dxa"/>
          </w:tcPr>
          <w:p w14:paraId="5786F7F6"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6FE3859C" w14:textId="77777777" w:rsidR="00D11B16" w:rsidRPr="00D90E2D" w:rsidRDefault="00D11B16" w:rsidP="00DE18B4">
            <w:pPr>
              <w:pStyle w:val="Default"/>
              <w:contextualSpacing/>
              <w:jc w:val="both"/>
              <w:rPr>
                <w:rFonts w:ascii="Times New Roman" w:eastAsia="Times New Roman" w:hAnsi="Times New Roman" w:cs="Times New Roman"/>
                <w:lang w:eastAsia="lt-LT"/>
              </w:rPr>
            </w:pPr>
          </w:p>
        </w:tc>
      </w:tr>
      <w:tr w:rsidR="00D11B16" w:rsidRPr="00D90E2D" w14:paraId="089EDC7D" w14:textId="77777777" w:rsidTr="002F14E3">
        <w:tc>
          <w:tcPr>
            <w:tcW w:w="766" w:type="dxa"/>
            <w:shd w:val="clear" w:color="auto" w:fill="auto"/>
          </w:tcPr>
          <w:p w14:paraId="6A827B3E" w14:textId="77777777" w:rsidR="00D11B16" w:rsidRPr="00D90E2D" w:rsidRDefault="00D11B16" w:rsidP="00DE18B4">
            <w:pPr>
              <w:pStyle w:val="Default"/>
              <w:ind w:left="568" w:right="-465" w:hanging="404"/>
              <w:contextualSpacing/>
              <w:rPr>
                <w:rFonts w:ascii="Times New Roman" w:eastAsia="Times New Roman" w:hAnsi="Times New Roman" w:cs="Times New Roman"/>
                <w:color w:val="auto"/>
                <w:lang w:eastAsia="lt-LT"/>
              </w:rPr>
            </w:pPr>
            <w:r w:rsidRPr="00D90E2D">
              <w:rPr>
                <w:rFonts w:ascii="Times New Roman" w:eastAsia="Times New Roman" w:hAnsi="Times New Roman" w:cs="Times New Roman"/>
                <w:color w:val="auto"/>
                <w:lang w:eastAsia="lt-LT"/>
              </w:rPr>
              <w:t>9.1.</w:t>
            </w:r>
          </w:p>
        </w:tc>
        <w:tc>
          <w:tcPr>
            <w:tcW w:w="7451" w:type="dxa"/>
            <w:gridSpan w:val="2"/>
            <w:shd w:val="clear" w:color="auto" w:fill="auto"/>
          </w:tcPr>
          <w:p w14:paraId="2ABEE306" w14:textId="77777777" w:rsidR="00D11B16" w:rsidRPr="00D90E2D" w:rsidRDefault="00D11B16" w:rsidP="00DE18B4">
            <w:pPr>
              <w:ind w:firstLine="720"/>
              <w:jc w:val="both"/>
              <w:rPr>
                <w:color w:val="000000"/>
                <w:szCs w:val="24"/>
                <w:lang w:eastAsia="lt-LT"/>
              </w:rPr>
            </w:pPr>
            <w:r w:rsidRPr="00D90E2D">
              <w:rPr>
                <w:color w:val="000000"/>
                <w:szCs w:val="24"/>
                <w:lang w:eastAsia="lt-LT"/>
              </w:rPr>
              <w:t>□ Labai mažos ar mažos įmonės</w:t>
            </w:r>
          </w:p>
        </w:tc>
        <w:tc>
          <w:tcPr>
            <w:tcW w:w="992" w:type="dxa"/>
            <w:gridSpan w:val="2"/>
          </w:tcPr>
          <w:p w14:paraId="78182D6D" w14:textId="77777777" w:rsidR="00D11B16" w:rsidRPr="00D90E2D" w:rsidRDefault="00D11B16" w:rsidP="00DE18B4">
            <w:pPr>
              <w:rPr>
                <w:szCs w:val="24"/>
              </w:rPr>
            </w:pPr>
            <w:r w:rsidRPr="00D90E2D">
              <w:rPr>
                <w:szCs w:val="24"/>
                <w:lang w:eastAsia="lt-LT"/>
              </w:rPr>
              <w:t>□ Taip</w:t>
            </w:r>
          </w:p>
        </w:tc>
        <w:tc>
          <w:tcPr>
            <w:tcW w:w="851" w:type="dxa"/>
          </w:tcPr>
          <w:p w14:paraId="52939D0B"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03FC7EF3" w14:textId="77777777" w:rsidR="00D11B16" w:rsidRPr="00D90E2D" w:rsidRDefault="00D11B16" w:rsidP="00DE18B4">
            <w:pPr>
              <w:pStyle w:val="Default"/>
              <w:contextualSpacing/>
              <w:jc w:val="both"/>
              <w:rPr>
                <w:rFonts w:ascii="Times New Roman" w:eastAsia="Times New Roman" w:hAnsi="Times New Roman" w:cs="Times New Roman"/>
                <w:lang w:eastAsia="lt-LT"/>
              </w:rPr>
            </w:pPr>
          </w:p>
        </w:tc>
      </w:tr>
      <w:tr w:rsidR="00D11B16" w:rsidRPr="00D90E2D" w14:paraId="18CC471D" w14:textId="77777777" w:rsidTr="002F14E3">
        <w:tc>
          <w:tcPr>
            <w:tcW w:w="766" w:type="dxa"/>
            <w:shd w:val="clear" w:color="auto" w:fill="auto"/>
          </w:tcPr>
          <w:p w14:paraId="517D6154" w14:textId="77777777" w:rsidR="00D11B16" w:rsidRPr="00D90E2D" w:rsidRDefault="00D11B16" w:rsidP="00DE18B4">
            <w:pPr>
              <w:pStyle w:val="Default"/>
              <w:ind w:left="568" w:right="-465" w:hanging="404"/>
              <w:contextualSpacing/>
              <w:rPr>
                <w:rFonts w:ascii="Times New Roman" w:eastAsia="Times New Roman" w:hAnsi="Times New Roman" w:cs="Times New Roman"/>
                <w:color w:val="auto"/>
                <w:lang w:eastAsia="lt-LT"/>
              </w:rPr>
            </w:pPr>
            <w:r w:rsidRPr="00D90E2D">
              <w:rPr>
                <w:rFonts w:ascii="Times New Roman" w:eastAsia="Times New Roman" w:hAnsi="Times New Roman" w:cs="Times New Roman"/>
                <w:color w:val="auto"/>
                <w:lang w:eastAsia="lt-LT"/>
              </w:rPr>
              <w:t>9.2.</w:t>
            </w:r>
          </w:p>
        </w:tc>
        <w:tc>
          <w:tcPr>
            <w:tcW w:w="7451" w:type="dxa"/>
            <w:gridSpan w:val="2"/>
            <w:shd w:val="clear" w:color="auto" w:fill="auto"/>
          </w:tcPr>
          <w:p w14:paraId="520BBD04" w14:textId="77777777" w:rsidR="00D11B16" w:rsidRPr="00D90E2D" w:rsidRDefault="00D11B16" w:rsidP="00DE18B4">
            <w:pPr>
              <w:ind w:firstLine="720"/>
              <w:jc w:val="both"/>
              <w:rPr>
                <w:color w:val="000000"/>
                <w:szCs w:val="24"/>
                <w:lang w:eastAsia="lt-LT"/>
              </w:rPr>
            </w:pPr>
            <w:r w:rsidRPr="00D90E2D">
              <w:rPr>
                <w:color w:val="000000"/>
                <w:szCs w:val="24"/>
                <w:lang w:eastAsia="lt-LT"/>
              </w:rPr>
              <w:t>□ Vidutinės įmonės</w:t>
            </w:r>
          </w:p>
        </w:tc>
        <w:tc>
          <w:tcPr>
            <w:tcW w:w="992" w:type="dxa"/>
            <w:gridSpan w:val="2"/>
          </w:tcPr>
          <w:p w14:paraId="275F12B4" w14:textId="77777777" w:rsidR="00D11B16" w:rsidRPr="00D90E2D" w:rsidRDefault="00D11B16" w:rsidP="00DE18B4">
            <w:pPr>
              <w:rPr>
                <w:szCs w:val="24"/>
              </w:rPr>
            </w:pPr>
            <w:r w:rsidRPr="00D90E2D">
              <w:rPr>
                <w:szCs w:val="24"/>
                <w:lang w:eastAsia="lt-LT"/>
              </w:rPr>
              <w:t>□ Taip</w:t>
            </w:r>
          </w:p>
        </w:tc>
        <w:tc>
          <w:tcPr>
            <w:tcW w:w="851" w:type="dxa"/>
          </w:tcPr>
          <w:p w14:paraId="055D4B7A"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672530C1" w14:textId="77777777" w:rsidR="00D11B16" w:rsidRPr="00D90E2D" w:rsidRDefault="00D11B16" w:rsidP="00DE18B4">
            <w:pPr>
              <w:pStyle w:val="Default"/>
              <w:contextualSpacing/>
              <w:jc w:val="both"/>
              <w:rPr>
                <w:rFonts w:ascii="Times New Roman" w:eastAsia="Times New Roman" w:hAnsi="Times New Roman" w:cs="Times New Roman"/>
                <w:lang w:eastAsia="lt-LT"/>
              </w:rPr>
            </w:pPr>
          </w:p>
        </w:tc>
      </w:tr>
      <w:tr w:rsidR="00D11B16" w:rsidRPr="00D90E2D" w14:paraId="1B8710DA" w14:textId="77777777" w:rsidTr="002F14E3">
        <w:tc>
          <w:tcPr>
            <w:tcW w:w="766" w:type="dxa"/>
            <w:shd w:val="clear" w:color="auto" w:fill="auto"/>
          </w:tcPr>
          <w:p w14:paraId="6FD0E5B2" w14:textId="77777777" w:rsidR="00D11B16" w:rsidRPr="00D90E2D" w:rsidRDefault="00D11B16" w:rsidP="00DE18B4">
            <w:pPr>
              <w:pStyle w:val="Default"/>
              <w:ind w:left="568" w:right="-465" w:hanging="404"/>
              <w:contextualSpacing/>
              <w:rPr>
                <w:rFonts w:ascii="Times New Roman" w:eastAsia="Times New Roman" w:hAnsi="Times New Roman" w:cs="Times New Roman"/>
                <w:color w:val="auto"/>
                <w:lang w:eastAsia="lt-LT"/>
              </w:rPr>
            </w:pPr>
            <w:r w:rsidRPr="00D90E2D">
              <w:rPr>
                <w:rFonts w:ascii="Times New Roman" w:eastAsia="Times New Roman" w:hAnsi="Times New Roman" w:cs="Times New Roman"/>
                <w:color w:val="auto"/>
                <w:lang w:eastAsia="lt-LT"/>
              </w:rPr>
              <w:t>9.3.</w:t>
            </w:r>
          </w:p>
        </w:tc>
        <w:tc>
          <w:tcPr>
            <w:tcW w:w="7451" w:type="dxa"/>
            <w:gridSpan w:val="2"/>
            <w:shd w:val="clear" w:color="auto" w:fill="auto"/>
          </w:tcPr>
          <w:p w14:paraId="3C08C66A" w14:textId="77777777" w:rsidR="00D11B16" w:rsidRPr="00D90E2D" w:rsidRDefault="00D11B16" w:rsidP="00DE18B4">
            <w:pPr>
              <w:ind w:firstLine="720"/>
              <w:jc w:val="both"/>
              <w:rPr>
                <w:color w:val="000000"/>
                <w:szCs w:val="24"/>
                <w:lang w:eastAsia="lt-LT"/>
              </w:rPr>
            </w:pPr>
            <w:r w:rsidRPr="00D90E2D">
              <w:rPr>
                <w:color w:val="000000"/>
                <w:szCs w:val="24"/>
                <w:lang w:eastAsia="lt-LT"/>
              </w:rPr>
              <w:t xml:space="preserve">□ Didelės įmonės </w:t>
            </w:r>
          </w:p>
        </w:tc>
        <w:tc>
          <w:tcPr>
            <w:tcW w:w="992" w:type="dxa"/>
            <w:gridSpan w:val="2"/>
          </w:tcPr>
          <w:p w14:paraId="37B0A7F3" w14:textId="77777777" w:rsidR="00D11B16" w:rsidRPr="00D90E2D" w:rsidRDefault="00D11B16" w:rsidP="00DE18B4">
            <w:pPr>
              <w:rPr>
                <w:szCs w:val="24"/>
              </w:rPr>
            </w:pPr>
            <w:r w:rsidRPr="00D90E2D">
              <w:rPr>
                <w:szCs w:val="24"/>
                <w:lang w:eastAsia="lt-LT"/>
              </w:rPr>
              <w:t>□ Taip</w:t>
            </w:r>
          </w:p>
        </w:tc>
        <w:tc>
          <w:tcPr>
            <w:tcW w:w="851" w:type="dxa"/>
          </w:tcPr>
          <w:p w14:paraId="0F27EE25"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09E7C541"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1CE634D0" w14:textId="77777777" w:rsidTr="002F14E3">
        <w:tc>
          <w:tcPr>
            <w:tcW w:w="766" w:type="dxa"/>
            <w:shd w:val="clear" w:color="auto" w:fill="auto"/>
          </w:tcPr>
          <w:p w14:paraId="279E448D"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7DB8A864" w14:textId="1BC02E0E" w:rsidR="00D11B16" w:rsidRPr="00D90E2D" w:rsidRDefault="00D11B16" w:rsidP="00DE18B4">
            <w:pPr>
              <w:jc w:val="both"/>
              <w:rPr>
                <w:color w:val="000000"/>
                <w:szCs w:val="24"/>
                <w:lang w:eastAsia="lt-LT"/>
              </w:rPr>
            </w:pPr>
            <w:r w:rsidRPr="00D90E2D">
              <w:rPr>
                <w:color w:val="000000"/>
                <w:szCs w:val="24"/>
                <w:lang w:eastAsia="lt-LT"/>
              </w:rPr>
              <w:t xml:space="preserve">Ar pagalba nėra teikiama </w:t>
            </w:r>
            <w:r w:rsidRPr="00D90E2D">
              <w:rPr>
                <w:b/>
                <w:bCs/>
                <w:color w:val="000000"/>
                <w:szCs w:val="24"/>
                <w:lang w:eastAsia="lt-LT"/>
              </w:rPr>
              <w:t>sunkumų patiriančiai</w:t>
            </w:r>
            <w:r w:rsidRPr="00D90E2D">
              <w:rPr>
                <w:color w:val="000000"/>
                <w:szCs w:val="24"/>
                <w:lang w:eastAsia="lt-LT"/>
              </w:rPr>
              <w:t xml:space="preserve"> įmonei? (Reglamento 1 straipsnio 4 dalies c punktas)</w:t>
            </w:r>
          </w:p>
        </w:tc>
        <w:tc>
          <w:tcPr>
            <w:tcW w:w="992" w:type="dxa"/>
            <w:gridSpan w:val="2"/>
          </w:tcPr>
          <w:p w14:paraId="3020F5FF" w14:textId="77777777" w:rsidR="00D11B16" w:rsidRPr="00D90E2D" w:rsidRDefault="00D11B16" w:rsidP="00DE18B4">
            <w:pPr>
              <w:rPr>
                <w:szCs w:val="24"/>
              </w:rPr>
            </w:pPr>
            <w:r w:rsidRPr="00D90E2D">
              <w:rPr>
                <w:szCs w:val="24"/>
                <w:lang w:eastAsia="lt-LT"/>
              </w:rPr>
              <w:t>□ Taip</w:t>
            </w:r>
          </w:p>
        </w:tc>
        <w:tc>
          <w:tcPr>
            <w:tcW w:w="851" w:type="dxa"/>
          </w:tcPr>
          <w:p w14:paraId="7B8A003D"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783824BC"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4B3EE972" w14:textId="77777777" w:rsidTr="009B2E25">
        <w:trPr>
          <w:trHeight w:val="888"/>
        </w:trPr>
        <w:tc>
          <w:tcPr>
            <w:tcW w:w="766" w:type="dxa"/>
            <w:shd w:val="clear" w:color="auto" w:fill="auto"/>
          </w:tcPr>
          <w:p w14:paraId="4684D46C"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70D60A4C" w14:textId="77777777" w:rsidR="00D11B16" w:rsidRPr="00D90E2D" w:rsidRDefault="00D11B16" w:rsidP="00DE18B4">
            <w:pPr>
              <w:autoSpaceDE w:val="0"/>
              <w:autoSpaceDN w:val="0"/>
              <w:adjustRightInd w:val="0"/>
              <w:jc w:val="both"/>
              <w:rPr>
                <w:bCs/>
                <w:szCs w:val="24"/>
              </w:rPr>
            </w:pPr>
            <w:r w:rsidRPr="00D90E2D">
              <w:rPr>
                <w:rFonts w:eastAsiaTheme="minorHAnsi"/>
                <w:szCs w:val="24"/>
              </w:rPr>
              <w:t>Ar pagalbos suteikimas nėra susietas su įpareigojimu pagalbos gavėjui turėti būstinę atitinkamoje valstybėje narėje arba būti iš esmės įsisteigusiu toje valstybėje narėje? (Reglamento 1 straipsnio 5 dalies a punktas)</w:t>
            </w:r>
          </w:p>
        </w:tc>
        <w:tc>
          <w:tcPr>
            <w:tcW w:w="992" w:type="dxa"/>
            <w:gridSpan w:val="2"/>
          </w:tcPr>
          <w:p w14:paraId="5E56085C" w14:textId="77777777" w:rsidR="00D11B16" w:rsidRPr="00D90E2D" w:rsidRDefault="00D11B16" w:rsidP="00DE18B4">
            <w:pPr>
              <w:rPr>
                <w:szCs w:val="24"/>
              </w:rPr>
            </w:pPr>
            <w:r w:rsidRPr="00D90E2D">
              <w:rPr>
                <w:szCs w:val="24"/>
                <w:lang w:eastAsia="lt-LT"/>
              </w:rPr>
              <w:t>□ Taip</w:t>
            </w:r>
          </w:p>
        </w:tc>
        <w:tc>
          <w:tcPr>
            <w:tcW w:w="851" w:type="dxa"/>
          </w:tcPr>
          <w:p w14:paraId="258B89EA"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75369D56"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6176FC1B" w14:textId="77777777" w:rsidTr="002F14E3">
        <w:tc>
          <w:tcPr>
            <w:tcW w:w="766" w:type="dxa"/>
            <w:shd w:val="clear" w:color="auto" w:fill="auto"/>
          </w:tcPr>
          <w:p w14:paraId="478EA855"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46DCB0A0" w14:textId="77777777" w:rsidR="00D11B16" w:rsidRPr="00D90E2D" w:rsidRDefault="00D11B16" w:rsidP="00DE18B4">
            <w:pPr>
              <w:autoSpaceDE w:val="0"/>
              <w:autoSpaceDN w:val="0"/>
              <w:adjustRightInd w:val="0"/>
              <w:jc w:val="both"/>
              <w:rPr>
                <w:bCs/>
                <w:szCs w:val="24"/>
              </w:rPr>
            </w:pPr>
            <w:r w:rsidRPr="00D90E2D">
              <w:rPr>
                <w:rFonts w:eastAsiaTheme="minorHAnsi"/>
                <w:szCs w:val="24"/>
              </w:rPr>
              <w:t>Ar pagalbos suteikimas nėra susietas su įpareigojimu pagalbos gavėjui naudoti šalyje pagamintas prekes arba teikiamas paslaugas? (Reglamento 1 straipsnio 5 dalies b punktas)</w:t>
            </w:r>
          </w:p>
        </w:tc>
        <w:tc>
          <w:tcPr>
            <w:tcW w:w="992" w:type="dxa"/>
            <w:gridSpan w:val="2"/>
          </w:tcPr>
          <w:p w14:paraId="1B70CB9C" w14:textId="77777777" w:rsidR="00D11B16" w:rsidRPr="00D90E2D" w:rsidRDefault="00D11B16" w:rsidP="00DE18B4">
            <w:pPr>
              <w:rPr>
                <w:szCs w:val="24"/>
              </w:rPr>
            </w:pPr>
            <w:r w:rsidRPr="00D90E2D">
              <w:rPr>
                <w:szCs w:val="24"/>
                <w:lang w:eastAsia="lt-LT"/>
              </w:rPr>
              <w:t>□ Taip</w:t>
            </w:r>
          </w:p>
        </w:tc>
        <w:tc>
          <w:tcPr>
            <w:tcW w:w="851" w:type="dxa"/>
          </w:tcPr>
          <w:p w14:paraId="513FDF36"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1A62F5A8"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35F924C6" w14:textId="77777777" w:rsidTr="002F14E3">
        <w:tc>
          <w:tcPr>
            <w:tcW w:w="766" w:type="dxa"/>
            <w:shd w:val="clear" w:color="auto" w:fill="auto"/>
          </w:tcPr>
          <w:p w14:paraId="2CB27BFD"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564B6D21" w14:textId="77777777" w:rsidR="00D11B16" w:rsidRPr="00D90E2D" w:rsidRDefault="00D11B16" w:rsidP="00DE18B4">
            <w:pPr>
              <w:autoSpaceDE w:val="0"/>
              <w:autoSpaceDN w:val="0"/>
              <w:adjustRightInd w:val="0"/>
              <w:jc w:val="both"/>
              <w:rPr>
                <w:rFonts w:eastAsiaTheme="minorHAnsi"/>
                <w:szCs w:val="24"/>
              </w:rPr>
            </w:pPr>
            <w:r w:rsidRPr="00D90E2D">
              <w:rPr>
                <w:rFonts w:eastAsiaTheme="minorHAnsi"/>
                <w:szCs w:val="24"/>
              </w:rPr>
              <w:t>Ar pagalbos teikimas nėra susietas su ribojimu pagalbos gavėjui galimybių naudoti mokslinių tyrimų, technologinės plėtros ir inovacijų rezultatus kitose valstybėse narėse. (Reglamento 1 straipsnio 5 dalies c punktas)</w:t>
            </w:r>
          </w:p>
        </w:tc>
        <w:tc>
          <w:tcPr>
            <w:tcW w:w="992" w:type="dxa"/>
            <w:gridSpan w:val="2"/>
          </w:tcPr>
          <w:p w14:paraId="26A66B20" w14:textId="77777777" w:rsidR="00D11B16" w:rsidRPr="00D90E2D" w:rsidRDefault="00D11B16" w:rsidP="00DE18B4">
            <w:pPr>
              <w:rPr>
                <w:szCs w:val="24"/>
              </w:rPr>
            </w:pPr>
            <w:r w:rsidRPr="00D90E2D">
              <w:rPr>
                <w:szCs w:val="24"/>
                <w:lang w:eastAsia="lt-LT"/>
              </w:rPr>
              <w:t>□ Taip</w:t>
            </w:r>
          </w:p>
        </w:tc>
        <w:tc>
          <w:tcPr>
            <w:tcW w:w="851" w:type="dxa"/>
          </w:tcPr>
          <w:p w14:paraId="59685FD3"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1430FA25"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33BCF205" w14:textId="77777777" w:rsidTr="002F14E3">
        <w:tc>
          <w:tcPr>
            <w:tcW w:w="766" w:type="dxa"/>
            <w:shd w:val="clear" w:color="auto" w:fill="auto"/>
          </w:tcPr>
          <w:p w14:paraId="320496C6"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7518F169" w14:textId="77777777" w:rsidR="00D11B16" w:rsidRPr="00D90E2D" w:rsidRDefault="00D11B16" w:rsidP="00DE18B4">
            <w:pPr>
              <w:jc w:val="both"/>
              <w:rPr>
                <w:color w:val="000000"/>
                <w:szCs w:val="24"/>
                <w:lang w:eastAsia="lt-LT"/>
              </w:rPr>
            </w:pPr>
            <w:r w:rsidRPr="00D90E2D">
              <w:rPr>
                <w:bCs/>
                <w:color w:val="000000"/>
                <w:szCs w:val="24"/>
                <w:lang w:eastAsia="lt-LT"/>
              </w:rPr>
              <w:t>Ar nėra viršijama investicinė pagalba aplinkos apsaugai: 15 mln. eurų vienos įmonės vienam investiciniam projektui? (</w:t>
            </w:r>
            <w:r w:rsidRPr="00D90E2D">
              <w:rPr>
                <w:color w:val="000000"/>
                <w:szCs w:val="24"/>
                <w:lang w:eastAsia="lt-LT"/>
              </w:rPr>
              <w:t>Reglamento 4 straipsnio 1 dalies s punktas)</w:t>
            </w:r>
          </w:p>
        </w:tc>
        <w:tc>
          <w:tcPr>
            <w:tcW w:w="992" w:type="dxa"/>
            <w:gridSpan w:val="2"/>
          </w:tcPr>
          <w:p w14:paraId="58F22DEC" w14:textId="77777777" w:rsidR="00D11B16" w:rsidRPr="00D90E2D" w:rsidRDefault="00D11B16" w:rsidP="00DE18B4">
            <w:pPr>
              <w:rPr>
                <w:szCs w:val="24"/>
              </w:rPr>
            </w:pPr>
            <w:r w:rsidRPr="00D90E2D">
              <w:rPr>
                <w:szCs w:val="24"/>
                <w:lang w:eastAsia="lt-LT"/>
              </w:rPr>
              <w:t>□ Taip</w:t>
            </w:r>
          </w:p>
        </w:tc>
        <w:tc>
          <w:tcPr>
            <w:tcW w:w="851" w:type="dxa"/>
          </w:tcPr>
          <w:p w14:paraId="5DD89C69"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59F554A4"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49F6DD23" w14:textId="77777777" w:rsidTr="002F14E3">
        <w:tc>
          <w:tcPr>
            <w:tcW w:w="766" w:type="dxa"/>
            <w:shd w:val="clear" w:color="auto" w:fill="auto"/>
          </w:tcPr>
          <w:p w14:paraId="729D6681"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1B726803" w14:textId="77777777" w:rsidR="00D11B16" w:rsidRPr="00D90E2D" w:rsidRDefault="00D11B16" w:rsidP="00DE18B4">
            <w:pPr>
              <w:jc w:val="both"/>
              <w:rPr>
                <w:bCs/>
                <w:color w:val="000000"/>
                <w:szCs w:val="24"/>
                <w:lang w:eastAsia="lt-LT"/>
              </w:rPr>
            </w:pPr>
            <w:r w:rsidRPr="00D90E2D">
              <w:rPr>
                <w:color w:val="000000"/>
                <w:szCs w:val="24"/>
              </w:rPr>
              <w:t>Ar nėra apeinamos pranešimo ribos, nustatytos arba nurodytos Reglamento 4 straipsnio 1 dalies s punkte, dirbtinai išskaidant pagalbos schemas ir pagalbos projektus?</w:t>
            </w:r>
          </w:p>
        </w:tc>
        <w:tc>
          <w:tcPr>
            <w:tcW w:w="992" w:type="dxa"/>
            <w:gridSpan w:val="2"/>
          </w:tcPr>
          <w:p w14:paraId="0F0D0C64" w14:textId="77777777" w:rsidR="00D11B16" w:rsidRPr="00D90E2D" w:rsidRDefault="00D11B16" w:rsidP="00DE18B4">
            <w:pPr>
              <w:rPr>
                <w:szCs w:val="24"/>
                <w:lang w:eastAsia="lt-LT"/>
              </w:rPr>
            </w:pPr>
            <w:r w:rsidRPr="00D90E2D">
              <w:rPr>
                <w:szCs w:val="24"/>
                <w:lang w:eastAsia="lt-LT"/>
              </w:rPr>
              <w:t>□ Taip</w:t>
            </w:r>
          </w:p>
        </w:tc>
        <w:tc>
          <w:tcPr>
            <w:tcW w:w="851" w:type="dxa"/>
          </w:tcPr>
          <w:p w14:paraId="02A10EE1"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77C48A34"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05D04DE1" w14:textId="77777777" w:rsidTr="002F14E3">
        <w:tc>
          <w:tcPr>
            <w:tcW w:w="766" w:type="dxa"/>
            <w:shd w:val="clear" w:color="auto" w:fill="auto"/>
          </w:tcPr>
          <w:p w14:paraId="1E8E5604"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5586AA2C" w14:textId="77777777" w:rsidR="00D11B16" w:rsidRPr="00D90E2D" w:rsidRDefault="00D11B16" w:rsidP="00DE18B4">
            <w:pPr>
              <w:pStyle w:val="Default"/>
              <w:contextualSpacing/>
              <w:jc w:val="both"/>
              <w:rPr>
                <w:rFonts w:ascii="Times New Roman" w:hAnsi="Times New Roman" w:cs="Times New Roman"/>
                <w:bCs/>
              </w:rPr>
            </w:pPr>
            <w:r w:rsidRPr="00D90E2D">
              <w:rPr>
                <w:rFonts w:ascii="Times New Roman" w:hAnsi="Times New Roman" w:cs="Times New Roman"/>
                <w:bCs/>
              </w:rPr>
              <w:t xml:space="preserve">Ar teikiama pagalba yra </w:t>
            </w:r>
            <w:r w:rsidRPr="00D90E2D">
              <w:rPr>
                <w:rFonts w:ascii="Times New Roman" w:hAnsi="Times New Roman" w:cs="Times New Roman"/>
                <w:b/>
                <w:bCs/>
              </w:rPr>
              <w:t>skaidri,</w:t>
            </w:r>
            <w:r w:rsidRPr="00D90E2D">
              <w:rPr>
                <w:rFonts w:ascii="Times New Roman" w:hAnsi="Times New Roman" w:cs="Times New Roman"/>
                <w:bCs/>
              </w:rPr>
              <w:t xml:space="preserve"> atitinkanti Reglamento 5 straipsnio reikalavimus?</w:t>
            </w:r>
          </w:p>
        </w:tc>
        <w:tc>
          <w:tcPr>
            <w:tcW w:w="992" w:type="dxa"/>
            <w:gridSpan w:val="2"/>
          </w:tcPr>
          <w:p w14:paraId="2A3B4835" w14:textId="77777777" w:rsidR="00D11B16" w:rsidRPr="00D90E2D" w:rsidRDefault="00D11B16" w:rsidP="00DE18B4">
            <w:pPr>
              <w:rPr>
                <w:szCs w:val="24"/>
              </w:rPr>
            </w:pPr>
            <w:r w:rsidRPr="00D90E2D">
              <w:rPr>
                <w:szCs w:val="24"/>
                <w:lang w:eastAsia="lt-LT"/>
              </w:rPr>
              <w:t>□ Taip</w:t>
            </w:r>
          </w:p>
        </w:tc>
        <w:tc>
          <w:tcPr>
            <w:tcW w:w="851" w:type="dxa"/>
          </w:tcPr>
          <w:p w14:paraId="3F4DD426"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27D086CE"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20A62C04" w14:textId="77777777" w:rsidTr="002F14E3">
        <w:tc>
          <w:tcPr>
            <w:tcW w:w="766" w:type="dxa"/>
            <w:shd w:val="clear" w:color="auto" w:fill="auto"/>
          </w:tcPr>
          <w:p w14:paraId="23485754"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294AF9E6" w14:textId="77777777" w:rsidR="00D11B16" w:rsidRPr="00D90E2D" w:rsidRDefault="00D11B16" w:rsidP="00DE18B4">
            <w:pPr>
              <w:pStyle w:val="Default"/>
              <w:contextualSpacing/>
              <w:jc w:val="both"/>
              <w:rPr>
                <w:rFonts w:ascii="Times New Roman" w:hAnsi="Times New Roman" w:cs="Times New Roman"/>
                <w:bCs/>
              </w:rPr>
            </w:pPr>
            <w:r w:rsidRPr="00D90E2D">
              <w:rPr>
                <w:rFonts w:ascii="Times New Roman" w:hAnsi="Times New Roman" w:cs="Times New Roman"/>
                <w:bCs/>
              </w:rPr>
              <w:t xml:space="preserve">Ar yra pagrįstas pagalbos </w:t>
            </w:r>
            <w:r w:rsidRPr="00D90E2D">
              <w:rPr>
                <w:rFonts w:ascii="Times New Roman" w:hAnsi="Times New Roman" w:cs="Times New Roman"/>
                <w:b/>
                <w:bCs/>
              </w:rPr>
              <w:t>skatinamasis poveikis</w:t>
            </w:r>
            <w:r w:rsidRPr="00D90E2D">
              <w:rPr>
                <w:rFonts w:ascii="Times New Roman" w:hAnsi="Times New Roman" w:cs="Times New Roman"/>
                <w:bCs/>
              </w:rPr>
              <w:t xml:space="preserve"> atitinkantis Reglamento 6 straipsnio reikalavimus?</w:t>
            </w:r>
          </w:p>
        </w:tc>
        <w:tc>
          <w:tcPr>
            <w:tcW w:w="992" w:type="dxa"/>
            <w:gridSpan w:val="2"/>
          </w:tcPr>
          <w:p w14:paraId="3C61B1DD" w14:textId="77777777" w:rsidR="00D11B16" w:rsidRPr="00D90E2D" w:rsidRDefault="00D11B16" w:rsidP="00DE18B4">
            <w:pPr>
              <w:rPr>
                <w:szCs w:val="24"/>
              </w:rPr>
            </w:pPr>
            <w:r w:rsidRPr="00D90E2D">
              <w:rPr>
                <w:szCs w:val="24"/>
                <w:lang w:eastAsia="lt-LT"/>
              </w:rPr>
              <w:t>□ Taip</w:t>
            </w:r>
          </w:p>
        </w:tc>
        <w:tc>
          <w:tcPr>
            <w:tcW w:w="851" w:type="dxa"/>
          </w:tcPr>
          <w:p w14:paraId="0AF145CD"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650F8D22"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257E51BC" w14:textId="77777777" w:rsidTr="002F14E3">
        <w:tc>
          <w:tcPr>
            <w:tcW w:w="766" w:type="dxa"/>
          </w:tcPr>
          <w:p w14:paraId="21F3670D"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11C53026" w14:textId="77777777" w:rsidR="00D11B16" w:rsidRPr="00D90E2D" w:rsidRDefault="00D11B16" w:rsidP="00DE18B4">
            <w:pPr>
              <w:pStyle w:val="Default"/>
              <w:contextualSpacing/>
              <w:jc w:val="both"/>
              <w:rPr>
                <w:rFonts w:ascii="Times New Roman" w:hAnsi="Times New Roman" w:cs="Times New Roman"/>
                <w:bCs/>
              </w:rPr>
            </w:pPr>
            <w:r w:rsidRPr="00D90E2D">
              <w:rPr>
                <w:rFonts w:ascii="Times New Roman" w:hAnsi="Times New Roman" w:cs="Times New Roman"/>
                <w:bCs/>
              </w:rPr>
              <w:t xml:space="preserve">Ar yra laikomasi </w:t>
            </w:r>
            <w:r w:rsidRPr="00D90E2D">
              <w:rPr>
                <w:rFonts w:ascii="Times New Roman" w:hAnsi="Times New Roman" w:cs="Times New Roman"/>
                <w:b/>
                <w:bCs/>
              </w:rPr>
              <w:t>sumavimo reikalavimų</w:t>
            </w:r>
            <w:r w:rsidRPr="00D90E2D">
              <w:rPr>
                <w:rFonts w:ascii="Times New Roman" w:hAnsi="Times New Roman" w:cs="Times New Roman"/>
                <w:bCs/>
              </w:rPr>
              <w:t xml:space="preserve"> nustatytų Reglamento 8 straipsnyje?</w:t>
            </w:r>
          </w:p>
        </w:tc>
        <w:tc>
          <w:tcPr>
            <w:tcW w:w="992" w:type="dxa"/>
            <w:gridSpan w:val="2"/>
          </w:tcPr>
          <w:p w14:paraId="54D4CDC9" w14:textId="77777777" w:rsidR="00D11B16" w:rsidRPr="00D90E2D" w:rsidRDefault="00D11B16" w:rsidP="00DE18B4">
            <w:pPr>
              <w:rPr>
                <w:szCs w:val="24"/>
              </w:rPr>
            </w:pPr>
            <w:r w:rsidRPr="00D90E2D">
              <w:rPr>
                <w:szCs w:val="24"/>
                <w:lang w:eastAsia="lt-LT"/>
              </w:rPr>
              <w:t>□ Taip</w:t>
            </w:r>
          </w:p>
        </w:tc>
        <w:tc>
          <w:tcPr>
            <w:tcW w:w="851" w:type="dxa"/>
          </w:tcPr>
          <w:p w14:paraId="02E789C4"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079CCD58"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p>
        </w:tc>
      </w:tr>
      <w:tr w:rsidR="00D11B16" w:rsidRPr="00D90E2D" w14:paraId="6AF9103A" w14:textId="77777777" w:rsidTr="002F14E3">
        <w:tc>
          <w:tcPr>
            <w:tcW w:w="766" w:type="dxa"/>
          </w:tcPr>
          <w:p w14:paraId="7A125C92" w14:textId="77777777" w:rsidR="00D11B16" w:rsidRPr="00D90E2D" w:rsidRDefault="00D11B16" w:rsidP="00D11B16">
            <w:pPr>
              <w:pStyle w:val="Default"/>
              <w:numPr>
                <w:ilvl w:val="0"/>
                <w:numId w:val="10"/>
              </w:numPr>
              <w:ind w:right="-465" w:hanging="786"/>
              <w:contextualSpacing/>
              <w:rPr>
                <w:rFonts w:ascii="Times New Roman" w:eastAsia="Times New Roman" w:hAnsi="Times New Roman" w:cs="Times New Roman"/>
                <w:color w:val="auto"/>
                <w:lang w:eastAsia="lt-LT"/>
              </w:rPr>
            </w:pPr>
          </w:p>
        </w:tc>
        <w:tc>
          <w:tcPr>
            <w:tcW w:w="7451" w:type="dxa"/>
            <w:gridSpan w:val="2"/>
            <w:shd w:val="clear" w:color="auto" w:fill="auto"/>
          </w:tcPr>
          <w:p w14:paraId="2D764257" w14:textId="77777777" w:rsidR="00D11B16" w:rsidRPr="00D90E2D" w:rsidRDefault="00D11B16" w:rsidP="00DE18B4">
            <w:pPr>
              <w:pStyle w:val="Default"/>
              <w:contextualSpacing/>
              <w:jc w:val="both"/>
              <w:rPr>
                <w:rFonts w:ascii="Times New Roman" w:eastAsia="Times New Roman" w:hAnsi="Times New Roman" w:cs="Times New Roman"/>
                <w:color w:val="auto"/>
                <w:lang w:eastAsia="lt-LT"/>
              </w:rPr>
            </w:pPr>
            <w:r w:rsidRPr="00D90E2D">
              <w:rPr>
                <w:rFonts w:ascii="Times New Roman" w:eastAsia="Times New Roman" w:hAnsi="Times New Roman" w:cs="Times New Roman"/>
                <w:lang w:eastAsia="lt-LT"/>
              </w:rPr>
              <w:t xml:space="preserve">Ar teikiama /suteikta valstybės pagalba atitinka visas </w:t>
            </w:r>
            <w:r w:rsidRPr="00D90E2D">
              <w:rPr>
                <w:rFonts w:ascii="Times New Roman" w:hAnsi="Times New Roman" w:cs="Times New Roman"/>
              </w:rPr>
              <w:t xml:space="preserve">Reglamento I skyriuje nustatytas sąlygas ir Reglamento </w:t>
            </w:r>
            <w:r w:rsidRPr="00D90E2D">
              <w:rPr>
                <w:rFonts w:ascii="Times New Roman" w:hAnsi="Times New Roman" w:cs="Times New Roman"/>
                <w:bCs/>
              </w:rPr>
              <w:t xml:space="preserve">II skyriaus 7 skirsnio „Pagalba aplinkos apsaugai“ 41 </w:t>
            </w:r>
            <w:r w:rsidRPr="00D90E2D">
              <w:rPr>
                <w:rFonts w:ascii="Times New Roman" w:hAnsi="Times New Roman" w:cs="Times New Roman"/>
              </w:rPr>
              <w:t>straipsnyje „Investicinė pagalba atsinaujinančių išteklių energijos gamybai skatinti“ nustatytus taikytinus</w:t>
            </w:r>
            <w:r w:rsidRPr="00D90E2D">
              <w:rPr>
                <w:rFonts w:ascii="Times New Roman" w:hAnsi="Times New Roman" w:cs="Times New Roman"/>
                <w:bCs/>
              </w:rPr>
              <w:t xml:space="preserve"> reikalavimus</w:t>
            </w:r>
            <w:r w:rsidRPr="00D90E2D">
              <w:rPr>
                <w:rFonts w:ascii="Times New Roman" w:hAnsi="Times New Roman" w:cs="Times New Roman"/>
              </w:rPr>
              <w:t>?</w:t>
            </w:r>
          </w:p>
        </w:tc>
        <w:tc>
          <w:tcPr>
            <w:tcW w:w="992" w:type="dxa"/>
            <w:gridSpan w:val="2"/>
          </w:tcPr>
          <w:p w14:paraId="2CDBD80D" w14:textId="77777777" w:rsidR="00D11B16" w:rsidRPr="00D90E2D" w:rsidRDefault="00D11B16" w:rsidP="00DE18B4">
            <w:pPr>
              <w:rPr>
                <w:szCs w:val="24"/>
              </w:rPr>
            </w:pPr>
            <w:r w:rsidRPr="00D90E2D">
              <w:rPr>
                <w:szCs w:val="24"/>
                <w:lang w:eastAsia="lt-LT"/>
              </w:rPr>
              <w:t>□ Taip</w:t>
            </w:r>
          </w:p>
        </w:tc>
        <w:tc>
          <w:tcPr>
            <w:tcW w:w="851" w:type="dxa"/>
          </w:tcPr>
          <w:p w14:paraId="08FC3967" w14:textId="77777777" w:rsidR="00D11B16" w:rsidRPr="00D90E2D" w:rsidRDefault="00D11B16" w:rsidP="00DE18B4">
            <w:pPr>
              <w:pStyle w:val="Default"/>
              <w:contextualSpacing/>
              <w:jc w:val="both"/>
              <w:rPr>
                <w:rFonts w:ascii="Times New Roman" w:eastAsia="Times New Roman" w:hAnsi="Times New Roman" w:cs="Times New Roman"/>
                <w:lang w:eastAsia="lt-LT"/>
              </w:rPr>
            </w:pPr>
            <w:r w:rsidRPr="00D90E2D">
              <w:rPr>
                <w:rFonts w:ascii="Times New Roman" w:eastAsia="Times New Roman" w:hAnsi="Times New Roman" w:cs="Times New Roman"/>
                <w:lang w:eastAsia="lt-LT"/>
              </w:rPr>
              <w:t xml:space="preserve">□ Ne </w:t>
            </w:r>
          </w:p>
        </w:tc>
        <w:tc>
          <w:tcPr>
            <w:tcW w:w="4515" w:type="dxa"/>
            <w:gridSpan w:val="2"/>
          </w:tcPr>
          <w:p w14:paraId="4F32CD41" w14:textId="77777777" w:rsidR="00D11B16" w:rsidRPr="00D90E2D" w:rsidRDefault="00D11B16" w:rsidP="00DE18B4">
            <w:pPr>
              <w:pStyle w:val="Default"/>
              <w:contextualSpacing/>
              <w:jc w:val="both"/>
              <w:rPr>
                <w:rFonts w:ascii="Times New Roman" w:eastAsia="Times New Roman" w:hAnsi="Times New Roman" w:cs="Times New Roman"/>
                <w:lang w:eastAsia="lt-LT"/>
              </w:rPr>
            </w:pPr>
          </w:p>
        </w:tc>
      </w:tr>
      <w:tr w:rsidR="00D11B16" w:rsidRPr="00D90E2D" w14:paraId="77DD1B11" w14:textId="77777777" w:rsidTr="002F14E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952" w:type="dxa"/>
          <w:trHeight w:val="322"/>
        </w:trPr>
        <w:tc>
          <w:tcPr>
            <w:tcW w:w="5111" w:type="dxa"/>
            <w:gridSpan w:val="2"/>
          </w:tcPr>
          <w:p w14:paraId="6FF06433" w14:textId="77777777" w:rsidR="00D11B16" w:rsidRPr="00D90E2D" w:rsidRDefault="00D11B16" w:rsidP="00DE18B4">
            <w:pPr>
              <w:pStyle w:val="Default"/>
              <w:contextualSpacing/>
              <w:rPr>
                <w:rFonts w:ascii="Times New Roman" w:hAnsi="Times New Roman" w:cs="Times New Roman"/>
                <w:i/>
                <w:iCs/>
              </w:rPr>
            </w:pPr>
          </w:p>
          <w:p w14:paraId="7440DE5A"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______________________________________ </w:t>
            </w:r>
          </w:p>
          <w:p w14:paraId="779F1D33"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(Vertintojas) </w:t>
            </w:r>
          </w:p>
        </w:tc>
        <w:tc>
          <w:tcPr>
            <w:tcW w:w="3255" w:type="dxa"/>
            <w:gridSpan w:val="2"/>
          </w:tcPr>
          <w:p w14:paraId="2E302D22" w14:textId="77777777" w:rsidR="00D11B16" w:rsidRPr="00D90E2D" w:rsidRDefault="00D11B16" w:rsidP="00DE18B4">
            <w:pPr>
              <w:pStyle w:val="Default"/>
              <w:contextualSpacing/>
              <w:rPr>
                <w:rFonts w:ascii="Times New Roman" w:hAnsi="Times New Roman" w:cs="Times New Roman"/>
                <w:i/>
                <w:iCs/>
              </w:rPr>
            </w:pPr>
          </w:p>
          <w:p w14:paraId="094031B8"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7EC01471"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(Parašas) </w:t>
            </w:r>
          </w:p>
        </w:tc>
        <w:tc>
          <w:tcPr>
            <w:tcW w:w="3257" w:type="dxa"/>
            <w:gridSpan w:val="3"/>
          </w:tcPr>
          <w:p w14:paraId="29DD2086" w14:textId="77777777" w:rsidR="00D11B16" w:rsidRPr="00D90E2D" w:rsidRDefault="00D11B16" w:rsidP="00DE18B4">
            <w:pPr>
              <w:pStyle w:val="Default"/>
              <w:contextualSpacing/>
              <w:rPr>
                <w:rFonts w:ascii="Times New Roman" w:hAnsi="Times New Roman" w:cs="Times New Roman"/>
                <w:i/>
                <w:iCs/>
              </w:rPr>
            </w:pPr>
          </w:p>
          <w:p w14:paraId="233576B2"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55173F1D" w14:textId="77777777" w:rsidR="00D11B16" w:rsidRPr="00D90E2D" w:rsidRDefault="00D11B16" w:rsidP="00DE18B4">
            <w:pPr>
              <w:pStyle w:val="Default"/>
              <w:contextualSpacing/>
              <w:rPr>
                <w:rFonts w:ascii="Times New Roman" w:hAnsi="Times New Roman" w:cs="Times New Roman"/>
                <w:i/>
              </w:rPr>
            </w:pPr>
            <w:r w:rsidRPr="00D90E2D">
              <w:rPr>
                <w:rFonts w:ascii="Times New Roman" w:hAnsi="Times New Roman" w:cs="Times New Roman"/>
                <w:i/>
              </w:rPr>
              <w:t xml:space="preserve">(Data) </w:t>
            </w:r>
          </w:p>
        </w:tc>
      </w:tr>
      <w:tr w:rsidR="00D11B16" w:rsidRPr="00D90E2D" w14:paraId="354D1567" w14:textId="77777777" w:rsidTr="002F14E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952" w:type="dxa"/>
          <w:trHeight w:val="746"/>
        </w:trPr>
        <w:tc>
          <w:tcPr>
            <w:tcW w:w="11623" w:type="dxa"/>
            <w:gridSpan w:val="7"/>
          </w:tcPr>
          <w:p w14:paraId="78644BB7" w14:textId="77777777" w:rsidR="00D11B16" w:rsidRPr="00D90E2D" w:rsidRDefault="00D11B16" w:rsidP="00DE18B4">
            <w:pPr>
              <w:pStyle w:val="Default"/>
              <w:contextualSpacing/>
              <w:rPr>
                <w:rFonts w:ascii="Times New Roman" w:hAnsi="Times New Roman" w:cs="Times New Roman"/>
                <w:b/>
                <w:bCs/>
              </w:rPr>
            </w:pPr>
          </w:p>
          <w:p w14:paraId="3AB9A517"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b/>
                <w:bCs/>
              </w:rPr>
              <w:t xml:space="preserve">Patikros peržiūra: </w:t>
            </w:r>
          </w:p>
          <w:p w14:paraId="7EFF35B3"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rPr>
              <w:t xml:space="preserve">□ Vertintojo išvadai pritarti </w:t>
            </w:r>
          </w:p>
          <w:p w14:paraId="1FBC05C5"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rPr>
              <w:t xml:space="preserve">□ Vertintojo išvadai nepritarti </w:t>
            </w:r>
          </w:p>
          <w:p w14:paraId="0B362638" w14:textId="77777777" w:rsidR="00D11B16" w:rsidRPr="00D90E2D" w:rsidRDefault="00D11B16" w:rsidP="00DE18B4">
            <w:pPr>
              <w:pStyle w:val="Default"/>
              <w:contextualSpacing/>
              <w:rPr>
                <w:rFonts w:ascii="Times New Roman" w:hAnsi="Times New Roman" w:cs="Times New Roman"/>
                <w:i/>
                <w:iCs/>
              </w:rPr>
            </w:pPr>
            <w:r w:rsidRPr="00D90E2D">
              <w:rPr>
                <w:rFonts w:ascii="Times New Roman" w:hAnsi="Times New Roman" w:cs="Times New Roman"/>
                <w:i/>
                <w:iCs/>
              </w:rPr>
              <w:t>Pastabos:_______________________________________________________________________</w:t>
            </w:r>
          </w:p>
          <w:p w14:paraId="3764E90B"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 </w:t>
            </w:r>
          </w:p>
        </w:tc>
      </w:tr>
      <w:tr w:rsidR="00D11B16" w:rsidRPr="00D90E2D" w14:paraId="520516E0" w14:textId="77777777" w:rsidTr="002F14E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952" w:type="dxa"/>
          <w:trHeight w:val="249"/>
        </w:trPr>
        <w:tc>
          <w:tcPr>
            <w:tcW w:w="5111" w:type="dxa"/>
            <w:gridSpan w:val="2"/>
          </w:tcPr>
          <w:p w14:paraId="693AD20E"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______________________________________ </w:t>
            </w:r>
          </w:p>
          <w:p w14:paraId="1099416D"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(Vertintojo tiesioginis vadovas) </w:t>
            </w:r>
          </w:p>
        </w:tc>
        <w:tc>
          <w:tcPr>
            <w:tcW w:w="3255" w:type="dxa"/>
            <w:gridSpan w:val="2"/>
          </w:tcPr>
          <w:p w14:paraId="626F9A02"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6E742D65"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(Parašas) </w:t>
            </w:r>
          </w:p>
        </w:tc>
        <w:tc>
          <w:tcPr>
            <w:tcW w:w="3257" w:type="dxa"/>
            <w:gridSpan w:val="3"/>
          </w:tcPr>
          <w:p w14:paraId="79FE6064"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2EC4E154"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(Data) </w:t>
            </w:r>
          </w:p>
        </w:tc>
      </w:tr>
    </w:tbl>
    <w:p w14:paraId="75ACD428" w14:textId="77777777" w:rsidR="00E84937" w:rsidRDefault="00E84937">
      <w:pPr>
        <w:spacing w:line="276" w:lineRule="auto"/>
        <w:jc w:val="center"/>
        <w:rPr>
          <w:szCs w:val="24"/>
        </w:rPr>
      </w:pPr>
    </w:p>
    <w:p w14:paraId="0488CF68" w14:textId="36B3839D" w:rsidR="00012AB4" w:rsidRDefault="00012AB4">
      <w:pPr>
        <w:spacing w:line="276" w:lineRule="auto"/>
        <w:jc w:val="center"/>
        <w:rPr>
          <w:szCs w:val="24"/>
        </w:rPr>
      </w:pPr>
    </w:p>
    <w:p w14:paraId="56BD9791" w14:textId="6EB447C8" w:rsidR="002E0DBB" w:rsidRPr="009E26FF" w:rsidRDefault="002E0DBB" w:rsidP="002E0DBB">
      <w:pPr>
        <w:jc w:val="both"/>
      </w:pPr>
      <w:r>
        <w:rPr>
          <w:vertAlign w:val="superscript"/>
        </w:rPr>
        <w:t>i</w:t>
      </w:r>
      <w:r w:rsidRPr="0096394B">
        <w:t xml:space="preserve"> sunkumus patiriančios įmonės apibrėžtis nustatyta Reglamento I skyriaus 2 straipsnio 18 punkte.</w:t>
      </w:r>
    </w:p>
    <w:p w14:paraId="1FCCDE2D" w14:textId="11742A69" w:rsidR="0090294E" w:rsidRDefault="0090294E">
      <w:pPr>
        <w:spacing w:line="276" w:lineRule="auto"/>
        <w:jc w:val="center"/>
        <w:rPr>
          <w:szCs w:val="24"/>
        </w:rPr>
      </w:pPr>
    </w:p>
    <w:p w14:paraId="72410D9E" w14:textId="77777777" w:rsidR="00715C32" w:rsidRDefault="00715C32" w:rsidP="00D97A8F">
      <w:pPr>
        <w:ind w:left="9180"/>
        <w:jc w:val="both"/>
        <w:rPr>
          <w:szCs w:val="24"/>
        </w:rPr>
      </w:pPr>
    </w:p>
    <w:p w14:paraId="3C2F1BD4" w14:textId="77777777" w:rsidR="00715C32" w:rsidRDefault="00715C32" w:rsidP="00D97A8F">
      <w:pPr>
        <w:ind w:left="9180"/>
        <w:jc w:val="both"/>
        <w:rPr>
          <w:szCs w:val="24"/>
        </w:rPr>
      </w:pPr>
    </w:p>
    <w:p w14:paraId="284CE85B" w14:textId="77777777" w:rsidR="00715C32" w:rsidRDefault="00715C32" w:rsidP="00D97A8F">
      <w:pPr>
        <w:ind w:left="9180"/>
        <w:jc w:val="both"/>
        <w:rPr>
          <w:szCs w:val="24"/>
        </w:rPr>
      </w:pPr>
    </w:p>
    <w:p w14:paraId="0FD7D15D" w14:textId="77777777" w:rsidR="00715C32" w:rsidRDefault="00715C32" w:rsidP="00D97A8F">
      <w:pPr>
        <w:ind w:left="9180"/>
        <w:jc w:val="both"/>
        <w:rPr>
          <w:szCs w:val="24"/>
        </w:rPr>
      </w:pPr>
    </w:p>
    <w:p w14:paraId="0AEC544A" w14:textId="500CA30C" w:rsidR="00D97A8F" w:rsidRPr="006475ED" w:rsidRDefault="00D97A8F" w:rsidP="00D97A8F">
      <w:pPr>
        <w:ind w:left="9180"/>
        <w:jc w:val="both"/>
        <w:rPr>
          <w:bCs/>
          <w:szCs w:val="24"/>
        </w:rPr>
      </w:pPr>
      <w:r w:rsidRPr="006475ED">
        <w:rPr>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Pr="006475ED">
        <w:rPr>
          <w:bCs/>
          <w:szCs w:val="24"/>
        </w:rPr>
        <w:t xml:space="preserve">Skatinti </w:t>
      </w:r>
      <w:r w:rsidRPr="006475ED">
        <w:rPr>
          <w:bCs/>
          <w:iCs/>
          <w:szCs w:val="24"/>
        </w:rPr>
        <w:t xml:space="preserve">atsinaujinančių energijos išteklių </w:t>
      </w:r>
      <w:r w:rsidRPr="006475ED">
        <w:rPr>
          <w:bCs/>
          <w:szCs w:val="24"/>
        </w:rPr>
        <w:t>diegimą pramonės įmonėse</w:t>
      </w:r>
      <w:r w:rsidRPr="006475ED">
        <w:rPr>
          <w:szCs w:val="24"/>
        </w:rPr>
        <w:t xml:space="preserve">“ projektų finansavimo sąlygų aprašo </w:t>
      </w:r>
    </w:p>
    <w:p w14:paraId="5D29B029" w14:textId="228D411A" w:rsidR="00E73897" w:rsidRPr="00C6517B" w:rsidRDefault="00A71A03" w:rsidP="00E73897">
      <w:pPr>
        <w:ind w:left="7088" w:firstLine="700"/>
        <w:jc w:val="both"/>
        <w:rPr>
          <w:szCs w:val="24"/>
          <w:lang w:eastAsia="lt-LT"/>
        </w:rPr>
      </w:pPr>
      <w:r>
        <w:rPr>
          <w:szCs w:val="24"/>
        </w:rPr>
        <w:t xml:space="preserve">                       </w:t>
      </w:r>
      <w:r w:rsidR="00E73897">
        <w:rPr>
          <w:szCs w:val="24"/>
          <w:lang w:eastAsia="lt-LT"/>
        </w:rPr>
        <w:t>3</w:t>
      </w:r>
      <w:r w:rsidR="00E73897" w:rsidRPr="00C6517B">
        <w:rPr>
          <w:szCs w:val="24"/>
          <w:lang w:eastAsia="lt-LT"/>
        </w:rPr>
        <w:t xml:space="preserve"> priedas</w:t>
      </w:r>
    </w:p>
    <w:p w14:paraId="2357FED8" w14:textId="77777777" w:rsidR="00E73897" w:rsidRPr="00C6517B" w:rsidRDefault="00E73897" w:rsidP="00E73897">
      <w:pPr>
        <w:ind w:left="7088"/>
        <w:jc w:val="both"/>
        <w:rPr>
          <w:szCs w:val="24"/>
          <w:lang w:eastAsia="lt-LT"/>
        </w:rPr>
      </w:pPr>
    </w:p>
    <w:p w14:paraId="01D8782B" w14:textId="77777777" w:rsidR="00E73897" w:rsidRPr="00C6517B" w:rsidRDefault="00E73897" w:rsidP="00E73897">
      <w:pPr>
        <w:ind w:left="1298"/>
        <w:jc w:val="center"/>
        <w:rPr>
          <w:b/>
          <w:szCs w:val="24"/>
        </w:rPr>
      </w:pPr>
      <w:r w:rsidRPr="00C6517B">
        <w:rPr>
          <w:b/>
          <w:caps/>
          <w:szCs w:val="24"/>
        </w:rPr>
        <w:t xml:space="preserve">INFORMACIJa, </w:t>
      </w:r>
      <w:r w:rsidRPr="00C6517B">
        <w:rPr>
          <w:b/>
          <w:caps/>
          <w:szCs w:val="24"/>
          <w:lang w:eastAsia="lt-LT"/>
        </w:rPr>
        <w:t>reikalingA projekto atitikČIAI projektų atrankos kriterijams įvertinti</w:t>
      </w:r>
    </w:p>
    <w:p w14:paraId="6886B8F9" w14:textId="0A2B3A92" w:rsidR="00E73897" w:rsidRPr="0067270E" w:rsidRDefault="00E73897" w:rsidP="0067270E">
      <w:pPr>
        <w:pStyle w:val="ListParagraph"/>
        <w:tabs>
          <w:tab w:val="left" w:pos="0"/>
          <w:tab w:val="left" w:pos="284"/>
        </w:tabs>
        <w:ind w:left="0"/>
        <w:rPr>
          <w:b/>
          <w:bCs/>
          <w:szCs w:val="24"/>
        </w:rPr>
      </w:pPr>
      <w:r>
        <w:rPr>
          <w:b/>
          <w:szCs w:val="24"/>
        </w:rPr>
        <w:t xml:space="preserve">1. </w:t>
      </w:r>
      <w:r w:rsidRPr="00C6517B">
        <w:rPr>
          <w:b/>
          <w:szCs w:val="24"/>
        </w:rPr>
        <w:t>Pareiškėjų vykdomos veiklos ir projekto veiklos priskiriamos Ekonominės veiklos rūšių klasifikatoriui (EVRK 2 red.), patvirtintam Statistikos departamento</w:t>
      </w:r>
      <w:r w:rsidRPr="00D45B7D">
        <w:rPr>
          <w:szCs w:val="24"/>
        </w:rPr>
        <w:t xml:space="preserve"> </w:t>
      </w:r>
      <w:r w:rsidRPr="00141A72">
        <w:rPr>
          <w:b/>
          <w:szCs w:val="24"/>
        </w:rPr>
        <w:t>prie Lietuvos Respublikos Vyriausybės</w:t>
      </w:r>
      <w:r w:rsidRPr="00C6517B">
        <w:rPr>
          <w:szCs w:val="24"/>
        </w:rPr>
        <w:t xml:space="preserve"> </w:t>
      </w:r>
      <w:r w:rsidRPr="00C6517B">
        <w:rPr>
          <w:b/>
          <w:szCs w:val="24"/>
        </w:rPr>
        <w:t xml:space="preserve">generalinio direktoriaus 2007 m. spalio 31 d. įsakymu Nr. DĮ-226 „Dėl Ekonominės veiklos rūšių klasifikatoriaus patvirtinimo“ (toliau – EVRK 2 red.) (taikoma vertinant projekto </w:t>
      </w:r>
      <w:r w:rsidR="0067270E">
        <w:rPr>
          <w:b/>
          <w:szCs w:val="24"/>
        </w:rPr>
        <w:t xml:space="preserve">atitiktį </w:t>
      </w:r>
      <w:r w:rsidR="0067270E" w:rsidRPr="0067270E">
        <w:rPr>
          <w:b/>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0067270E" w:rsidRPr="0067270E">
        <w:rPr>
          <w:b/>
          <w:bCs/>
          <w:szCs w:val="24"/>
        </w:rPr>
        <w:t xml:space="preserve">Skatinti </w:t>
      </w:r>
      <w:r w:rsidR="0067270E" w:rsidRPr="0067270E">
        <w:rPr>
          <w:b/>
          <w:bCs/>
          <w:iCs/>
          <w:szCs w:val="24"/>
        </w:rPr>
        <w:t xml:space="preserve">atsinaujinančių energijos išteklių </w:t>
      </w:r>
      <w:r w:rsidR="0067270E" w:rsidRPr="0067270E">
        <w:rPr>
          <w:b/>
          <w:bCs/>
          <w:szCs w:val="24"/>
        </w:rPr>
        <w:t>diegimą pramonės įmonėse</w:t>
      </w:r>
      <w:r w:rsidR="0067270E" w:rsidRPr="0067270E">
        <w:rPr>
          <w:b/>
          <w:szCs w:val="24"/>
        </w:rPr>
        <w:t xml:space="preserve">“ projektų finansavimo sąlygų aprašo </w:t>
      </w:r>
      <w:r w:rsidRPr="00C6517B">
        <w:rPr>
          <w:b/>
          <w:szCs w:val="24"/>
        </w:rPr>
        <w:t xml:space="preserve">(toliau – Aprašas) </w:t>
      </w:r>
      <w:r w:rsidR="0067270E">
        <w:rPr>
          <w:b/>
          <w:szCs w:val="24"/>
          <w:lang w:val="en-US"/>
        </w:rPr>
        <w:t>6</w:t>
      </w:r>
      <w:r w:rsidRPr="00C6517B">
        <w:rPr>
          <w:b/>
          <w:szCs w:val="24"/>
        </w:rPr>
        <w:t xml:space="preserve"> punkto nuostatoms)</w:t>
      </w:r>
      <w:r>
        <w:rPr>
          <w:b/>
          <w:szCs w:val="24"/>
        </w:rPr>
        <w:t>.</w:t>
      </w:r>
    </w:p>
    <w:tbl>
      <w:tblPr>
        <w:tblW w:w="14577" w:type="dxa"/>
        <w:tblInd w:w="-10" w:type="dxa"/>
        <w:tblCellMar>
          <w:left w:w="0" w:type="dxa"/>
          <w:right w:w="0" w:type="dxa"/>
        </w:tblCellMar>
        <w:tblLook w:val="04A0" w:firstRow="1" w:lastRow="0" w:firstColumn="1" w:lastColumn="0" w:noHBand="0" w:noVBand="1"/>
      </w:tblPr>
      <w:tblGrid>
        <w:gridCol w:w="576"/>
        <w:gridCol w:w="9494"/>
        <w:gridCol w:w="1316"/>
        <w:gridCol w:w="1655"/>
        <w:gridCol w:w="1536"/>
      </w:tblGrid>
      <w:tr w:rsidR="00E73897" w:rsidRPr="005C1395" w14:paraId="2F62E6DB" w14:textId="77777777" w:rsidTr="00DE18B4">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20DF" w14:textId="77777777" w:rsidR="00E73897" w:rsidRDefault="00E73897" w:rsidP="00DE18B4">
            <w:pPr>
              <w:ind w:left="-42"/>
              <w:jc w:val="both"/>
              <w:rPr>
                <w:iCs/>
                <w:szCs w:val="24"/>
                <w:lang w:eastAsia="lt-LT"/>
              </w:rPr>
            </w:pPr>
            <w:r w:rsidRPr="005C1395">
              <w:rPr>
                <w:iCs/>
                <w:szCs w:val="24"/>
                <w:lang w:eastAsia="lt-LT"/>
              </w:rPr>
              <w:t>Eil.</w:t>
            </w:r>
          </w:p>
          <w:p w14:paraId="42C0D185" w14:textId="77777777" w:rsidR="00E73897" w:rsidRPr="005C1395" w:rsidRDefault="00E73897" w:rsidP="00DE18B4">
            <w:pPr>
              <w:ind w:left="-42"/>
              <w:jc w:val="both"/>
              <w:rPr>
                <w:iCs/>
                <w:szCs w:val="24"/>
                <w:lang w:eastAsia="lt-LT"/>
              </w:rPr>
            </w:pPr>
            <w:r w:rsidRPr="005C1395">
              <w:rPr>
                <w:iCs/>
                <w:szCs w:val="24"/>
                <w:lang w:eastAsia="lt-LT"/>
              </w:rPr>
              <w:t>Nr.</w:t>
            </w:r>
          </w:p>
        </w:tc>
        <w:tc>
          <w:tcPr>
            <w:tcW w:w="9497" w:type="dxa"/>
            <w:tcBorders>
              <w:top w:val="single" w:sz="4" w:space="0" w:color="auto"/>
              <w:left w:val="single" w:sz="4" w:space="0" w:color="auto"/>
              <w:bottom w:val="single" w:sz="4" w:space="0" w:color="auto"/>
              <w:right w:val="single" w:sz="4" w:space="0" w:color="auto"/>
            </w:tcBorders>
          </w:tcPr>
          <w:p w14:paraId="7A32B23B" w14:textId="77777777" w:rsidR="00E73897" w:rsidRPr="005C1395" w:rsidRDefault="00E73897" w:rsidP="00DE18B4">
            <w:pPr>
              <w:ind w:left="-42"/>
              <w:jc w:val="center"/>
              <w:rPr>
                <w:iCs/>
                <w:szCs w:val="24"/>
                <w:lang w:eastAsia="lt-LT"/>
              </w:rPr>
            </w:pPr>
            <w:r w:rsidRPr="005C1395">
              <w:rPr>
                <w:iCs/>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C7640" w14:textId="6863C387" w:rsidR="00E73897" w:rsidRPr="005C1395" w:rsidRDefault="00E73897" w:rsidP="00DE18B4">
            <w:pPr>
              <w:rPr>
                <w:szCs w:val="24"/>
                <w:lang w:eastAsia="lt-LT"/>
              </w:rPr>
            </w:pPr>
            <w:r w:rsidRPr="005C1395">
              <w:rPr>
                <w:szCs w:val="24"/>
                <w:lang w:eastAsia="lt-LT"/>
              </w:rPr>
              <w:t>201</w:t>
            </w:r>
            <w:r w:rsidR="00A85E76">
              <w:rPr>
                <w:szCs w:val="24"/>
                <w:lang w:eastAsia="lt-LT"/>
              </w:rPr>
              <w:t>9</w:t>
            </w:r>
            <w:r w:rsidRPr="005C1395">
              <w:rPr>
                <w:szCs w:val="24"/>
                <w:lang w:eastAsia="lt-LT"/>
              </w:rPr>
              <w:t xml:space="preserve">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12F9E" w14:textId="6CD0B1A1" w:rsidR="00E73897" w:rsidRPr="005C1395" w:rsidRDefault="00E73897" w:rsidP="00DE18B4">
            <w:pPr>
              <w:rPr>
                <w:szCs w:val="24"/>
                <w:lang w:eastAsia="lt-LT"/>
              </w:rPr>
            </w:pPr>
            <w:r w:rsidRPr="005C1395">
              <w:rPr>
                <w:szCs w:val="24"/>
                <w:lang w:eastAsia="lt-LT"/>
              </w:rPr>
              <w:t>20</w:t>
            </w:r>
            <w:r w:rsidR="00A85E76">
              <w:rPr>
                <w:szCs w:val="24"/>
                <w:lang w:eastAsia="lt-LT"/>
              </w:rPr>
              <w:t>20</w:t>
            </w:r>
            <w:r w:rsidRPr="005C1395">
              <w:rPr>
                <w:szCs w:val="24"/>
                <w:lang w:eastAsia="lt-LT"/>
              </w:rPr>
              <w:t xml:space="preserve">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CAD59" w14:textId="502E3C51" w:rsidR="00E73897" w:rsidRPr="005C1395" w:rsidRDefault="00E73897" w:rsidP="00DE18B4">
            <w:pPr>
              <w:rPr>
                <w:szCs w:val="24"/>
                <w:lang w:eastAsia="lt-LT"/>
              </w:rPr>
            </w:pPr>
            <w:r w:rsidRPr="005C1395">
              <w:rPr>
                <w:szCs w:val="24"/>
                <w:lang w:eastAsia="lt-LT"/>
              </w:rPr>
              <w:t>20</w:t>
            </w:r>
            <w:r w:rsidR="00A85E76">
              <w:rPr>
                <w:szCs w:val="24"/>
                <w:lang w:eastAsia="lt-LT"/>
              </w:rPr>
              <w:t>21</w:t>
            </w:r>
            <w:r w:rsidRPr="005C1395">
              <w:rPr>
                <w:szCs w:val="24"/>
                <w:lang w:eastAsia="lt-LT"/>
              </w:rPr>
              <w:t xml:space="preserve"> m.</w:t>
            </w:r>
          </w:p>
        </w:tc>
      </w:tr>
      <w:tr w:rsidR="00E73897" w:rsidRPr="005C1395" w14:paraId="7DED6F4D" w14:textId="77777777" w:rsidTr="00DE18B4">
        <w:trPr>
          <w:trHeight w:val="215"/>
        </w:trPr>
        <w:tc>
          <w:tcPr>
            <w:tcW w:w="573" w:type="dxa"/>
            <w:tcBorders>
              <w:top w:val="single" w:sz="4" w:space="0" w:color="auto"/>
              <w:left w:val="single" w:sz="4" w:space="0" w:color="auto"/>
              <w:bottom w:val="single" w:sz="4" w:space="0" w:color="auto"/>
              <w:right w:val="single" w:sz="4" w:space="0" w:color="auto"/>
            </w:tcBorders>
            <w:vAlign w:val="center"/>
            <w:hideMark/>
          </w:tcPr>
          <w:p w14:paraId="003F29E4" w14:textId="77777777" w:rsidR="00E73897" w:rsidRPr="005C1395" w:rsidRDefault="00E73897" w:rsidP="00DE18B4">
            <w:pPr>
              <w:ind w:left="-42" w:firstLine="184"/>
              <w:jc w:val="both"/>
              <w:rPr>
                <w:i/>
                <w:iCs/>
                <w:szCs w:val="24"/>
                <w:lang w:eastAsia="lt-LT"/>
              </w:rPr>
            </w:pPr>
            <w:r w:rsidRPr="005C1395">
              <w:rPr>
                <w:iCs/>
                <w:szCs w:val="24"/>
                <w:lang w:eastAsia="lt-LT"/>
              </w:rPr>
              <w:t>1.1.</w:t>
            </w:r>
          </w:p>
        </w:tc>
        <w:tc>
          <w:tcPr>
            <w:tcW w:w="9497" w:type="dxa"/>
            <w:tcBorders>
              <w:top w:val="single" w:sz="4" w:space="0" w:color="auto"/>
              <w:left w:val="single" w:sz="4" w:space="0" w:color="auto"/>
              <w:bottom w:val="single" w:sz="4" w:space="0" w:color="auto"/>
              <w:right w:val="single" w:sz="4" w:space="0" w:color="auto"/>
            </w:tcBorders>
            <w:vAlign w:val="center"/>
          </w:tcPr>
          <w:p w14:paraId="1236CA80" w14:textId="49740A2E" w:rsidR="00E73897" w:rsidRPr="005C1395" w:rsidRDefault="00E73897" w:rsidP="00DE18B4">
            <w:pPr>
              <w:tabs>
                <w:tab w:val="left" w:pos="141"/>
              </w:tabs>
              <w:ind w:left="175" w:right="274"/>
              <w:contextualSpacing/>
              <w:jc w:val="both"/>
              <w:rPr>
                <w:iCs/>
                <w:szCs w:val="24"/>
                <w:lang w:eastAsia="lt-LT"/>
              </w:rPr>
            </w:pPr>
            <w:r w:rsidRPr="005C1395">
              <w:rPr>
                <w:szCs w:val="24"/>
                <w:lang w:eastAsia="lt-LT"/>
              </w:rPr>
              <w:t>Pareiškėjo vykdoma veikla (-os) pagal EVRK 2 red. ir pajamos iš šios (-ių) veiklos (-ų), Eur</w:t>
            </w:r>
            <w:r>
              <w:rPr>
                <w:szCs w:val="24"/>
                <w:lang w:eastAsia="lt-LT"/>
              </w:rPr>
              <w:t xml:space="preserve"> </w:t>
            </w:r>
            <w:r w:rsidRPr="005C1395">
              <w:rPr>
                <w:szCs w:val="24"/>
                <w:lang w:eastAsia="lt-LT"/>
              </w:rPr>
              <w:t>(</w:t>
            </w:r>
            <w:r w:rsidRPr="005C1395">
              <w:rPr>
                <w:iCs/>
                <w:szCs w:val="24"/>
                <w:lang w:eastAsia="lt-LT"/>
              </w:rPr>
              <w:t>nurodyti veiklos (-ų) pavadinimus ir kodus bei iš jų gautas pajamas kiekvienais nurodytais metais)</w:t>
            </w:r>
            <w:r>
              <w:rPr>
                <w:iCs/>
                <w:szCs w:val="24"/>
                <w:lang w:eastAsia="lt-LT"/>
              </w:rPr>
              <w:t xml:space="preserve"> </w:t>
            </w:r>
            <w:r w:rsidRPr="005C1395">
              <w:rPr>
                <w:iCs/>
                <w:szCs w:val="24"/>
                <w:lang w:eastAsia="lt-LT"/>
              </w:rPr>
              <w:t>(visos pajamos iš šios (-ių)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34C98" w14:textId="77777777" w:rsidR="00E73897" w:rsidRPr="005C1395" w:rsidRDefault="00E73897" w:rsidP="00DE18B4">
            <w:pPr>
              <w:rPr>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E3EFD" w14:textId="77777777" w:rsidR="00E73897" w:rsidRPr="005C1395" w:rsidRDefault="00E73897"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33ECF" w14:textId="77777777" w:rsidR="00E73897" w:rsidRPr="005C1395" w:rsidRDefault="00E73897" w:rsidP="00DE18B4">
            <w:pPr>
              <w:rPr>
                <w:szCs w:val="24"/>
                <w:lang w:eastAsia="lt-LT"/>
              </w:rPr>
            </w:pPr>
          </w:p>
        </w:tc>
      </w:tr>
      <w:tr w:rsidR="00E73897" w:rsidRPr="005C1395" w14:paraId="3507B2C1" w14:textId="77777777" w:rsidTr="00DE18B4">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3D097" w14:textId="77777777" w:rsidR="00E73897" w:rsidRPr="005C1395" w:rsidRDefault="00E73897" w:rsidP="00DE18B4">
            <w:pPr>
              <w:jc w:val="both"/>
              <w:rPr>
                <w:szCs w:val="24"/>
                <w:lang w:eastAsia="lt-LT"/>
              </w:rPr>
            </w:pPr>
            <w:r w:rsidRPr="005C1395">
              <w:rPr>
                <w:szCs w:val="24"/>
                <w:lang w:eastAsia="lt-LT"/>
              </w:rPr>
              <w:t>1.2.</w:t>
            </w:r>
          </w:p>
        </w:tc>
        <w:tc>
          <w:tcPr>
            <w:tcW w:w="9497" w:type="dxa"/>
            <w:tcBorders>
              <w:top w:val="single" w:sz="4" w:space="0" w:color="auto"/>
              <w:left w:val="single" w:sz="4" w:space="0" w:color="auto"/>
              <w:bottom w:val="single" w:sz="4" w:space="0" w:color="auto"/>
              <w:right w:val="single" w:sz="4" w:space="0" w:color="auto"/>
            </w:tcBorders>
          </w:tcPr>
          <w:p w14:paraId="10F5EED3" w14:textId="77777777" w:rsidR="00E73897" w:rsidRPr="005C1395" w:rsidRDefault="00E73897" w:rsidP="00DE18B4">
            <w:pPr>
              <w:tabs>
                <w:tab w:val="left" w:pos="0"/>
              </w:tabs>
              <w:ind w:left="175" w:right="274"/>
              <w:contextualSpacing/>
              <w:jc w:val="both"/>
              <w:rPr>
                <w:szCs w:val="24"/>
                <w:lang w:eastAsia="lt-LT"/>
              </w:rPr>
            </w:pPr>
            <w:r w:rsidRPr="005C1395">
              <w:rPr>
                <w:szCs w:val="24"/>
                <w:lang w:eastAsia="lt-LT"/>
              </w:rPr>
              <w:t>Pareiškėjo metinės pajamos iš savo pagamintos produkcijos, Eur</w:t>
            </w:r>
            <w:r>
              <w:rPr>
                <w:szCs w:val="24"/>
                <w:lang w:eastAsia="lt-LT"/>
              </w:rPr>
              <w:t xml:space="preserve"> </w:t>
            </w:r>
            <w:r w:rsidRPr="005C1395">
              <w:rPr>
                <w:iCs/>
                <w:szCs w:val="24"/>
                <w:lang w:eastAsia="lt-LT"/>
              </w:rPr>
              <w:t>(per pastaruosius dvejus finansinius metus iki paraiškos</w:t>
            </w:r>
            <w:r w:rsidRPr="00F73527">
              <w:rPr>
                <w:szCs w:val="24"/>
                <w:lang w:eastAsia="lt-LT"/>
              </w:rPr>
              <w:t xml:space="preserve"> </w:t>
            </w:r>
            <w:r w:rsidRPr="00F73527">
              <w:rPr>
                <w:iCs/>
                <w:szCs w:val="24"/>
                <w:lang w:eastAsia="lt-LT"/>
              </w:rPr>
              <w:t>finansuoti iš Europos Sąjungos struktūrinių fondų lėšų bendrai finansuojamą projektą (toliau – paraiška)</w:t>
            </w:r>
            <w:r w:rsidRPr="005C1395">
              <w:rPr>
                <w:iCs/>
                <w:szCs w:val="24"/>
                <w:lang w:eastAsia="lt-LT"/>
              </w:rPr>
              <w:t xml:space="preserve"> pateikimo turi būti ne mažesnės negu 300 000 Eur (trys šimtai tūkstančių eurų)</w:t>
            </w:r>
            <w:r>
              <w:rPr>
                <w:iCs/>
                <w:szCs w:val="24"/>
                <w:lang w:eastAsia="lt-LT"/>
              </w:rPr>
              <w:t>,</w:t>
            </w:r>
            <w:r w:rsidRPr="005C1395">
              <w:rPr>
                <w:iCs/>
                <w:szCs w:val="24"/>
                <w:lang w:eastAsia="lt-LT"/>
              </w:rPr>
              <w:t xml:space="preserve"> jeigu pramonės įmonė yra didelė</w:t>
            </w:r>
            <w:r>
              <w:rPr>
                <w:iCs/>
                <w:szCs w:val="24"/>
                <w:lang w:eastAsia="lt-LT"/>
              </w:rPr>
              <w:t xml:space="preserve"> įmonė</w:t>
            </w:r>
            <w:r w:rsidRPr="005C1395">
              <w:rPr>
                <w:iCs/>
                <w:szCs w:val="24"/>
                <w:lang w:eastAsia="lt-LT"/>
              </w:rPr>
              <w:t>, ir 145 000</w:t>
            </w:r>
            <w:r>
              <w:rPr>
                <w:iCs/>
                <w:szCs w:val="24"/>
                <w:lang w:eastAsia="lt-LT"/>
              </w:rPr>
              <w:t xml:space="preserve"> Eur</w:t>
            </w:r>
            <w:r w:rsidRPr="005C1395">
              <w:rPr>
                <w:iCs/>
                <w:szCs w:val="24"/>
                <w:lang w:eastAsia="lt-LT"/>
              </w:rPr>
              <w:t xml:space="preserve"> </w:t>
            </w:r>
            <w:r>
              <w:rPr>
                <w:iCs/>
                <w:szCs w:val="24"/>
                <w:lang w:eastAsia="lt-LT"/>
              </w:rPr>
              <w:t xml:space="preserve">(šimtas keturiasdešimt penki tūkstančiai </w:t>
            </w:r>
            <w:r w:rsidRPr="005C1395">
              <w:rPr>
                <w:iCs/>
                <w:szCs w:val="24"/>
                <w:lang w:eastAsia="lt-LT"/>
              </w:rPr>
              <w:t>eurų</w:t>
            </w:r>
            <w:r>
              <w:rPr>
                <w:iCs/>
                <w:szCs w:val="24"/>
                <w:lang w:eastAsia="lt-LT"/>
              </w:rPr>
              <w:t>)</w:t>
            </w:r>
            <w:r w:rsidRPr="005C1395">
              <w:rPr>
                <w:iCs/>
                <w:szCs w:val="24"/>
                <w:lang w:eastAsia="lt-LT"/>
              </w:rPr>
              <w:t>, jeigu pramonės įmonė yra labai maža</w:t>
            </w:r>
            <w:r>
              <w:rPr>
                <w:iCs/>
                <w:szCs w:val="24"/>
                <w:lang w:eastAsia="lt-LT"/>
              </w:rPr>
              <w:t xml:space="preserve"> įmonė</w:t>
            </w:r>
            <w:r w:rsidRPr="005C1395">
              <w:rPr>
                <w:iCs/>
                <w:szCs w:val="24"/>
                <w:lang w:eastAsia="lt-LT"/>
              </w:rPr>
              <w:t>, maža</w:t>
            </w:r>
            <w:r>
              <w:rPr>
                <w:iCs/>
                <w:szCs w:val="24"/>
                <w:lang w:eastAsia="lt-LT"/>
              </w:rPr>
              <w:t xml:space="preserve"> įmonė</w:t>
            </w:r>
            <w:r w:rsidRPr="005C1395">
              <w:rPr>
                <w:iCs/>
                <w:szCs w:val="24"/>
                <w:lang w:eastAsia="lt-LT"/>
              </w:rPr>
              <w:t xml:space="preserve"> ar vidutinė</w:t>
            </w:r>
            <w:r>
              <w:rPr>
                <w:iCs/>
                <w:szCs w:val="24"/>
                <w:lang w:eastAsia="lt-LT"/>
              </w:rPr>
              <w:t xml:space="preserve"> įmonė</w:t>
            </w:r>
            <w:r w:rsidRPr="005C1395">
              <w:rPr>
                <w:iCs/>
                <w:szCs w:val="24"/>
                <w:lang w:eastAsia="lt-LT"/>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7D072" w14:textId="18CCBDF4" w:rsidR="00E73897" w:rsidRPr="005C1395" w:rsidRDefault="00E73897" w:rsidP="00DE18B4">
            <w:pPr>
              <w:rPr>
                <w:i/>
                <w:iCs/>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7D4F" w14:textId="77777777" w:rsidR="00E73897" w:rsidRPr="005C1395" w:rsidRDefault="00E73897"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F5A6" w14:textId="77777777" w:rsidR="00E73897" w:rsidRPr="005C1395" w:rsidRDefault="00E73897" w:rsidP="00DE18B4">
            <w:pPr>
              <w:rPr>
                <w:szCs w:val="24"/>
                <w:lang w:eastAsia="lt-LT"/>
              </w:rPr>
            </w:pPr>
          </w:p>
        </w:tc>
      </w:tr>
      <w:tr w:rsidR="00E73897" w:rsidRPr="005C1395" w14:paraId="7ECA2D6D" w14:textId="77777777" w:rsidTr="00DE18B4">
        <w:trPr>
          <w:trHeight w:val="859"/>
        </w:trPr>
        <w:tc>
          <w:tcPr>
            <w:tcW w:w="573"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3615A9A" w14:textId="77777777" w:rsidR="00E73897" w:rsidRPr="005C1395" w:rsidRDefault="00E73897" w:rsidP="00DE18B4">
            <w:pPr>
              <w:contextualSpacing/>
              <w:jc w:val="both"/>
              <w:rPr>
                <w:szCs w:val="24"/>
                <w:lang w:eastAsia="lt-LT"/>
              </w:rPr>
            </w:pPr>
            <w:r w:rsidRPr="005C1395">
              <w:rPr>
                <w:szCs w:val="24"/>
                <w:lang w:eastAsia="lt-LT"/>
              </w:rPr>
              <w:t>1.3.</w:t>
            </w:r>
          </w:p>
        </w:tc>
        <w:tc>
          <w:tcPr>
            <w:tcW w:w="9497" w:type="dxa"/>
            <w:tcBorders>
              <w:top w:val="single" w:sz="4" w:space="0" w:color="auto"/>
              <w:left w:val="single" w:sz="4" w:space="0" w:color="auto"/>
              <w:bottom w:val="single" w:sz="8" w:space="0" w:color="auto"/>
              <w:right w:val="single" w:sz="8" w:space="0" w:color="auto"/>
            </w:tcBorders>
          </w:tcPr>
          <w:p w14:paraId="48DD7A2C" w14:textId="77777777" w:rsidR="00E73897" w:rsidRPr="005C1395" w:rsidRDefault="00E73897" w:rsidP="00DE18B4">
            <w:pPr>
              <w:tabs>
                <w:tab w:val="left" w:pos="0"/>
              </w:tabs>
              <w:ind w:left="175" w:right="274"/>
              <w:contextualSpacing/>
              <w:jc w:val="both"/>
              <w:rPr>
                <w:szCs w:val="24"/>
                <w:lang w:eastAsia="lt-LT"/>
              </w:rPr>
            </w:pPr>
            <w:r w:rsidRPr="005C1395">
              <w:rPr>
                <w:szCs w:val="24"/>
                <w:lang w:eastAsia="lt-LT"/>
              </w:rPr>
              <w:t xml:space="preserve">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w:t>
            </w:r>
            <w:r w:rsidRPr="005C1395">
              <w:rPr>
                <w:szCs w:val="24"/>
                <w:lang w:eastAsia="lt-LT"/>
              </w:rPr>
              <w:lastRenderedPageBreak/>
              <w:t>08.92 klasės „Durpių gavyba“ ir B sekcijos 09.1 grupės „Naftos ir gamtinių dujų gavybai būdingų paslaugų veikla“) ir C sekcijos „Apdirbamoji gamyba“ (išskyrus C sekcijos 19 skyriaus „Kokso ir rafinuotų naftos produktų gamyba“ ekonominę veiklą), proc.</w:t>
            </w:r>
            <w:r>
              <w:rPr>
                <w:iCs/>
                <w:szCs w:val="24"/>
                <w:lang w:eastAsia="lt-LT"/>
              </w:rPr>
              <w:t xml:space="preserve"> </w:t>
            </w:r>
            <w:r w:rsidRPr="005C1395">
              <w:rPr>
                <w:iCs/>
                <w:szCs w:val="24"/>
                <w:lang w:eastAsia="lt-LT"/>
              </w:rPr>
              <w:t xml:space="preserve">(pajamos iš šios (-ių) veiklos (-ų) turi sudaryti ne mažiau kaip </w:t>
            </w:r>
            <w:r>
              <w:rPr>
                <w:iCs/>
                <w:szCs w:val="24"/>
                <w:lang w:eastAsia="lt-LT"/>
              </w:rPr>
              <w:t xml:space="preserve">51 </w:t>
            </w:r>
            <w:r w:rsidRPr="005C1395">
              <w:rPr>
                <w:iCs/>
                <w:szCs w:val="24"/>
                <w:lang w:eastAsia="lt-LT"/>
              </w:rPr>
              <w:t>procent</w:t>
            </w:r>
            <w:r>
              <w:rPr>
                <w:iCs/>
                <w:szCs w:val="24"/>
                <w:lang w:eastAsia="lt-LT"/>
              </w:rPr>
              <w:t>ą</w:t>
            </w:r>
            <w:r w:rsidRPr="005C1395">
              <w:rPr>
                <w:iCs/>
                <w:szCs w:val="24"/>
                <w:lang w:eastAsia="lt-LT"/>
              </w:rPr>
              <w:t xml:space="preserve"> visų įmonės veiklų </w:t>
            </w:r>
            <w:r w:rsidRPr="007B23B3">
              <w:rPr>
                <w:bCs/>
                <w:iCs/>
                <w:szCs w:val="24"/>
                <w:lang w:eastAsia="lt-LT"/>
              </w:rPr>
              <w:t>kiekvienais</w:t>
            </w:r>
            <w:r w:rsidRPr="005C1395">
              <w:rPr>
                <w:iCs/>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A4B49C" w14:textId="77777777" w:rsidR="00E73897" w:rsidRPr="005C1395" w:rsidRDefault="00E73897" w:rsidP="00DE18B4">
            <w:pPr>
              <w:rPr>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1C195" w14:textId="77777777" w:rsidR="00E73897" w:rsidRPr="005C1395" w:rsidRDefault="00E73897" w:rsidP="00DE18B4">
            <w:pPr>
              <w:rPr>
                <w:szCs w:val="24"/>
                <w:lang w:eastAsia="lt-LT"/>
              </w:rPr>
            </w:pPr>
          </w:p>
        </w:tc>
        <w:tc>
          <w:tcPr>
            <w:tcW w:w="1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5C1CD1" w14:textId="77777777" w:rsidR="00E73897" w:rsidRPr="005C1395" w:rsidRDefault="00E73897" w:rsidP="00DE18B4">
            <w:pPr>
              <w:rPr>
                <w:szCs w:val="24"/>
                <w:lang w:eastAsia="lt-LT"/>
              </w:rPr>
            </w:pPr>
          </w:p>
        </w:tc>
      </w:tr>
    </w:tbl>
    <w:p w14:paraId="2D3DB4F2" w14:textId="77777777" w:rsidR="00E73897" w:rsidRDefault="00E73897" w:rsidP="00E73897">
      <w:pPr>
        <w:widowControl w:val="0"/>
        <w:tabs>
          <w:tab w:val="left" w:pos="0"/>
          <w:tab w:val="left" w:pos="426"/>
        </w:tabs>
        <w:adjustRightInd w:val="0"/>
        <w:jc w:val="both"/>
        <w:textAlignment w:val="baseline"/>
        <w:rPr>
          <w:b/>
          <w:szCs w:val="24"/>
        </w:rPr>
      </w:pPr>
    </w:p>
    <w:p w14:paraId="24C503D9" w14:textId="04284CD9" w:rsidR="00E73897" w:rsidRPr="00874782" w:rsidRDefault="001F1799" w:rsidP="00E73897">
      <w:pPr>
        <w:rPr>
          <w:b/>
          <w:szCs w:val="24"/>
          <w:lang w:eastAsia="lt-LT"/>
        </w:rPr>
      </w:pPr>
      <w:bookmarkStart w:id="15" w:name="_Hlk113402518"/>
      <w:r>
        <w:rPr>
          <w:b/>
          <w:szCs w:val="24"/>
          <w:lang w:val="en-US" w:eastAsia="lt-LT"/>
        </w:rPr>
        <w:t>2</w:t>
      </w:r>
      <w:r w:rsidR="00E73897" w:rsidRPr="00C6517B">
        <w:rPr>
          <w:b/>
          <w:szCs w:val="24"/>
          <w:lang w:eastAsia="lt-LT"/>
        </w:rPr>
        <w:t>. </w:t>
      </w:r>
      <w:r w:rsidR="00E73897" w:rsidRPr="00D45B7D">
        <w:rPr>
          <w:b/>
          <w:szCs w:val="24"/>
          <w:lang w:eastAsia="lt-LT"/>
        </w:rPr>
        <w:t>Pareiškėjo metinės energijos sąnaudos</w:t>
      </w:r>
      <w:r w:rsidR="00E73897" w:rsidRPr="00141A72">
        <w:rPr>
          <w:b/>
          <w:szCs w:val="24"/>
          <w:lang w:eastAsia="lt-LT"/>
        </w:rPr>
        <w:t xml:space="preserve"> (taikoma vertinant projekto atitiktį </w:t>
      </w:r>
      <w:r w:rsidR="00E73897" w:rsidRPr="00DA0BA4">
        <w:rPr>
          <w:b/>
          <w:szCs w:val="24"/>
          <w:lang w:eastAsia="lt-LT"/>
        </w:rPr>
        <w:t xml:space="preserve">Aprašo </w:t>
      </w:r>
      <w:r w:rsidR="00D34A3E" w:rsidRPr="00DA0BA4">
        <w:rPr>
          <w:b/>
          <w:szCs w:val="24"/>
          <w:lang w:val="en-US" w:eastAsia="lt-LT"/>
        </w:rPr>
        <w:t xml:space="preserve">6 </w:t>
      </w:r>
      <w:r w:rsidR="00E73897" w:rsidRPr="00DA0BA4">
        <w:rPr>
          <w:b/>
          <w:szCs w:val="24"/>
          <w:lang w:eastAsia="lt-LT"/>
        </w:rPr>
        <w:t>punkto nuostatoms).</w:t>
      </w:r>
    </w:p>
    <w:tbl>
      <w:tblPr>
        <w:tblStyle w:val="TableGrid"/>
        <w:tblW w:w="0" w:type="auto"/>
        <w:tblLook w:val="04A0" w:firstRow="1" w:lastRow="0" w:firstColumn="1" w:lastColumn="0" w:noHBand="0" w:noVBand="1"/>
      </w:tblPr>
      <w:tblGrid>
        <w:gridCol w:w="756"/>
        <w:gridCol w:w="3705"/>
        <w:gridCol w:w="2519"/>
        <w:gridCol w:w="4975"/>
        <w:gridCol w:w="2436"/>
      </w:tblGrid>
      <w:tr w:rsidR="00E73897" w:rsidRPr="00C6517B" w14:paraId="47EC4D19" w14:textId="77777777" w:rsidTr="00DE18B4">
        <w:trPr>
          <w:trHeight w:val="1171"/>
        </w:trPr>
        <w:tc>
          <w:tcPr>
            <w:tcW w:w="736" w:type="dxa"/>
          </w:tcPr>
          <w:p w14:paraId="35315082" w14:textId="77777777" w:rsidR="00E73897" w:rsidRPr="00B05BCA" w:rsidRDefault="00E73897" w:rsidP="00DE18B4">
            <w:pPr>
              <w:widowControl w:val="0"/>
              <w:adjustRightInd w:val="0"/>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Eil. Nr.</w:t>
            </w:r>
          </w:p>
        </w:tc>
        <w:tc>
          <w:tcPr>
            <w:tcW w:w="3705" w:type="dxa"/>
          </w:tcPr>
          <w:p w14:paraId="3FEA594D" w14:textId="77777777" w:rsidR="00E73897" w:rsidRPr="00B05BCA" w:rsidRDefault="00E73897" w:rsidP="00DE18B4">
            <w:pPr>
              <w:widowControl w:val="0"/>
              <w:adjustRightInd w:val="0"/>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 xml:space="preserve">Pareiškėjo energijos sąnaudos </w:t>
            </w:r>
            <w:r w:rsidRPr="00261C13">
              <w:rPr>
                <w:rFonts w:ascii="Times New Roman" w:eastAsia="Times New Roman" w:hAnsi="Times New Roman"/>
                <w:sz w:val="24"/>
                <w:szCs w:val="24"/>
              </w:rPr>
              <w:t xml:space="preserve">(vertinami </w:t>
            </w:r>
            <w:r>
              <w:rPr>
                <w:rFonts w:ascii="Times New Roman" w:eastAsia="Times New Roman" w:hAnsi="Times New Roman"/>
                <w:sz w:val="24"/>
                <w:szCs w:val="24"/>
              </w:rPr>
              <w:t xml:space="preserve">paskutiniai </w:t>
            </w:r>
            <w:r w:rsidRPr="00261C13">
              <w:rPr>
                <w:rFonts w:ascii="Times New Roman" w:eastAsia="Times New Roman" w:hAnsi="Times New Roman"/>
                <w:sz w:val="24"/>
                <w:szCs w:val="24"/>
              </w:rPr>
              <w:t>energijos vartojimo audit</w:t>
            </w:r>
            <w:r>
              <w:rPr>
                <w:rFonts w:ascii="Times New Roman" w:eastAsia="Times New Roman" w:hAnsi="Times New Roman"/>
                <w:sz w:val="24"/>
                <w:szCs w:val="24"/>
              </w:rPr>
              <w:t>o</w:t>
            </w:r>
            <w:r w:rsidRPr="00261C13">
              <w:rPr>
                <w:rFonts w:ascii="Times New Roman" w:eastAsia="Times New Roman" w:hAnsi="Times New Roman"/>
                <w:sz w:val="24"/>
                <w:szCs w:val="24"/>
              </w:rPr>
              <w:t xml:space="preserve"> </w:t>
            </w:r>
            <w:r w:rsidRPr="004B35EA">
              <w:rPr>
                <w:rFonts w:ascii="Times New Roman" w:eastAsia="Times New Roman" w:hAnsi="Times New Roman"/>
                <w:sz w:val="24"/>
                <w:szCs w:val="24"/>
              </w:rPr>
              <w:t xml:space="preserve"> </w:t>
            </w:r>
            <w:r w:rsidRPr="00261C13">
              <w:rPr>
                <w:rFonts w:ascii="Times New Roman" w:eastAsia="Times New Roman" w:hAnsi="Times New Roman"/>
                <w:sz w:val="24"/>
                <w:szCs w:val="24"/>
              </w:rPr>
              <w:t xml:space="preserve">nagrinėjami metai arba metai, kai bus įdiegti atsinaujinančius energijos išteklius naudojantys energijos gamybos pajėgumai (tik tuo atveju jeigu pareiškėjas numato technologinių procesų organizavimo pokyčius ir </w:t>
            </w:r>
            <w:r>
              <w:rPr>
                <w:rFonts w:ascii="Times New Roman" w:eastAsia="Times New Roman" w:hAnsi="Times New Roman"/>
                <w:sz w:val="24"/>
                <w:szCs w:val="24"/>
              </w:rPr>
              <w:t xml:space="preserve">atliekant </w:t>
            </w:r>
            <w:r w:rsidRPr="00261C13">
              <w:rPr>
                <w:rFonts w:ascii="Times New Roman" w:eastAsia="Times New Roman" w:hAnsi="Times New Roman"/>
                <w:sz w:val="24"/>
                <w:szCs w:val="24"/>
              </w:rPr>
              <w:t>energijos vartojimo audit</w:t>
            </w:r>
            <w:r>
              <w:rPr>
                <w:rFonts w:ascii="Times New Roman" w:eastAsia="Times New Roman" w:hAnsi="Times New Roman"/>
                <w:sz w:val="24"/>
                <w:szCs w:val="24"/>
              </w:rPr>
              <w:t>ą</w:t>
            </w:r>
            <w:r w:rsidRPr="00261C13">
              <w:rPr>
                <w:rFonts w:ascii="Times New Roman" w:eastAsia="Times New Roman" w:hAnsi="Times New Roman"/>
                <w:sz w:val="24"/>
                <w:szCs w:val="24"/>
              </w:rPr>
              <w:t xml:space="preserve"> įvertintos būsimos pareiškėjo energijos sąnaudos).</w:t>
            </w:r>
          </w:p>
        </w:tc>
        <w:tc>
          <w:tcPr>
            <w:tcW w:w="2519" w:type="dxa"/>
          </w:tcPr>
          <w:p w14:paraId="1C70C327" w14:textId="77777777" w:rsidR="00E73897" w:rsidRPr="00B05BCA" w:rsidRDefault="00E73897" w:rsidP="00DE18B4">
            <w:pPr>
              <w:widowControl w:val="0"/>
              <w:adjustRightInd w:val="0"/>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Energijos sąnaudų kiekis natūriniais vienetais (t, m3, MWh)</w:t>
            </w:r>
          </w:p>
        </w:tc>
        <w:tc>
          <w:tcPr>
            <w:tcW w:w="7410" w:type="dxa"/>
            <w:gridSpan w:val="2"/>
          </w:tcPr>
          <w:p w14:paraId="2CFB8364" w14:textId="77777777" w:rsidR="00E73897" w:rsidRPr="00B05BCA" w:rsidRDefault="00E73897" w:rsidP="00DE18B4">
            <w:pPr>
              <w:widowControl w:val="0"/>
              <w:adjustRightInd w:val="0"/>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 xml:space="preserve">Energijos sąnaudų kiekis sąlyginiu vienetu – tona naftos ekvivalentu. </w:t>
            </w:r>
            <w:r w:rsidRPr="00261C13">
              <w:rPr>
                <w:rFonts w:ascii="Times New Roman" w:eastAsia="Times New Roman" w:hAnsi="Times New Roman"/>
                <w:sz w:val="24"/>
                <w:szCs w:val="24"/>
              </w:rPr>
              <w:t>Pareiškėjo naudojamų energijos rūšių sąnaudos turi būti pateiktos tiek natūriniais vienetais (t, m3, MWh), tiek ir sąlyginiu vienetu (TNE). Perskaičiuojant energijos sąnaudų kiekį iš natūrinių į sąlyginį vienetą, prašome vadovautis</w:t>
            </w:r>
            <w:r w:rsidRPr="00B05BCA">
              <w:rPr>
                <w:rFonts w:ascii="Times New Roman" w:hAnsi="Times New Roman"/>
                <w:sz w:val="24"/>
                <w:szCs w:val="24"/>
              </w:rPr>
              <w:t xml:space="preserve"> </w:t>
            </w:r>
            <w:r w:rsidRPr="00261C13">
              <w:rPr>
                <w:rFonts w:ascii="Times New Roman" w:eastAsia="Times New Roman" w:hAnsi="Times New Roman"/>
                <w:sz w:val="24"/>
                <w:szCs w:val="24"/>
              </w:rPr>
              <w:t xml:space="preserve">Kuro ir energijos balanso sudarymo metodika, patvirtinta </w:t>
            </w:r>
            <w:r w:rsidRPr="00261C13">
              <w:rPr>
                <w:rFonts w:ascii="Times New Roman" w:eastAsia="Times New Roman" w:hAnsi="Times New Roman"/>
                <w:bCs/>
                <w:sz w:val="24"/>
                <w:szCs w:val="24"/>
              </w:rPr>
              <w:t>Statistikos departamento prie Lietuvos Respublikos Vyriausybės generalinio direktoriaus</w:t>
            </w:r>
            <w:r w:rsidRPr="00261C13">
              <w:rPr>
                <w:rFonts w:ascii="Times New Roman" w:eastAsia="Times New Roman" w:hAnsi="Times New Roman"/>
                <w:sz w:val="24"/>
                <w:szCs w:val="24"/>
              </w:rPr>
              <w:t xml:space="preserve"> 2004 m. lapkričio 24 d. įsakymu Nr.</w:t>
            </w:r>
            <w:r>
              <w:rPr>
                <w:rFonts w:ascii="Times New Roman" w:eastAsia="Times New Roman" w:hAnsi="Times New Roman"/>
                <w:sz w:val="24"/>
                <w:szCs w:val="24"/>
              </w:rPr>
              <w:t> </w:t>
            </w:r>
            <w:r w:rsidRPr="00261C13">
              <w:rPr>
                <w:rFonts w:ascii="Times New Roman" w:eastAsia="Times New Roman" w:hAnsi="Times New Roman"/>
                <w:sz w:val="24"/>
                <w:szCs w:val="24"/>
              </w:rPr>
              <w:t>DĮ-228 „Dėl Kuro ir energijos balanso sudarymo metodikos patvirtinimo“.</w:t>
            </w:r>
            <w:r w:rsidRPr="00B05BCA">
              <w:rPr>
                <w:rFonts w:ascii="Times New Roman" w:eastAsia="Times New Roman" w:hAnsi="Times New Roman"/>
                <w:sz w:val="24"/>
                <w:szCs w:val="24"/>
              </w:rPr>
              <w:t xml:space="preserve"> </w:t>
            </w:r>
          </w:p>
        </w:tc>
      </w:tr>
      <w:tr w:rsidR="00E73897" w:rsidRPr="00C6517B" w14:paraId="26AABDEF" w14:textId="77777777" w:rsidTr="00DE18B4">
        <w:trPr>
          <w:trHeight w:val="298"/>
        </w:trPr>
        <w:tc>
          <w:tcPr>
            <w:tcW w:w="736" w:type="dxa"/>
          </w:tcPr>
          <w:p w14:paraId="4F5693A5" w14:textId="2F595718"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.1.</w:t>
            </w:r>
          </w:p>
        </w:tc>
        <w:tc>
          <w:tcPr>
            <w:tcW w:w="3705" w:type="dxa"/>
          </w:tcPr>
          <w:p w14:paraId="476AF96E"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Iš viso:</w:t>
            </w:r>
          </w:p>
        </w:tc>
        <w:tc>
          <w:tcPr>
            <w:tcW w:w="2519" w:type="dxa"/>
          </w:tcPr>
          <w:p w14:paraId="6DEFDEA7"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263DA9E0"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0397C0A5" w14:textId="77777777" w:rsidTr="00DE18B4">
        <w:trPr>
          <w:trHeight w:val="298"/>
        </w:trPr>
        <w:tc>
          <w:tcPr>
            <w:tcW w:w="736" w:type="dxa"/>
          </w:tcPr>
          <w:p w14:paraId="7F453F34" w14:textId="6796D01A"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.1.1</w:t>
            </w:r>
            <w:r w:rsidR="00E73897">
              <w:rPr>
                <w:rFonts w:ascii="Times New Roman" w:eastAsia="Times New Roman" w:hAnsi="Times New Roman"/>
                <w:sz w:val="24"/>
                <w:szCs w:val="24"/>
              </w:rPr>
              <w:t>.</w:t>
            </w:r>
          </w:p>
        </w:tc>
        <w:tc>
          <w:tcPr>
            <w:tcW w:w="3705" w:type="dxa"/>
          </w:tcPr>
          <w:p w14:paraId="1E96B5BD"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1 (įrašyti)</w:t>
            </w:r>
          </w:p>
        </w:tc>
        <w:tc>
          <w:tcPr>
            <w:tcW w:w="2519" w:type="dxa"/>
          </w:tcPr>
          <w:p w14:paraId="16C6D347"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64A4066F"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2A6427B6" w14:textId="77777777" w:rsidTr="00DE18B4">
        <w:trPr>
          <w:trHeight w:val="298"/>
        </w:trPr>
        <w:tc>
          <w:tcPr>
            <w:tcW w:w="736" w:type="dxa"/>
          </w:tcPr>
          <w:p w14:paraId="6FC63821" w14:textId="49EAD068"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.1.2</w:t>
            </w:r>
            <w:r w:rsidR="00E73897">
              <w:rPr>
                <w:rFonts w:ascii="Times New Roman" w:eastAsia="Times New Roman" w:hAnsi="Times New Roman"/>
                <w:sz w:val="24"/>
                <w:szCs w:val="24"/>
              </w:rPr>
              <w:t>.</w:t>
            </w:r>
          </w:p>
        </w:tc>
        <w:tc>
          <w:tcPr>
            <w:tcW w:w="3705" w:type="dxa"/>
          </w:tcPr>
          <w:p w14:paraId="2264410D"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2 (įrašyti)</w:t>
            </w:r>
          </w:p>
        </w:tc>
        <w:tc>
          <w:tcPr>
            <w:tcW w:w="2519" w:type="dxa"/>
          </w:tcPr>
          <w:p w14:paraId="7B205B52"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235C638F"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1689EED5" w14:textId="77777777" w:rsidTr="00DE18B4">
        <w:trPr>
          <w:trHeight w:val="298"/>
        </w:trPr>
        <w:tc>
          <w:tcPr>
            <w:tcW w:w="736" w:type="dxa"/>
          </w:tcPr>
          <w:p w14:paraId="5F5444E3" w14:textId="41F46787"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.1.3</w:t>
            </w:r>
            <w:r w:rsidR="00E73897">
              <w:rPr>
                <w:rFonts w:ascii="Times New Roman" w:eastAsia="Times New Roman" w:hAnsi="Times New Roman"/>
                <w:sz w:val="24"/>
                <w:szCs w:val="24"/>
              </w:rPr>
              <w:t>.</w:t>
            </w:r>
          </w:p>
        </w:tc>
        <w:tc>
          <w:tcPr>
            <w:tcW w:w="3705" w:type="dxa"/>
          </w:tcPr>
          <w:p w14:paraId="3EE39527"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3 (įrašyti)</w:t>
            </w:r>
          </w:p>
        </w:tc>
        <w:tc>
          <w:tcPr>
            <w:tcW w:w="2519" w:type="dxa"/>
          </w:tcPr>
          <w:p w14:paraId="3BDDC718"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462BB9F6"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6B83B3CB" w14:textId="77777777" w:rsidTr="00DE18B4">
        <w:trPr>
          <w:trHeight w:val="298"/>
        </w:trPr>
        <w:tc>
          <w:tcPr>
            <w:tcW w:w="736" w:type="dxa"/>
          </w:tcPr>
          <w:p w14:paraId="449C1A66" w14:textId="77777777" w:rsidR="00E73897" w:rsidRPr="00C6517B" w:rsidRDefault="00E73897" w:rsidP="00DE18B4">
            <w:pPr>
              <w:widowControl w:val="0"/>
              <w:adjustRightInd w:val="0"/>
              <w:jc w:val="both"/>
              <w:textAlignment w:val="baseline"/>
              <w:rPr>
                <w:rFonts w:ascii="Times New Roman" w:eastAsia="Times New Roman" w:hAnsi="Times New Roman"/>
                <w:sz w:val="24"/>
                <w:szCs w:val="24"/>
              </w:rPr>
            </w:pPr>
          </w:p>
        </w:tc>
        <w:tc>
          <w:tcPr>
            <w:tcW w:w="3705" w:type="dxa"/>
          </w:tcPr>
          <w:p w14:paraId="33AD9DA9" w14:textId="77777777" w:rsidR="00E73897" w:rsidRPr="00261C13" w:rsidRDefault="00E73897" w:rsidP="00DE18B4">
            <w:pPr>
              <w:widowControl w:val="0"/>
              <w:adjustRightInd w:val="0"/>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Energija, gaunama iš planuojamų įdiegti atsinaujinančius energijos išteklius naudojančių energijos gamybos pajėgumų.</w:t>
            </w:r>
          </w:p>
        </w:tc>
        <w:tc>
          <w:tcPr>
            <w:tcW w:w="2519" w:type="dxa"/>
          </w:tcPr>
          <w:p w14:paraId="268637BC"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0614EAE3"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04E8A6CB" w14:textId="77777777" w:rsidTr="00DE18B4">
        <w:trPr>
          <w:trHeight w:val="298"/>
        </w:trPr>
        <w:tc>
          <w:tcPr>
            <w:tcW w:w="736" w:type="dxa"/>
          </w:tcPr>
          <w:p w14:paraId="36956ED4" w14:textId="7276A31F"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.2.</w:t>
            </w:r>
          </w:p>
        </w:tc>
        <w:tc>
          <w:tcPr>
            <w:tcW w:w="3705" w:type="dxa"/>
          </w:tcPr>
          <w:p w14:paraId="1DC98D11"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Iš viso:</w:t>
            </w:r>
          </w:p>
        </w:tc>
        <w:tc>
          <w:tcPr>
            <w:tcW w:w="2519" w:type="dxa"/>
          </w:tcPr>
          <w:p w14:paraId="583574AE"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15CA1732"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7B5CA2F5" w14:textId="77777777" w:rsidTr="00DE18B4">
        <w:trPr>
          <w:trHeight w:val="298"/>
        </w:trPr>
        <w:tc>
          <w:tcPr>
            <w:tcW w:w="736" w:type="dxa"/>
          </w:tcPr>
          <w:p w14:paraId="6C53741D" w14:textId="217433B3"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.2.1</w:t>
            </w:r>
            <w:r w:rsidR="00E73897">
              <w:rPr>
                <w:rFonts w:ascii="Times New Roman" w:eastAsia="Times New Roman" w:hAnsi="Times New Roman"/>
                <w:sz w:val="24"/>
                <w:szCs w:val="24"/>
              </w:rPr>
              <w:t>.</w:t>
            </w:r>
          </w:p>
        </w:tc>
        <w:tc>
          <w:tcPr>
            <w:tcW w:w="3705" w:type="dxa"/>
          </w:tcPr>
          <w:p w14:paraId="589A697B"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1 (įrašyti)</w:t>
            </w:r>
          </w:p>
        </w:tc>
        <w:tc>
          <w:tcPr>
            <w:tcW w:w="2519" w:type="dxa"/>
          </w:tcPr>
          <w:p w14:paraId="36CD71B8"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0290781D"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59DA9549" w14:textId="77777777" w:rsidTr="00DE18B4">
        <w:trPr>
          <w:trHeight w:val="298"/>
        </w:trPr>
        <w:tc>
          <w:tcPr>
            <w:tcW w:w="736" w:type="dxa"/>
          </w:tcPr>
          <w:p w14:paraId="2BE49A93" w14:textId="765EC4B0"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.2.2</w:t>
            </w:r>
            <w:r w:rsidR="00E73897">
              <w:rPr>
                <w:rFonts w:ascii="Times New Roman" w:eastAsia="Times New Roman" w:hAnsi="Times New Roman"/>
                <w:sz w:val="24"/>
                <w:szCs w:val="24"/>
              </w:rPr>
              <w:t>.</w:t>
            </w:r>
          </w:p>
        </w:tc>
        <w:tc>
          <w:tcPr>
            <w:tcW w:w="3705" w:type="dxa"/>
          </w:tcPr>
          <w:p w14:paraId="7C0AD6D6"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2 (įrašyti)</w:t>
            </w:r>
          </w:p>
        </w:tc>
        <w:tc>
          <w:tcPr>
            <w:tcW w:w="2519" w:type="dxa"/>
          </w:tcPr>
          <w:p w14:paraId="46E0BCFD"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36BF0975"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0D388506" w14:textId="77777777" w:rsidTr="00DE18B4">
        <w:trPr>
          <w:trHeight w:val="298"/>
        </w:trPr>
        <w:tc>
          <w:tcPr>
            <w:tcW w:w="736" w:type="dxa"/>
          </w:tcPr>
          <w:p w14:paraId="319DEBCF" w14:textId="745FEA74" w:rsidR="00E73897" w:rsidRPr="00C6517B" w:rsidRDefault="00640EB1" w:rsidP="00DE18B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E73897" w:rsidRPr="00C6517B">
              <w:rPr>
                <w:rFonts w:ascii="Times New Roman" w:eastAsia="Times New Roman" w:hAnsi="Times New Roman"/>
                <w:sz w:val="24"/>
                <w:szCs w:val="24"/>
              </w:rPr>
              <w:t>.2.3</w:t>
            </w:r>
            <w:r w:rsidR="00E73897">
              <w:rPr>
                <w:rFonts w:ascii="Times New Roman" w:eastAsia="Times New Roman" w:hAnsi="Times New Roman"/>
                <w:sz w:val="24"/>
                <w:szCs w:val="24"/>
              </w:rPr>
              <w:t>.</w:t>
            </w:r>
          </w:p>
        </w:tc>
        <w:tc>
          <w:tcPr>
            <w:tcW w:w="3705" w:type="dxa"/>
          </w:tcPr>
          <w:p w14:paraId="126C3952" w14:textId="77777777" w:rsidR="00E73897" w:rsidRPr="00D45B7D" w:rsidRDefault="00E73897" w:rsidP="00DE18B4">
            <w:pPr>
              <w:widowControl w:val="0"/>
              <w:adjustRightInd w:val="0"/>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3 (įrašyti)</w:t>
            </w:r>
          </w:p>
        </w:tc>
        <w:tc>
          <w:tcPr>
            <w:tcW w:w="2519" w:type="dxa"/>
          </w:tcPr>
          <w:p w14:paraId="5CDFBF73" w14:textId="77777777" w:rsidR="00E73897" w:rsidRPr="00141A72" w:rsidRDefault="00E73897" w:rsidP="00DE18B4">
            <w:pPr>
              <w:widowControl w:val="0"/>
              <w:adjustRightInd w:val="0"/>
              <w:jc w:val="both"/>
              <w:textAlignment w:val="baseline"/>
              <w:rPr>
                <w:rFonts w:ascii="Times New Roman" w:eastAsia="Times New Roman" w:hAnsi="Times New Roman"/>
                <w:b/>
                <w:sz w:val="24"/>
                <w:szCs w:val="24"/>
              </w:rPr>
            </w:pPr>
          </w:p>
        </w:tc>
        <w:tc>
          <w:tcPr>
            <w:tcW w:w="7410" w:type="dxa"/>
            <w:gridSpan w:val="2"/>
          </w:tcPr>
          <w:p w14:paraId="0EC0959E"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tr w:rsidR="00E73897" w:rsidRPr="00C6517B" w14:paraId="53E3ED7E" w14:textId="77777777" w:rsidTr="00DE18B4">
        <w:trPr>
          <w:trHeight w:val="298"/>
        </w:trPr>
        <w:tc>
          <w:tcPr>
            <w:tcW w:w="11935" w:type="dxa"/>
            <w:gridSpan w:val="4"/>
          </w:tcPr>
          <w:p w14:paraId="4C53FA9D" w14:textId="1212CA2B" w:rsidR="00E73897" w:rsidRPr="00C6517B" w:rsidRDefault="00E73897" w:rsidP="00DE18B4">
            <w:pPr>
              <w:jc w:val="both"/>
              <w:rPr>
                <w:rFonts w:ascii="Times New Roman" w:eastAsia="Times New Roman" w:hAnsi="Times New Roman"/>
                <w:b/>
                <w:sz w:val="24"/>
                <w:szCs w:val="24"/>
              </w:rPr>
            </w:pPr>
            <w:r w:rsidRPr="00C6517B">
              <w:rPr>
                <w:rFonts w:ascii="Times New Roman" w:eastAsia="Times New Roman" w:hAnsi="Times New Roman"/>
                <w:sz w:val="24"/>
                <w:szCs w:val="24"/>
              </w:rPr>
              <w:lastRenderedPageBreak/>
              <w:t>Santykis tarp energijos, kurią planuojama gauti įdiegus atsinaujinančius energijos išteklius naudojančius gamybos pajėgumus ir bendro pareiškėjo energijos sąnaudų balanso.</w:t>
            </w:r>
            <w:r>
              <w:rPr>
                <w:rFonts w:ascii="Times New Roman" w:eastAsia="Times New Roman" w:hAnsi="Times New Roman"/>
                <w:bCs/>
                <w:sz w:val="24"/>
                <w:szCs w:val="24"/>
              </w:rPr>
              <w:t xml:space="preserve"> </w:t>
            </w:r>
            <w:r w:rsidRPr="00C6517B">
              <w:rPr>
                <w:rFonts w:ascii="Times New Roman" w:eastAsia="Times New Roman" w:hAnsi="Times New Roman"/>
                <w:bCs/>
                <w:sz w:val="24"/>
                <w:szCs w:val="24"/>
              </w:rPr>
              <w:t xml:space="preserve">Skaičiuojama </w:t>
            </w:r>
            <w:r w:rsidRPr="00D45B7D">
              <w:rPr>
                <w:rFonts w:ascii="Times New Roman" w:eastAsia="Times New Roman" w:hAnsi="Times New Roman"/>
                <w:bCs/>
                <w:sz w:val="24"/>
                <w:szCs w:val="24"/>
              </w:rPr>
              <w:t xml:space="preserve">pagal </w:t>
            </w:r>
            <w:r w:rsidRPr="001D2DD8">
              <w:rPr>
                <w:rFonts w:ascii="Times New Roman" w:eastAsia="Times New Roman" w:hAnsi="Times New Roman"/>
                <w:bCs/>
                <w:sz w:val="24"/>
                <w:szCs w:val="24"/>
              </w:rPr>
              <w:t xml:space="preserve">Aprašo </w:t>
            </w:r>
            <w:r w:rsidR="00D34A3E" w:rsidRPr="001D2DD8">
              <w:rPr>
                <w:rFonts w:ascii="Times New Roman" w:eastAsia="Times New Roman" w:hAnsi="Times New Roman"/>
                <w:bCs/>
                <w:sz w:val="24"/>
                <w:szCs w:val="24"/>
              </w:rPr>
              <w:t xml:space="preserve">6 </w:t>
            </w:r>
            <w:r w:rsidRPr="001D2DD8">
              <w:rPr>
                <w:rFonts w:ascii="Times New Roman" w:eastAsia="Times New Roman" w:hAnsi="Times New Roman"/>
                <w:bCs/>
                <w:sz w:val="24"/>
                <w:szCs w:val="24"/>
              </w:rPr>
              <w:t>punkt</w:t>
            </w:r>
            <w:r w:rsidR="00D34A3E" w:rsidRPr="001D2DD8">
              <w:rPr>
                <w:rFonts w:ascii="Times New Roman" w:eastAsia="Times New Roman" w:hAnsi="Times New Roman"/>
                <w:bCs/>
                <w:sz w:val="24"/>
                <w:szCs w:val="24"/>
              </w:rPr>
              <w:t>e</w:t>
            </w:r>
            <w:r w:rsidRPr="001D2DD8">
              <w:rPr>
                <w:rFonts w:ascii="Times New Roman" w:eastAsia="Times New Roman" w:hAnsi="Times New Roman"/>
                <w:bCs/>
                <w:sz w:val="24"/>
                <w:szCs w:val="24"/>
              </w:rPr>
              <w:t xml:space="preserve"> pateiktą formulę.</w:t>
            </w:r>
          </w:p>
        </w:tc>
        <w:tc>
          <w:tcPr>
            <w:tcW w:w="2436" w:type="dxa"/>
          </w:tcPr>
          <w:p w14:paraId="4CC24528" w14:textId="77777777" w:rsidR="00E73897" w:rsidRPr="00C6517B" w:rsidRDefault="00E73897" w:rsidP="00DE18B4">
            <w:pPr>
              <w:widowControl w:val="0"/>
              <w:adjustRightInd w:val="0"/>
              <w:jc w:val="both"/>
              <w:textAlignment w:val="baseline"/>
              <w:rPr>
                <w:rFonts w:ascii="Times New Roman" w:eastAsia="Times New Roman" w:hAnsi="Times New Roman"/>
                <w:b/>
                <w:sz w:val="24"/>
                <w:szCs w:val="24"/>
              </w:rPr>
            </w:pPr>
          </w:p>
        </w:tc>
      </w:tr>
      <w:bookmarkEnd w:id="15"/>
    </w:tbl>
    <w:p w14:paraId="52F5B83A" w14:textId="77777777" w:rsidR="00F26970" w:rsidRDefault="00F26970" w:rsidP="00E73897">
      <w:pPr>
        <w:tabs>
          <w:tab w:val="left" w:pos="7952"/>
        </w:tabs>
        <w:rPr>
          <w:b/>
          <w:szCs w:val="24"/>
        </w:rPr>
      </w:pPr>
    </w:p>
    <w:p w14:paraId="30D990F5" w14:textId="44A21D35" w:rsidR="00F26970" w:rsidRPr="00874782" w:rsidRDefault="001D2DD8" w:rsidP="00F26970">
      <w:pPr>
        <w:rPr>
          <w:b/>
          <w:szCs w:val="24"/>
          <w:lang w:eastAsia="lt-LT"/>
        </w:rPr>
      </w:pPr>
      <w:r>
        <w:rPr>
          <w:b/>
          <w:szCs w:val="24"/>
          <w:lang w:val="en-US" w:eastAsia="lt-LT"/>
        </w:rPr>
        <w:t>3</w:t>
      </w:r>
      <w:r w:rsidR="00F26970" w:rsidRPr="00C6517B">
        <w:rPr>
          <w:b/>
          <w:szCs w:val="24"/>
          <w:lang w:eastAsia="lt-LT"/>
        </w:rPr>
        <w:t>. </w:t>
      </w:r>
      <w:r w:rsidR="00863C21">
        <w:rPr>
          <w:b/>
          <w:szCs w:val="24"/>
          <w:lang w:eastAsia="lt-LT"/>
        </w:rPr>
        <w:t xml:space="preserve">Informacija apie </w:t>
      </w:r>
      <w:r w:rsidR="002D2010">
        <w:rPr>
          <w:b/>
          <w:szCs w:val="24"/>
          <w:lang w:eastAsia="lt-LT"/>
        </w:rPr>
        <w:t>p</w:t>
      </w:r>
      <w:r w:rsidR="00F26970" w:rsidRPr="00D45B7D">
        <w:rPr>
          <w:b/>
          <w:szCs w:val="24"/>
          <w:lang w:eastAsia="lt-LT"/>
        </w:rPr>
        <w:t xml:space="preserve">areiškėjo </w:t>
      </w:r>
      <w:r w:rsidR="002D2010">
        <w:rPr>
          <w:b/>
          <w:szCs w:val="24"/>
          <w:lang w:eastAsia="lt-LT"/>
        </w:rPr>
        <w:t xml:space="preserve">turimus </w:t>
      </w:r>
      <w:r w:rsidR="00B35BB5">
        <w:rPr>
          <w:b/>
          <w:szCs w:val="24"/>
          <w:lang w:eastAsia="lt-LT"/>
        </w:rPr>
        <w:t>atsinaujinan</w:t>
      </w:r>
      <w:r w:rsidR="002D2010">
        <w:rPr>
          <w:b/>
          <w:szCs w:val="24"/>
          <w:lang w:eastAsia="lt-LT"/>
        </w:rPr>
        <w:t>čius</w:t>
      </w:r>
      <w:r w:rsidR="00B35BB5">
        <w:rPr>
          <w:b/>
          <w:szCs w:val="24"/>
          <w:lang w:eastAsia="lt-LT"/>
        </w:rPr>
        <w:t xml:space="preserve"> energijos išteklių pajėgum</w:t>
      </w:r>
      <w:r w:rsidR="002D2010">
        <w:rPr>
          <w:b/>
          <w:szCs w:val="24"/>
          <w:lang w:eastAsia="lt-LT"/>
        </w:rPr>
        <w:t>us</w:t>
      </w:r>
      <w:r w:rsidR="00B35BB5">
        <w:rPr>
          <w:b/>
          <w:szCs w:val="24"/>
          <w:lang w:eastAsia="lt-LT"/>
        </w:rPr>
        <w:t xml:space="preserve"> </w:t>
      </w:r>
      <w:r w:rsidR="00F26970" w:rsidRPr="00141A72">
        <w:rPr>
          <w:b/>
          <w:szCs w:val="24"/>
          <w:lang w:eastAsia="lt-LT"/>
        </w:rPr>
        <w:t xml:space="preserve">(taikoma vertinant projekto atitiktį </w:t>
      </w:r>
      <w:r w:rsidR="00F26970" w:rsidRPr="00986C3A">
        <w:rPr>
          <w:b/>
          <w:szCs w:val="24"/>
          <w:lang w:eastAsia="lt-LT"/>
        </w:rPr>
        <w:t xml:space="preserve">Aprašo </w:t>
      </w:r>
      <w:r w:rsidR="00F26970" w:rsidRPr="00986C3A">
        <w:rPr>
          <w:b/>
          <w:szCs w:val="24"/>
          <w:lang w:val="en-US" w:eastAsia="lt-LT"/>
        </w:rPr>
        <w:t xml:space="preserve">6 </w:t>
      </w:r>
      <w:r w:rsidR="00F26970" w:rsidRPr="00986C3A">
        <w:rPr>
          <w:b/>
          <w:szCs w:val="24"/>
          <w:lang w:eastAsia="lt-LT"/>
        </w:rPr>
        <w:t>punkto nuostatoms).</w:t>
      </w:r>
    </w:p>
    <w:tbl>
      <w:tblPr>
        <w:tblW w:w="14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2649"/>
      </w:tblGrid>
      <w:tr w:rsidR="0026472B" w:rsidRPr="0026472B" w14:paraId="27B2861C" w14:textId="77777777" w:rsidTr="007B208E">
        <w:trPr>
          <w:trHeight w:val="339"/>
        </w:trPr>
        <w:tc>
          <w:tcPr>
            <w:tcW w:w="14391"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BA01781" w14:textId="30205025" w:rsidR="0026472B" w:rsidRPr="0026472B" w:rsidRDefault="0026472B" w:rsidP="0026472B">
            <w:pPr>
              <w:widowControl w:val="0"/>
              <w:ind w:left="34"/>
              <w:jc w:val="both"/>
              <w:textAlignment w:val="baseline"/>
              <w:rPr>
                <w:b/>
                <w:szCs w:val="24"/>
                <w:lang w:eastAsia="lt-LT"/>
              </w:rPr>
            </w:pPr>
            <w:r w:rsidRPr="0026472B">
              <w:rPr>
                <w:b/>
                <w:szCs w:val="24"/>
                <w:lang w:eastAsia="lt-LT"/>
              </w:rPr>
              <w:t>Ar</w:t>
            </w:r>
            <w:r w:rsidR="002D2010">
              <w:rPr>
                <w:b/>
                <w:szCs w:val="24"/>
                <w:lang w:eastAsia="lt-LT"/>
              </w:rPr>
              <w:t xml:space="preserve"> pareiškėjas </w:t>
            </w:r>
            <w:r w:rsidR="002D2010" w:rsidRPr="002D2010">
              <w:rPr>
                <w:b/>
                <w:szCs w:val="24"/>
                <w:lang w:eastAsia="lt-LT"/>
              </w:rPr>
              <w:t>turi įdiegtų atsinaujinančių energijos išteklių pajėgumų</w:t>
            </w:r>
            <w:r w:rsidRPr="0026472B">
              <w:rPr>
                <w:b/>
                <w:szCs w:val="24"/>
                <w:lang w:eastAsia="lt-LT"/>
              </w:rPr>
              <w:t xml:space="preserve">? </w:t>
            </w:r>
          </w:p>
        </w:tc>
      </w:tr>
      <w:tr w:rsidR="0026472B" w:rsidRPr="0026472B" w14:paraId="694B8261" w14:textId="77777777" w:rsidTr="007B208E">
        <w:trPr>
          <w:trHeight w:val="576"/>
        </w:trPr>
        <w:tc>
          <w:tcPr>
            <w:tcW w:w="1742" w:type="dxa"/>
            <w:tcBorders>
              <w:top w:val="single" w:sz="4" w:space="0" w:color="auto"/>
              <w:left w:val="single" w:sz="4" w:space="0" w:color="auto"/>
              <w:bottom w:val="single" w:sz="4" w:space="0" w:color="auto"/>
              <w:right w:val="single" w:sz="4" w:space="0" w:color="auto"/>
            </w:tcBorders>
            <w:vAlign w:val="center"/>
            <w:hideMark/>
          </w:tcPr>
          <w:p w14:paraId="06CF9646" w14:textId="77777777" w:rsidR="0026472B" w:rsidRPr="0026472B" w:rsidRDefault="0026472B" w:rsidP="0026472B">
            <w:pPr>
              <w:widowControl w:val="0"/>
              <w:ind w:left="34" w:firstLine="60"/>
              <w:jc w:val="both"/>
              <w:textAlignment w:val="baseline"/>
              <w:rPr>
                <w:szCs w:val="24"/>
                <w:lang w:eastAsia="lt-LT"/>
              </w:rPr>
            </w:pPr>
            <w:r w:rsidRPr="0026472B">
              <w:rPr>
                <w:sz w:val="28"/>
                <w:szCs w:val="28"/>
                <w:highlight w:val="lightGray"/>
              </w:rPr>
              <w:t>□</w:t>
            </w:r>
            <w:r w:rsidRPr="0026472B">
              <w:rPr>
                <w:sz w:val="28"/>
                <w:szCs w:val="28"/>
              </w:rPr>
              <w:t xml:space="preserve"> </w:t>
            </w:r>
            <w:r w:rsidRPr="0026472B">
              <w:rPr>
                <w:szCs w:val="24"/>
                <w:lang w:eastAsia="lt-LT"/>
              </w:rPr>
              <w:t>Taip</w:t>
            </w:r>
          </w:p>
        </w:tc>
        <w:tc>
          <w:tcPr>
            <w:tcW w:w="12649" w:type="dxa"/>
            <w:tcBorders>
              <w:top w:val="single" w:sz="4" w:space="0" w:color="auto"/>
              <w:left w:val="single" w:sz="4" w:space="0" w:color="auto"/>
              <w:bottom w:val="single" w:sz="4" w:space="0" w:color="auto"/>
              <w:right w:val="single" w:sz="4" w:space="0" w:color="auto"/>
            </w:tcBorders>
            <w:shd w:val="clear" w:color="auto" w:fill="FFFFFF"/>
            <w:hideMark/>
          </w:tcPr>
          <w:p w14:paraId="64C4B473" w14:textId="748A509A" w:rsidR="0026472B" w:rsidRPr="0026472B" w:rsidRDefault="0026472B" w:rsidP="0026472B">
            <w:pPr>
              <w:widowControl w:val="0"/>
              <w:ind w:left="34"/>
              <w:jc w:val="both"/>
              <w:textAlignment w:val="baseline"/>
              <w:rPr>
                <w:szCs w:val="24"/>
                <w:lang w:eastAsia="lt-LT"/>
              </w:rPr>
            </w:pPr>
          </w:p>
        </w:tc>
      </w:tr>
      <w:tr w:rsidR="00863C21" w:rsidRPr="0026472B" w14:paraId="4FA0D8BF" w14:textId="77777777" w:rsidTr="007B208E">
        <w:trPr>
          <w:trHeight w:val="576"/>
        </w:trPr>
        <w:tc>
          <w:tcPr>
            <w:tcW w:w="1742" w:type="dxa"/>
            <w:tcBorders>
              <w:top w:val="single" w:sz="4" w:space="0" w:color="auto"/>
              <w:left w:val="single" w:sz="4" w:space="0" w:color="auto"/>
              <w:bottom w:val="single" w:sz="4" w:space="0" w:color="auto"/>
              <w:right w:val="single" w:sz="4" w:space="0" w:color="auto"/>
            </w:tcBorders>
            <w:vAlign w:val="center"/>
          </w:tcPr>
          <w:p w14:paraId="00EEB464" w14:textId="2493E23C" w:rsidR="00863C21" w:rsidRPr="0026472B" w:rsidRDefault="00863C21" w:rsidP="0026472B">
            <w:pPr>
              <w:widowControl w:val="0"/>
              <w:ind w:left="34" w:firstLine="60"/>
              <w:jc w:val="both"/>
              <w:textAlignment w:val="baseline"/>
              <w:rPr>
                <w:sz w:val="28"/>
                <w:szCs w:val="28"/>
                <w:highlight w:val="lightGray"/>
              </w:rPr>
            </w:pPr>
            <w:r w:rsidRPr="0026472B">
              <w:rPr>
                <w:sz w:val="28"/>
                <w:szCs w:val="28"/>
                <w:highlight w:val="lightGray"/>
              </w:rPr>
              <w:t>□</w:t>
            </w:r>
            <w:r w:rsidRPr="0026472B">
              <w:rPr>
                <w:sz w:val="28"/>
                <w:szCs w:val="28"/>
              </w:rPr>
              <w:t xml:space="preserve"> </w:t>
            </w:r>
            <w:r w:rsidRPr="0026472B">
              <w:rPr>
                <w:szCs w:val="24"/>
                <w:lang w:eastAsia="lt-LT"/>
              </w:rPr>
              <w:t>Ne</w:t>
            </w:r>
          </w:p>
        </w:tc>
        <w:tc>
          <w:tcPr>
            <w:tcW w:w="12649" w:type="dxa"/>
            <w:tcBorders>
              <w:top w:val="single" w:sz="4" w:space="0" w:color="auto"/>
              <w:left w:val="single" w:sz="4" w:space="0" w:color="auto"/>
              <w:bottom w:val="single" w:sz="4" w:space="0" w:color="auto"/>
              <w:right w:val="single" w:sz="4" w:space="0" w:color="auto"/>
            </w:tcBorders>
            <w:shd w:val="clear" w:color="auto" w:fill="FFFFFF"/>
          </w:tcPr>
          <w:p w14:paraId="608B008C" w14:textId="77777777" w:rsidR="00863C21" w:rsidRPr="0026472B" w:rsidRDefault="00863C21" w:rsidP="0026472B">
            <w:pPr>
              <w:widowControl w:val="0"/>
              <w:ind w:left="34"/>
              <w:jc w:val="both"/>
              <w:textAlignment w:val="baseline"/>
              <w:rPr>
                <w:szCs w:val="24"/>
                <w:lang w:eastAsia="lt-LT"/>
              </w:rPr>
            </w:pPr>
          </w:p>
        </w:tc>
      </w:tr>
    </w:tbl>
    <w:p w14:paraId="7D0F7587" w14:textId="54011B65" w:rsidR="00F26970" w:rsidRPr="00D45B7D" w:rsidRDefault="00E73897" w:rsidP="00E73897">
      <w:pPr>
        <w:tabs>
          <w:tab w:val="left" w:pos="7952"/>
        </w:tabs>
        <w:rPr>
          <w:b/>
          <w:szCs w:val="24"/>
        </w:rPr>
      </w:pPr>
      <w:r w:rsidRPr="00D45B7D">
        <w:rPr>
          <w:b/>
          <w:szCs w:val="24"/>
        </w:rPr>
        <w:tab/>
      </w:r>
    </w:p>
    <w:p w14:paraId="67864427" w14:textId="59A5AE33" w:rsidR="00E73897" w:rsidRPr="00C267BC" w:rsidRDefault="00C267BC" w:rsidP="00C267BC">
      <w:pPr>
        <w:spacing w:line="276" w:lineRule="auto"/>
        <w:rPr>
          <w:b/>
          <w:szCs w:val="24"/>
          <w:lang w:eastAsia="lt-LT"/>
        </w:rPr>
      </w:pPr>
      <w:r>
        <w:rPr>
          <w:b/>
          <w:szCs w:val="24"/>
          <w:lang w:eastAsia="lt-LT"/>
        </w:rPr>
        <w:t>4.</w:t>
      </w:r>
      <w:r w:rsidR="00E73897" w:rsidRPr="00C267BC">
        <w:rPr>
          <w:b/>
          <w:szCs w:val="24"/>
          <w:lang w:eastAsia="lt-LT"/>
        </w:rPr>
        <w:t>Tinkamų finansuoti išlaidų apskaičiavimo būdas ir pagrindimas.</w:t>
      </w:r>
    </w:p>
    <w:tbl>
      <w:tblPr>
        <w:tblStyle w:val="TableGrid"/>
        <w:tblW w:w="0" w:type="auto"/>
        <w:tblLook w:val="04A0" w:firstRow="1" w:lastRow="0" w:firstColumn="1" w:lastColumn="0" w:noHBand="0" w:noVBand="1"/>
      </w:tblPr>
      <w:tblGrid>
        <w:gridCol w:w="623"/>
        <w:gridCol w:w="6486"/>
        <w:gridCol w:w="5077"/>
        <w:gridCol w:w="2126"/>
      </w:tblGrid>
      <w:tr w:rsidR="00E73897" w:rsidRPr="008B6428" w14:paraId="16CBC20E" w14:textId="77777777" w:rsidTr="00DE18B4">
        <w:tc>
          <w:tcPr>
            <w:tcW w:w="623" w:type="dxa"/>
            <w:shd w:val="clear" w:color="auto" w:fill="D9D9D9"/>
          </w:tcPr>
          <w:p w14:paraId="24F16B07" w14:textId="77777777" w:rsidR="00E73897" w:rsidRPr="008B6428" w:rsidRDefault="00E73897" w:rsidP="00DE18B4">
            <w:pPr>
              <w:rPr>
                <w:rFonts w:ascii="Times New Roman" w:eastAsia="Times New Roman" w:hAnsi="Times New Roman"/>
                <w:sz w:val="24"/>
                <w:szCs w:val="24"/>
              </w:rPr>
            </w:pPr>
            <w:r w:rsidRPr="008B6428">
              <w:rPr>
                <w:rFonts w:ascii="Times New Roman" w:eastAsia="Times New Roman" w:hAnsi="Times New Roman"/>
                <w:sz w:val="24"/>
                <w:szCs w:val="24"/>
              </w:rPr>
              <w:t>Eil. Nr.</w:t>
            </w:r>
          </w:p>
        </w:tc>
        <w:tc>
          <w:tcPr>
            <w:tcW w:w="6486" w:type="dxa"/>
            <w:shd w:val="clear" w:color="auto" w:fill="D9D9D9"/>
          </w:tcPr>
          <w:p w14:paraId="5CA3C3BB" w14:textId="23A33EFF" w:rsidR="00E73897" w:rsidRPr="008B6428" w:rsidRDefault="00E73897" w:rsidP="00DE18B4">
            <w:pPr>
              <w:jc w:val="center"/>
              <w:rPr>
                <w:rFonts w:ascii="Times New Roman" w:eastAsia="Times New Roman" w:hAnsi="Times New Roman"/>
                <w:sz w:val="24"/>
                <w:szCs w:val="24"/>
              </w:rPr>
            </w:pPr>
            <w:r w:rsidRPr="008B6428">
              <w:rPr>
                <w:rFonts w:ascii="Times New Roman" w:eastAsia="Times New Roman" w:hAnsi="Times New Roman"/>
                <w:sz w:val="24"/>
                <w:szCs w:val="24"/>
              </w:rPr>
              <w:t xml:space="preserve">Tinkamų finansuoti išlaidų būdas pagal </w:t>
            </w:r>
            <w:r w:rsidR="00272C4A">
              <w:rPr>
                <w:rFonts w:ascii="Times New Roman" w:eastAsia="Times New Roman" w:hAnsi="Times New Roman"/>
                <w:sz w:val="24"/>
                <w:szCs w:val="24"/>
              </w:rPr>
              <w:t>R</w:t>
            </w:r>
            <w:r w:rsidR="00272C4A" w:rsidRPr="00272C4A">
              <w:rPr>
                <w:rFonts w:ascii="Times New Roman" w:eastAsia="Times New Roman" w:hAnsi="Times New Roman"/>
                <w:bCs/>
                <w:sz w:val="24"/>
                <w:szCs w:val="24"/>
              </w:rPr>
              <w:t>eglament</w:t>
            </w:r>
            <w:r w:rsidR="00272C4A">
              <w:rPr>
                <w:rFonts w:ascii="Times New Roman" w:eastAsia="Times New Roman" w:hAnsi="Times New Roman"/>
                <w:bCs/>
                <w:sz w:val="24"/>
                <w:szCs w:val="24"/>
              </w:rPr>
              <w:t>o</w:t>
            </w:r>
            <w:r w:rsidR="00272C4A" w:rsidRPr="00272C4A">
              <w:rPr>
                <w:rFonts w:ascii="Times New Roman" w:eastAsia="Times New Roman" w:hAnsi="Times New Roman"/>
                <w:bCs/>
                <w:sz w:val="24"/>
                <w:szCs w:val="24"/>
              </w:rPr>
              <w:t xml:space="preserve"> (ES) Nr. 651/2014</w:t>
            </w:r>
            <w:r w:rsidRPr="008B6428">
              <w:rPr>
                <w:rFonts w:ascii="Times New Roman" w:eastAsia="Times New Roman" w:hAnsi="Times New Roman"/>
                <w:sz w:val="24"/>
                <w:szCs w:val="24"/>
              </w:rPr>
              <w:t xml:space="preserve"> 41 straip</w:t>
            </w:r>
            <w:r w:rsidR="00C267BC">
              <w:rPr>
                <w:rFonts w:ascii="Times New Roman" w:eastAsia="Times New Roman" w:hAnsi="Times New Roman"/>
                <w:sz w:val="24"/>
                <w:szCs w:val="24"/>
              </w:rPr>
              <w:t>s</w:t>
            </w:r>
            <w:r w:rsidRPr="008B6428">
              <w:rPr>
                <w:rFonts w:ascii="Times New Roman" w:eastAsia="Times New Roman" w:hAnsi="Times New Roman"/>
                <w:sz w:val="24"/>
                <w:szCs w:val="24"/>
              </w:rPr>
              <w:t>nį</w:t>
            </w:r>
          </w:p>
        </w:tc>
        <w:tc>
          <w:tcPr>
            <w:tcW w:w="5077" w:type="dxa"/>
            <w:shd w:val="clear" w:color="auto" w:fill="D9D9D9"/>
          </w:tcPr>
          <w:p w14:paraId="1198D51F" w14:textId="77777777" w:rsidR="00E73897" w:rsidRPr="008B6428" w:rsidRDefault="00E73897" w:rsidP="00DE18B4">
            <w:pPr>
              <w:jc w:val="center"/>
              <w:rPr>
                <w:rFonts w:ascii="Times New Roman" w:eastAsia="Times New Roman" w:hAnsi="Times New Roman"/>
                <w:sz w:val="24"/>
                <w:szCs w:val="24"/>
              </w:rPr>
            </w:pPr>
            <w:r w:rsidRPr="008B6428">
              <w:rPr>
                <w:rFonts w:ascii="Times New Roman" w:eastAsia="Times New Roman" w:hAnsi="Times New Roman"/>
                <w:sz w:val="24"/>
                <w:szCs w:val="24"/>
              </w:rPr>
              <w:t>Pasirinkto tinkamų finansuoti išlaidų būdo pagrindimas (nurodoma, kur, į kokį nekilnojamąjį turtą ir kokią įrangą numatoma diegti; aprašomos galimos alternatyvos ir pagrindžiamas pasirinktas būdas)</w:t>
            </w:r>
          </w:p>
        </w:tc>
        <w:tc>
          <w:tcPr>
            <w:tcW w:w="2126" w:type="dxa"/>
            <w:shd w:val="clear" w:color="auto" w:fill="D9D9D9"/>
          </w:tcPr>
          <w:p w14:paraId="2F34C73A" w14:textId="77777777" w:rsidR="00E73897" w:rsidRPr="008B6428" w:rsidRDefault="00E73897" w:rsidP="00DE18B4">
            <w:pPr>
              <w:jc w:val="center"/>
              <w:rPr>
                <w:rFonts w:ascii="Times New Roman" w:eastAsia="Times New Roman" w:hAnsi="Times New Roman"/>
                <w:sz w:val="24"/>
                <w:szCs w:val="24"/>
              </w:rPr>
            </w:pPr>
            <w:r w:rsidRPr="008B6428">
              <w:rPr>
                <w:rFonts w:ascii="Times New Roman" w:eastAsia="Times New Roman" w:hAnsi="Times New Roman"/>
                <w:sz w:val="24"/>
                <w:szCs w:val="24"/>
              </w:rPr>
              <w:t>Projekto įgyvendinimo adresas, nekilnojamojo turto, į kurį investuojama, unikalus numeris</w:t>
            </w:r>
          </w:p>
        </w:tc>
      </w:tr>
      <w:tr w:rsidR="00E73897" w:rsidRPr="008B6428" w14:paraId="44AAD781" w14:textId="77777777" w:rsidTr="00DE18B4">
        <w:trPr>
          <w:trHeight w:val="1353"/>
        </w:trPr>
        <w:tc>
          <w:tcPr>
            <w:tcW w:w="623" w:type="dxa"/>
          </w:tcPr>
          <w:p w14:paraId="21E05F97" w14:textId="3BA98256" w:rsidR="00E73897" w:rsidRPr="008B6428" w:rsidRDefault="00640EB1" w:rsidP="00DE18B4">
            <w:pPr>
              <w:rPr>
                <w:rFonts w:ascii="Times New Roman" w:eastAsia="Times New Roman" w:hAnsi="Times New Roman"/>
                <w:sz w:val="24"/>
                <w:szCs w:val="24"/>
              </w:rPr>
            </w:pPr>
            <w:r>
              <w:rPr>
                <w:rFonts w:ascii="Times New Roman" w:eastAsia="Times New Roman" w:hAnsi="Times New Roman"/>
                <w:sz w:val="24"/>
                <w:szCs w:val="24"/>
              </w:rPr>
              <w:t>4</w:t>
            </w:r>
            <w:r w:rsidR="00E73897" w:rsidRPr="008B6428">
              <w:rPr>
                <w:rFonts w:ascii="Times New Roman" w:eastAsia="Times New Roman" w:hAnsi="Times New Roman"/>
                <w:sz w:val="24"/>
                <w:szCs w:val="24"/>
              </w:rPr>
              <w:t>.1.</w:t>
            </w:r>
          </w:p>
        </w:tc>
        <w:tc>
          <w:tcPr>
            <w:tcW w:w="6486" w:type="dxa"/>
          </w:tcPr>
          <w:p w14:paraId="5A26F965" w14:textId="77777777" w:rsidR="00F1249E" w:rsidRDefault="00E73897" w:rsidP="00DE18B4">
            <w:pPr>
              <w:jc w:val="both"/>
              <w:rPr>
                <w:rFonts w:ascii="Times New Roman" w:eastAsia="Times New Roman" w:hAnsi="Times New Roman"/>
                <w:sz w:val="24"/>
                <w:szCs w:val="24"/>
              </w:rPr>
            </w:pPr>
            <w:r w:rsidRPr="008B6428">
              <w:rPr>
                <w:rFonts w:ascii="Times New Roman" w:eastAsia="Times New Roman" w:hAnsi="Times New Roman"/>
                <w:sz w:val="24"/>
                <w:szCs w:val="24"/>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p w14:paraId="37BFE8CA" w14:textId="39C1C81E" w:rsidR="00F1249E" w:rsidRPr="008B6428" w:rsidRDefault="00F1249E" w:rsidP="00DE18B4">
            <w:pPr>
              <w:jc w:val="both"/>
              <w:rPr>
                <w:rFonts w:ascii="Times New Roman" w:eastAsia="Times New Roman" w:hAnsi="Times New Roman"/>
                <w:sz w:val="24"/>
                <w:szCs w:val="24"/>
              </w:rPr>
            </w:pPr>
          </w:p>
        </w:tc>
        <w:tc>
          <w:tcPr>
            <w:tcW w:w="5077" w:type="dxa"/>
          </w:tcPr>
          <w:p w14:paraId="58526B6B" w14:textId="77777777" w:rsidR="00E73897" w:rsidRPr="008B6428" w:rsidRDefault="00E73897" w:rsidP="00DE18B4">
            <w:pPr>
              <w:rPr>
                <w:rFonts w:ascii="Times New Roman" w:eastAsia="Times New Roman" w:hAnsi="Times New Roman"/>
                <w:b/>
                <w:sz w:val="24"/>
                <w:szCs w:val="24"/>
              </w:rPr>
            </w:pPr>
          </w:p>
        </w:tc>
        <w:tc>
          <w:tcPr>
            <w:tcW w:w="2126" w:type="dxa"/>
            <w:vMerge w:val="restart"/>
          </w:tcPr>
          <w:p w14:paraId="6CEFC022" w14:textId="77777777" w:rsidR="00E73897" w:rsidRPr="008B6428" w:rsidRDefault="00E73897" w:rsidP="00DE18B4">
            <w:pPr>
              <w:rPr>
                <w:rFonts w:ascii="Times New Roman" w:eastAsia="Times New Roman" w:hAnsi="Times New Roman"/>
                <w:b/>
                <w:sz w:val="24"/>
                <w:szCs w:val="24"/>
              </w:rPr>
            </w:pPr>
          </w:p>
        </w:tc>
      </w:tr>
      <w:tr w:rsidR="00E73897" w:rsidRPr="008B6428" w14:paraId="361BE725" w14:textId="77777777" w:rsidTr="00DE18B4">
        <w:trPr>
          <w:trHeight w:val="2170"/>
        </w:trPr>
        <w:tc>
          <w:tcPr>
            <w:tcW w:w="623" w:type="dxa"/>
          </w:tcPr>
          <w:p w14:paraId="691A5324" w14:textId="3F38616F" w:rsidR="00E73897" w:rsidRPr="008B6428" w:rsidRDefault="00640EB1" w:rsidP="00DE18B4">
            <w:pPr>
              <w:rPr>
                <w:rFonts w:ascii="Times New Roman" w:eastAsia="Times New Roman" w:hAnsi="Times New Roman"/>
                <w:sz w:val="24"/>
                <w:szCs w:val="24"/>
              </w:rPr>
            </w:pPr>
            <w:r>
              <w:rPr>
                <w:rFonts w:ascii="Times New Roman" w:eastAsia="Times New Roman" w:hAnsi="Times New Roman"/>
                <w:sz w:val="24"/>
                <w:szCs w:val="24"/>
              </w:rPr>
              <w:lastRenderedPageBreak/>
              <w:t>4</w:t>
            </w:r>
            <w:r w:rsidR="00E73897" w:rsidRPr="008B6428">
              <w:rPr>
                <w:rFonts w:ascii="Times New Roman" w:eastAsia="Times New Roman" w:hAnsi="Times New Roman"/>
                <w:sz w:val="24"/>
                <w:szCs w:val="24"/>
              </w:rPr>
              <w:t>.2.</w:t>
            </w:r>
          </w:p>
        </w:tc>
        <w:tc>
          <w:tcPr>
            <w:tcW w:w="6486" w:type="dxa"/>
          </w:tcPr>
          <w:p w14:paraId="31F47FC5" w14:textId="77777777" w:rsidR="00E73897" w:rsidRPr="008B6428" w:rsidRDefault="00E73897" w:rsidP="00DE18B4">
            <w:pPr>
              <w:jc w:val="both"/>
              <w:rPr>
                <w:rFonts w:ascii="Times New Roman" w:eastAsia="Times New Roman" w:hAnsi="Times New Roman"/>
                <w:sz w:val="24"/>
                <w:szCs w:val="24"/>
              </w:rPr>
            </w:pPr>
            <w:r w:rsidRPr="008B6428">
              <w:rPr>
                <w:rFonts w:ascii="Times New Roman" w:eastAsia="Times New Roman" w:hAnsi="Times New Roman"/>
                <w:sz w:val="24"/>
                <w:szCs w:val="24"/>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atsinaujinančių energijos išteklių susijusias išlaidas ir sudaro tinkamas finansuoti išlaidas. Panašios mažiau aplinkai naudingos investicijos suprantamos kaip investicijos, susijusios su tradicini</w:t>
            </w:r>
            <w:r>
              <w:rPr>
                <w:rFonts w:ascii="Times New Roman" w:eastAsia="Times New Roman" w:hAnsi="Times New Roman"/>
                <w:sz w:val="24"/>
                <w:szCs w:val="24"/>
              </w:rPr>
              <w:t>ų</w:t>
            </w:r>
            <w:r w:rsidRPr="008B6428">
              <w:rPr>
                <w:rFonts w:ascii="Times New Roman" w:eastAsia="Times New Roman" w:hAnsi="Times New Roman"/>
                <w:sz w:val="24"/>
                <w:szCs w:val="24"/>
              </w:rPr>
              <w:t xml:space="preserve"> išteklių (pvz., iš iškastinio kuro) energijos gamyba.</w:t>
            </w:r>
          </w:p>
        </w:tc>
        <w:tc>
          <w:tcPr>
            <w:tcW w:w="5077" w:type="dxa"/>
          </w:tcPr>
          <w:p w14:paraId="0BD66D6E" w14:textId="77777777" w:rsidR="00E73897" w:rsidRPr="008B6428" w:rsidRDefault="00E73897" w:rsidP="00DE18B4">
            <w:pPr>
              <w:rPr>
                <w:rFonts w:ascii="Times New Roman" w:eastAsia="Times New Roman" w:hAnsi="Times New Roman"/>
                <w:b/>
                <w:sz w:val="24"/>
                <w:szCs w:val="24"/>
              </w:rPr>
            </w:pPr>
          </w:p>
        </w:tc>
        <w:tc>
          <w:tcPr>
            <w:tcW w:w="2126" w:type="dxa"/>
            <w:vMerge/>
          </w:tcPr>
          <w:p w14:paraId="3C30C5AA" w14:textId="77777777" w:rsidR="00E73897" w:rsidRPr="008B6428" w:rsidRDefault="00E73897" w:rsidP="00DE18B4">
            <w:pPr>
              <w:rPr>
                <w:rFonts w:ascii="Times New Roman" w:eastAsia="Times New Roman" w:hAnsi="Times New Roman"/>
                <w:b/>
                <w:sz w:val="24"/>
                <w:szCs w:val="24"/>
              </w:rPr>
            </w:pPr>
          </w:p>
        </w:tc>
      </w:tr>
    </w:tbl>
    <w:p w14:paraId="677F4EDB" w14:textId="77777777" w:rsidR="00E73897" w:rsidRPr="00725B6B" w:rsidRDefault="00E73897" w:rsidP="00E73897">
      <w:pPr>
        <w:widowControl w:val="0"/>
        <w:spacing w:line="360" w:lineRule="auto"/>
        <w:rPr>
          <w:szCs w:val="24"/>
        </w:rPr>
      </w:pPr>
    </w:p>
    <w:p w14:paraId="1A010E4A" w14:textId="066EB15A" w:rsidR="00E73897" w:rsidRPr="00141A72" w:rsidRDefault="00E73897" w:rsidP="00E73897">
      <w:pPr>
        <w:rPr>
          <w:b/>
          <w:szCs w:val="24"/>
          <w:lang w:eastAsia="lt-LT"/>
        </w:rPr>
      </w:pPr>
      <w:r w:rsidRPr="00D45B7D">
        <w:rPr>
          <w:b/>
          <w:szCs w:val="24"/>
          <w:lang w:eastAsia="lt-LT"/>
        </w:rPr>
        <w:t xml:space="preserve">Prie </w:t>
      </w:r>
      <w:r w:rsidR="001C7B99">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358DE17C" w14:textId="77777777" w:rsidR="00E73897" w:rsidRPr="00C6517B" w:rsidRDefault="00E73897" w:rsidP="00E73897">
      <w:pPr>
        <w:rPr>
          <w:szCs w:val="24"/>
          <w:lang w:eastAsia="lt-LT"/>
        </w:rPr>
      </w:pPr>
      <w:r w:rsidRPr="00C6517B">
        <w:rPr>
          <w:szCs w:val="24"/>
          <w:lang w:eastAsia="lt-LT"/>
        </w:rPr>
        <w:t>______________________            _________________           ___________________________</w:t>
      </w:r>
    </w:p>
    <w:p w14:paraId="1F101928" w14:textId="77777777" w:rsidR="00E73897" w:rsidRPr="00C6517B" w:rsidRDefault="00E73897" w:rsidP="00E73897">
      <w:pPr>
        <w:rPr>
          <w:szCs w:val="24"/>
          <w:lang w:eastAsia="lt-LT"/>
        </w:rPr>
      </w:pPr>
      <w:r w:rsidRPr="00C6517B">
        <w:rPr>
          <w:szCs w:val="24"/>
          <w:lang w:eastAsia="lt-LT"/>
        </w:rPr>
        <w:t xml:space="preserve">(vadovo pareigos)                                </w:t>
      </w:r>
      <w:r w:rsidRPr="00C6517B">
        <w:rPr>
          <w:szCs w:val="24"/>
          <w:lang w:eastAsia="lt-LT"/>
        </w:rPr>
        <w:tab/>
        <w:t xml:space="preserve"> (parašas) </w:t>
      </w:r>
      <w:r w:rsidRPr="00C6517B">
        <w:rPr>
          <w:szCs w:val="24"/>
          <w:lang w:eastAsia="lt-LT"/>
        </w:rPr>
        <w:tab/>
        <w:t xml:space="preserve">                   </w:t>
      </w:r>
      <w:r w:rsidRPr="00C6517B">
        <w:rPr>
          <w:szCs w:val="24"/>
          <w:lang w:eastAsia="lt-LT"/>
        </w:rPr>
        <w:tab/>
        <w:t>(vardas ir pavardė)</w:t>
      </w:r>
    </w:p>
    <w:p w14:paraId="3E32549B" w14:textId="47A1D578" w:rsidR="0090294E" w:rsidRDefault="00E73897" w:rsidP="00E73897">
      <w:pPr>
        <w:spacing w:line="276" w:lineRule="auto"/>
        <w:jc w:val="center"/>
        <w:rPr>
          <w:szCs w:val="24"/>
        </w:rPr>
      </w:pPr>
      <w:r w:rsidRPr="007C555E">
        <w:rPr>
          <w:szCs w:val="24"/>
        </w:rPr>
        <w:t>____________</w:t>
      </w:r>
      <w:r>
        <w:rPr>
          <w:szCs w:val="24"/>
        </w:rPr>
        <w:t>_________________________</w:t>
      </w:r>
    </w:p>
    <w:sectPr w:rsidR="0090294E">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06CE" w14:textId="77777777" w:rsidR="00CA25E3" w:rsidRDefault="00CA25E3">
      <w:pPr>
        <w:rPr>
          <w:sz w:val="22"/>
          <w:szCs w:val="22"/>
        </w:rPr>
      </w:pPr>
      <w:r>
        <w:rPr>
          <w:sz w:val="22"/>
          <w:szCs w:val="22"/>
        </w:rPr>
        <w:separator/>
      </w:r>
    </w:p>
  </w:endnote>
  <w:endnote w:type="continuationSeparator" w:id="0">
    <w:p w14:paraId="4D200D3D" w14:textId="77777777" w:rsidR="00CA25E3" w:rsidRDefault="00CA25E3">
      <w:pPr>
        <w:rPr>
          <w:sz w:val="22"/>
          <w:szCs w:val="22"/>
        </w:rPr>
      </w:pPr>
      <w:r>
        <w:rPr>
          <w:sz w:val="22"/>
          <w:szCs w:val="22"/>
        </w:rPr>
        <w:continuationSeparator/>
      </w:r>
    </w:p>
  </w:endnote>
  <w:endnote w:type="continuationNotice" w:id="1">
    <w:p w14:paraId="2175A1AE" w14:textId="77777777" w:rsidR="00CA25E3" w:rsidRDefault="00CA25E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827144" w:rsidRDefault="0082714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827144" w:rsidRDefault="0082714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827144" w:rsidRDefault="0082714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C531" w14:textId="77777777" w:rsidR="00CA25E3" w:rsidRDefault="00CA25E3">
      <w:pPr>
        <w:rPr>
          <w:sz w:val="22"/>
          <w:szCs w:val="22"/>
        </w:rPr>
      </w:pPr>
      <w:r>
        <w:rPr>
          <w:sz w:val="22"/>
          <w:szCs w:val="22"/>
        </w:rPr>
        <w:separator/>
      </w:r>
    </w:p>
  </w:footnote>
  <w:footnote w:type="continuationSeparator" w:id="0">
    <w:p w14:paraId="785324AE" w14:textId="77777777" w:rsidR="00CA25E3" w:rsidRDefault="00CA25E3">
      <w:pPr>
        <w:rPr>
          <w:sz w:val="22"/>
          <w:szCs w:val="22"/>
        </w:rPr>
      </w:pPr>
      <w:r>
        <w:rPr>
          <w:sz w:val="22"/>
          <w:szCs w:val="22"/>
        </w:rPr>
        <w:continuationSeparator/>
      </w:r>
    </w:p>
  </w:footnote>
  <w:footnote w:type="continuationNotice" w:id="1">
    <w:p w14:paraId="791C005C" w14:textId="77777777" w:rsidR="00CA25E3" w:rsidRDefault="00CA25E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827144" w:rsidRDefault="0082714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6A95" w14:textId="27F9C16C" w:rsidR="00827144" w:rsidRDefault="0082714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8E3EF2">
      <w:rPr>
        <w:noProof/>
        <w:szCs w:val="22"/>
      </w:rPr>
      <w:t>2</w:t>
    </w:r>
    <w:r w:rsidR="008E3EF2">
      <w:rPr>
        <w:noProof/>
        <w:szCs w:val="22"/>
      </w:rPr>
      <w:t>8</w:t>
    </w:r>
    <w:r>
      <w:rPr>
        <w:szCs w:val="22"/>
      </w:rPr>
      <w:fldChar w:fldCharType="end"/>
    </w:r>
  </w:p>
  <w:p w14:paraId="35A1BF54" w14:textId="77777777" w:rsidR="00827144" w:rsidRDefault="0082714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827144" w:rsidRDefault="00827144">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2"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6"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346363"/>
    <w:multiLevelType w:val="multilevel"/>
    <w:tmpl w:val="21A4F4A6"/>
    <w:numStyleLink w:val="Esamassraas3"/>
  </w:abstractNum>
  <w:abstractNum w:abstractNumId="11"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4"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541630707">
    <w:abstractNumId w:val="10"/>
  </w:num>
  <w:num w:numId="2" w16cid:durableId="682169655">
    <w:abstractNumId w:val="14"/>
  </w:num>
  <w:num w:numId="3" w16cid:durableId="1970745705">
    <w:abstractNumId w:val="1"/>
  </w:num>
  <w:num w:numId="4" w16cid:durableId="17898343">
    <w:abstractNumId w:val="2"/>
  </w:num>
  <w:num w:numId="5" w16cid:durableId="1489590039">
    <w:abstractNumId w:val="8"/>
  </w:num>
  <w:num w:numId="6" w16cid:durableId="771779809">
    <w:abstractNumId w:val="16"/>
  </w:num>
  <w:num w:numId="7" w16cid:durableId="1303073613">
    <w:abstractNumId w:val="12"/>
  </w:num>
  <w:num w:numId="8" w16cid:durableId="450629149">
    <w:abstractNumId w:val="9"/>
  </w:num>
  <w:num w:numId="9" w16cid:durableId="1620264360">
    <w:abstractNumId w:val="0"/>
  </w:num>
  <w:num w:numId="10" w16cid:durableId="362370615">
    <w:abstractNumId w:val="3"/>
  </w:num>
  <w:num w:numId="11" w16cid:durableId="702824537">
    <w:abstractNumId w:val="4"/>
  </w:num>
  <w:num w:numId="12" w16cid:durableId="1680035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803926">
    <w:abstractNumId w:val="6"/>
  </w:num>
  <w:num w:numId="14" w16cid:durableId="255672303">
    <w:abstractNumId w:val="11"/>
  </w:num>
  <w:num w:numId="15" w16cid:durableId="1745103715">
    <w:abstractNumId w:val="5"/>
  </w:num>
  <w:num w:numId="16" w16cid:durableId="731657458">
    <w:abstractNumId w:val="15"/>
  </w:num>
  <w:num w:numId="17" w16cid:durableId="1623224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E75"/>
    <w:rsid w:val="000052AD"/>
    <w:rsid w:val="00010C65"/>
    <w:rsid w:val="00012AB4"/>
    <w:rsid w:val="0001340E"/>
    <w:rsid w:val="000168F8"/>
    <w:rsid w:val="00024D0A"/>
    <w:rsid w:val="00027322"/>
    <w:rsid w:val="00032289"/>
    <w:rsid w:val="00033B3D"/>
    <w:rsid w:val="0003750F"/>
    <w:rsid w:val="00040DAD"/>
    <w:rsid w:val="00044E47"/>
    <w:rsid w:val="00046EE9"/>
    <w:rsid w:val="00051407"/>
    <w:rsid w:val="000524CF"/>
    <w:rsid w:val="00063ECC"/>
    <w:rsid w:val="000706ED"/>
    <w:rsid w:val="00072AE5"/>
    <w:rsid w:val="000914AC"/>
    <w:rsid w:val="00091801"/>
    <w:rsid w:val="00092FAF"/>
    <w:rsid w:val="00093345"/>
    <w:rsid w:val="00094600"/>
    <w:rsid w:val="00096600"/>
    <w:rsid w:val="00097DE6"/>
    <w:rsid w:val="000A0FF2"/>
    <w:rsid w:val="000A240E"/>
    <w:rsid w:val="000B17D6"/>
    <w:rsid w:val="000B50D5"/>
    <w:rsid w:val="000B66CF"/>
    <w:rsid w:val="000B6D81"/>
    <w:rsid w:val="000C02A4"/>
    <w:rsid w:val="000C0C8A"/>
    <w:rsid w:val="000C2247"/>
    <w:rsid w:val="000C2A9C"/>
    <w:rsid w:val="000C3BAF"/>
    <w:rsid w:val="000C58B3"/>
    <w:rsid w:val="000D41B6"/>
    <w:rsid w:val="000D4E34"/>
    <w:rsid w:val="000D73DC"/>
    <w:rsid w:val="000E138C"/>
    <w:rsid w:val="000E2C49"/>
    <w:rsid w:val="000E4493"/>
    <w:rsid w:val="000E47B0"/>
    <w:rsid w:val="000E4D43"/>
    <w:rsid w:val="000E4E84"/>
    <w:rsid w:val="000E65DA"/>
    <w:rsid w:val="000F0C16"/>
    <w:rsid w:val="000F1B03"/>
    <w:rsid w:val="000F380F"/>
    <w:rsid w:val="000F4551"/>
    <w:rsid w:val="0010012D"/>
    <w:rsid w:val="00100148"/>
    <w:rsid w:val="00105777"/>
    <w:rsid w:val="00110232"/>
    <w:rsid w:val="00114D06"/>
    <w:rsid w:val="00120DCF"/>
    <w:rsid w:val="00124D49"/>
    <w:rsid w:val="00125FBB"/>
    <w:rsid w:val="001303BD"/>
    <w:rsid w:val="00131005"/>
    <w:rsid w:val="00133032"/>
    <w:rsid w:val="00136597"/>
    <w:rsid w:val="00136EA7"/>
    <w:rsid w:val="00137E68"/>
    <w:rsid w:val="00141126"/>
    <w:rsid w:val="00141FEA"/>
    <w:rsid w:val="00142B89"/>
    <w:rsid w:val="00143CF7"/>
    <w:rsid w:val="0014523E"/>
    <w:rsid w:val="00151D77"/>
    <w:rsid w:val="0015216C"/>
    <w:rsid w:val="00152F93"/>
    <w:rsid w:val="00153212"/>
    <w:rsid w:val="00165656"/>
    <w:rsid w:val="00167079"/>
    <w:rsid w:val="0016768B"/>
    <w:rsid w:val="0017174D"/>
    <w:rsid w:val="00172C83"/>
    <w:rsid w:val="00176764"/>
    <w:rsid w:val="00176A1E"/>
    <w:rsid w:val="00177C1D"/>
    <w:rsid w:val="0018043D"/>
    <w:rsid w:val="00180FAF"/>
    <w:rsid w:val="0018278A"/>
    <w:rsid w:val="00186045"/>
    <w:rsid w:val="0019216B"/>
    <w:rsid w:val="00193B58"/>
    <w:rsid w:val="0019624E"/>
    <w:rsid w:val="001A1B7C"/>
    <w:rsid w:val="001B0651"/>
    <w:rsid w:val="001B424D"/>
    <w:rsid w:val="001B688B"/>
    <w:rsid w:val="001C1AC9"/>
    <w:rsid w:val="001C7606"/>
    <w:rsid w:val="001C7B99"/>
    <w:rsid w:val="001D08A8"/>
    <w:rsid w:val="001D18FB"/>
    <w:rsid w:val="001D2ADA"/>
    <w:rsid w:val="001D2DD8"/>
    <w:rsid w:val="001D3EB7"/>
    <w:rsid w:val="001D6142"/>
    <w:rsid w:val="001E0979"/>
    <w:rsid w:val="001E0D78"/>
    <w:rsid w:val="001F06F0"/>
    <w:rsid w:val="001F1799"/>
    <w:rsid w:val="001F778A"/>
    <w:rsid w:val="001F7F7B"/>
    <w:rsid w:val="00204E04"/>
    <w:rsid w:val="00205381"/>
    <w:rsid w:val="00205A37"/>
    <w:rsid w:val="002071C1"/>
    <w:rsid w:val="00207240"/>
    <w:rsid w:val="00210C3B"/>
    <w:rsid w:val="00215778"/>
    <w:rsid w:val="00215A64"/>
    <w:rsid w:val="00216673"/>
    <w:rsid w:val="00222073"/>
    <w:rsid w:val="00223225"/>
    <w:rsid w:val="0022415A"/>
    <w:rsid w:val="00225FEA"/>
    <w:rsid w:val="0023568E"/>
    <w:rsid w:val="00236B25"/>
    <w:rsid w:val="002403B3"/>
    <w:rsid w:val="0024150F"/>
    <w:rsid w:val="00244CB6"/>
    <w:rsid w:val="00244F4B"/>
    <w:rsid w:val="0025589B"/>
    <w:rsid w:val="0026472B"/>
    <w:rsid w:val="00264C24"/>
    <w:rsid w:val="00270173"/>
    <w:rsid w:val="00272C4A"/>
    <w:rsid w:val="00276AF0"/>
    <w:rsid w:val="00276AFE"/>
    <w:rsid w:val="00280D80"/>
    <w:rsid w:val="002816E1"/>
    <w:rsid w:val="00285356"/>
    <w:rsid w:val="002915B1"/>
    <w:rsid w:val="00294132"/>
    <w:rsid w:val="0029560A"/>
    <w:rsid w:val="002A71B6"/>
    <w:rsid w:val="002B7A65"/>
    <w:rsid w:val="002C2683"/>
    <w:rsid w:val="002C302D"/>
    <w:rsid w:val="002C33EA"/>
    <w:rsid w:val="002C404E"/>
    <w:rsid w:val="002D2010"/>
    <w:rsid w:val="002D2DFD"/>
    <w:rsid w:val="002D6D4C"/>
    <w:rsid w:val="002D78BC"/>
    <w:rsid w:val="002E0DBB"/>
    <w:rsid w:val="002E1478"/>
    <w:rsid w:val="002E32C6"/>
    <w:rsid w:val="002E6A2C"/>
    <w:rsid w:val="002E6C74"/>
    <w:rsid w:val="002F14E3"/>
    <w:rsid w:val="00306492"/>
    <w:rsid w:val="0031679F"/>
    <w:rsid w:val="0031784B"/>
    <w:rsid w:val="00317A6F"/>
    <w:rsid w:val="00320487"/>
    <w:rsid w:val="00320FC9"/>
    <w:rsid w:val="003219F0"/>
    <w:rsid w:val="00333AE6"/>
    <w:rsid w:val="00334AA1"/>
    <w:rsid w:val="00335016"/>
    <w:rsid w:val="00335084"/>
    <w:rsid w:val="00335125"/>
    <w:rsid w:val="0033674C"/>
    <w:rsid w:val="00336F46"/>
    <w:rsid w:val="003546A0"/>
    <w:rsid w:val="00364504"/>
    <w:rsid w:val="00364FB9"/>
    <w:rsid w:val="0037713F"/>
    <w:rsid w:val="003779CB"/>
    <w:rsid w:val="00380113"/>
    <w:rsid w:val="003836FA"/>
    <w:rsid w:val="00394456"/>
    <w:rsid w:val="003973FB"/>
    <w:rsid w:val="003A1942"/>
    <w:rsid w:val="003A67AC"/>
    <w:rsid w:val="003B09DD"/>
    <w:rsid w:val="003B7309"/>
    <w:rsid w:val="003B7BB1"/>
    <w:rsid w:val="003C0C91"/>
    <w:rsid w:val="003C3F39"/>
    <w:rsid w:val="003C4C64"/>
    <w:rsid w:val="003E04A3"/>
    <w:rsid w:val="003E342F"/>
    <w:rsid w:val="003E652C"/>
    <w:rsid w:val="003F34D0"/>
    <w:rsid w:val="003F5217"/>
    <w:rsid w:val="00404920"/>
    <w:rsid w:val="00404F00"/>
    <w:rsid w:val="0041111B"/>
    <w:rsid w:val="004117D6"/>
    <w:rsid w:val="00411D78"/>
    <w:rsid w:val="00412B58"/>
    <w:rsid w:val="00417DED"/>
    <w:rsid w:val="00423018"/>
    <w:rsid w:val="00430E0E"/>
    <w:rsid w:val="0044569A"/>
    <w:rsid w:val="0045064E"/>
    <w:rsid w:val="004631F3"/>
    <w:rsid w:val="00466355"/>
    <w:rsid w:val="00471F74"/>
    <w:rsid w:val="00473D1F"/>
    <w:rsid w:val="0047771F"/>
    <w:rsid w:val="004865F1"/>
    <w:rsid w:val="00487E6D"/>
    <w:rsid w:val="004923EA"/>
    <w:rsid w:val="004A3B5A"/>
    <w:rsid w:val="004A47A3"/>
    <w:rsid w:val="004A4A46"/>
    <w:rsid w:val="004B232F"/>
    <w:rsid w:val="004B3111"/>
    <w:rsid w:val="004B3683"/>
    <w:rsid w:val="004B3FBC"/>
    <w:rsid w:val="004B4EFE"/>
    <w:rsid w:val="004B6BBB"/>
    <w:rsid w:val="004C16BC"/>
    <w:rsid w:val="004C2F19"/>
    <w:rsid w:val="004C7D10"/>
    <w:rsid w:val="004D0E98"/>
    <w:rsid w:val="004D4BA2"/>
    <w:rsid w:val="004D5E77"/>
    <w:rsid w:val="004E0F9F"/>
    <w:rsid w:val="004E1249"/>
    <w:rsid w:val="004E2636"/>
    <w:rsid w:val="004E3A0F"/>
    <w:rsid w:val="004E42FE"/>
    <w:rsid w:val="004F1C85"/>
    <w:rsid w:val="004F2F32"/>
    <w:rsid w:val="004F49A3"/>
    <w:rsid w:val="004F77B0"/>
    <w:rsid w:val="00504BA8"/>
    <w:rsid w:val="00505DD2"/>
    <w:rsid w:val="0050717E"/>
    <w:rsid w:val="005109DD"/>
    <w:rsid w:val="00515196"/>
    <w:rsid w:val="00517D82"/>
    <w:rsid w:val="005204C0"/>
    <w:rsid w:val="00525918"/>
    <w:rsid w:val="0052671F"/>
    <w:rsid w:val="00533B32"/>
    <w:rsid w:val="00533BA5"/>
    <w:rsid w:val="00542539"/>
    <w:rsid w:val="00542602"/>
    <w:rsid w:val="0054460F"/>
    <w:rsid w:val="005446ED"/>
    <w:rsid w:val="00546FE4"/>
    <w:rsid w:val="00554FD9"/>
    <w:rsid w:val="005627CD"/>
    <w:rsid w:val="00565890"/>
    <w:rsid w:val="00566B30"/>
    <w:rsid w:val="00571343"/>
    <w:rsid w:val="00571721"/>
    <w:rsid w:val="005723FD"/>
    <w:rsid w:val="0057250E"/>
    <w:rsid w:val="0059001C"/>
    <w:rsid w:val="005907F9"/>
    <w:rsid w:val="00590FB9"/>
    <w:rsid w:val="00591F1F"/>
    <w:rsid w:val="00592C13"/>
    <w:rsid w:val="00592C6E"/>
    <w:rsid w:val="00593025"/>
    <w:rsid w:val="005A463D"/>
    <w:rsid w:val="005A51FE"/>
    <w:rsid w:val="005A5CB8"/>
    <w:rsid w:val="005B1834"/>
    <w:rsid w:val="005B3716"/>
    <w:rsid w:val="005B43DC"/>
    <w:rsid w:val="005B78CC"/>
    <w:rsid w:val="005B7924"/>
    <w:rsid w:val="005C2254"/>
    <w:rsid w:val="005C2429"/>
    <w:rsid w:val="005C3120"/>
    <w:rsid w:val="005C7D1D"/>
    <w:rsid w:val="005D0EFB"/>
    <w:rsid w:val="005D1B47"/>
    <w:rsid w:val="005E0E1F"/>
    <w:rsid w:val="005E2009"/>
    <w:rsid w:val="005E5145"/>
    <w:rsid w:val="005F3FB0"/>
    <w:rsid w:val="005F68F7"/>
    <w:rsid w:val="006022ED"/>
    <w:rsid w:val="0060370A"/>
    <w:rsid w:val="00604626"/>
    <w:rsid w:val="00607DB6"/>
    <w:rsid w:val="0061128E"/>
    <w:rsid w:val="0061515F"/>
    <w:rsid w:val="006206D2"/>
    <w:rsid w:val="00621B6A"/>
    <w:rsid w:val="00626376"/>
    <w:rsid w:val="00630CF3"/>
    <w:rsid w:val="006313E9"/>
    <w:rsid w:val="0063486A"/>
    <w:rsid w:val="00636D4F"/>
    <w:rsid w:val="00640DF5"/>
    <w:rsid w:val="00640EB1"/>
    <w:rsid w:val="0064307B"/>
    <w:rsid w:val="00644D89"/>
    <w:rsid w:val="00645520"/>
    <w:rsid w:val="006475ED"/>
    <w:rsid w:val="0065312E"/>
    <w:rsid w:val="00660744"/>
    <w:rsid w:val="00661B68"/>
    <w:rsid w:val="0066797D"/>
    <w:rsid w:val="00667EB9"/>
    <w:rsid w:val="0067270E"/>
    <w:rsid w:val="006744C0"/>
    <w:rsid w:val="00676720"/>
    <w:rsid w:val="006816CC"/>
    <w:rsid w:val="00684D95"/>
    <w:rsid w:val="006963A9"/>
    <w:rsid w:val="00696B4D"/>
    <w:rsid w:val="006A2D48"/>
    <w:rsid w:val="006A632D"/>
    <w:rsid w:val="006A7D5C"/>
    <w:rsid w:val="006B25DF"/>
    <w:rsid w:val="006B5AF3"/>
    <w:rsid w:val="006C0DDE"/>
    <w:rsid w:val="006C16A2"/>
    <w:rsid w:val="006C440B"/>
    <w:rsid w:val="006C6F0D"/>
    <w:rsid w:val="006D1F1F"/>
    <w:rsid w:val="006D6417"/>
    <w:rsid w:val="00701535"/>
    <w:rsid w:val="0070155B"/>
    <w:rsid w:val="00701B56"/>
    <w:rsid w:val="00703A22"/>
    <w:rsid w:val="00706C67"/>
    <w:rsid w:val="0071077A"/>
    <w:rsid w:val="00713286"/>
    <w:rsid w:val="007144DB"/>
    <w:rsid w:val="00715C32"/>
    <w:rsid w:val="0072522C"/>
    <w:rsid w:val="00727596"/>
    <w:rsid w:val="00727F45"/>
    <w:rsid w:val="00730643"/>
    <w:rsid w:val="00734797"/>
    <w:rsid w:val="007352B9"/>
    <w:rsid w:val="007354E6"/>
    <w:rsid w:val="0074064E"/>
    <w:rsid w:val="007410D2"/>
    <w:rsid w:val="00741DB1"/>
    <w:rsid w:val="007430B2"/>
    <w:rsid w:val="007456FA"/>
    <w:rsid w:val="00747980"/>
    <w:rsid w:val="00751109"/>
    <w:rsid w:val="007522A0"/>
    <w:rsid w:val="00752CB9"/>
    <w:rsid w:val="007539D2"/>
    <w:rsid w:val="00755577"/>
    <w:rsid w:val="00755C98"/>
    <w:rsid w:val="00760E12"/>
    <w:rsid w:val="00763A18"/>
    <w:rsid w:val="00764DF5"/>
    <w:rsid w:val="00766754"/>
    <w:rsid w:val="0077205C"/>
    <w:rsid w:val="00777B13"/>
    <w:rsid w:val="00786C7A"/>
    <w:rsid w:val="00790D90"/>
    <w:rsid w:val="007924CA"/>
    <w:rsid w:val="007A0E36"/>
    <w:rsid w:val="007A409B"/>
    <w:rsid w:val="007A44AF"/>
    <w:rsid w:val="007A4CAF"/>
    <w:rsid w:val="007A5D35"/>
    <w:rsid w:val="007B00A2"/>
    <w:rsid w:val="007B02A4"/>
    <w:rsid w:val="007B208E"/>
    <w:rsid w:val="007B72F1"/>
    <w:rsid w:val="007C1B7D"/>
    <w:rsid w:val="007C202D"/>
    <w:rsid w:val="007C35D3"/>
    <w:rsid w:val="007C62A0"/>
    <w:rsid w:val="007D4371"/>
    <w:rsid w:val="007D54D9"/>
    <w:rsid w:val="007E0330"/>
    <w:rsid w:val="007E4C31"/>
    <w:rsid w:val="007E5B59"/>
    <w:rsid w:val="007F0AAC"/>
    <w:rsid w:val="007F5085"/>
    <w:rsid w:val="007F6348"/>
    <w:rsid w:val="007F67B5"/>
    <w:rsid w:val="00803272"/>
    <w:rsid w:val="00806A1B"/>
    <w:rsid w:val="00807B89"/>
    <w:rsid w:val="008110D5"/>
    <w:rsid w:val="00812D87"/>
    <w:rsid w:val="00813892"/>
    <w:rsid w:val="00814DC4"/>
    <w:rsid w:val="008150E7"/>
    <w:rsid w:val="00815E2E"/>
    <w:rsid w:val="00823484"/>
    <w:rsid w:val="00827144"/>
    <w:rsid w:val="0083358C"/>
    <w:rsid w:val="00833D68"/>
    <w:rsid w:val="0083597C"/>
    <w:rsid w:val="00835E05"/>
    <w:rsid w:val="00840CDC"/>
    <w:rsid w:val="008446B9"/>
    <w:rsid w:val="00850782"/>
    <w:rsid w:val="008544DE"/>
    <w:rsid w:val="0086053F"/>
    <w:rsid w:val="0086065F"/>
    <w:rsid w:val="008627AA"/>
    <w:rsid w:val="00863C21"/>
    <w:rsid w:val="0087694C"/>
    <w:rsid w:val="00883529"/>
    <w:rsid w:val="00884173"/>
    <w:rsid w:val="0089586F"/>
    <w:rsid w:val="008A238D"/>
    <w:rsid w:val="008A62F5"/>
    <w:rsid w:val="008B018A"/>
    <w:rsid w:val="008B068F"/>
    <w:rsid w:val="008B174F"/>
    <w:rsid w:val="008B1F30"/>
    <w:rsid w:val="008B6D2F"/>
    <w:rsid w:val="008C077F"/>
    <w:rsid w:val="008D018F"/>
    <w:rsid w:val="008D06BC"/>
    <w:rsid w:val="008D1F2B"/>
    <w:rsid w:val="008D26E0"/>
    <w:rsid w:val="008D2E51"/>
    <w:rsid w:val="008D5595"/>
    <w:rsid w:val="008D7AF6"/>
    <w:rsid w:val="008D7E5E"/>
    <w:rsid w:val="008E0125"/>
    <w:rsid w:val="008E3EF2"/>
    <w:rsid w:val="008E7805"/>
    <w:rsid w:val="008F0EF5"/>
    <w:rsid w:val="008F19BC"/>
    <w:rsid w:val="008F4A64"/>
    <w:rsid w:val="00900ABA"/>
    <w:rsid w:val="00902386"/>
    <w:rsid w:val="0090294E"/>
    <w:rsid w:val="0091358F"/>
    <w:rsid w:val="00913A1C"/>
    <w:rsid w:val="00916040"/>
    <w:rsid w:val="0091656C"/>
    <w:rsid w:val="009177DA"/>
    <w:rsid w:val="00920F1F"/>
    <w:rsid w:val="00922168"/>
    <w:rsid w:val="00924793"/>
    <w:rsid w:val="0092483C"/>
    <w:rsid w:val="0093256F"/>
    <w:rsid w:val="00932FAE"/>
    <w:rsid w:val="0094023F"/>
    <w:rsid w:val="0094164F"/>
    <w:rsid w:val="00942D3E"/>
    <w:rsid w:val="0094360D"/>
    <w:rsid w:val="00945A9B"/>
    <w:rsid w:val="0095000D"/>
    <w:rsid w:val="0095240E"/>
    <w:rsid w:val="00953577"/>
    <w:rsid w:val="0095735B"/>
    <w:rsid w:val="009654BC"/>
    <w:rsid w:val="00966DE6"/>
    <w:rsid w:val="009735A0"/>
    <w:rsid w:val="0097428E"/>
    <w:rsid w:val="00974855"/>
    <w:rsid w:val="00982F1F"/>
    <w:rsid w:val="00983845"/>
    <w:rsid w:val="00984312"/>
    <w:rsid w:val="00984CA2"/>
    <w:rsid w:val="00985E30"/>
    <w:rsid w:val="00986C3A"/>
    <w:rsid w:val="00991541"/>
    <w:rsid w:val="00992EF0"/>
    <w:rsid w:val="009968BA"/>
    <w:rsid w:val="009970D6"/>
    <w:rsid w:val="009A12D3"/>
    <w:rsid w:val="009A20D2"/>
    <w:rsid w:val="009A4FFA"/>
    <w:rsid w:val="009B0DF3"/>
    <w:rsid w:val="009B2E25"/>
    <w:rsid w:val="009B73C4"/>
    <w:rsid w:val="009C0209"/>
    <w:rsid w:val="009C24FC"/>
    <w:rsid w:val="009C7DEF"/>
    <w:rsid w:val="009D2FC4"/>
    <w:rsid w:val="009E1D3D"/>
    <w:rsid w:val="009E5DEF"/>
    <w:rsid w:val="009E6AC7"/>
    <w:rsid w:val="009F482D"/>
    <w:rsid w:val="009F60F5"/>
    <w:rsid w:val="00A02186"/>
    <w:rsid w:val="00A048E5"/>
    <w:rsid w:val="00A0605E"/>
    <w:rsid w:val="00A0681E"/>
    <w:rsid w:val="00A1305A"/>
    <w:rsid w:val="00A13FE6"/>
    <w:rsid w:val="00A16ABF"/>
    <w:rsid w:val="00A209B4"/>
    <w:rsid w:val="00A2268D"/>
    <w:rsid w:val="00A26254"/>
    <w:rsid w:val="00A27F50"/>
    <w:rsid w:val="00A34813"/>
    <w:rsid w:val="00A361B0"/>
    <w:rsid w:val="00A3645A"/>
    <w:rsid w:val="00A45663"/>
    <w:rsid w:val="00A457A9"/>
    <w:rsid w:val="00A50508"/>
    <w:rsid w:val="00A50C77"/>
    <w:rsid w:val="00A52715"/>
    <w:rsid w:val="00A553AA"/>
    <w:rsid w:val="00A56940"/>
    <w:rsid w:val="00A57D6D"/>
    <w:rsid w:val="00A60F94"/>
    <w:rsid w:val="00A6111B"/>
    <w:rsid w:val="00A678D7"/>
    <w:rsid w:val="00A7026C"/>
    <w:rsid w:val="00A71A03"/>
    <w:rsid w:val="00A723DF"/>
    <w:rsid w:val="00A73A73"/>
    <w:rsid w:val="00A82072"/>
    <w:rsid w:val="00A85E76"/>
    <w:rsid w:val="00A938C5"/>
    <w:rsid w:val="00A93F05"/>
    <w:rsid w:val="00A9479A"/>
    <w:rsid w:val="00A9716D"/>
    <w:rsid w:val="00AA04B0"/>
    <w:rsid w:val="00AA39AF"/>
    <w:rsid w:val="00AA7BF4"/>
    <w:rsid w:val="00AB6C86"/>
    <w:rsid w:val="00AB7F95"/>
    <w:rsid w:val="00AC6DDF"/>
    <w:rsid w:val="00AC77A5"/>
    <w:rsid w:val="00AD1EAF"/>
    <w:rsid w:val="00AD2474"/>
    <w:rsid w:val="00AD353C"/>
    <w:rsid w:val="00AD5048"/>
    <w:rsid w:val="00AD6938"/>
    <w:rsid w:val="00AD7A5B"/>
    <w:rsid w:val="00AF0322"/>
    <w:rsid w:val="00AF0747"/>
    <w:rsid w:val="00AF49E2"/>
    <w:rsid w:val="00AF5DA9"/>
    <w:rsid w:val="00B00219"/>
    <w:rsid w:val="00B01293"/>
    <w:rsid w:val="00B04013"/>
    <w:rsid w:val="00B04141"/>
    <w:rsid w:val="00B0605C"/>
    <w:rsid w:val="00B061B3"/>
    <w:rsid w:val="00B138BD"/>
    <w:rsid w:val="00B1461C"/>
    <w:rsid w:val="00B15E7A"/>
    <w:rsid w:val="00B1798E"/>
    <w:rsid w:val="00B20805"/>
    <w:rsid w:val="00B20BED"/>
    <w:rsid w:val="00B33117"/>
    <w:rsid w:val="00B33F3F"/>
    <w:rsid w:val="00B34DD4"/>
    <w:rsid w:val="00B35BB5"/>
    <w:rsid w:val="00B46E7A"/>
    <w:rsid w:val="00B5004B"/>
    <w:rsid w:val="00B51EB9"/>
    <w:rsid w:val="00B544C8"/>
    <w:rsid w:val="00B60471"/>
    <w:rsid w:val="00B610F4"/>
    <w:rsid w:val="00B704E7"/>
    <w:rsid w:val="00B70F56"/>
    <w:rsid w:val="00B76854"/>
    <w:rsid w:val="00B823FA"/>
    <w:rsid w:val="00B83B03"/>
    <w:rsid w:val="00B84BBD"/>
    <w:rsid w:val="00B84D23"/>
    <w:rsid w:val="00B85339"/>
    <w:rsid w:val="00B87ECC"/>
    <w:rsid w:val="00B9599D"/>
    <w:rsid w:val="00B9689F"/>
    <w:rsid w:val="00B97B2A"/>
    <w:rsid w:val="00BA4C70"/>
    <w:rsid w:val="00BB0D06"/>
    <w:rsid w:val="00BB26F6"/>
    <w:rsid w:val="00BB5F62"/>
    <w:rsid w:val="00BC0D75"/>
    <w:rsid w:val="00BC1A51"/>
    <w:rsid w:val="00BC55A2"/>
    <w:rsid w:val="00BC6A20"/>
    <w:rsid w:val="00BC7F98"/>
    <w:rsid w:val="00BD167D"/>
    <w:rsid w:val="00BD5727"/>
    <w:rsid w:val="00BE2773"/>
    <w:rsid w:val="00BE27E5"/>
    <w:rsid w:val="00BE7238"/>
    <w:rsid w:val="00BF3A1F"/>
    <w:rsid w:val="00C0062B"/>
    <w:rsid w:val="00C0235E"/>
    <w:rsid w:val="00C02666"/>
    <w:rsid w:val="00C02D35"/>
    <w:rsid w:val="00C044F4"/>
    <w:rsid w:val="00C051F5"/>
    <w:rsid w:val="00C105D0"/>
    <w:rsid w:val="00C12330"/>
    <w:rsid w:val="00C2087D"/>
    <w:rsid w:val="00C247FD"/>
    <w:rsid w:val="00C267BC"/>
    <w:rsid w:val="00C270B9"/>
    <w:rsid w:val="00C33C19"/>
    <w:rsid w:val="00C41224"/>
    <w:rsid w:val="00C46133"/>
    <w:rsid w:val="00C46C62"/>
    <w:rsid w:val="00C4775F"/>
    <w:rsid w:val="00C54A0A"/>
    <w:rsid w:val="00C62A24"/>
    <w:rsid w:val="00C64C33"/>
    <w:rsid w:val="00C673E0"/>
    <w:rsid w:val="00C76567"/>
    <w:rsid w:val="00C77633"/>
    <w:rsid w:val="00C779E5"/>
    <w:rsid w:val="00C82D2F"/>
    <w:rsid w:val="00C84549"/>
    <w:rsid w:val="00C85CDC"/>
    <w:rsid w:val="00C87DBF"/>
    <w:rsid w:val="00C900A5"/>
    <w:rsid w:val="00C925F9"/>
    <w:rsid w:val="00C93472"/>
    <w:rsid w:val="00C97300"/>
    <w:rsid w:val="00CA04B0"/>
    <w:rsid w:val="00CA1DC2"/>
    <w:rsid w:val="00CA2186"/>
    <w:rsid w:val="00CA25E3"/>
    <w:rsid w:val="00CA5DF4"/>
    <w:rsid w:val="00CA7408"/>
    <w:rsid w:val="00CA74E1"/>
    <w:rsid w:val="00CC1616"/>
    <w:rsid w:val="00CC325D"/>
    <w:rsid w:val="00CC424C"/>
    <w:rsid w:val="00CC511E"/>
    <w:rsid w:val="00CD3314"/>
    <w:rsid w:val="00CD6936"/>
    <w:rsid w:val="00CE128D"/>
    <w:rsid w:val="00CE151B"/>
    <w:rsid w:val="00CE21A7"/>
    <w:rsid w:val="00CE2B0D"/>
    <w:rsid w:val="00CE4D4B"/>
    <w:rsid w:val="00CE7EB0"/>
    <w:rsid w:val="00CF23B8"/>
    <w:rsid w:val="00CF616C"/>
    <w:rsid w:val="00D0125A"/>
    <w:rsid w:val="00D024EB"/>
    <w:rsid w:val="00D0351B"/>
    <w:rsid w:val="00D110D8"/>
    <w:rsid w:val="00D11727"/>
    <w:rsid w:val="00D11B16"/>
    <w:rsid w:val="00D14515"/>
    <w:rsid w:val="00D14B98"/>
    <w:rsid w:val="00D16E2F"/>
    <w:rsid w:val="00D20719"/>
    <w:rsid w:val="00D21841"/>
    <w:rsid w:val="00D23CB5"/>
    <w:rsid w:val="00D24115"/>
    <w:rsid w:val="00D31468"/>
    <w:rsid w:val="00D31FBB"/>
    <w:rsid w:val="00D32573"/>
    <w:rsid w:val="00D32BC8"/>
    <w:rsid w:val="00D34509"/>
    <w:rsid w:val="00D34A3E"/>
    <w:rsid w:val="00D3653F"/>
    <w:rsid w:val="00D37919"/>
    <w:rsid w:val="00D41929"/>
    <w:rsid w:val="00D456F9"/>
    <w:rsid w:val="00D508FC"/>
    <w:rsid w:val="00D53CF9"/>
    <w:rsid w:val="00D56016"/>
    <w:rsid w:val="00D57FB6"/>
    <w:rsid w:val="00D61AC3"/>
    <w:rsid w:val="00D61EB2"/>
    <w:rsid w:val="00D65318"/>
    <w:rsid w:val="00D65E62"/>
    <w:rsid w:val="00D71DE2"/>
    <w:rsid w:val="00D72CF5"/>
    <w:rsid w:val="00D823AB"/>
    <w:rsid w:val="00D83C3A"/>
    <w:rsid w:val="00D847BE"/>
    <w:rsid w:val="00D85303"/>
    <w:rsid w:val="00D90E2D"/>
    <w:rsid w:val="00D90F42"/>
    <w:rsid w:val="00D94FEC"/>
    <w:rsid w:val="00D97A8F"/>
    <w:rsid w:val="00DA085C"/>
    <w:rsid w:val="00DA0B5F"/>
    <w:rsid w:val="00DA0BA4"/>
    <w:rsid w:val="00DA43B7"/>
    <w:rsid w:val="00DA6018"/>
    <w:rsid w:val="00DB3CCF"/>
    <w:rsid w:val="00DB69B8"/>
    <w:rsid w:val="00DC0FBC"/>
    <w:rsid w:val="00DD195F"/>
    <w:rsid w:val="00DD3924"/>
    <w:rsid w:val="00DE18B4"/>
    <w:rsid w:val="00DE2900"/>
    <w:rsid w:val="00DE2CAC"/>
    <w:rsid w:val="00DF159D"/>
    <w:rsid w:val="00DF28CF"/>
    <w:rsid w:val="00E014AA"/>
    <w:rsid w:val="00E057E6"/>
    <w:rsid w:val="00E06E32"/>
    <w:rsid w:val="00E11628"/>
    <w:rsid w:val="00E13492"/>
    <w:rsid w:val="00E13860"/>
    <w:rsid w:val="00E17409"/>
    <w:rsid w:val="00E23BE0"/>
    <w:rsid w:val="00E31F8E"/>
    <w:rsid w:val="00E36D29"/>
    <w:rsid w:val="00E42D52"/>
    <w:rsid w:val="00E45A73"/>
    <w:rsid w:val="00E506AB"/>
    <w:rsid w:val="00E50B97"/>
    <w:rsid w:val="00E5182B"/>
    <w:rsid w:val="00E52A1D"/>
    <w:rsid w:val="00E63066"/>
    <w:rsid w:val="00E6510C"/>
    <w:rsid w:val="00E71568"/>
    <w:rsid w:val="00E73897"/>
    <w:rsid w:val="00E75D4E"/>
    <w:rsid w:val="00E81347"/>
    <w:rsid w:val="00E81877"/>
    <w:rsid w:val="00E84937"/>
    <w:rsid w:val="00E86D4C"/>
    <w:rsid w:val="00E934EB"/>
    <w:rsid w:val="00E93554"/>
    <w:rsid w:val="00E9661A"/>
    <w:rsid w:val="00E96B2C"/>
    <w:rsid w:val="00E97217"/>
    <w:rsid w:val="00EA085E"/>
    <w:rsid w:val="00EA0B56"/>
    <w:rsid w:val="00EA2F38"/>
    <w:rsid w:val="00EA32D5"/>
    <w:rsid w:val="00EA49CA"/>
    <w:rsid w:val="00EB2843"/>
    <w:rsid w:val="00EB37C2"/>
    <w:rsid w:val="00EB7172"/>
    <w:rsid w:val="00EB72B3"/>
    <w:rsid w:val="00EC7A2C"/>
    <w:rsid w:val="00ED2677"/>
    <w:rsid w:val="00ED351D"/>
    <w:rsid w:val="00ED531E"/>
    <w:rsid w:val="00EF3BE1"/>
    <w:rsid w:val="00EF528A"/>
    <w:rsid w:val="00EF6945"/>
    <w:rsid w:val="00EF7F7A"/>
    <w:rsid w:val="00F00379"/>
    <w:rsid w:val="00F03867"/>
    <w:rsid w:val="00F1133A"/>
    <w:rsid w:val="00F1249E"/>
    <w:rsid w:val="00F229C8"/>
    <w:rsid w:val="00F26970"/>
    <w:rsid w:val="00F27ED0"/>
    <w:rsid w:val="00F32ABA"/>
    <w:rsid w:val="00F344F9"/>
    <w:rsid w:val="00F3606B"/>
    <w:rsid w:val="00F41C00"/>
    <w:rsid w:val="00F4415F"/>
    <w:rsid w:val="00F50887"/>
    <w:rsid w:val="00F509C6"/>
    <w:rsid w:val="00F51FC8"/>
    <w:rsid w:val="00F60D03"/>
    <w:rsid w:val="00F67754"/>
    <w:rsid w:val="00F718FF"/>
    <w:rsid w:val="00F71CCC"/>
    <w:rsid w:val="00F73F7B"/>
    <w:rsid w:val="00F75339"/>
    <w:rsid w:val="00F84732"/>
    <w:rsid w:val="00F91E18"/>
    <w:rsid w:val="00F92D7C"/>
    <w:rsid w:val="00F936CC"/>
    <w:rsid w:val="00F96769"/>
    <w:rsid w:val="00F97EF6"/>
    <w:rsid w:val="00FA109B"/>
    <w:rsid w:val="00FA20F8"/>
    <w:rsid w:val="00FA3704"/>
    <w:rsid w:val="00FA53A0"/>
    <w:rsid w:val="00FA67CB"/>
    <w:rsid w:val="00FA7E2F"/>
    <w:rsid w:val="00FB10DC"/>
    <w:rsid w:val="00FB3339"/>
    <w:rsid w:val="00FB4834"/>
    <w:rsid w:val="00FC3ADD"/>
    <w:rsid w:val="00FC3F6E"/>
    <w:rsid w:val="00FD099D"/>
    <w:rsid w:val="00FD0F67"/>
    <w:rsid w:val="00FD1659"/>
    <w:rsid w:val="00FD269B"/>
    <w:rsid w:val="00FD5F96"/>
    <w:rsid w:val="00FD6FDF"/>
    <w:rsid w:val="00FE201E"/>
    <w:rsid w:val="00FE2E87"/>
    <w:rsid w:val="00FE3184"/>
    <w:rsid w:val="00FE38EF"/>
    <w:rsid w:val="00FE4EB6"/>
    <w:rsid w:val="00FF0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58C56F10-E271-41EB-99A1-81D03687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D08A8"/>
    <w:rPr>
      <w:sz w:val="16"/>
      <w:szCs w:val="16"/>
    </w:rPr>
  </w:style>
  <w:style w:type="paragraph" w:styleId="CommentText">
    <w:name w:val="annotation text"/>
    <w:basedOn w:val="Normal"/>
    <w:link w:val="CommentTextChar"/>
    <w:unhideWhenUsed/>
    <w:rsid w:val="001D08A8"/>
    <w:rPr>
      <w:sz w:val="20"/>
    </w:rPr>
  </w:style>
  <w:style w:type="character" w:customStyle="1" w:styleId="CommentTextChar">
    <w:name w:val="Comment Text Char"/>
    <w:basedOn w:val="DefaultParagraphFont"/>
    <w:link w:val="CommentText"/>
    <w:rsid w:val="001D08A8"/>
    <w:rPr>
      <w:sz w:val="20"/>
    </w:rPr>
  </w:style>
  <w:style w:type="paragraph" w:styleId="CommentSubject">
    <w:name w:val="annotation subject"/>
    <w:basedOn w:val="CommentText"/>
    <w:next w:val="CommentText"/>
    <w:link w:val="CommentSubjectChar"/>
    <w:semiHidden/>
    <w:unhideWhenUsed/>
    <w:rsid w:val="001D08A8"/>
    <w:rPr>
      <w:b/>
      <w:bCs/>
    </w:rPr>
  </w:style>
  <w:style w:type="character" w:customStyle="1" w:styleId="CommentSubjectChar">
    <w:name w:val="Comment Subject Char"/>
    <w:basedOn w:val="CommentTextChar"/>
    <w:link w:val="CommentSubject"/>
    <w:semiHidden/>
    <w:rsid w:val="001D08A8"/>
    <w:rPr>
      <w:b/>
      <w:bCs/>
      <w:sz w:val="20"/>
    </w:rPr>
  </w:style>
  <w:style w:type="character" w:customStyle="1" w:styleId="normaltextrun">
    <w:name w:val="normaltextrun"/>
    <w:basedOn w:val="DefaultParagraphFont"/>
    <w:rsid w:val="009C7DEF"/>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9C7DEF"/>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9C7DEF"/>
    <w:pPr>
      <w:spacing w:after="160" w:line="256" w:lineRule="auto"/>
      <w:ind w:left="720"/>
      <w:contextualSpacing/>
    </w:pPr>
  </w:style>
  <w:style w:type="character" w:customStyle="1" w:styleId="eop">
    <w:name w:val="eop"/>
    <w:basedOn w:val="DefaultParagraphFont"/>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yperlink">
    <w:name w:val="Hyperlink"/>
    <w:basedOn w:val="DefaultParagraphFont"/>
    <w:unhideWhenUsed/>
    <w:rsid w:val="00A723DF"/>
    <w:rPr>
      <w:color w:val="0563C1" w:themeColor="hyperlink"/>
      <w:u w:val="single"/>
    </w:rPr>
  </w:style>
  <w:style w:type="character" w:customStyle="1" w:styleId="Neapdorotaspaminjimas1">
    <w:name w:val="Neapdorotas paminėjimas1"/>
    <w:basedOn w:val="DefaultParagraphFont"/>
    <w:uiPriority w:val="99"/>
    <w:semiHidden/>
    <w:unhideWhenUsed/>
    <w:rsid w:val="00A723DF"/>
    <w:rPr>
      <w:color w:val="605E5C"/>
      <w:shd w:val="clear" w:color="auto" w:fill="E1DFDD"/>
    </w:rPr>
  </w:style>
  <w:style w:type="table" w:styleId="TableGrid">
    <w:name w:val="Table Grid"/>
    <w:basedOn w:val="TableNorma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897"/>
    <w:pPr>
      <w:numPr>
        <w:numId w:val="12"/>
      </w:numPr>
    </w:pPr>
    <w:rPr>
      <w:lang w:eastAsia="lt-LT"/>
    </w:rPr>
  </w:style>
  <w:style w:type="paragraph" w:styleId="BalloonText">
    <w:name w:val="Balloon Text"/>
    <w:basedOn w:val="Normal"/>
    <w:link w:val="BalloonTextChar"/>
    <w:semiHidden/>
    <w:unhideWhenUsed/>
    <w:rsid w:val="00DE18B4"/>
    <w:rPr>
      <w:rFonts w:ascii="Segoe UI" w:hAnsi="Segoe UI" w:cs="Segoe UI"/>
      <w:sz w:val="18"/>
      <w:szCs w:val="18"/>
    </w:rPr>
  </w:style>
  <w:style w:type="character" w:customStyle="1" w:styleId="BalloonTextChar">
    <w:name w:val="Balloon Text Char"/>
    <w:basedOn w:val="DefaultParagraphFont"/>
    <w:link w:val="BalloonText"/>
    <w:semiHidden/>
    <w:rsid w:val="00DE18B4"/>
    <w:rPr>
      <w:rFonts w:ascii="Segoe UI" w:hAnsi="Segoe UI" w:cs="Segoe UI"/>
      <w:sz w:val="18"/>
      <w:szCs w:val="18"/>
    </w:rPr>
  </w:style>
  <w:style w:type="paragraph" w:styleId="Revision">
    <w:name w:val="Revision"/>
    <w:hidden/>
    <w:semiHidden/>
    <w:rsid w:val="0001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TAR.A3AC13936022/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6F6D86D9-8DE8-4E72-A600-59C6D2978CB0}">
  <ds:schemaRefs>
    <ds:schemaRef ds:uri="http://schemas.openxmlformats.org/officeDocument/2006/bibliography"/>
  </ds:schemaRefs>
</ds:datastoreItem>
</file>

<file path=customXml/itemProps3.xml><?xml version="1.0" encoding="utf-8"?>
<ds:datastoreItem xmlns:ds="http://schemas.openxmlformats.org/officeDocument/2006/customXml" ds:itemID="{2E05B6A2-E883-44E6-BB26-6B79B5575EC9}">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9379</Words>
  <Characters>53463</Characters>
  <Application>Microsoft Office Word</Application>
  <DocSecurity>0</DocSecurity>
  <Lines>445</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62717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Rasa Povilaikė</cp:lastModifiedBy>
  <cp:revision>2</cp:revision>
  <dcterms:created xsi:type="dcterms:W3CDTF">2022-09-09T11:07:00Z</dcterms:created>
  <dcterms:modified xsi:type="dcterms:W3CDTF">2022-09-09T11:07:00Z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