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D355B7" w:rsidRDefault="00CB0605" w:rsidP="00D355B7">
      <w:pPr>
        <w:jc w:val="center"/>
        <w:rPr>
          <w:b/>
          <w:bCs/>
          <w:szCs w:val="24"/>
        </w:rPr>
      </w:pPr>
      <w:r w:rsidRPr="00D355B7">
        <w:rPr>
          <w:b/>
          <w:bCs/>
          <w:szCs w:val="24"/>
        </w:rPr>
        <w:t>LIETUVOS RESPUBLIKOS EKONOMIKOS IR INOVACIJŲ MINISTERIJA</w:t>
      </w:r>
    </w:p>
    <w:p w14:paraId="67E08466" w14:textId="77777777" w:rsidR="00CB0605" w:rsidRPr="00D355B7" w:rsidRDefault="00CB0605" w:rsidP="00D355B7">
      <w:pPr>
        <w:jc w:val="center"/>
        <w:rPr>
          <w:b/>
          <w:bCs/>
          <w:szCs w:val="24"/>
        </w:rPr>
      </w:pPr>
    </w:p>
    <w:p w14:paraId="2B4433F8" w14:textId="6B6502AC" w:rsidR="00CB0605" w:rsidRPr="003B06E2" w:rsidRDefault="00CB0605" w:rsidP="00B847BD">
      <w:pPr>
        <w:jc w:val="both"/>
        <w:rPr>
          <w:b/>
          <w:bCs/>
          <w:szCs w:val="24"/>
        </w:rPr>
      </w:pPr>
      <w:r w:rsidRPr="003B06E2">
        <w:rPr>
          <w:b/>
          <w:bCs/>
          <w:szCs w:val="24"/>
        </w:rPr>
        <w:t xml:space="preserve">SOCIALINIŲ IR EKONOMINIŲ </w:t>
      </w:r>
      <w:r w:rsidRPr="009830F4">
        <w:rPr>
          <w:b/>
          <w:bCs/>
          <w:caps/>
          <w:szCs w:val="24"/>
        </w:rPr>
        <w:t xml:space="preserve">PARTNERIŲ PATEIKTŲ PASTABŲ IR PASIŪLYMŲ DĖL </w:t>
      </w:r>
      <w:r w:rsidR="009830F4" w:rsidRPr="009830F4">
        <w:rPr>
          <w:b/>
          <w:bCs/>
          <w:caps/>
          <w:szCs w:val="24"/>
        </w:rPr>
        <w:t xml:space="preserve">Ekonomikos transformacijos ir konkurencingumo plėtros programos pažangos priemonės </w:t>
      </w:r>
      <w:r w:rsidR="00DE132A" w:rsidRPr="00DE132A">
        <w:rPr>
          <w:b/>
          <w:bCs/>
          <w:caps/>
          <w:szCs w:val="24"/>
        </w:rPr>
        <w:t xml:space="preserve">05-001-01-05-05 „Skatinti įmones skaitmenizuotis“ </w:t>
      </w:r>
      <w:r w:rsidR="00307804">
        <w:rPr>
          <w:b/>
          <w:bCs/>
          <w:caps/>
          <w:szCs w:val="24"/>
        </w:rPr>
        <w:t xml:space="preserve"> veiklos</w:t>
      </w:r>
      <w:r w:rsidR="00BC6BF2">
        <w:rPr>
          <w:b/>
          <w:bCs/>
          <w:caps/>
          <w:szCs w:val="24"/>
        </w:rPr>
        <w:t xml:space="preserve"> </w:t>
      </w:r>
      <w:r w:rsidR="00736067" w:rsidRPr="000E564D">
        <w:rPr>
          <w:b/>
          <w:bCs/>
          <w:iCs/>
          <w:szCs w:val="24"/>
        </w:rPr>
        <w:t>„</w:t>
      </w:r>
      <w:r w:rsidR="00736067" w:rsidRPr="00E53881">
        <w:rPr>
          <w:b/>
          <w:bCs/>
          <w:szCs w:val="24"/>
          <w:lang w:val="en-US"/>
        </w:rPr>
        <w:t>FINANSINĖS PASKATOS VERSLO PASLAUGŲ CENTRAMS VYSTYTI IR DIEGTI ROBOTIKOS PROCESŲ AUTOMATIZAVIMO (RPA) IR (AR) DIRBTINIO INTELEKTO (DI) SPRENDIMUS</w:t>
      </w:r>
      <w:r w:rsidR="00736067" w:rsidRPr="000E564D">
        <w:rPr>
          <w:b/>
          <w:bCs/>
          <w:szCs w:val="24"/>
        </w:rPr>
        <w:t>“</w:t>
      </w:r>
      <w:r w:rsidR="00736067" w:rsidRPr="004B633C">
        <w:rPr>
          <w:b/>
          <w:bCs/>
          <w:iCs/>
          <w:szCs w:val="24"/>
        </w:rPr>
        <w:t xml:space="preserve"> </w:t>
      </w:r>
      <w:r w:rsidR="009830F4" w:rsidRPr="009830F4">
        <w:rPr>
          <w:b/>
          <w:bCs/>
          <w:caps/>
          <w:szCs w:val="24"/>
        </w:rPr>
        <w:t xml:space="preserve"> </w:t>
      </w:r>
      <w:r w:rsidR="00000653">
        <w:rPr>
          <w:b/>
          <w:bCs/>
          <w:caps/>
          <w:szCs w:val="24"/>
        </w:rPr>
        <w:t>atrankos kriterijų</w:t>
      </w:r>
    </w:p>
    <w:p w14:paraId="728A6EAF" w14:textId="77777777" w:rsidR="00CB0605" w:rsidRPr="00D355B7" w:rsidRDefault="00CB0605" w:rsidP="00D355B7">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D355B7" w14:paraId="2B0A6DB3" w14:textId="77777777" w:rsidTr="00185ACE">
        <w:tc>
          <w:tcPr>
            <w:tcW w:w="6804" w:type="dxa"/>
          </w:tcPr>
          <w:p w14:paraId="43C51541" w14:textId="1ACDE4AE" w:rsidR="00CB0605" w:rsidRPr="00D355B7" w:rsidRDefault="00CB0605" w:rsidP="00D355B7">
            <w:pPr>
              <w:rPr>
                <w:b/>
                <w:szCs w:val="24"/>
              </w:rPr>
            </w:pPr>
            <w:r w:rsidRPr="00D355B7">
              <w:rPr>
                <w:b/>
                <w:szCs w:val="24"/>
              </w:rPr>
              <w:t xml:space="preserve">Paskelbimo </w:t>
            </w:r>
            <w:hyperlink r:id="rId7" w:history="1">
              <w:r w:rsidR="004F017B" w:rsidRPr="00D03DC1">
                <w:rPr>
                  <w:rStyle w:val="Hyperlink"/>
                  <w:szCs w:val="24"/>
                </w:rPr>
                <w:t>www.esinvesticijos.lt</w:t>
              </w:r>
            </w:hyperlink>
            <w:r w:rsidR="004F017B">
              <w:rPr>
                <w:szCs w:val="24"/>
              </w:rPr>
              <w:t xml:space="preserve">, </w:t>
            </w:r>
            <w:hyperlink r:id="rId8" w:history="1">
              <w:r w:rsidR="00F851DD" w:rsidRPr="00D03DC1">
                <w:rPr>
                  <w:rStyle w:val="Hyperlink"/>
                  <w:szCs w:val="24"/>
                </w:rPr>
                <w:t>https://eimin.lrv.lt/</w:t>
              </w:r>
            </w:hyperlink>
            <w:r w:rsidR="00F851DD">
              <w:rPr>
                <w:szCs w:val="24"/>
              </w:rPr>
              <w:t xml:space="preserve"> </w:t>
            </w:r>
            <w:r w:rsidRPr="00D355B7">
              <w:rPr>
                <w:b/>
                <w:szCs w:val="24"/>
              </w:rPr>
              <w:t xml:space="preserve"> data</w:t>
            </w:r>
          </w:p>
        </w:tc>
        <w:tc>
          <w:tcPr>
            <w:tcW w:w="7938" w:type="dxa"/>
          </w:tcPr>
          <w:p w14:paraId="7ACD24D1" w14:textId="0ECC28F9" w:rsidR="00CB0605" w:rsidRPr="00D355B7" w:rsidRDefault="00CB0605" w:rsidP="00D355B7">
            <w:pPr>
              <w:rPr>
                <w:szCs w:val="24"/>
              </w:rPr>
            </w:pPr>
            <w:r w:rsidRPr="00756998">
              <w:rPr>
                <w:szCs w:val="24"/>
              </w:rPr>
              <w:t>202</w:t>
            </w:r>
            <w:r w:rsidR="00686D8C" w:rsidRPr="00756998">
              <w:rPr>
                <w:szCs w:val="24"/>
              </w:rPr>
              <w:t>2</w:t>
            </w:r>
            <w:r w:rsidRPr="00756998">
              <w:rPr>
                <w:szCs w:val="24"/>
              </w:rPr>
              <w:t>-</w:t>
            </w:r>
            <w:r w:rsidR="0011578A" w:rsidRPr="00756998">
              <w:rPr>
                <w:szCs w:val="24"/>
              </w:rPr>
              <w:t>0</w:t>
            </w:r>
            <w:r w:rsidR="004F017B">
              <w:rPr>
                <w:szCs w:val="24"/>
              </w:rPr>
              <w:t>8</w:t>
            </w:r>
            <w:r w:rsidR="00806F2A">
              <w:rPr>
                <w:szCs w:val="24"/>
              </w:rPr>
              <w:t>-</w:t>
            </w:r>
            <w:r w:rsidR="004F017B">
              <w:rPr>
                <w:szCs w:val="24"/>
              </w:rPr>
              <w:t>17</w:t>
            </w:r>
          </w:p>
        </w:tc>
      </w:tr>
      <w:tr w:rsidR="00D355B7" w:rsidRPr="00D355B7" w14:paraId="7CFDEEE8" w14:textId="77777777" w:rsidTr="00185ACE">
        <w:tc>
          <w:tcPr>
            <w:tcW w:w="6804" w:type="dxa"/>
          </w:tcPr>
          <w:p w14:paraId="4A1F2499" w14:textId="77777777" w:rsidR="00CB0605" w:rsidRPr="00D355B7" w:rsidRDefault="00CB0605" w:rsidP="00D355B7">
            <w:pPr>
              <w:rPr>
                <w:b/>
                <w:szCs w:val="24"/>
              </w:rPr>
            </w:pPr>
            <w:r w:rsidRPr="00D355B7">
              <w:rPr>
                <w:b/>
                <w:szCs w:val="24"/>
              </w:rPr>
              <w:t>Ar gauta pastabų ir (ar) pasiūlymų?</w:t>
            </w:r>
          </w:p>
          <w:p w14:paraId="27CBE0BE"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5379A6B9" w14:textId="322B913E" w:rsidR="00CB0605" w:rsidRPr="00D355B7" w:rsidRDefault="00000000" w:rsidP="00D355B7">
            <w:pPr>
              <w:rPr>
                <w:szCs w:val="24"/>
              </w:rPr>
            </w:pPr>
            <w:sdt>
              <w:sdtPr>
                <w:rPr>
                  <w:szCs w:val="24"/>
                </w:rPr>
                <w:id w:val="1312749902"/>
              </w:sdtPr>
              <w:sdtContent>
                <w:bookmarkStart w:id="0"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0"/>
                <w:r w:rsidR="00CB0605" w:rsidRPr="00D355B7">
                  <w:rPr>
                    <w:szCs w:val="24"/>
                  </w:rPr>
                  <w:t xml:space="preserve"> </w:t>
                </w:r>
              </w:sdtContent>
            </w:sdt>
            <w:r w:rsidR="00CB0605" w:rsidRPr="00D355B7">
              <w:rPr>
                <w:szCs w:val="24"/>
              </w:rPr>
              <w:t xml:space="preserve">Taip </w:t>
            </w:r>
            <w:sdt>
              <w:sdtPr>
                <w:rPr>
                  <w:szCs w:val="24"/>
                </w:rPr>
                <w:id w:val="164368749"/>
              </w:sdt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126EAA6" w14:textId="77777777" w:rsidTr="00185ACE">
        <w:tc>
          <w:tcPr>
            <w:tcW w:w="6804" w:type="dxa"/>
          </w:tcPr>
          <w:p w14:paraId="34C3231B" w14:textId="77777777" w:rsidR="00CB0605" w:rsidRPr="00D355B7" w:rsidRDefault="00CB0605" w:rsidP="00D355B7">
            <w:pPr>
              <w:rPr>
                <w:b/>
                <w:szCs w:val="24"/>
              </w:rPr>
            </w:pPr>
            <w:r w:rsidRPr="00D355B7">
              <w:rPr>
                <w:b/>
                <w:szCs w:val="24"/>
              </w:rPr>
              <w:t>Ar į visas pastabas ir (ar) pasiūlymus atsižvelgta?</w:t>
            </w:r>
          </w:p>
          <w:p w14:paraId="3D26A125"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0E00D638" w14:textId="6C940F11" w:rsidR="00CB0605" w:rsidRPr="00D355B7" w:rsidRDefault="00000000" w:rsidP="00D355B7">
            <w:pPr>
              <w:rPr>
                <w:szCs w:val="24"/>
              </w:rPr>
            </w:pPr>
            <w:sdt>
              <w:sdtPr>
                <w:rPr>
                  <w:szCs w:val="24"/>
                </w:rPr>
                <w:id w:val="-1548671976"/>
              </w:sdt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sdtContent>
            </w:sdt>
            <w:r w:rsidR="00CB0605" w:rsidRPr="00D355B7">
              <w:rPr>
                <w:szCs w:val="24"/>
              </w:rPr>
              <w:t xml:space="preserve"> Taip </w:t>
            </w:r>
            <w:sdt>
              <w:sdtPr>
                <w:rPr>
                  <w:szCs w:val="24"/>
                </w:rPr>
                <w:id w:val="-338542889"/>
              </w:sdtPr>
              <w:sdtContent>
                <w:r w:rsidR="005C162B" w:rsidRPr="00275020">
                  <w:rPr>
                    <w:szCs w:val="24"/>
                  </w:rPr>
                  <w:fldChar w:fldCharType="begin">
                    <w:ffData>
                      <w:name w:val=""/>
                      <w:enabled/>
                      <w:calcOnExit w:val="0"/>
                      <w:checkBox>
                        <w:sizeAuto/>
                        <w:default w:val="1"/>
                      </w:checkBox>
                    </w:ffData>
                  </w:fldChar>
                </w:r>
                <w:r w:rsidR="005C162B" w:rsidRPr="00275020">
                  <w:rPr>
                    <w:szCs w:val="24"/>
                  </w:rPr>
                  <w:instrText xml:space="preserve"> FORMCHECKBOX </w:instrText>
                </w:r>
                <w:r>
                  <w:rPr>
                    <w:szCs w:val="24"/>
                  </w:rPr>
                </w:r>
                <w:r>
                  <w:rPr>
                    <w:szCs w:val="24"/>
                  </w:rPr>
                  <w:fldChar w:fldCharType="separate"/>
                </w:r>
                <w:r w:rsidR="005C162B" w:rsidRPr="00275020">
                  <w:rPr>
                    <w:szCs w:val="24"/>
                  </w:rPr>
                  <w:fldChar w:fldCharType="end"/>
                </w:r>
              </w:sdtContent>
            </w:sdt>
            <w:r w:rsidR="00CB0605" w:rsidRPr="00275020">
              <w:rPr>
                <w:szCs w:val="24"/>
              </w:rPr>
              <w:t xml:space="preserve"> </w:t>
            </w:r>
            <w:r w:rsidR="00CB0605" w:rsidRPr="00380F79">
              <w:rPr>
                <w:szCs w:val="24"/>
              </w:rPr>
              <w:t>Ne</w:t>
            </w:r>
            <w:r w:rsidR="00CB0605" w:rsidRPr="00D355B7">
              <w:rPr>
                <w:szCs w:val="24"/>
              </w:rPr>
              <w:t xml:space="preserve"> </w:t>
            </w:r>
          </w:p>
        </w:tc>
      </w:tr>
    </w:tbl>
    <w:p w14:paraId="5D04C702" w14:textId="1069CB97" w:rsidR="00CB0605" w:rsidRDefault="00CB0605" w:rsidP="00D355B7">
      <w:pPr>
        <w:rPr>
          <w:szCs w:val="24"/>
        </w:rPr>
      </w:pPr>
    </w:p>
    <w:tbl>
      <w:tblPr>
        <w:tblStyle w:val="TableGrid"/>
        <w:tblW w:w="14771" w:type="dxa"/>
        <w:tblInd w:w="108" w:type="dxa"/>
        <w:tblLayout w:type="fixed"/>
        <w:tblLook w:val="04A0" w:firstRow="1" w:lastRow="0" w:firstColumn="1" w:lastColumn="0" w:noHBand="0" w:noVBand="1"/>
      </w:tblPr>
      <w:tblGrid>
        <w:gridCol w:w="567"/>
        <w:gridCol w:w="1985"/>
        <w:gridCol w:w="7541"/>
        <w:gridCol w:w="4678"/>
      </w:tblGrid>
      <w:tr w:rsidR="0008750B" w:rsidRPr="00747A18" w14:paraId="02BCD99E" w14:textId="77777777" w:rsidTr="00152C34">
        <w:tc>
          <w:tcPr>
            <w:tcW w:w="567" w:type="dxa"/>
          </w:tcPr>
          <w:p w14:paraId="034FF55E" w14:textId="77777777" w:rsidR="0008750B" w:rsidRPr="00747A18" w:rsidRDefault="0008750B" w:rsidP="000057A0">
            <w:pPr>
              <w:jc w:val="center"/>
              <w:rPr>
                <w:b/>
                <w:szCs w:val="24"/>
              </w:rPr>
            </w:pPr>
            <w:r w:rsidRPr="00747A18">
              <w:rPr>
                <w:b/>
                <w:szCs w:val="24"/>
              </w:rPr>
              <w:t>Nr.</w:t>
            </w:r>
          </w:p>
        </w:tc>
        <w:tc>
          <w:tcPr>
            <w:tcW w:w="1985" w:type="dxa"/>
          </w:tcPr>
          <w:p w14:paraId="2D84C4EE" w14:textId="77777777" w:rsidR="0008750B" w:rsidRPr="00747A18" w:rsidRDefault="0008750B" w:rsidP="000057A0">
            <w:pPr>
              <w:jc w:val="center"/>
              <w:rPr>
                <w:b/>
                <w:szCs w:val="24"/>
              </w:rPr>
            </w:pPr>
            <w:r w:rsidRPr="00747A18">
              <w:rPr>
                <w:b/>
                <w:szCs w:val="24"/>
              </w:rPr>
              <w:t>Institucija</w:t>
            </w:r>
          </w:p>
        </w:tc>
        <w:tc>
          <w:tcPr>
            <w:tcW w:w="7541" w:type="dxa"/>
          </w:tcPr>
          <w:p w14:paraId="5983B7A0" w14:textId="77777777" w:rsidR="0008750B" w:rsidRPr="00747A18" w:rsidRDefault="0008750B" w:rsidP="000057A0">
            <w:pPr>
              <w:jc w:val="center"/>
              <w:rPr>
                <w:b/>
                <w:szCs w:val="24"/>
              </w:rPr>
            </w:pPr>
            <w:r w:rsidRPr="00747A18">
              <w:rPr>
                <w:b/>
                <w:bCs/>
                <w:szCs w:val="24"/>
              </w:rPr>
              <w:t>Pastabos ir pasiūlymai</w:t>
            </w:r>
          </w:p>
        </w:tc>
        <w:tc>
          <w:tcPr>
            <w:tcW w:w="4678" w:type="dxa"/>
          </w:tcPr>
          <w:p w14:paraId="2D286BD0" w14:textId="77777777" w:rsidR="0008750B" w:rsidRPr="00747A18" w:rsidRDefault="0008750B" w:rsidP="000057A0">
            <w:pPr>
              <w:jc w:val="center"/>
              <w:rPr>
                <w:b/>
                <w:szCs w:val="24"/>
              </w:rPr>
            </w:pPr>
            <w:r w:rsidRPr="00747A18">
              <w:rPr>
                <w:b/>
                <w:bCs/>
                <w:szCs w:val="24"/>
              </w:rPr>
              <w:t>Pastabų ir pasiūlymų vertinimas ir (jei taikoma) argumentai, kodėl neatsižvelgta į pastabas ar pasiūlymus</w:t>
            </w:r>
          </w:p>
        </w:tc>
      </w:tr>
      <w:tr w:rsidR="0008750B" w:rsidRPr="00747A18" w14:paraId="07E46645" w14:textId="77777777" w:rsidTr="00152C34">
        <w:tc>
          <w:tcPr>
            <w:tcW w:w="567" w:type="dxa"/>
          </w:tcPr>
          <w:p w14:paraId="21F527B7" w14:textId="76802D5E" w:rsidR="0008750B" w:rsidRPr="00747A18" w:rsidRDefault="00E61933" w:rsidP="000057A0">
            <w:pPr>
              <w:jc w:val="center"/>
              <w:rPr>
                <w:b/>
                <w:szCs w:val="24"/>
              </w:rPr>
            </w:pPr>
            <w:r>
              <w:rPr>
                <w:b/>
                <w:szCs w:val="24"/>
              </w:rPr>
              <w:t xml:space="preserve">1. </w:t>
            </w:r>
          </w:p>
        </w:tc>
        <w:tc>
          <w:tcPr>
            <w:tcW w:w="1985" w:type="dxa"/>
          </w:tcPr>
          <w:p w14:paraId="55015C7E" w14:textId="4EC75DA9" w:rsidR="0008750B" w:rsidRPr="00FC295B" w:rsidRDefault="009F521D" w:rsidP="000057A0">
            <w:pPr>
              <w:rPr>
                <w:b/>
                <w:bCs/>
                <w:szCs w:val="24"/>
                <w:shd w:val="clear" w:color="auto" w:fill="FFFFFF"/>
              </w:rPr>
            </w:pPr>
            <w:r w:rsidRPr="009F521D">
              <w:rPr>
                <w:b/>
                <w:bCs/>
                <w:szCs w:val="24"/>
                <w:shd w:val="clear" w:color="auto" w:fill="FFFFFF"/>
              </w:rPr>
              <w:t>Ernst &amp; Young Baltic UAB</w:t>
            </w:r>
          </w:p>
        </w:tc>
        <w:tc>
          <w:tcPr>
            <w:tcW w:w="7541" w:type="dxa"/>
          </w:tcPr>
          <w:p w14:paraId="3046236B" w14:textId="5555A8AE" w:rsidR="0008750B" w:rsidRPr="00734732" w:rsidRDefault="009F521D" w:rsidP="000057A0">
            <w:pPr>
              <w:tabs>
                <w:tab w:val="left" w:pos="483"/>
              </w:tabs>
              <w:rPr>
                <w:i/>
                <w:iCs/>
              </w:rPr>
            </w:pPr>
            <w:r w:rsidRPr="00734732">
              <w:rPr>
                <w:i/>
                <w:iCs/>
              </w:rPr>
              <w:t>Dėl trečiojo ir didžiausią svertą turinčio vertinimo kriterijaus. Ar teisingai suprantame, kad X1, t.y., “pareiškėjų planuojamų sutaupyti FTE“ matavimo vienetas yra vienetai (pvz., 2 FTE), o ne pinigais įvertinta darbo vietos kaina (pvz., 4000 EUR)? Jei mūsų prielaida teisinga, siūlome apsvarstyti, ar nebūtų verta vertinti ne santykį tarp planuojamų sutaupytų FTE ir prašomos finansavimo sumos, o tarp planuojamų sutaupyti sąnaudų ir prašomos finansavimo sumos. Pagal dabartinį kriterijų gautųsi taip, kad vieno projekto atveju sutaupius 2 mažos kvalifikacijos FTE, o kito projekto atveju sutaupius 2 aukštos kvalifikacijos FTE, abudu projektai būtų vertinami vienodu balu (su prielaida, kad prašoma finansavimo suma yra vienoda).</w:t>
            </w:r>
          </w:p>
        </w:tc>
        <w:tc>
          <w:tcPr>
            <w:tcW w:w="4678" w:type="dxa"/>
          </w:tcPr>
          <w:p w14:paraId="40A631CD" w14:textId="77777777" w:rsidR="0008750B" w:rsidRDefault="009F521D" w:rsidP="000057A0">
            <w:pPr>
              <w:rPr>
                <w:b/>
                <w:bCs/>
                <w:szCs w:val="24"/>
              </w:rPr>
            </w:pPr>
            <w:r w:rsidRPr="0092708D">
              <w:rPr>
                <w:b/>
                <w:bCs/>
                <w:szCs w:val="24"/>
              </w:rPr>
              <w:t>Neatsižvelgta</w:t>
            </w:r>
          </w:p>
          <w:p w14:paraId="0DC98AF4" w14:textId="30E676FC" w:rsidR="004F65EB" w:rsidRPr="00E22FA6" w:rsidRDefault="00BC1CF2" w:rsidP="000057A0">
            <w:pPr>
              <w:rPr>
                <w:szCs w:val="24"/>
              </w:rPr>
            </w:pPr>
            <w:r>
              <w:rPr>
                <w:szCs w:val="24"/>
              </w:rPr>
              <w:t>Pareiškėjams</w:t>
            </w:r>
            <w:r w:rsidR="00BB6D88">
              <w:rPr>
                <w:szCs w:val="24"/>
              </w:rPr>
              <w:t xml:space="preserve"> </w:t>
            </w:r>
            <w:r w:rsidR="005E2B34">
              <w:rPr>
                <w:szCs w:val="24"/>
              </w:rPr>
              <w:t xml:space="preserve">bus </w:t>
            </w:r>
            <w:r w:rsidR="00790344">
              <w:rPr>
                <w:szCs w:val="24"/>
              </w:rPr>
              <w:t xml:space="preserve">sudėtinga apskaičiuoti </w:t>
            </w:r>
            <w:r w:rsidR="004166F8">
              <w:rPr>
                <w:szCs w:val="24"/>
              </w:rPr>
              <w:t xml:space="preserve">planuojamas sutaupyti </w:t>
            </w:r>
            <w:r w:rsidR="00F82311">
              <w:rPr>
                <w:szCs w:val="24"/>
              </w:rPr>
              <w:t>sąnaudas</w:t>
            </w:r>
            <w:r w:rsidR="002D0CCE">
              <w:rPr>
                <w:szCs w:val="24"/>
              </w:rPr>
              <w:t xml:space="preserve"> tam tikro proceso</w:t>
            </w:r>
            <w:r w:rsidR="00F82311">
              <w:rPr>
                <w:szCs w:val="24"/>
              </w:rPr>
              <w:t>, kadangi prie</w:t>
            </w:r>
            <w:r w:rsidR="00B64B9F">
              <w:rPr>
                <w:szCs w:val="24"/>
              </w:rPr>
              <w:t xml:space="preserve"> jo</w:t>
            </w:r>
            <w:r w:rsidR="00F82311">
              <w:rPr>
                <w:szCs w:val="24"/>
              </w:rPr>
              <w:t xml:space="preserve"> dirba </w:t>
            </w:r>
            <w:r w:rsidR="002D0CCE">
              <w:rPr>
                <w:szCs w:val="24"/>
              </w:rPr>
              <w:t>ne vienas darbuotojas</w:t>
            </w:r>
            <w:r w:rsidR="00547CA6">
              <w:rPr>
                <w:szCs w:val="24"/>
              </w:rPr>
              <w:t xml:space="preserve"> ir ne pilna </w:t>
            </w:r>
            <w:r w:rsidR="00A1296C">
              <w:rPr>
                <w:szCs w:val="24"/>
              </w:rPr>
              <w:t>dalimi darbo</w:t>
            </w:r>
            <w:r w:rsidR="00DB179D">
              <w:rPr>
                <w:szCs w:val="24"/>
              </w:rPr>
              <w:t>, o kartais procesas vykdomas per kelis skyrius</w:t>
            </w:r>
            <w:r w:rsidR="00494151">
              <w:rPr>
                <w:szCs w:val="24"/>
              </w:rPr>
              <w:t>. Taip pat</w:t>
            </w:r>
            <w:r w:rsidR="00E23C29">
              <w:rPr>
                <w:szCs w:val="24"/>
              </w:rPr>
              <w:t>,</w:t>
            </w:r>
            <w:r w:rsidR="00494151">
              <w:rPr>
                <w:szCs w:val="24"/>
              </w:rPr>
              <w:t xml:space="preserve"> tai reikalautų papildomų</w:t>
            </w:r>
            <w:r w:rsidR="00547CA6">
              <w:rPr>
                <w:szCs w:val="24"/>
              </w:rPr>
              <w:t xml:space="preserve"> dokumentų</w:t>
            </w:r>
            <w:r w:rsidR="00824773">
              <w:rPr>
                <w:szCs w:val="24"/>
              </w:rPr>
              <w:t>, sud</w:t>
            </w:r>
            <w:r w:rsidR="00C43283">
              <w:rPr>
                <w:szCs w:val="24"/>
              </w:rPr>
              <w:t>ė</w:t>
            </w:r>
            <w:r w:rsidR="00824773">
              <w:rPr>
                <w:szCs w:val="24"/>
              </w:rPr>
              <w:t>tingas būtų pagrindimas</w:t>
            </w:r>
            <w:r w:rsidR="005C4B5D">
              <w:rPr>
                <w:szCs w:val="24"/>
              </w:rPr>
              <w:t xml:space="preserve"> dėl sutaupytos sąnaudos sumos.</w:t>
            </w:r>
            <w:r w:rsidR="000536D4">
              <w:rPr>
                <w:szCs w:val="24"/>
              </w:rPr>
              <w:t xml:space="preserve"> </w:t>
            </w:r>
          </w:p>
        </w:tc>
      </w:tr>
      <w:tr w:rsidR="001103A9" w:rsidRPr="00747A18" w14:paraId="7DFD0C96" w14:textId="77777777" w:rsidTr="00152C34">
        <w:tc>
          <w:tcPr>
            <w:tcW w:w="567" w:type="dxa"/>
            <w:vMerge w:val="restart"/>
          </w:tcPr>
          <w:p w14:paraId="60341E4F" w14:textId="77777777" w:rsidR="001103A9" w:rsidRPr="00747A18" w:rsidRDefault="001103A9" w:rsidP="001103A9">
            <w:pPr>
              <w:jc w:val="center"/>
              <w:rPr>
                <w:b/>
                <w:szCs w:val="24"/>
              </w:rPr>
            </w:pPr>
          </w:p>
        </w:tc>
        <w:tc>
          <w:tcPr>
            <w:tcW w:w="1985" w:type="dxa"/>
            <w:vMerge w:val="restart"/>
          </w:tcPr>
          <w:p w14:paraId="4A7BB436" w14:textId="5B9547D2" w:rsidR="001103A9" w:rsidRPr="00331808" w:rsidRDefault="00B459AE" w:rsidP="001103A9">
            <w:pPr>
              <w:rPr>
                <w:b/>
                <w:bCs/>
                <w:szCs w:val="24"/>
                <w:shd w:val="clear" w:color="auto" w:fill="FFFFFF"/>
              </w:rPr>
            </w:pPr>
            <w:r w:rsidRPr="00A53484">
              <w:rPr>
                <w:b/>
                <w:bCs/>
                <w:szCs w:val="24"/>
                <w:shd w:val="clear" w:color="auto" w:fill="FFFFFF"/>
              </w:rPr>
              <w:t>VšĮ „Investuok Lietuvoje“</w:t>
            </w:r>
          </w:p>
        </w:tc>
        <w:tc>
          <w:tcPr>
            <w:tcW w:w="7541" w:type="dxa"/>
          </w:tcPr>
          <w:p w14:paraId="06BD4A98" w14:textId="6485E490" w:rsidR="001103A9" w:rsidRPr="00747A18" w:rsidRDefault="001103A9" w:rsidP="001103A9">
            <w:r w:rsidRPr="00933A93">
              <w:rPr>
                <w:rFonts w:eastAsiaTheme="minorHAnsi"/>
                <w:i/>
                <w:iCs/>
                <w:color w:val="000000"/>
                <w:szCs w:val="24"/>
                <w:lang w:eastAsia="en-US"/>
              </w:rPr>
              <w:t xml:space="preserve">Aprašyme nėra detalizuota, kaip bus vertinama, kai projekte yra diegiama keletas sprendimų. Pvz., automatizuojama keletas procesų. Jeigu vienas sprendimas sutaupo 0,5 FTE, kitas sprendimas 0,5 FTE. Viso abu sprendimai sutaupo 1 FTE, sprendimo sutaupymo vidurkis 0,5 FTE. Ar bus vertinama </w:t>
            </w:r>
            <w:r w:rsidRPr="00933A93">
              <w:rPr>
                <w:rFonts w:eastAsiaTheme="minorHAnsi"/>
                <w:i/>
                <w:iCs/>
                <w:color w:val="000000"/>
                <w:szCs w:val="24"/>
                <w:lang w:eastAsia="en-US"/>
              </w:rPr>
              <w:lastRenderedPageBreak/>
              <w:t>suminė sprendimų reikšmė? Siūlome detalizuoti, kad vertinamas suminis visų planuojamų įdiegti sprendimų FTE sutaupymas, skaičiuojant  ne trumpai kaip 3 mėnesių nuo sprendimų įdiegimo vidurkį mėnesinį vidurkį.</w:t>
            </w:r>
          </w:p>
        </w:tc>
        <w:tc>
          <w:tcPr>
            <w:tcW w:w="4678" w:type="dxa"/>
          </w:tcPr>
          <w:p w14:paraId="20DA3E68" w14:textId="77777777" w:rsidR="00205171" w:rsidRDefault="001103A9" w:rsidP="001103A9">
            <w:pPr>
              <w:rPr>
                <w:b/>
                <w:bCs/>
                <w:szCs w:val="24"/>
              </w:rPr>
            </w:pPr>
            <w:r>
              <w:rPr>
                <w:b/>
                <w:bCs/>
                <w:szCs w:val="24"/>
              </w:rPr>
              <w:lastRenderedPageBreak/>
              <w:t>A</w:t>
            </w:r>
            <w:r w:rsidRPr="00FA16F3">
              <w:rPr>
                <w:b/>
                <w:bCs/>
                <w:szCs w:val="24"/>
              </w:rPr>
              <w:t>tsižvelgta.</w:t>
            </w:r>
          </w:p>
          <w:p w14:paraId="26E36DEE" w14:textId="0DB7CBA3" w:rsidR="001103A9" w:rsidRPr="00205171" w:rsidRDefault="00205171" w:rsidP="001103A9">
            <w:pPr>
              <w:rPr>
                <w:b/>
                <w:bCs/>
                <w:szCs w:val="24"/>
              </w:rPr>
            </w:pPr>
            <w:r>
              <w:rPr>
                <w:szCs w:val="24"/>
              </w:rPr>
              <w:t>A</w:t>
            </w:r>
            <w:r w:rsidR="00BD71D3">
              <w:rPr>
                <w:szCs w:val="24"/>
              </w:rPr>
              <w:t xml:space="preserve">prašyme yra nurodyta, kad </w:t>
            </w:r>
            <w:r w:rsidR="00B626CC">
              <w:rPr>
                <w:szCs w:val="24"/>
              </w:rPr>
              <w:t xml:space="preserve">keli </w:t>
            </w:r>
            <w:r w:rsidR="00BD71D3">
              <w:rPr>
                <w:szCs w:val="24"/>
              </w:rPr>
              <w:t>„sprendimai“, tačiau bus detalizuota</w:t>
            </w:r>
            <w:r w:rsidR="00BC6174">
              <w:rPr>
                <w:szCs w:val="24"/>
              </w:rPr>
              <w:t xml:space="preserve"> kaip </w:t>
            </w:r>
            <w:r w:rsidR="00BC6174">
              <w:rPr>
                <w:szCs w:val="24"/>
              </w:rPr>
              <w:lastRenderedPageBreak/>
              <w:t>apskaičiuojama, kad pareiškėjams būtų aišk</w:t>
            </w:r>
            <w:r w:rsidR="00AF75FE">
              <w:rPr>
                <w:szCs w:val="24"/>
              </w:rPr>
              <w:t>esni atrankos kriterijai.</w:t>
            </w:r>
          </w:p>
        </w:tc>
      </w:tr>
      <w:tr w:rsidR="00786380" w:rsidRPr="00747A18" w14:paraId="222E8895" w14:textId="77777777" w:rsidTr="00152C34">
        <w:tc>
          <w:tcPr>
            <w:tcW w:w="567" w:type="dxa"/>
            <w:vMerge/>
          </w:tcPr>
          <w:p w14:paraId="650D7F53" w14:textId="77777777" w:rsidR="00786380" w:rsidRPr="00747A18" w:rsidRDefault="00786380" w:rsidP="00786380">
            <w:pPr>
              <w:jc w:val="center"/>
              <w:rPr>
                <w:b/>
                <w:szCs w:val="24"/>
              </w:rPr>
            </w:pPr>
          </w:p>
        </w:tc>
        <w:tc>
          <w:tcPr>
            <w:tcW w:w="1985" w:type="dxa"/>
            <w:vMerge/>
          </w:tcPr>
          <w:p w14:paraId="51DA832B" w14:textId="77777777" w:rsidR="00786380" w:rsidRPr="00331808" w:rsidRDefault="00786380" w:rsidP="00786380">
            <w:pPr>
              <w:rPr>
                <w:b/>
                <w:bCs/>
                <w:szCs w:val="24"/>
                <w:shd w:val="clear" w:color="auto" w:fill="FFFFFF"/>
              </w:rPr>
            </w:pPr>
          </w:p>
        </w:tc>
        <w:tc>
          <w:tcPr>
            <w:tcW w:w="7541" w:type="dxa"/>
          </w:tcPr>
          <w:p w14:paraId="46E6F7AA" w14:textId="3BBF78A1" w:rsidR="00786380" w:rsidRPr="00747A18" w:rsidRDefault="00786380" w:rsidP="00786380">
            <w:r w:rsidRPr="002D0937">
              <w:rPr>
                <w:rFonts w:eastAsiaTheme="minorHAnsi"/>
                <w:i/>
                <w:iCs/>
                <w:color w:val="000000"/>
                <w:szCs w:val="24"/>
                <w:lang w:eastAsia="en-US"/>
              </w:rPr>
              <w:t xml:space="preserve">Nėra detalizuota balų skyrimo tvarka, ar bus suteikiamas fiksuotas balas už tam tikrą pasiektą reikšmę, ar projektai bus lyginami tarpusavyje ir priklausomai nuo palyginimo reikšmės bus suteikiamas konkretus balas. Atsižvelgiant, kad projektai gali būti skirtingi su skirtingais parametrais, kurie nėra iš anksto žinomi aprašo rengimo etape, siūlome atliekant atitikties abiems šiems kriterijams vertinimą taikyti projektų tarpusavio palyginimo atrankos metodą (pvz., projektai išrikiuojami mažėjimo tvarką pagal parametrus ir X% projektų suteikiamas X balas, Y%- Y balas ir t.t.)  </w:t>
            </w:r>
          </w:p>
        </w:tc>
        <w:tc>
          <w:tcPr>
            <w:tcW w:w="4678" w:type="dxa"/>
          </w:tcPr>
          <w:p w14:paraId="30A7FE34" w14:textId="77777777" w:rsidR="00786380" w:rsidRDefault="00786380" w:rsidP="00786380">
            <w:pPr>
              <w:rPr>
                <w:b/>
                <w:bCs/>
                <w:szCs w:val="24"/>
              </w:rPr>
            </w:pPr>
            <w:r w:rsidRPr="00E313DD">
              <w:rPr>
                <w:b/>
                <w:bCs/>
                <w:szCs w:val="24"/>
              </w:rPr>
              <w:t>Neatsižvelgta</w:t>
            </w:r>
          </w:p>
          <w:p w14:paraId="25B815F1" w14:textId="0411904D" w:rsidR="00EE52D5" w:rsidRPr="00EE52D5" w:rsidRDefault="007017BD" w:rsidP="00786380">
            <w:pPr>
              <w:rPr>
                <w:szCs w:val="24"/>
              </w:rPr>
            </w:pPr>
            <w:r w:rsidRPr="00EE52D5">
              <w:rPr>
                <w:szCs w:val="24"/>
              </w:rPr>
              <w:t>Sudėtingėja</w:t>
            </w:r>
            <w:r w:rsidR="00EE52D5" w:rsidRPr="00EE52D5">
              <w:rPr>
                <w:szCs w:val="24"/>
              </w:rPr>
              <w:t xml:space="preserve"> paraiškų administravimas</w:t>
            </w:r>
            <w:r w:rsidR="00FD0D00">
              <w:rPr>
                <w:szCs w:val="24"/>
              </w:rPr>
              <w:t xml:space="preserve"> jeigu projektai lyginami tarpusavyje. Taip pat kyla rizika jog vienai įmonei nutraukus sutartį, reikės paraiškas vertinti iš naujo.</w:t>
            </w:r>
          </w:p>
        </w:tc>
      </w:tr>
      <w:tr w:rsidR="00D1464F" w:rsidRPr="00747A18" w14:paraId="3A0BF331" w14:textId="77777777" w:rsidTr="00152C34">
        <w:tc>
          <w:tcPr>
            <w:tcW w:w="567" w:type="dxa"/>
            <w:vMerge/>
          </w:tcPr>
          <w:p w14:paraId="6FD8E17B" w14:textId="77777777" w:rsidR="00D1464F" w:rsidRPr="00747A18" w:rsidRDefault="00D1464F" w:rsidP="00D1464F">
            <w:pPr>
              <w:jc w:val="center"/>
              <w:rPr>
                <w:b/>
                <w:szCs w:val="24"/>
              </w:rPr>
            </w:pPr>
          </w:p>
        </w:tc>
        <w:tc>
          <w:tcPr>
            <w:tcW w:w="1985" w:type="dxa"/>
            <w:vMerge/>
          </w:tcPr>
          <w:p w14:paraId="6E4F29C9" w14:textId="77777777" w:rsidR="00D1464F" w:rsidRPr="00CF785F" w:rsidRDefault="00D1464F" w:rsidP="00D1464F">
            <w:pPr>
              <w:rPr>
                <w:b/>
                <w:bCs/>
                <w:szCs w:val="24"/>
                <w:shd w:val="clear" w:color="auto" w:fill="FFFFFF"/>
              </w:rPr>
            </w:pPr>
          </w:p>
        </w:tc>
        <w:tc>
          <w:tcPr>
            <w:tcW w:w="7541" w:type="dxa"/>
          </w:tcPr>
          <w:p w14:paraId="0A49810B" w14:textId="77777777" w:rsidR="00D1464F" w:rsidRPr="00FC163E" w:rsidRDefault="00D1464F" w:rsidP="00D1464F">
            <w:pPr>
              <w:rPr>
                <w:rFonts w:eastAsiaTheme="minorHAnsi"/>
                <w:i/>
                <w:iCs/>
                <w:color w:val="000000"/>
                <w:szCs w:val="24"/>
                <w:lang w:eastAsia="en-US"/>
              </w:rPr>
            </w:pPr>
            <w:r w:rsidRPr="00FC163E">
              <w:rPr>
                <w:rFonts w:eastAsiaTheme="minorHAnsi"/>
                <w:i/>
                <w:iCs/>
                <w:color w:val="000000"/>
                <w:szCs w:val="24"/>
                <w:lang w:eastAsia="en-US"/>
              </w:rPr>
              <w:t>Nėra detalizuota kaip apskaičiuojamas FTE sutaupymas, jeigu diegiami keli sprendimai, ar skaičiuojama nuo konkretaus sprendimo įdiegimo pabaigos, ar nuo visų sprendimų įdiegimo pabaigos termino.</w:t>
            </w:r>
          </w:p>
          <w:p w14:paraId="6E02F8D5" w14:textId="77777777" w:rsidR="00D1464F" w:rsidRPr="00747A18" w:rsidRDefault="00D1464F" w:rsidP="00D1464F"/>
        </w:tc>
        <w:tc>
          <w:tcPr>
            <w:tcW w:w="4678" w:type="dxa"/>
          </w:tcPr>
          <w:p w14:paraId="40E82CA8" w14:textId="7809D4BB" w:rsidR="00D1464F" w:rsidRPr="00FA16F3" w:rsidRDefault="00123275" w:rsidP="00D1464F">
            <w:pPr>
              <w:rPr>
                <w:b/>
                <w:bCs/>
                <w:szCs w:val="24"/>
              </w:rPr>
            </w:pPr>
            <w:r>
              <w:rPr>
                <w:b/>
                <w:bCs/>
                <w:szCs w:val="24"/>
              </w:rPr>
              <w:t>A</w:t>
            </w:r>
            <w:r w:rsidR="00D1464F" w:rsidRPr="00FA16F3">
              <w:rPr>
                <w:b/>
                <w:bCs/>
                <w:szCs w:val="24"/>
              </w:rPr>
              <w:t>tsižvelgta</w:t>
            </w:r>
          </w:p>
          <w:p w14:paraId="0310E41E" w14:textId="52EC7E6E" w:rsidR="00D1464F" w:rsidRPr="00747A18" w:rsidRDefault="008C6627" w:rsidP="00D1464F">
            <w:pPr>
              <w:rPr>
                <w:szCs w:val="24"/>
              </w:rPr>
            </w:pPr>
            <w:r>
              <w:t>Patikslinta</w:t>
            </w:r>
            <w:r w:rsidR="00B542AA">
              <w:t>, kad</w:t>
            </w:r>
            <w:r w:rsidR="00987AEB">
              <w:t xml:space="preserve"> </w:t>
            </w:r>
            <w:r w:rsidR="00123275">
              <w:t>skaičiuojama nuo visų sprendimų įdiegimo pabaigos termino.</w:t>
            </w:r>
          </w:p>
        </w:tc>
      </w:tr>
      <w:tr w:rsidR="00D1464F" w:rsidRPr="00747A18" w14:paraId="2346F927" w14:textId="77777777" w:rsidTr="00152C34">
        <w:tc>
          <w:tcPr>
            <w:tcW w:w="567" w:type="dxa"/>
            <w:vMerge/>
          </w:tcPr>
          <w:p w14:paraId="34195E72" w14:textId="77777777" w:rsidR="00D1464F" w:rsidRPr="00747A18" w:rsidRDefault="00D1464F" w:rsidP="00D1464F">
            <w:pPr>
              <w:jc w:val="center"/>
              <w:rPr>
                <w:b/>
                <w:szCs w:val="24"/>
              </w:rPr>
            </w:pPr>
          </w:p>
        </w:tc>
        <w:tc>
          <w:tcPr>
            <w:tcW w:w="1985" w:type="dxa"/>
            <w:vMerge/>
          </w:tcPr>
          <w:p w14:paraId="4C4901C5" w14:textId="77777777" w:rsidR="00D1464F" w:rsidRPr="00FC295B" w:rsidRDefault="00D1464F" w:rsidP="00D1464F">
            <w:pPr>
              <w:rPr>
                <w:b/>
                <w:bCs/>
                <w:szCs w:val="24"/>
                <w:shd w:val="clear" w:color="auto" w:fill="FFFFFF"/>
              </w:rPr>
            </w:pPr>
          </w:p>
        </w:tc>
        <w:tc>
          <w:tcPr>
            <w:tcW w:w="7541" w:type="dxa"/>
          </w:tcPr>
          <w:p w14:paraId="27D5D1E9" w14:textId="4F9D7733" w:rsidR="00D1464F" w:rsidRPr="00F82798" w:rsidRDefault="00D1464F" w:rsidP="00D1464F">
            <w:pPr>
              <w:tabs>
                <w:tab w:val="left" w:pos="483"/>
              </w:tabs>
            </w:pPr>
            <w:r w:rsidRPr="000D4E4F">
              <w:rPr>
                <w:i/>
                <w:iCs/>
              </w:rPr>
              <w:t>Siūlome patikslinti, jog turi būti skaičiuojamas suminis visų sprendimų FTE sutaupymas įgyvendinus sprendimą per ne trumpesnį nei 3 mėn. laikotarpį po sprendimo įdiegimo apskaičiuojant vidutinį mėnesinį FTE sutaupymą. Pvz., gali būti situacijų, kai diegiama keletas sprendimų, ir jų įdiegimo pabaigos terminai skirtingi (pvz., sprendimą X įdiegia 2023 06 30, sprendimą Y 2023 09 30, galutinis atsiskaitymas už rezultatus 2023 12 30, tuomet būtų galimybė X sprendimo sutaupymus stebėti 6 mėn (nuo 2023 06 30), o sprendimo Y – 3 mėn.  ir apskaičiuoti vidutinį abiejų sprendimų mėnesinį sutaupymą.</w:t>
            </w:r>
          </w:p>
        </w:tc>
        <w:tc>
          <w:tcPr>
            <w:tcW w:w="4678" w:type="dxa"/>
          </w:tcPr>
          <w:p w14:paraId="66F2C966" w14:textId="74004678" w:rsidR="00D1464F" w:rsidRPr="00FA16F3" w:rsidRDefault="00D1464F" w:rsidP="00D1464F">
            <w:pPr>
              <w:rPr>
                <w:b/>
                <w:bCs/>
                <w:szCs w:val="24"/>
              </w:rPr>
            </w:pPr>
            <w:r>
              <w:rPr>
                <w:b/>
                <w:bCs/>
                <w:szCs w:val="24"/>
              </w:rPr>
              <w:t>Nea</w:t>
            </w:r>
            <w:r w:rsidRPr="00FA16F3">
              <w:rPr>
                <w:b/>
                <w:bCs/>
                <w:szCs w:val="24"/>
              </w:rPr>
              <w:t>tsižvelgta.</w:t>
            </w:r>
          </w:p>
          <w:p w14:paraId="6317FF79" w14:textId="390634E3" w:rsidR="00D1464F" w:rsidRDefault="000730AA" w:rsidP="00D1464F">
            <w:pPr>
              <w:rPr>
                <w:szCs w:val="24"/>
              </w:rPr>
            </w:pPr>
            <w:r>
              <w:rPr>
                <w:szCs w:val="24"/>
              </w:rPr>
              <w:t>Atrank</w:t>
            </w:r>
            <w:r w:rsidR="00B6016A">
              <w:rPr>
                <w:szCs w:val="24"/>
              </w:rPr>
              <w:t>os kriterijuose n</w:t>
            </w:r>
            <w:r w:rsidR="00F7774C">
              <w:rPr>
                <w:szCs w:val="24"/>
              </w:rPr>
              <w:t>urodyta</w:t>
            </w:r>
            <w:r w:rsidR="00B6016A">
              <w:rPr>
                <w:szCs w:val="24"/>
              </w:rPr>
              <w:t xml:space="preserve">, </w:t>
            </w:r>
            <w:r w:rsidR="00F7774C">
              <w:rPr>
                <w:szCs w:val="24"/>
              </w:rPr>
              <w:t>kad</w:t>
            </w:r>
            <w:r w:rsidR="00B6016A">
              <w:rPr>
                <w:szCs w:val="24"/>
              </w:rPr>
              <w:t xml:space="preserve"> naudos skaičiuojamos</w:t>
            </w:r>
            <w:r w:rsidR="00F7774C">
              <w:rPr>
                <w:szCs w:val="24"/>
              </w:rPr>
              <w:t xml:space="preserve"> </w:t>
            </w:r>
            <w:r w:rsidR="00F7774C">
              <w:rPr>
                <w:szCs w:val="24"/>
                <w:lang w:val="en-US"/>
              </w:rPr>
              <w:t>3 m</w:t>
            </w:r>
            <w:r w:rsidR="00F7774C">
              <w:rPr>
                <w:szCs w:val="24"/>
              </w:rPr>
              <w:t>ėn. nuo įdiegimo pa</w:t>
            </w:r>
            <w:r w:rsidR="002863A2">
              <w:rPr>
                <w:szCs w:val="24"/>
              </w:rPr>
              <w:t>baigos.</w:t>
            </w:r>
          </w:p>
          <w:p w14:paraId="50E2AE56" w14:textId="08D13377" w:rsidR="002863A2" w:rsidRPr="002863A2" w:rsidRDefault="002863A2" w:rsidP="00D1464F">
            <w:pPr>
              <w:rPr>
                <w:szCs w:val="24"/>
                <w:lang w:val="en-US"/>
              </w:rPr>
            </w:pPr>
            <w:r>
              <w:rPr>
                <w:szCs w:val="24"/>
              </w:rPr>
              <w:t>X ir Y sprendimas bus stebimas 3 mėn</w:t>
            </w:r>
            <w:r w:rsidR="00C14CC7">
              <w:rPr>
                <w:szCs w:val="24"/>
              </w:rPr>
              <w:t>.</w:t>
            </w:r>
            <w:r>
              <w:rPr>
                <w:szCs w:val="24"/>
              </w:rPr>
              <w:t xml:space="preserve"> nuo įdiegimo.</w:t>
            </w:r>
            <w:r w:rsidR="003454D6">
              <w:rPr>
                <w:szCs w:val="24"/>
              </w:rPr>
              <w:t xml:space="preserve"> Vi</w:t>
            </w:r>
            <w:r w:rsidR="006931C6">
              <w:rPr>
                <w:szCs w:val="24"/>
              </w:rPr>
              <w:t>s</w:t>
            </w:r>
            <w:r w:rsidR="00B50679">
              <w:rPr>
                <w:szCs w:val="24"/>
              </w:rPr>
              <w:t>ų</w:t>
            </w:r>
            <w:r w:rsidR="006931C6">
              <w:rPr>
                <w:szCs w:val="24"/>
              </w:rPr>
              <w:t xml:space="preserve"> </w:t>
            </w:r>
            <w:r w:rsidR="00B50679">
              <w:rPr>
                <w:szCs w:val="24"/>
              </w:rPr>
              <w:t xml:space="preserve">procesų naudos </w:t>
            </w:r>
            <w:r w:rsidR="0042781D">
              <w:rPr>
                <w:szCs w:val="24"/>
              </w:rPr>
              <w:t xml:space="preserve">turi būti skaičiuojamas </w:t>
            </w:r>
            <w:r w:rsidR="00155B00">
              <w:rPr>
                <w:szCs w:val="24"/>
              </w:rPr>
              <w:t>vienodu principu.</w:t>
            </w:r>
          </w:p>
        </w:tc>
      </w:tr>
      <w:tr w:rsidR="00D1464F" w:rsidRPr="0066362E" w14:paraId="72BC6AA5" w14:textId="77777777" w:rsidTr="00152C34">
        <w:tc>
          <w:tcPr>
            <w:tcW w:w="567" w:type="dxa"/>
            <w:vMerge/>
          </w:tcPr>
          <w:p w14:paraId="74D113D3" w14:textId="77777777" w:rsidR="00D1464F" w:rsidRPr="00747A18" w:rsidRDefault="00D1464F" w:rsidP="00D1464F">
            <w:pPr>
              <w:jc w:val="center"/>
              <w:rPr>
                <w:b/>
                <w:szCs w:val="24"/>
              </w:rPr>
            </w:pPr>
          </w:p>
        </w:tc>
        <w:tc>
          <w:tcPr>
            <w:tcW w:w="1985" w:type="dxa"/>
            <w:vMerge/>
          </w:tcPr>
          <w:p w14:paraId="13F26A82" w14:textId="77777777" w:rsidR="00D1464F" w:rsidRPr="00331808" w:rsidRDefault="00D1464F" w:rsidP="00D1464F">
            <w:pPr>
              <w:rPr>
                <w:b/>
                <w:bCs/>
                <w:szCs w:val="24"/>
                <w:shd w:val="clear" w:color="auto" w:fill="FFFFFF"/>
              </w:rPr>
            </w:pPr>
          </w:p>
        </w:tc>
        <w:tc>
          <w:tcPr>
            <w:tcW w:w="7541" w:type="dxa"/>
          </w:tcPr>
          <w:p w14:paraId="55ECC395" w14:textId="0B254126" w:rsidR="00D1464F" w:rsidRPr="00734732" w:rsidRDefault="00D1464F" w:rsidP="00D1464F">
            <w:pPr>
              <w:rPr>
                <w:i/>
                <w:iCs/>
              </w:rPr>
            </w:pPr>
            <w:r w:rsidRPr="00734732">
              <w:rPr>
                <w:i/>
                <w:iCs/>
              </w:rPr>
              <w:t xml:space="preserve">Kriterijaus Įdiegtas(-i) RPA ar DI sprendimas(-ai) sutaupo FTE darbo laiko  aprašyme nurodyta, jog „Šis projektų atrankos kriterijus taikomas tik projekto vertinimo metu“. Ar teisingai suprantame, kad kriterijus taikomas paraiškų vertinimo metu ir toliau jis nėra stebimas ir projekto vykdytojas neturi atsiskaityti už faktinį atrankos kriterijaus pasiekimą. Pvz., jeigu paraiškoje nurodoma, jog planuojama sutaupyti X FTE, tačiau įgyvendinus projektą pasiekiamas mažesnis nei nurodytas paraiškoje FTE sutaupymas, faktiškai pasiekti rezultatai nebus vertinami ir projekto vykdytojas neturės pasekmių už atrankos kriterijaus reikšmės neapsiekimą. Siūlome suvienodinti </w:t>
            </w:r>
            <w:r w:rsidRPr="00734732">
              <w:rPr>
                <w:i/>
                <w:iCs/>
              </w:rPr>
              <w:lastRenderedPageBreak/>
              <w:t>ir nustatyti analogišką reikalavimą  ir kitam prioritetiniam atrankos kriterijui – projekto efektyvumas. Projekto efektyvumo kriterijaus aprašyme nėra nurodyta, kad kriterijus vertinamas projekto vertinimo metu), todėl siūlome suvienodinti formuluotes abiem kriterijams.</w:t>
            </w:r>
          </w:p>
        </w:tc>
        <w:tc>
          <w:tcPr>
            <w:tcW w:w="4678" w:type="dxa"/>
          </w:tcPr>
          <w:p w14:paraId="2F410248" w14:textId="77777777" w:rsidR="00D1464F" w:rsidRPr="00DD39A9" w:rsidRDefault="00D1464F" w:rsidP="00D1464F">
            <w:pPr>
              <w:rPr>
                <w:b/>
                <w:bCs/>
                <w:szCs w:val="24"/>
              </w:rPr>
            </w:pPr>
            <w:r>
              <w:rPr>
                <w:b/>
                <w:bCs/>
                <w:szCs w:val="24"/>
              </w:rPr>
              <w:lastRenderedPageBreak/>
              <w:t>A</w:t>
            </w:r>
            <w:r w:rsidRPr="00DD39A9">
              <w:rPr>
                <w:b/>
                <w:bCs/>
                <w:szCs w:val="24"/>
              </w:rPr>
              <w:t xml:space="preserve">tsižvelgta. </w:t>
            </w:r>
          </w:p>
          <w:p w14:paraId="77181A78" w14:textId="760C60B0" w:rsidR="00D1464F" w:rsidRPr="0066362E" w:rsidRDefault="00117301" w:rsidP="00D1464F">
            <w:pPr>
              <w:rPr>
                <w:szCs w:val="24"/>
              </w:rPr>
            </w:pPr>
            <w:r>
              <w:rPr>
                <w:szCs w:val="24"/>
              </w:rPr>
              <w:t>Bus vertinama viso projekto metu</w:t>
            </w:r>
            <w:r w:rsidR="00116AE7">
              <w:rPr>
                <w:szCs w:val="24"/>
              </w:rPr>
              <w:t>.</w:t>
            </w:r>
          </w:p>
        </w:tc>
      </w:tr>
      <w:tr w:rsidR="00D1464F" w:rsidRPr="0066362E" w14:paraId="0C3D985E" w14:textId="77777777" w:rsidTr="00152C34">
        <w:tc>
          <w:tcPr>
            <w:tcW w:w="567" w:type="dxa"/>
            <w:vMerge/>
          </w:tcPr>
          <w:p w14:paraId="4154424A" w14:textId="77777777" w:rsidR="00D1464F" w:rsidRPr="00747A18" w:rsidRDefault="00D1464F" w:rsidP="00D1464F">
            <w:pPr>
              <w:jc w:val="center"/>
              <w:rPr>
                <w:b/>
                <w:szCs w:val="24"/>
              </w:rPr>
            </w:pPr>
          </w:p>
        </w:tc>
        <w:tc>
          <w:tcPr>
            <w:tcW w:w="1985" w:type="dxa"/>
            <w:vMerge/>
          </w:tcPr>
          <w:p w14:paraId="587FDE95" w14:textId="77777777" w:rsidR="00D1464F" w:rsidRPr="00331808" w:rsidRDefault="00D1464F" w:rsidP="00D1464F">
            <w:pPr>
              <w:rPr>
                <w:b/>
                <w:bCs/>
                <w:szCs w:val="24"/>
                <w:shd w:val="clear" w:color="auto" w:fill="FFFFFF"/>
              </w:rPr>
            </w:pPr>
          </w:p>
        </w:tc>
        <w:tc>
          <w:tcPr>
            <w:tcW w:w="7541" w:type="dxa"/>
          </w:tcPr>
          <w:p w14:paraId="0A467F69" w14:textId="6877EDCF" w:rsidR="00D1464F" w:rsidRPr="00273F4A" w:rsidRDefault="00D1464F" w:rsidP="00D1464F">
            <w:pPr>
              <w:pStyle w:val="Default"/>
              <w:tabs>
                <w:tab w:val="left" w:pos="602"/>
              </w:tabs>
              <w:jc w:val="left"/>
              <w:rPr>
                <w:i/>
                <w:iCs/>
              </w:rPr>
            </w:pPr>
            <w:r w:rsidRPr="00273F4A">
              <w:rPr>
                <w:i/>
                <w:iCs/>
              </w:rPr>
              <w:t xml:space="preserve">Išnašoje nurodyta, kad 1 FTE prilygsta: 160 darbo valandų per mėnesį dirbančiam darbuotojui, 2080 darbo valandų per metus dirbančiam darbuotojui. Atkreipiame dėmesį, jog 160*12=1920 val. </w:t>
            </w:r>
          </w:p>
          <w:p w14:paraId="4D928715" w14:textId="77777777" w:rsidR="00D1464F" w:rsidRPr="00273F4A" w:rsidRDefault="00D1464F" w:rsidP="00D1464F">
            <w:pPr>
              <w:pStyle w:val="Default"/>
              <w:tabs>
                <w:tab w:val="left" w:pos="602"/>
              </w:tabs>
              <w:jc w:val="left"/>
              <w:rPr>
                <w:i/>
                <w:iCs/>
              </w:rPr>
            </w:pPr>
            <w:r w:rsidRPr="00273F4A">
              <w:rPr>
                <w:i/>
                <w:iCs/>
              </w:rPr>
              <w:t xml:space="preserve">Taip pat norime atkreipti dėmesį, jog darbuotojai dirba ne pilnai visus 12 mėn per metus (atostogos, ligos ir kt), tad realiai įdiegti sprendimai sutaupo mažiau FTE valandų. Siūlome atkreipti dėmesį, jog tam tikrais atvejais taikoma 1 FTE prilyginimo 1720 val. per metus praktika. Pvz., https://www.esinvesticijos.lt/docview/?media=109027&amp;h=c3e62&amp;t=1720%20metodika_tikslinama valandų </w:t>
            </w:r>
          </w:p>
          <w:p w14:paraId="3C8AE1D5" w14:textId="0955035A" w:rsidR="00D1464F" w:rsidRPr="00747A18" w:rsidRDefault="00D1464F" w:rsidP="00D1464F">
            <w:r w:rsidRPr="00273F4A">
              <w:rPr>
                <w:i/>
                <w:iCs/>
              </w:rPr>
              <w:t>Siūlome apsvarstyti galimybę taikyti mažesnį valandų skaičių 1 FTE apskaičiavimui.</w:t>
            </w:r>
          </w:p>
        </w:tc>
        <w:tc>
          <w:tcPr>
            <w:tcW w:w="4678" w:type="dxa"/>
          </w:tcPr>
          <w:p w14:paraId="1D6E5B8E" w14:textId="77777777" w:rsidR="00D1464F" w:rsidRDefault="00D1464F" w:rsidP="00D1464F">
            <w:pPr>
              <w:rPr>
                <w:b/>
                <w:bCs/>
                <w:szCs w:val="24"/>
              </w:rPr>
            </w:pPr>
            <w:r>
              <w:rPr>
                <w:b/>
                <w:bCs/>
                <w:szCs w:val="24"/>
              </w:rPr>
              <w:t>Iš dalies atsižvelgta</w:t>
            </w:r>
          </w:p>
          <w:p w14:paraId="37066AD7" w14:textId="77D915E2" w:rsidR="00D1464F" w:rsidRPr="00124D1C" w:rsidRDefault="00886996" w:rsidP="00D1464F">
            <w:pPr>
              <w:rPr>
                <w:szCs w:val="24"/>
              </w:rPr>
            </w:pPr>
            <w:r>
              <w:rPr>
                <w:szCs w:val="24"/>
              </w:rPr>
              <w:t xml:space="preserve">FTE keičiamas į </w:t>
            </w:r>
            <w:r>
              <w:rPr>
                <w:szCs w:val="24"/>
                <w:lang w:val="en-US"/>
              </w:rPr>
              <w:t xml:space="preserve">1920 val. per </w:t>
            </w:r>
            <w:proofErr w:type="spellStart"/>
            <w:r>
              <w:rPr>
                <w:szCs w:val="24"/>
                <w:lang w:val="en-US"/>
              </w:rPr>
              <w:t>metus</w:t>
            </w:r>
            <w:proofErr w:type="spellEnd"/>
            <w:r>
              <w:rPr>
                <w:szCs w:val="24"/>
                <w:lang w:val="en-US"/>
              </w:rPr>
              <w:t xml:space="preserve">, </w:t>
            </w:r>
            <w:proofErr w:type="spellStart"/>
            <w:r>
              <w:rPr>
                <w:szCs w:val="24"/>
                <w:lang w:val="en-US"/>
              </w:rPr>
              <w:t>kadangi</w:t>
            </w:r>
            <w:proofErr w:type="spellEnd"/>
            <w:r>
              <w:rPr>
                <w:szCs w:val="24"/>
                <w:lang w:val="en-US"/>
              </w:rPr>
              <w:t xml:space="preserve"> 160val/m</w:t>
            </w:r>
            <w:r>
              <w:rPr>
                <w:szCs w:val="24"/>
              </w:rPr>
              <w:t>ėn</w:t>
            </w:r>
            <w:r>
              <w:rPr>
                <w:szCs w:val="24"/>
                <w:lang w:val="en-US"/>
              </w:rPr>
              <w:t>*12=1920 val.</w:t>
            </w:r>
            <w:r>
              <w:rPr>
                <w:szCs w:val="24"/>
              </w:rPr>
              <w:t xml:space="preserve"> Tai yra standartinis FTE mato vieneto reikšmė. Siūloma metodika remiasi jau nebegaliojančiomis taisyklėmis. Sumažinus FTE mažinamas projekto efektyvumas.</w:t>
            </w:r>
          </w:p>
        </w:tc>
      </w:tr>
      <w:tr w:rsidR="00D1464F" w:rsidRPr="00747A18" w14:paraId="1B13EF66" w14:textId="77777777" w:rsidTr="00152C34">
        <w:tc>
          <w:tcPr>
            <w:tcW w:w="567" w:type="dxa"/>
          </w:tcPr>
          <w:p w14:paraId="320B14F5" w14:textId="77777777" w:rsidR="00D1464F" w:rsidRPr="00747A18" w:rsidRDefault="00D1464F" w:rsidP="00D1464F">
            <w:pPr>
              <w:jc w:val="center"/>
              <w:rPr>
                <w:b/>
                <w:szCs w:val="24"/>
              </w:rPr>
            </w:pPr>
          </w:p>
        </w:tc>
        <w:tc>
          <w:tcPr>
            <w:tcW w:w="1985" w:type="dxa"/>
          </w:tcPr>
          <w:p w14:paraId="6E2FC76E" w14:textId="1D0FE77C" w:rsidR="00D1464F" w:rsidRPr="00CF785F" w:rsidRDefault="00D92095" w:rsidP="00D1464F">
            <w:pPr>
              <w:rPr>
                <w:b/>
                <w:bCs/>
                <w:szCs w:val="24"/>
                <w:shd w:val="clear" w:color="auto" w:fill="FFFFFF"/>
              </w:rPr>
            </w:pPr>
            <w:r w:rsidRPr="00D92095">
              <w:rPr>
                <w:b/>
                <w:bCs/>
                <w:szCs w:val="24"/>
                <w:shd w:val="clear" w:color="auto" w:fill="FFFFFF"/>
              </w:rPr>
              <w:t>Nasdaq Vilnius Services</w:t>
            </w:r>
          </w:p>
        </w:tc>
        <w:tc>
          <w:tcPr>
            <w:tcW w:w="7541" w:type="dxa"/>
          </w:tcPr>
          <w:p w14:paraId="3A4D6337" w14:textId="77777777" w:rsidR="001E6EC2" w:rsidRPr="00734732" w:rsidRDefault="001E6EC2" w:rsidP="001E6EC2">
            <w:pPr>
              <w:rPr>
                <w:i/>
                <w:iCs/>
                <w:sz w:val="22"/>
                <w:lang w:val="en-US" w:eastAsia="en-US"/>
              </w:rPr>
            </w:pPr>
            <w:proofErr w:type="spellStart"/>
            <w:r w:rsidRPr="00734732">
              <w:rPr>
                <w:i/>
                <w:iCs/>
                <w:lang w:val="en-US" w:eastAsia="en-US"/>
              </w:rPr>
              <w:t>Ar</w:t>
            </w:r>
            <w:proofErr w:type="spellEnd"/>
            <w:r w:rsidRPr="00734732">
              <w:rPr>
                <w:i/>
                <w:iCs/>
                <w:lang w:val="en-US" w:eastAsia="en-US"/>
              </w:rPr>
              <w:t xml:space="preserve"> </w:t>
            </w:r>
            <w:proofErr w:type="spellStart"/>
            <w:r w:rsidRPr="00734732">
              <w:rPr>
                <w:i/>
                <w:iCs/>
                <w:lang w:val="en-US" w:eastAsia="en-US"/>
              </w:rPr>
              <w:t>automatizacija</w:t>
            </w:r>
            <w:proofErr w:type="spellEnd"/>
            <w:r w:rsidRPr="00734732">
              <w:rPr>
                <w:i/>
                <w:iCs/>
                <w:lang w:val="en-US" w:eastAsia="en-US"/>
              </w:rPr>
              <w:t xml:space="preserve"> </w:t>
            </w:r>
            <w:proofErr w:type="spellStart"/>
            <w:r w:rsidRPr="00734732">
              <w:rPr>
                <w:i/>
                <w:iCs/>
                <w:lang w:val="en-US" w:eastAsia="en-US"/>
              </w:rPr>
              <w:t>mažina</w:t>
            </w:r>
            <w:proofErr w:type="spellEnd"/>
            <w:r w:rsidRPr="00734732">
              <w:rPr>
                <w:i/>
                <w:iCs/>
                <w:lang w:val="en-US" w:eastAsia="en-US"/>
              </w:rPr>
              <w:t xml:space="preserve"> </w:t>
            </w:r>
            <w:proofErr w:type="spellStart"/>
            <w:r w:rsidRPr="00734732">
              <w:rPr>
                <w:i/>
                <w:iCs/>
                <w:lang w:val="en-US" w:eastAsia="en-US"/>
              </w:rPr>
              <w:t>kaštus</w:t>
            </w:r>
            <w:proofErr w:type="spellEnd"/>
            <w:r w:rsidRPr="00734732">
              <w:rPr>
                <w:i/>
                <w:iCs/>
                <w:lang w:val="en-US" w:eastAsia="en-US"/>
              </w:rPr>
              <w:t xml:space="preserve">. Ne </w:t>
            </w:r>
            <w:proofErr w:type="spellStart"/>
            <w:r w:rsidRPr="00734732">
              <w:rPr>
                <w:i/>
                <w:iCs/>
                <w:lang w:val="en-US" w:eastAsia="en-US"/>
              </w:rPr>
              <w:t>retai</w:t>
            </w:r>
            <w:proofErr w:type="spellEnd"/>
            <w:r w:rsidRPr="00734732">
              <w:rPr>
                <w:i/>
                <w:iCs/>
                <w:lang w:val="en-US" w:eastAsia="en-US"/>
              </w:rPr>
              <w:t xml:space="preserve"> </w:t>
            </w:r>
            <w:proofErr w:type="spellStart"/>
            <w:r w:rsidRPr="00734732">
              <w:rPr>
                <w:i/>
                <w:iCs/>
                <w:lang w:val="en-US" w:eastAsia="en-US"/>
              </w:rPr>
              <w:t>automatizuojant</w:t>
            </w:r>
            <w:proofErr w:type="spellEnd"/>
            <w:r w:rsidRPr="00734732">
              <w:rPr>
                <w:i/>
                <w:iCs/>
                <w:lang w:val="en-US" w:eastAsia="en-US"/>
              </w:rPr>
              <w:t xml:space="preserve"> </w:t>
            </w:r>
            <w:proofErr w:type="spellStart"/>
            <w:r w:rsidRPr="00734732">
              <w:rPr>
                <w:i/>
                <w:iCs/>
                <w:lang w:val="en-US" w:eastAsia="en-US"/>
              </w:rPr>
              <w:t>procesą</w:t>
            </w:r>
            <w:proofErr w:type="spellEnd"/>
            <w:r w:rsidRPr="00734732">
              <w:rPr>
                <w:i/>
                <w:iCs/>
                <w:lang w:val="en-US" w:eastAsia="en-US"/>
              </w:rPr>
              <w:t xml:space="preserve"> jo </w:t>
            </w:r>
            <w:proofErr w:type="spellStart"/>
            <w:r w:rsidRPr="00734732">
              <w:rPr>
                <w:i/>
                <w:iCs/>
                <w:lang w:val="en-US" w:eastAsia="en-US"/>
              </w:rPr>
              <w:t>logika</w:t>
            </w:r>
            <w:proofErr w:type="spellEnd"/>
            <w:r w:rsidRPr="00734732">
              <w:rPr>
                <w:i/>
                <w:iCs/>
                <w:lang w:val="en-US" w:eastAsia="en-US"/>
              </w:rPr>
              <w:t xml:space="preserve"> </w:t>
            </w:r>
            <w:proofErr w:type="spellStart"/>
            <w:r w:rsidRPr="00734732">
              <w:rPr>
                <w:i/>
                <w:iCs/>
                <w:lang w:val="en-US" w:eastAsia="en-US"/>
              </w:rPr>
              <w:t>yra</w:t>
            </w:r>
            <w:proofErr w:type="spellEnd"/>
            <w:r w:rsidRPr="00734732">
              <w:rPr>
                <w:i/>
                <w:iCs/>
                <w:lang w:val="en-US" w:eastAsia="en-US"/>
              </w:rPr>
              <w:t xml:space="preserve"> </w:t>
            </w:r>
            <w:proofErr w:type="spellStart"/>
            <w:r w:rsidRPr="00734732">
              <w:rPr>
                <w:i/>
                <w:iCs/>
                <w:lang w:val="en-US" w:eastAsia="en-US"/>
              </w:rPr>
              <w:t>koreguojama</w:t>
            </w:r>
            <w:proofErr w:type="spellEnd"/>
            <w:r w:rsidRPr="00734732">
              <w:rPr>
                <w:i/>
                <w:iCs/>
                <w:lang w:val="en-US" w:eastAsia="en-US"/>
              </w:rPr>
              <w:t xml:space="preserve">, </w:t>
            </w:r>
            <w:proofErr w:type="spellStart"/>
            <w:r w:rsidRPr="00734732">
              <w:rPr>
                <w:i/>
                <w:iCs/>
                <w:lang w:val="en-US" w:eastAsia="en-US"/>
              </w:rPr>
              <w:t>naudojami</w:t>
            </w:r>
            <w:proofErr w:type="spellEnd"/>
            <w:r w:rsidRPr="00734732">
              <w:rPr>
                <w:i/>
                <w:iCs/>
                <w:lang w:val="en-US" w:eastAsia="en-US"/>
              </w:rPr>
              <w:t xml:space="preserve"> </w:t>
            </w:r>
            <w:proofErr w:type="spellStart"/>
            <w:r w:rsidRPr="00734732">
              <w:rPr>
                <w:i/>
                <w:iCs/>
                <w:lang w:val="en-US" w:eastAsia="en-US"/>
              </w:rPr>
              <w:t>kiti</w:t>
            </w:r>
            <w:proofErr w:type="spellEnd"/>
            <w:r w:rsidRPr="00734732">
              <w:rPr>
                <w:i/>
                <w:iCs/>
                <w:lang w:val="en-US" w:eastAsia="en-US"/>
              </w:rPr>
              <w:t xml:space="preserve"> </w:t>
            </w:r>
            <w:proofErr w:type="spellStart"/>
            <w:r w:rsidRPr="00734732">
              <w:rPr>
                <w:i/>
                <w:iCs/>
                <w:lang w:val="en-US" w:eastAsia="en-US"/>
              </w:rPr>
              <w:t>nauji</w:t>
            </w:r>
            <w:proofErr w:type="spellEnd"/>
            <w:r w:rsidRPr="00734732">
              <w:rPr>
                <w:i/>
                <w:iCs/>
                <w:lang w:val="en-US" w:eastAsia="en-US"/>
              </w:rPr>
              <w:t xml:space="preserve"> sprendimai, </w:t>
            </w:r>
            <w:proofErr w:type="spellStart"/>
            <w:r w:rsidRPr="00734732">
              <w:rPr>
                <w:i/>
                <w:iCs/>
                <w:lang w:val="en-US" w:eastAsia="en-US"/>
              </w:rPr>
              <w:t>kaip</w:t>
            </w:r>
            <w:proofErr w:type="spellEnd"/>
            <w:r w:rsidRPr="00734732">
              <w:rPr>
                <w:i/>
                <w:iCs/>
                <w:lang w:val="en-US" w:eastAsia="en-US"/>
              </w:rPr>
              <w:t xml:space="preserve"> </w:t>
            </w:r>
            <w:proofErr w:type="spellStart"/>
            <w:r w:rsidRPr="00734732">
              <w:rPr>
                <w:i/>
                <w:iCs/>
                <w:lang w:val="en-US" w:eastAsia="en-US"/>
              </w:rPr>
              <w:t>naujos</w:t>
            </w:r>
            <w:proofErr w:type="spellEnd"/>
            <w:r w:rsidRPr="00734732">
              <w:rPr>
                <w:i/>
                <w:iCs/>
                <w:lang w:val="en-US" w:eastAsia="en-US"/>
              </w:rPr>
              <w:t xml:space="preserve"> </w:t>
            </w:r>
            <w:proofErr w:type="spellStart"/>
            <w:r w:rsidRPr="00734732">
              <w:rPr>
                <w:i/>
                <w:iCs/>
                <w:lang w:val="en-US" w:eastAsia="en-US"/>
              </w:rPr>
              <w:t>sistemos</w:t>
            </w:r>
            <w:proofErr w:type="spellEnd"/>
            <w:r w:rsidRPr="00734732">
              <w:rPr>
                <w:i/>
                <w:iCs/>
                <w:lang w:val="en-US" w:eastAsia="en-US"/>
              </w:rPr>
              <w:t xml:space="preserve">, </w:t>
            </w:r>
            <w:proofErr w:type="spellStart"/>
            <w:r w:rsidRPr="00734732">
              <w:rPr>
                <w:i/>
                <w:iCs/>
                <w:lang w:val="en-US" w:eastAsia="en-US"/>
              </w:rPr>
              <w:t>funkcionalumai</w:t>
            </w:r>
            <w:proofErr w:type="spellEnd"/>
            <w:r w:rsidRPr="00734732">
              <w:rPr>
                <w:i/>
                <w:iCs/>
                <w:lang w:val="en-US" w:eastAsia="en-US"/>
              </w:rPr>
              <w:t xml:space="preserve"> </w:t>
            </w:r>
            <w:proofErr w:type="spellStart"/>
            <w:r w:rsidRPr="00734732">
              <w:rPr>
                <w:i/>
                <w:iCs/>
                <w:lang w:val="en-US" w:eastAsia="en-US"/>
              </w:rPr>
              <w:t>ir</w:t>
            </w:r>
            <w:proofErr w:type="spellEnd"/>
            <w:r w:rsidRPr="00734732">
              <w:rPr>
                <w:i/>
                <w:iCs/>
                <w:lang w:val="en-US" w:eastAsia="en-US"/>
              </w:rPr>
              <w:t xml:space="preserve"> pan., </w:t>
            </w:r>
            <w:proofErr w:type="spellStart"/>
            <w:r w:rsidRPr="00734732">
              <w:rPr>
                <w:i/>
                <w:iCs/>
                <w:lang w:val="en-US" w:eastAsia="en-US"/>
              </w:rPr>
              <w:t>kurie</w:t>
            </w:r>
            <w:proofErr w:type="spellEnd"/>
            <w:r w:rsidRPr="00734732">
              <w:rPr>
                <w:i/>
                <w:iCs/>
                <w:lang w:val="en-US" w:eastAsia="en-US"/>
              </w:rPr>
              <w:t xml:space="preserve"> </w:t>
            </w:r>
            <w:proofErr w:type="spellStart"/>
            <w:r w:rsidRPr="00734732">
              <w:rPr>
                <w:i/>
                <w:iCs/>
                <w:lang w:val="en-US" w:eastAsia="en-US"/>
              </w:rPr>
              <w:t>gali</w:t>
            </w:r>
            <w:proofErr w:type="spellEnd"/>
            <w:r w:rsidRPr="00734732">
              <w:rPr>
                <w:i/>
                <w:iCs/>
                <w:lang w:val="en-US" w:eastAsia="en-US"/>
              </w:rPr>
              <w:t xml:space="preserve"> </w:t>
            </w:r>
            <w:proofErr w:type="spellStart"/>
            <w:r w:rsidRPr="00734732">
              <w:rPr>
                <w:i/>
                <w:iCs/>
                <w:lang w:val="en-US" w:eastAsia="en-US"/>
              </w:rPr>
              <w:t>būti</w:t>
            </w:r>
            <w:proofErr w:type="spellEnd"/>
            <w:r w:rsidRPr="00734732">
              <w:rPr>
                <w:i/>
                <w:iCs/>
                <w:lang w:val="en-US" w:eastAsia="en-US"/>
              </w:rPr>
              <w:t xml:space="preserve"> </w:t>
            </w:r>
            <w:proofErr w:type="spellStart"/>
            <w:r w:rsidRPr="00734732">
              <w:rPr>
                <w:i/>
                <w:iCs/>
                <w:lang w:val="en-US" w:eastAsia="en-US"/>
              </w:rPr>
              <w:t>pigesni</w:t>
            </w:r>
            <w:proofErr w:type="spellEnd"/>
            <w:r w:rsidRPr="00734732">
              <w:rPr>
                <w:i/>
                <w:iCs/>
                <w:lang w:val="en-US" w:eastAsia="en-US"/>
              </w:rPr>
              <w:t>?</w:t>
            </w:r>
          </w:p>
          <w:p w14:paraId="45E4115E" w14:textId="77777777" w:rsidR="001E6EC2" w:rsidRPr="00734732" w:rsidRDefault="001E6EC2" w:rsidP="001E6EC2">
            <w:pPr>
              <w:rPr>
                <w:i/>
                <w:iCs/>
                <w:lang w:val="en-US" w:eastAsia="en-US"/>
              </w:rPr>
            </w:pPr>
            <w:proofErr w:type="spellStart"/>
            <w:r w:rsidRPr="00734732">
              <w:rPr>
                <w:i/>
                <w:iCs/>
                <w:lang w:val="en-US" w:eastAsia="en-US"/>
              </w:rPr>
              <w:t>Ar</w:t>
            </w:r>
            <w:proofErr w:type="spellEnd"/>
            <w:r w:rsidRPr="00734732">
              <w:rPr>
                <w:i/>
                <w:iCs/>
                <w:lang w:val="en-US" w:eastAsia="en-US"/>
              </w:rPr>
              <w:t xml:space="preserve"> </w:t>
            </w:r>
            <w:proofErr w:type="spellStart"/>
            <w:r w:rsidRPr="00734732">
              <w:rPr>
                <w:i/>
                <w:iCs/>
                <w:lang w:val="en-US" w:eastAsia="en-US"/>
              </w:rPr>
              <w:t>automatizacija</w:t>
            </w:r>
            <w:proofErr w:type="spellEnd"/>
            <w:r w:rsidRPr="00734732">
              <w:rPr>
                <w:i/>
                <w:iCs/>
                <w:lang w:val="en-US" w:eastAsia="en-US"/>
              </w:rPr>
              <w:t xml:space="preserve"> </w:t>
            </w:r>
            <w:proofErr w:type="spellStart"/>
            <w:r w:rsidRPr="00734732">
              <w:rPr>
                <w:i/>
                <w:iCs/>
                <w:lang w:val="en-US" w:eastAsia="en-US"/>
              </w:rPr>
              <w:t>gerina</w:t>
            </w:r>
            <w:proofErr w:type="spellEnd"/>
            <w:r w:rsidRPr="00734732">
              <w:rPr>
                <w:i/>
                <w:iCs/>
                <w:lang w:val="en-US" w:eastAsia="en-US"/>
              </w:rPr>
              <w:t xml:space="preserve"> </w:t>
            </w:r>
            <w:proofErr w:type="spellStart"/>
            <w:r w:rsidRPr="00734732">
              <w:rPr>
                <w:i/>
                <w:iCs/>
                <w:lang w:val="en-US" w:eastAsia="en-US"/>
              </w:rPr>
              <w:t>kompanijos</w:t>
            </w:r>
            <w:proofErr w:type="spellEnd"/>
            <w:r w:rsidRPr="00734732">
              <w:rPr>
                <w:i/>
                <w:iCs/>
                <w:lang w:val="en-US" w:eastAsia="en-US"/>
              </w:rPr>
              <w:t xml:space="preserve"> </w:t>
            </w:r>
            <w:proofErr w:type="spellStart"/>
            <w:r w:rsidRPr="00734732">
              <w:rPr>
                <w:i/>
                <w:iCs/>
                <w:lang w:val="en-US" w:eastAsia="en-US"/>
              </w:rPr>
              <w:t>atitiktį</w:t>
            </w:r>
            <w:proofErr w:type="spellEnd"/>
            <w:r w:rsidRPr="00734732">
              <w:rPr>
                <w:i/>
                <w:iCs/>
                <w:lang w:val="en-US" w:eastAsia="en-US"/>
              </w:rPr>
              <w:t xml:space="preserve"> </w:t>
            </w:r>
            <w:proofErr w:type="spellStart"/>
            <w:r w:rsidRPr="00734732">
              <w:rPr>
                <w:i/>
                <w:iCs/>
                <w:lang w:val="en-US" w:eastAsia="en-US"/>
              </w:rPr>
              <w:t>įstatymams</w:t>
            </w:r>
            <w:proofErr w:type="spellEnd"/>
            <w:r w:rsidRPr="00734732">
              <w:rPr>
                <w:i/>
                <w:iCs/>
                <w:lang w:val="en-US" w:eastAsia="en-US"/>
              </w:rPr>
              <w:t xml:space="preserve">, </w:t>
            </w:r>
            <w:proofErr w:type="spellStart"/>
            <w:r w:rsidRPr="00734732">
              <w:rPr>
                <w:i/>
                <w:iCs/>
                <w:lang w:val="en-US" w:eastAsia="en-US"/>
              </w:rPr>
              <w:t>pavyzdžiui</w:t>
            </w:r>
            <w:proofErr w:type="spellEnd"/>
            <w:r w:rsidRPr="00734732">
              <w:rPr>
                <w:i/>
                <w:iCs/>
                <w:lang w:val="en-US" w:eastAsia="en-US"/>
              </w:rPr>
              <w:t xml:space="preserve">, </w:t>
            </w:r>
            <w:proofErr w:type="spellStart"/>
            <w:r w:rsidRPr="00734732">
              <w:rPr>
                <w:i/>
                <w:iCs/>
                <w:lang w:val="en-US" w:eastAsia="en-US"/>
              </w:rPr>
              <w:t>automatizuotas</w:t>
            </w:r>
            <w:proofErr w:type="spellEnd"/>
            <w:r w:rsidRPr="00734732">
              <w:rPr>
                <w:i/>
                <w:iCs/>
                <w:lang w:val="en-US" w:eastAsia="en-US"/>
              </w:rPr>
              <w:t xml:space="preserve"> KYC </w:t>
            </w:r>
            <w:proofErr w:type="spellStart"/>
            <w:r w:rsidRPr="00734732">
              <w:rPr>
                <w:i/>
                <w:iCs/>
                <w:lang w:val="en-US" w:eastAsia="en-US"/>
              </w:rPr>
              <w:t>procesas</w:t>
            </w:r>
            <w:proofErr w:type="spellEnd"/>
            <w:r w:rsidRPr="00734732">
              <w:rPr>
                <w:i/>
                <w:iCs/>
                <w:lang w:val="en-US" w:eastAsia="en-US"/>
              </w:rPr>
              <w:t xml:space="preserve"> </w:t>
            </w:r>
            <w:proofErr w:type="spellStart"/>
            <w:r w:rsidRPr="00734732">
              <w:rPr>
                <w:i/>
                <w:iCs/>
                <w:lang w:val="en-US" w:eastAsia="en-US"/>
              </w:rPr>
              <w:t>gerina</w:t>
            </w:r>
            <w:proofErr w:type="spellEnd"/>
            <w:r w:rsidRPr="00734732">
              <w:rPr>
                <w:i/>
                <w:iCs/>
                <w:lang w:val="en-US" w:eastAsia="en-US"/>
              </w:rPr>
              <w:t xml:space="preserve"> </w:t>
            </w:r>
            <w:proofErr w:type="spellStart"/>
            <w:r w:rsidRPr="00734732">
              <w:rPr>
                <w:i/>
                <w:iCs/>
                <w:lang w:val="en-US" w:eastAsia="en-US"/>
              </w:rPr>
              <w:t>kompanijos</w:t>
            </w:r>
            <w:proofErr w:type="spellEnd"/>
            <w:r w:rsidRPr="00734732">
              <w:rPr>
                <w:i/>
                <w:iCs/>
                <w:lang w:val="en-US" w:eastAsia="en-US"/>
              </w:rPr>
              <w:t xml:space="preserve"> </w:t>
            </w:r>
            <w:proofErr w:type="spellStart"/>
            <w:r w:rsidRPr="00734732">
              <w:rPr>
                <w:i/>
                <w:iCs/>
                <w:lang w:val="en-US" w:eastAsia="en-US"/>
              </w:rPr>
              <w:t>atitiktį</w:t>
            </w:r>
            <w:proofErr w:type="spellEnd"/>
            <w:r w:rsidRPr="00734732">
              <w:rPr>
                <w:i/>
                <w:iCs/>
                <w:lang w:val="en-US" w:eastAsia="en-US"/>
              </w:rPr>
              <w:t xml:space="preserve"> AML/CFT </w:t>
            </w:r>
            <w:proofErr w:type="spellStart"/>
            <w:r w:rsidRPr="00734732">
              <w:rPr>
                <w:i/>
                <w:iCs/>
                <w:lang w:val="en-US" w:eastAsia="en-US"/>
              </w:rPr>
              <w:t>įstatymams</w:t>
            </w:r>
            <w:proofErr w:type="spellEnd"/>
            <w:r w:rsidRPr="00734732">
              <w:rPr>
                <w:i/>
                <w:iCs/>
                <w:lang w:val="en-US" w:eastAsia="en-US"/>
              </w:rPr>
              <w:t>?</w:t>
            </w:r>
          </w:p>
          <w:p w14:paraId="597B1B90" w14:textId="77777777" w:rsidR="001E6EC2" w:rsidRPr="00734732" w:rsidRDefault="001E6EC2" w:rsidP="001E6EC2">
            <w:pPr>
              <w:rPr>
                <w:i/>
                <w:iCs/>
                <w:lang w:val="en-US" w:eastAsia="en-US"/>
              </w:rPr>
            </w:pPr>
            <w:proofErr w:type="spellStart"/>
            <w:r w:rsidRPr="00734732">
              <w:rPr>
                <w:i/>
                <w:iCs/>
                <w:lang w:val="en-US" w:eastAsia="en-US"/>
              </w:rPr>
              <w:t>Ar</w:t>
            </w:r>
            <w:proofErr w:type="spellEnd"/>
            <w:r w:rsidRPr="00734732">
              <w:rPr>
                <w:i/>
                <w:iCs/>
                <w:lang w:val="en-US" w:eastAsia="en-US"/>
              </w:rPr>
              <w:t xml:space="preserve"> </w:t>
            </w:r>
            <w:proofErr w:type="spellStart"/>
            <w:r w:rsidRPr="00734732">
              <w:rPr>
                <w:i/>
                <w:iCs/>
                <w:lang w:val="en-US" w:eastAsia="en-US"/>
              </w:rPr>
              <w:t>automatizacija</w:t>
            </w:r>
            <w:proofErr w:type="spellEnd"/>
            <w:r w:rsidRPr="00734732">
              <w:rPr>
                <w:i/>
                <w:iCs/>
                <w:lang w:val="en-US" w:eastAsia="en-US"/>
              </w:rPr>
              <w:t xml:space="preserve"> </w:t>
            </w:r>
            <w:proofErr w:type="spellStart"/>
            <w:r w:rsidRPr="00734732">
              <w:rPr>
                <w:i/>
                <w:iCs/>
                <w:lang w:val="en-US" w:eastAsia="en-US"/>
              </w:rPr>
              <w:t>apima</w:t>
            </w:r>
            <w:proofErr w:type="spellEnd"/>
            <w:r w:rsidRPr="00734732">
              <w:rPr>
                <w:i/>
                <w:iCs/>
                <w:lang w:val="en-US" w:eastAsia="en-US"/>
              </w:rPr>
              <w:t xml:space="preserve"> </w:t>
            </w:r>
            <w:proofErr w:type="spellStart"/>
            <w:r w:rsidRPr="00734732">
              <w:rPr>
                <w:i/>
                <w:iCs/>
                <w:lang w:val="en-US" w:eastAsia="en-US"/>
              </w:rPr>
              <w:t>esančias</w:t>
            </w:r>
            <w:proofErr w:type="spellEnd"/>
            <w:r w:rsidRPr="00734732">
              <w:rPr>
                <w:i/>
                <w:iCs/>
                <w:lang w:val="en-US" w:eastAsia="en-US"/>
              </w:rPr>
              <w:t xml:space="preserve"> </w:t>
            </w:r>
            <w:proofErr w:type="spellStart"/>
            <w:r w:rsidRPr="00734732">
              <w:rPr>
                <w:i/>
                <w:iCs/>
                <w:lang w:val="en-US" w:eastAsia="en-US"/>
              </w:rPr>
              <w:t>audito</w:t>
            </w:r>
            <w:proofErr w:type="spellEnd"/>
            <w:r w:rsidRPr="00734732">
              <w:rPr>
                <w:i/>
                <w:iCs/>
                <w:lang w:val="en-US" w:eastAsia="en-US"/>
              </w:rPr>
              <w:t xml:space="preserve"> </w:t>
            </w:r>
            <w:proofErr w:type="spellStart"/>
            <w:r w:rsidRPr="00734732">
              <w:rPr>
                <w:i/>
                <w:iCs/>
                <w:lang w:val="en-US" w:eastAsia="en-US"/>
              </w:rPr>
              <w:t>rekomendacijas</w:t>
            </w:r>
            <w:proofErr w:type="spellEnd"/>
            <w:r w:rsidRPr="00734732">
              <w:rPr>
                <w:i/>
                <w:iCs/>
                <w:lang w:val="en-US" w:eastAsia="en-US"/>
              </w:rPr>
              <w:t>?</w:t>
            </w:r>
          </w:p>
          <w:p w14:paraId="62DD4A0A" w14:textId="77777777" w:rsidR="001E6EC2" w:rsidRPr="00734732" w:rsidRDefault="001E6EC2" w:rsidP="001E6EC2">
            <w:pPr>
              <w:rPr>
                <w:i/>
                <w:iCs/>
                <w:lang w:val="en-US" w:eastAsia="en-US"/>
              </w:rPr>
            </w:pPr>
            <w:proofErr w:type="spellStart"/>
            <w:r w:rsidRPr="00734732">
              <w:rPr>
                <w:i/>
                <w:iCs/>
                <w:lang w:val="en-US" w:eastAsia="en-US"/>
              </w:rPr>
              <w:t>Ar</w:t>
            </w:r>
            <w:proofErr w:type="spellEnd"/>
            <w:r w:rsidRPr="00734732">
              <w:rPr>
                <w:i/>
                <w:iCs/>
                <w:lang w:val="en-US" w:eastAsia="en-US"/>
              </w:rPr>
              <w:t xml:space="preserve"> </w:t>
            </w:r>
            <w:proofErr w:type="spellStart"/>
            <w:r w:rsidRPr="00734732">
              <w:rPr>
                <w:i/>
                <w:iCs/>
                <w:lang w:val="en-US" w:eastAsia="en-US"/>
              </w:rPr>
              <w:t>automatizacija</w:t>
            </w:r>
            <w:proofErr w:type="spellEnd"/>
            <w:r w:rsidRPr="00734732">
              <w:rPr>
                <w:i/>
                <w:iCs/>
                <w:lang w:val="en-US" w:eastAsia="en-US"/>
              </w:rPr>
              <w:t xml:space="preserve"> </w:t>
            </w:r>
            <w:proofErr w:type="spellStart"/>
            <w:r w:rsidRPr="00734732">
              <w:rPr>
                <w:i/>
                <w:iCs/>
                <w:lang w:val="en-US" w:eastAsia="en-US"/>
              </w:rPr>
              <w:t>gerina</w:t>
            </w:r>
            <w:proofErr w:type="spellEnd"/>
            <w:r w:rsidRPr="00734732">
              <w:rPr>
                <w:i/>
                <w:iCs/>
                <w:lang w:val="en-US" w:eastAsia="en-US"/>
              </w:rPr>
              <w:t xml:space="preserve"> </w:t>
            </w:r>
            <w:proofErr w:type="spellStart"/>
            <w:r w:rsidRPr="00734732">
              <w:rPr>
                <w:i/>
                <w:iCs/>
                <w:lang w:val="en-US" w:eastAsia="en-US"/>
              </w:rPr>
              <w:t>kliento</w:t>
            </w:r>
            <w:proofErr w:type="spellEnd"/>
            <w:r w:rsidRPr="00734732">
              <w:rPr>
                <w:i/>
                <w:iCs/>
                <w:lang w:val="en-US" w:eastAsia="en-US"/>
              </w:rPr>
              <w:t xml:space="preserve"> </w:t>
            </w:r>
            <w:proofErr w:type="spellStart"/>
            <w:r w:rsidRPr="00734732">
              <w:rPr>
                <w:i/>
                <w:iCs/>
                <w:lang w:val="en-US" w:eastAsia="en-US"/>
              </w:rPr>
              <w:t>patirtį</w:t>
            </w:r>
            <w:proofErr w:type="spellEnd"/>
            <w:r w:rsidRPr="00734732">
              <w:rPr>
                <w:i/>
                <w:iCs/>
                <w:lang w:val="en-US" w:eastAsia="en-US"/>
              </w:rPr>
              <w:t xml:space="preserve">, </w:t>
            </w:r>
            <w:proofErr w:type="spellStart"/>
            <w:r w:rsidRPr="00734732">
              <w:rPr>
                <w:i/>
                <w:iCs/>
                <w:lang w:val="en-US" w:eastAsia="en-US"/>
              </w:rPr>
              <w:t>pavyzdžiui</w:t>
            </w:r>
            <w:proofErr w:type="spellEnd"/>
            <w:r w:rsidRPr="00734732">
              <w:rPr>
                <w:i/>
                <w:iCs/>
                <w:lang w:val="en-US" w:eastAsia="en-US"/>
              </w:rPr>
              <w:t xml:space="preserve">, </w:t>
            </w:r>
            <w:proofErr w:type="spellStart"/>
            <w:r w:rsidRPr="00734732">
              <w:rPr>
                <w:i/>
                <w:iCs/>
                <w:lang w:val="en-US" w:eastAsia="en-US"/>
              </w:rPr>
              <w:t>automatizuotas</w:t>
            </w:r>
            <w:proofErr w:type="spellEnd"/>
            <w:r w:rsidRPr="00734732">
              <w:rPr>
                <w:i/>
                <w:iCs/>
                <w:lang w:val="en-US" w:eastAsia="en-US"/>
              </w:rPr>
              <w:t xml:space="preserve"> </w:t>
            </w:r>
            <w:proofErr w:type="spellStart"/>
            <w:r w:rsidRPr="00734732">
              <w:rPr>
                <w:i/>
                <w:iCs/>
                <w:lang w:val="en-US" w:eastAsia="en-US"/>
              </w:rPr>
              <w:t>procesas</w:t>
            </w:r>
            <w:proofErr w:type="spellEnd"/>
            <w:r w:rsidRPr="00734732">
              <w:rPr>
                <w:i/>
                <w:iCs/>
                <w:lang w:val="en-US" w:eastAsia="en-US"/>
              </w:rPr>
              <w:t xml:space="preserve"> </w:t>
            </w:r>
            <w:proofErr w:type="spellStart"/>
            <w:r w:rsidRPr="00734732">
              <w:rPr>
                <w:i/>
                <w:iCs/>
                <w:lang w:val="en-US" w:eastAsia="en-US"/>
              </w:rPr>
              <w:t>gali</w:t>
            </w:r>
            <w:proofErr w:type="spellEnd"/>
            <w:r w:rsidRPr="00734732">
              <w:rPr>
                <w:i/>
                <w:iCs/>
                <w:lang w:val="en-US" w:eastAsia="en-US"/>
              </w:rPr>
              <w:t xml:space="preserve"> </w:t>
            </w:r>
            <w:proofErr w:type="spellStart"/>
            <w:r w:rsidRPr="00734732">
              <w:rPr>
                <w:i/>
                <w:iCs/>
                <w:lang w:val="en-US" w:eastAsia="en-US"/>
              </w:rPr>
              <w:t>sumažinti</w:t>
            </w:r>
            <w:proofErr w:type="spellEnd"/>
            <w:r w:rsidRPr="00734732">
              <w:rPr>
                <w:i/>
                <w:iCs/>
                <w:lang w:val="en-US" w:eastAsia="en-US"/>
              </w:rPr>
              <w:t xml:space="preserve"> </w:t>
            </w:r>
            <w:proofErr w:type="spellStart"/>
            <w:r w:rsidRPr="00734732">
              <w:rPr>
                <w:i/>
                <w:iCs/>
                <w:lang w:val="en-US" w:eastAsia="en-US"/>
              </w:rPr>
              <w:t>laiką</w:t>
            </w:r>
            <w:proofErr w:type="spellEnd"/>
            <w:r w:rsidRPr="00734732">
              <w:rPr>
                <w:i/>
                <w:iCs/>
                <w:lang w:val="en-US" w:eastAsia="en-US"/>
              </w:rPr>
              <w:t xml:space="preserve"> </w:t>
            </w:r>
            <w:proofErr w:type="spellStart"/>
            <w:r w:rsidRPr="00734732">
              <w:rPr>
                <w:i/>
                <w:iCs/>
                <w:lang w:val="en-US" w:eastAsia="en-US"/>
              </w:rPr>
              <w:t>atsakant</w:t>
            </w:r>
            <w:proofErr w:type="spellEnd"/>
            <w:r w:rsidRPr="00734732">
              <w:rPr>
                <w:i/>
                <w:iCs/>
                <w:lang w:val="en-US" w:eastAsia="en-US"/>
              </w:rPr>
              <w:t xml:space="preserve"> į </w:t>
            </w:r>
            <w:proofErr w:type="spellStart"/>
            <w:r w:rsidRPr="00734732">
              <w:rPr>
                <w:i/>
                <w:iCs/>
                <w:lang w:val="en-US" w:eastAsia="en-US"/>
              </w:rPr>
              <w:t>kliento</w:t>
            </w:r>
            <w:proofErr w:type="spellEnd"/>
            <w:r w:rsidRPr="00734732">
              <w:rPr>
                <w:i/>
                <w:iCs/>
                <w:lang w:val="en-US" w:eastAsia="en-US"/>
              </w:rPr>
              <w:t xml:space="preserve"> </w:t>
            </w:r>
            <w:proofErr w:type="spellStart"/>
            <w:r w:rsidRPr="00734732">
              <w:rPr>
                <w:i/>
                <w:iCs/>
                <w:lang w:val="en-US" w:eastAsia="en-US"/>
              </w:rPr>
              <w:t>užklausas</w:t>
            </w:r>
            <w:proofErr w:type="spellEnd"/>
            <w:r w:rsidRPr="00734732">
              <w:rPr>
                <w:i/>
                <w:iCs/>
                <w:lang w:val="en-US" w:eastAsia="en-US"/>
              </w:rPr>
              <w:t>?</w:t>
            </w:r>
          </w:p>
          <w:p w14:paraId="5E6E3C98" w14:textId="77777777" w:rsidR="001E6EC2" w:rsidRPr="00734732" w:rsidRDefault="001E6EC2" w:rsidP="001E6EC2">
            <w:pPr>
              <w:rPr>
                <w:i/>
                <w:iCs/>
                <w:lang w:val="en-US" w:eastAsia="en-US"/>
              </w:rPr>
            </w:pPr>
            <w:proofErr w:type="spellStart"/>
            <w:r w:rsidRPr="00734732">
              <w:rPr>
                <w:i/>
                <w:iCs/>
                <w:lang w:val="en-US" w:eastAsia="en-US"/>
              </w:rPr>
              <w:t>Ar</w:t>
            </w:r>
            <w:proofErr w:type="spellEnd"/>
            <w:r w:rsidRPr="00734732">
              <w:rPr>
                <w:i/>
                <w:iCs/>
                <w:lang w:val="en-US" w:eastAsia="en-US"/>
              </w:rPr>
              <w:t xml:space="preserve"> </w:t>
            </w:r>
            <w:proofErr w:type="spellStart"/>
            <w:r w:rsidRPr="00734732">
              <w:rPr>
                <w:i/>
                <w:iCs/>
                <w:lang w:val="en-US" w:eastAsia="en-US"/>
              </w:rPr>
              <w:t>automatizacija</w:t>
            </w:r>
            <w:proofErr w:type="spellEnd"/>
            <w:r w:rsidRPr="00734732">
              <w:rPr>
                <w:i/>
                <w:iCs/>
                <w:lang w:val="en-US" w:eastAsia="en-US"/>
              </w:rPr>
              <w:t xml:space="preserve"> </w:t>
            </w:r>
            <w:proofErr w:type="spellStart"/>
            <w:r w:rsidRPr="00734732">
              <w:rPr>
                <w:i/>
                <w:iCs/>
                <w:lang w:val="en-US" w:eastAsia="en-US"/>
              </w:rPr>
              <w:t>leidžia</w:t>
            </w:r>
            <w:proofErr w:type="spellEnd"/>
            <w:r w:rsidRPr="00734732">
              <w:rPr>
                <w:i/>
                <w:iCs/>
                <w:lang w:val="en-US" w:eastAsia="en-US"/>
              </w:rPr>
              <w:t xml:space="preserve"> </w:t>
            </w:r>
            <w:proofErr w:type="spellStart"/>
            <w:r w:rsidRPr="00734732">
              <w:rPr>
                <w:i/>
                <w:iCs/>
                <w:lang w:val="en-US" w:eastAsia="en-US"/>
              </w:rPr>
              <w:t>pagreitinti</w:t>
            </w:r>
            <w:proofErr w:type="spellEnd"/>
            <w:r w:rsidRPr="00734732">
              <w:rPr>
                <w:i/>
                <w:iCs/>
                <w:lang w:val="en-US" w:eastAsia="en-US"/>
              </w:rPr>
              <w:t xml:space="preserve"> </w:t>
            </w:r>
            <w:proofErr w:type="spellStart"/>
            <w:r w:rsidRPr="00734732">
              <w:rPr>
                <w:i/>
                <w:iCs/>
                <w:lang w:val="en-US" w:eastAsia="en-US"/>
              </w:rPr>
              <w:t>kitus</w:t>
            </w:r>
            <w:proofErr w:type="spellEnd"/>
            <w:r w:rsidRPr="00734732">
              <w:rPr>
                <w:i/>
                <w:iCs/>
                <w:lang w:val="en-US" w:eastAsia="en-US"/>
              </w:rPr>
              <w:t xml:space="preserve"> </w:t>
            </w:r>
            <w:proofErr w:type="spellStart"/>
            <w:r w:rsidRPr="00734732">
              <w:rPr>
                <w:i/>
                <w:iCs/>
                <w:lang w:val="en-US" w:eastAsia="en-US"/>
              </w:rPr>
              <w:t>procesus</w:t>
            </w:r>
            <w:proofErr w:type="spellEnd"/>
            <w:r w:rsidRPr="00734732">
              <w:rPr>
                <w:i/>
                <w:iCs/>
                <w:lang w:val="en-US" w:eastAsia="en-US"/>
              </w:rPr>
              <w:t>?</w:t>
            </w:r>
          </w:p>
          <w:p w14:paraId="461780B0" w14:textId="77777777" w:rsidR="001E6EC2" w:rsidRPr="00734732" w:rsidRDefault="001E6EC2" w:rsidP="001E6EC2">
            <w:pPr>
              <w:rPr>
                <w:i/>
                <w:iCs/>
                <w:lang w:val="en-US" w:eastAsia="en-US"/>
              </w:rPr>
            </w:pPr>
            <w:proofErr w:type="spellStart"/>
            <w:r w:rsidRPr="00734732">
              <w:rPr>
                <w:i/>
                <w:iCs/>
                <w:lang w:val="en-US" w:eastAsia="en-US"/>
              </w:rPr>
              <w:t>Ar</w:t>
            </w:r>
            <w:proofErr w:type="spellEnd"/>
            <w:r w:rsidRPr="00734732">
              <w:rPr>
                <w:i/>
                <w:iCs/>
                <w:lang w:val="en-US" w:eastAsia="en-US"/>
              </w:rPr>
              <w:t xml:space="preserve"> </w:t>
            </w:r>
            <w:proofErr w:type="spellStart"/>
            <w:r w:rsidRPr="00734732">
              <w:rPr>
                <w:i/>
                <w:iCs/>
                <w:lang w:val="en-US" w:eastAsia="en-US"/>
              </w:rPr>
              <w:t>automatizacija</w:t>
            </w:r>
            <w:proofErr w:type="spellEnd"/>
            <w:r w:rsidRPr="00734732">
              <w:rPr>
                <w:i/>
                <w:iCs/>
                <w:lang w:val="en-US" w:eastAsia="en-US"/>
              </w:rPr>
              <w:t xml:space="preserve"> </w:t>
            </w:r>
            <w:proofErr w:type="spellStart"/>
            <w:r w:rsidRPr="00734732">
              <w:rPr>
                <w:i/>
                <w:iCs/>
                <w:lang w:val="en-US" w:eastAsia="en-US"/>
              </w:rPr>
              <w:t>mažina</w:t>
            </w:r>
            <w:proofErr w:type="spellEnd"/>
            <w:r w:rsidRPr="00734732">
              <w:rPr>
                <w:i/>
                <w:iCs/>
                <w:lang w:val="en-US" w:eastAsia="en-US"/>
              </w:rPr>
              <w:t xml:space="preserve"> </w:t>
            </w:r>
            <w:proofErr w:type="spellStart"/>
            <w:r w:rsidRPr="00734732">
              <w:rPr>
                <w:i/>
                <w:iCs/>
                <w:lang w:val="en-US" w:eastAsia="en-US"/>
              </w:rPr>
              <w:t>žmogiškąsias</w:t>
            </w:r>
            <w:proofErr w:type="spellEnd"/>
            <w:r w:rsidRPr="00734732">
              <w:rPr>
                <w:i/>
                <w:iCs/>
                <w:lang w:val="en-US" w:eastAsia="en-US"/>
              </w:rPr>
              <w:t xml:space="preserve"> </w:t>
            </w:r>
            <w:proofErr w:type="spellStart"/>
            <w:r w:rsidRPr="00734732">
              <w:rPr>
                <w:i/>
                <w:iCs/>
                <w:lang w:val="en-US" w:eastAsia="en-US"/>
              </w:rPr>
              <w:t>klaidas</w:t>
            </w:r>
            <w:proofErr w:type="spellEnd"/>
            <w:r w:rsidRPr="00734732">
              <w:rPr>
                <w:i/>
                <w:iCs/>
                <w:lang w:val="en-US" w:eastAsia="en-US"/>
              </w:rPr>
              <w:t>?</w:t>
            </w:r>
          </w:p>
          <w:p w14:paraId="3A02AB4A" w14:textId="77777777" w:rsidR="00D1464F" w:rsidRPr="00747A18" w:rsidRDefault="00D1464F" w:rsidP="00D1464F"/>
        </w:tc>
        <w:tc>
          <w:tcPr>
            <w:tcW w:w="4678" w:type="dxa"/>
          </w:tcPr>
          <w:p w14:paraId="2BE21821" w14:textId="77777777" w:rsidR="00D1464F" w:rsidRDefault="003237E3" w:rsidP="00D1464F">
            <w:pPr>
              <w:rPr>
                <w:b/>
                <w:bCs/>
                <w:szCs w:val="24"/>
              </w:rPr>
            </w:pPr>
            <w:r w:rsidRPr="003237E3">
              <w:rPr>
                <w:b/>
                <w:bCs/>
                <w:szCs w:val="24"/>
              </w:rPr>
              <w:t>Neatsižvelgta</w:t>
            </w:r>
          </w:p>
          <w:p w14:paraId="1372181E" w14:textId="354CE445" w:rsidR="007628D2" w:rsidRPr="00997A38" w:rsidRDefault="007628D2" w:rsidP="00D1464F">
            <w:pPr>
              <w:rPr>
                <w:szCs w:val="24"/>
              </w:rPr>
            </w:pPr>
            <w:r w:rsidRPr="00997A38">
              <w:rPr>
                <w:szCs w:val="24"/>
              </w:rPr>
              <w:t xml:space="preserve">Taikant šiuos kriterijus, sudėtinga pateikti tai įrodančius dokumentus. Paraiškų vertinimas taptų </w:t>
            </w:r>
            <w:r w:rsidR="00A10243" w:rsidRPr="00997A38">
              <w:rPr>
                <w:szCs w:val="24"/>
              </w:rPr>
              <w:t>sudėtingesnis</w:t>
            </w:r>
            <w:r w:rsidRPr="00997A38">
              <w:rPr>
                <w:szCs w:val="24"/>
              </w:rPr>
              <w:t xml:space="preserve">. </w:t>
            </w:r>
          </w:p>
        </w:tc>
      </w:tr>
      <w:tr w:rsidR="00D1464F" w:rsidRPr="00747A18" w14:paraId="2EEDF2C3" w14:textId="77777777" w:rsidTr="00152C34">
        <w:tc>
          <w:tcPr>
            <w:tcW w:w="567" w:type="dxa"/>
          </w:tcPr>
          <w:p w14:paraId="66D3CDE1" w14:textId="77777777" w:rsidR="00D1464F" w:rsidRPr="00747A18" w:rsidRDefault="00D1464F" w:rsidP="00D1464F">
            <w:pPr>
              <w:jc w:val="center"/>
              <w:rPr>
                <w:b/>
                <w:szCs w:val="24"/>
              </w:rPr>
            </w:pPr>
          </w:p>
        </w:tc>
        <w:tc>
          <w:tcPr>
            <w:tcW w:w="1985" w:type="dxa"/>
          </w:tcPr>
          <w:p w14:paraId="668E28EC" w14:textId="1E24B0EB" w:rsidR="00D1464F" w:rsidRPr="00FC295B" w:rsidRDefault="00C47B33" w:rsidP="00D1464F">
            <w:pPr>
              <w:rPr>
                <w:b/>
                <w:bCs/>
                <w:szCs w:val="24"/>
                <w:shd w:val="clear" w:color="auto" w:fill="FFFFFF"/>
              </w:rPr>
            </w:pPr>
            <w:r>
              <w:rPr>
                <w:b/>
                <w:bCs/>
                <w:szCs w:val="24"/>
                <w:shd w:val="clear" w:color="auto" w:fill="FFFFFF"/>
              </w:rPr>
              <w:t>UAB „Festo“</w:t>
            </w:r>
          </w:p>
        </w:tc>
        <w:tc>
          <w:tcPr>
            <w:tcW w:w="7541" w:type="dxa"/>
          </w:tcPr>
          <w:p w14:paraId="76C4CD0F" w14:textId="7149A7F3" w:rsidR="00D1464F" w:rsidRPr="00436E99" w:rsidRDefault="00364F0F" w:rsidP="00D1464F">
            <w:pPr>
              <w:tabs>
                <w:tab w:val="left" w:pos="483"/>
              </w:tabs>
              <w:rPr>
                <w:i/>
                <w:iCs/>
              </w:rPr>
            </w:pPr>
            <w:r w:rsidRPr="00436E99">
              <w:rPr>
                <w:i/>
                <w:iCs/>
              </w:rPr>
              <w:t xml:space="preserve">Galbūt dar vienas </w:t>
            </w:r>
            <w:r w:rsidRPr="00436E99">
              <w:rPr>
                <w:b/>
                <w:bCs/>
                <w:i/>
                <w:iCs/>
              </w:rPr>
              <w:t>papildomas kriterijus</w:t>
            </w:r>
            <w:r w:rsidRPr="00436E99">
              <w:rPr>
                <w:i/>
                <w:iCs/>
              </w:rPr>
              <w:t xml:space="preserve"> galėtų būti – projekto kompleksiškumas. Ar tai yra greitai įgyvendinamas projektas kur nesudėtingi procesai, ar tai yra sudėtingas projektas ( pasitelkiant Artificial intelligence), kur įdiegimo laikas ir pastangos didelės, pradžioje nedaug sutaupoma, bet ilgalaikėj perspektyvoj taupymas auga.</w:t>
            </w:r>
          </w:p>
        </w:tc>
        <w:tc>
          <w:tcPr>
            <w:tcW w:w="4678" w:type="dxa"/>
          </w:tcPr>
          <w:p w14:paraId="026C46C6" w14:textId="77777777" w:rsidR="00D1464F" w:rsidRDefault="00D373F2" w:rsidP="00D1464F">
            <w:pPr>
              <w:rPr>
                <w:b/>
                <w:bCs/>
                <w:szCs w:val="24"/>
              </w:rPr>
            </w:pPr>
            <w:r w:rsidRPr="00D373F2">
              <w:rPr>
                <w:b/>
                <w:bCs/>
                <w:szCs w:val="24"/>
              </w:rPr>
              <w:t>Neatsižvelgta</w:t>
            </w:r>
          </w:p>
          <w:p w14:paraId="76FBA4CB" w14:textId="559F9337" w:rsidR="00320FD7" w:rsidRPr="00997A38" w:rsidRDefault="00320FD7" w:rsidP="00D1464F">
            <w:pPr>
              <w:rPr>
                <w:szCs w:val="24"/>
              </w:rPr>
            </w:pPr>
            <w:r w:rsidRPr="00997A38">
              <w:rPr>
                <w:szCs w:val="24"/>
              </w:rPr>
              <w:t xml:space="preserve">Projektas remiasi </w:t>
            </w:r>
            <w:r w:rsidR="00A92414" w:rsidRPr="00997A38">
              <w:rPr>
                <w:szCs w:val="24"/>
              </w:rPr>
              <w:t>sutaupytu darbuotojų darb</w:t>
            </w:r>
            <w:r w:rsidR="00AD108D">
              <w:rPr>
                <w:szCs w:val="24"/>
              </w:rPr>
              <w:t>o</w:t>
            </w:r>
            <w:r w:rsidR="00A92414" w:rsidRPr="00997A38">
              <w:rPr>
                <w:szCs w:val="24"/>
              </w:rPr>
              <w:t xml:space="preserve"> laik</w:t>
            </w:r>
            <w:r w:rsidR="00AD108D">
              <w:rPr>
                <w:szCs w:val="24"/>
              </w:rPr>
              <w:t>u</w:t>
            </w:r>
            <w:r w:rsidR="00FE7D90">
              <w:rPr>
                <w:szCs w:val="24"/>
              </w:rPr>
              <w:t>. V</w:t>
            </w:r>
            <w:r w:rsidR="00F11E49" w:rsidRPr="00997A38">
              <w:rPr>
                <w:szCs w:val="24"/>
              </w:rPr>
              <w:t>ertinant proceso sudėtingumą ilgal</w:t>
            </w:r>
            <w:r w:rsidR="0072526B">
              <w:rPr>
                <w:szCs w:val="24"/>
              </w:rPr>
              <w:t>aikėje</w:t>
            </w:r>
            <w:r w:rsidR="00F11E49" w:rsidRPr="00997A38">
              <w:rPr>
                <w:szCs w:val="24"/>
              </w:rPr>
              <w:t xml:space="preserve"> perspektyvoj</w:t>
            </w:r>
            <w:r w:rsidR="00F04F89" w:rsidRPr="00997A38">
              <w:rPr>
                <w:szCs w:val="24"/>
              </w:rPr>
              <w:t>e, problematiškas tampa naudų skaičiavimas</w:t>
            </w:r>
            <w:r w:rsidR="000730AA">
              <w:rPr>
                <w:szCs w:val="24"/>
              </w:rPr>
              <w:t>.</w:t>
            </w:r>
          </w:p>
        </w:tc>
      </w:tr>
      <w:tr w:rsidR="00841208" w:rsidRPr="0066362E" w14:paraId="5EB20896" w14:textId="77777777" w:rsidTr="00152C34">
        <w:tc>
          <w:tcPr>
            <w:tcW w:w="567" w:type="dxa"/>
            <w:vMerge w:val="restart"/>
          </w:tcPr>
          <w:p w14:paraId="7986F5C8" w14:textId="77777777" w:rsidR="00841208" w:rsidRPr="00747A18" w:rsidRDefault="00841208" w:rsidP="00D1464F">
            <w:pPr>
              <w:jc w:val="center"/>
              <w:rPr>
                <w:b/>
                <w:szCs w:val="24"/>
              </w:rPr>
            </w:pPr>
          </w:p>
        </w:tc>
        <w:tc>
          <w:tcPr>
            <w:tcW w:w="1985" w:type="dxa"/>
            <w:vMerge w:val="restart"/>
          </w:tcPr>
          <w:p w14:paraId="498FFCC8" w14:textId="62671BCC" w:rsidR="00841208" w:rsidRPr="00331808" w:rsidRDefault="00841208" w:rsidP="00D1464F">
            <w:pPr>
              <w:rPr>
                <w:b/>
                <w:bCs/>
                <w:szCs w:val="24"/>
                <w:shd w:val="clear" w:color="auto" w:fill="FFFFFF"/>
              </w:rPr>
            </w:pPr>
            <w:r w:rsidRPr="0027519B">
              <w:rPr>
                <w:b/>
                <w:bCs/>
                <w:szCs w:val="24"/>
                <w:shd w:val="clear" w:color="auto" w:fill="FFFFFF"/>
              </w:rPr>
              <w:t>Global Business Services Vilnius</w:t>
            </w:r>
          </w:p>
        </w:tc>
        <w:tc>
          <w:tcPr>
            <w:tcW w:w="7541" w:type="dxa"/>
          </w:tcPr>
          <w:p w14:paraId="33E159B3" w14:textId="7F013BCA" w:rsidR="00841208" w:rsidRPr="00436E99" w:rsidRDefault="00841208" w:rsidP="00D1464F">
            <w:pPr>
              <w:rPr>
                <w:i/>
                <w:iCs/>
              </w:rPr>
            </w:pPr>
            <w:r w:rsidRPr="00436E99">
              <w:rPr>
                <w:i/>
                <w:iCs/>
              </w:rPr>
              <w:t>Projekte yra siūloma minimali riba 1FTE. Mūsų praktikoje, didžioji dauguma RPA projektų neviršija 0,5 FTE ir neturėjome nei vieno projekto kuris viršytų 1FTE ribą. Žinoma, šis vertinimas priklauso nuo to kas būtų laikytina „projektu“, turime įdiegę nemažai sprendimų kurie automatizuoja vienos šalies konkretų procesą, bet vėliau šis automatizavimas yra plečiamas į kitas šalis, tačiau kiekvienos šalies automatizavimas yra dažniausiai organizuojamas ir registruojamas kaip atskiras projektas nes operaciniame lygyje procesai skiriasi, o taip pat kiekviena šalis naudoja skirtinga ERP sistemą arba jos versiją, visa tai didina valdymo kompleksiškumą ir dėl to pas mus vyksta iteratyviai. Kitas pavizdys kai automatizuojama viena proceso dali, o veliau, atskiru projektų, kita jo dalis. Mūsų įmonėje galioja „neoficiali“ riba kada automatizavimas atsiperka – 200 operacinių valandų, bet turime RPA sprendimų kurie taupo ir mažiau. Reikalinga detaliau apibrežti kas būtų laikytina vienu RPA sprendimu, ar galima bus jungti kelis automatizavimus į vieną paketą (pvz 10 automatizavimų po 0,1 FTE) ir/arba mažinti minimalų sutaupymą iki 0,2 FTE.</w:t>
            </w:r>
          </w:p>
        </w:tc>
        <w:tc>
          <w:tcPr>
            <w:tcW w:w="4678" w:type="dxa"/>
          </w:tcPr>
          <w:p w14:paraId="594679E0" w14:textId="77777777" w:rsidR="00841208" w:rsidRDefault="00B66FDF" w:rsidP="00D1464F">
            <w:pPr>
              <w:rPr>
                <w:b/>
                <w:bCs/>
                <w:szCs w:val="24"/>
              </w:rPr>
            </w:pPr>
            <w:r w:rsidRPr="00B66FDF">
              <w:rPr>
                <w:b/>
                <w:bCs/>
                <w:szCs w:val="24"/>
              </w:rPr>
              <w:t>Atsižvelgta</w:t>
            </w:r>
          </w:p>
          <w:p w14:paraId="673B0815" w14:textId="7EEFE8F2" w:rsidR="00F04F89" w:rsidRPr="00997A38" w:rsidRDefault="00E5117A" w:rsidP="00D1464F">
            <w:pPr>
              <w:rPr>
                <w:szCs w:val="24"/>
              </w:rPr>
            </w:pPr>
            <w:r>
              <w:rPr>
                <w:szCs w:val="24"/>
              </w:rPr>
              <w:t>Aprašyme yra nurodyta, kad keli „sprendimai“, tačiau bus detalizuota kaip apskaičiuojama, kad pareiškėjams būtų aiškesni atrankos kriterijai.</w:t>
            </w:r>
          </w:p>
        </w:tc>
      </w:tr>
      <w:tr w:rsidR="00841208" w:rsidRPr="0066362E" w14:paraId="68742D81" w14:textId="77777777" w:rsidTr="00152C34">
        <w:tc>
          <w:tcPr>
            <w:tcW w:w="567" w:type="dxa"/>
            <w:vMerge/>
          </w:tcPr>
          <w:p w14:paraId="6F003F1A" w14:textId="77777777" w:rsidR="00841208" w:rsidRPr="00747A18" w:rsidRDefault="00841208" w:rsidP="00D1464F">
            <w:pPr>
              <w:jc w:val="center"/>
              <w:rPr>
                <w:b/>
                <w:szCs w:val="24"/>
              </w:rPr>
            </w:pPr>
          </w:p>
        </w:tc>
        <w:tc>
          <w:tcPr>
            <w:tcW w:w="1985" w:type="dxa"/>
            <w:vMerge/>
          </w:tcPr>
          <w:p w14:paraId="7781B5C3" w14:textId="77777777" w:rsidR="00841208" w:rsidRPr="00331808" w:rsidRDefault="00841208" w:rsidP="00D1464F">
            <w:pPr>
              <w:rPr>
                <w:b/>
                <w:bCs/>
                <w:szCs w:val="24"/>
                <w:shd w:val="clear" w:color="auto" w:fill="FFFFFF"/>
              </w:rPr>
            </w:pPr>
          </w:p>
        </w:tc>
        <w:tc>
          <w:tcPr>
            <w:tcW w:w="7541" w:type="dxa"/>
          </w:tcPr>
          <w:p w14:paraId="4626FAA4" w14:textId="537C0659" w:rsidR="00841208" w:rsidRPr="00D37D1E" w:rsidRDefault="00D6441C" w:rsidP="00841208">
            <w:pPr>
              <w:rPr>
                <w:i/>
                <w:iCs/>
              </w:rPr>
            </w:pPr>
            <w:r w:rsidRPr="00D37D1E">
              <w:rPr>
                <w:i/>
                <w:iCs/>
              </w:rPr>
              <w:t>Skaičiuojant automatizavimo sutaupytas valandas, mes skaičiuojame grynas operacines valandas neįtraukiant kitų susijusių darbų ir darbuotojo užimtumo. Kandangi darbuotojai turi atostogauti, turi pertraukas, serga, dalyvauja mokymuose, bendrose veiklose, procesų tobulinimo projektuose ir t.t., tik dalis darbuotojo  arba 1FTE viso turimo laiko skiriama operacijoms. Pasiūlymo aprašyme yra pateikta kad „1 FTE - yra valandos, kurias dirbo vienas darbuotojas visą darbo dieną. 1 FTE prilygsta: 160 darbo valandų per mėnesį dirbančiam darbuotojui, 2080 darbo valandų per metus dirbančiam darbuotojui.“ Tačiau realiai šis laikas apima ir auksčiau minėtas veiklas, tuo tarpu automatizuojant procesą yra paprastai skaičiuojamas grynast o procesu efektyvumo pagerinimas. Esame nustate kad vidutiniskai, vienas operaciju darbuotojas operacijoms skiria 1450 val per metus, visas kitas laikas skiriamas auksčiau minetai papildomai veiklai. Ar apskačiuojant projekto sutaupymą, bus atsižvelgiama į šias aplinkybes?</w:t>
            </w:r>
          </w:p>
        </w:tc>
        <w:tc>
          <w:tcPr>
            <w:tcW w:w="4678" w:type="dxa"/>
          </w:tcPr>
          <w:p w14:paraId="3B934E08" w14:textId="77777777" w:rsidR="00841208" w:rsidRDefault="006635ED" w:rsidP="00D1464F">
            <w:pPr>
              <w:rPr>
                <w:b/>
                <w:bCs/>
                <w:szCs w:val="24"/>
              </w:rPr>
            </w:pPr>
            <w:r w:rsidRPr="006635ED">
              <w:rPr>
                <w:b/>
                <w:bCs/>
                <w:szCs w:val="24"/>
              </w:rPr>
              <w:t>Iš dalie atsižvelgta</w:t>
            </w:r>
          </w:p>
          <w:p w14:paraId="606A48B5" w14:textId="2E2E0B7B" w:rsidR="00997A38" w:rsidRPr="006635ED" w:rsidRDefault="00997A38" w:rsidP="00D1464F">
            <w:pPr>
              <w:rPr>
                <w:b/>
                <w:bCs/>
                <w:szCs w:val="24"/>
              </w:rPr>
            </w:pPr>
            <w:r>
              <w:rPr>
                <w:szCs w:val="24"/>
              </w:rPr>
              <w:t xml:space="preserve">FTE keičiamas į </w:t>
            </w:r>
            <w:r>
              <w:rPr>
                <w:szCs w:val="24"/>
                <w:lang w:val="en-US"/>
              </w:rPr>
              <w:t xml:space="preserve">1920 val. </w:t>
            </w:r>
            <w:r w:rsidR="007245E8">
              <w:rPr>
                <w:szCs w:val="24"/>
                <w:lang w:val="en-US"/>
              </w:rPr>
              <w:t>p</w:t>
            </w:r>
            <w:r>
              <w:rPr>
                <w:szCs w:val="24"/>
                <w:lang w:val="en-US"/>
              </w:rPr>
              <w:t xml:space="preserve">er </w:t>
            </w:r>
            <w:proofErr w:type="spellStart"/>
            <w:r>
              <w:rPr>
                <w:szCs w:val="24"/>
                <w:lang w:val="en-US"/>
              </w:rPr>
              <w:t>metus</w:t>
            </w:r>
            <w:proofErr w:type="spellEnd"/>
            <w:r w:rsidR="007245E8">
              <w:rPr>
                <w:szCs w:val="24"/>
                <w:lang w:val="en-US"/>
              </w:rPr>
              <w:t xml:space="preserve">, </w:t>
            </w:r>
            <w:proofErr w:type="spellStart"/>
            <w:r w:rsidR="007245E8">
              <w:rPr>
                <w:szCs w:val="24"/>
                <w:lang w:val="en-US"/>
              </w:rPr>
              <w:t>kadangi</w:t>
            </w:r>
            <w:proofErr w:type="spellEnd"/>
            <w:r w:rsidR="007245E8">
              <w:rPr>
                <w:szCs w:val="24"/>
                <w:lang w:val="en-US"/>
              </w:rPr>
              <w:t xml:space="preserve"> </w:t>
            </w:r>
            <w:r>
              <w:rPr>
                <w:szCs w:val="24"/>
                <w:lang w:val="en-US"/>
              </w:rPr>
              <w:t>160</w:t>
            </w:r>
            <w:r w:rsidR="00F2088E">
              <w:rPr>
                <w:szCs w:val="24"/>
                <w:lang w:val="en-US"/>
              </w:rPr>
              <w:t>val/m</w:t>
            </w:r>
            <w:r w:rsidR="00F2088E">
              <w:rPr>
                <w:szCs w:val="24"/>
              </w:rPr>
              <w:t>ėn</w:t>
            </w:r>
            <w:r w:rsidR="002F2C73">
              <w:rPr>
                <w:szCs w:val="24"/>
                <w:lang w:val="en-US"/>
              </w:rPr>
              <w:t>*12=1920</w:t>
            </w:r>
            <w:r>
              <w:rPr>
                <w:szCs w:val="24"/>
                <w:lang w:val="en-US"/>
              </w:rPr>
              <w:t xml:space="preserve"> val</w:t>
            </w:r>
            <w:r w:rsidR="008D03CE">
              <w:rPr>
                <w:szCs w:val="24"/>
                <w:lang w:val="en-US"/>
              </w:rPr>
              <w:t>.</w:t>
            </w:r>
            <w:r>
              <w:rPr>
                <w:szCs w:val="24"/>
              </w:rPr>
              <w:t xml:space="preserve"> </w:t>
            </w:r>
            <w:r w:rsidR="008D03CE">
              <w:rPr>
                <w:szCs w:val="24"/>
              </w:rPr>
              <w:t>T</w:t>
            </w:r>
            <w:r>
              <w:rPr>
                <w:szCs w:val="24"/>
              </w:rPr>
              <w:t>ai yra standartinis FTE mato vieneto reikšmė. Sumažinus FTE mažinamas projekto efektyvumas.</w:t>
            </w:r>
          </w:p>
        </w:tc>
      </w:tr>
    </w:tbl>
    <w:p w14:paraId="45B41C66" w14:textId="77777777" w:rsidR="0008750B" w:rsidRPr="00D355B7" w:rsidRDefault="0008750B" w:rsidP="00D355B7">
      <w:pPr>
        <w:rPr>
          <w:szCs w:val="24"/>
        </w:rPr>
      </w:pPr>
    </w:p>
    <w:p w14:paraId="209EDF8F" w14:textId="4206EF66" w:rsidR="00E16CA7" w:rsidRPr="00D355B7" w:rsidRDefault="00E16CA7" w:rsidP="00142313">
      <w:pPr>
        <w:rPr>
          <w:szCs w:val="24"/>
        </w:rPr>
      </w:pPr>
    </w:p>
    <w:sectPr w:rsidR="00E16CA7" w:rsidRPr="00D355B7" w:rsidSect="0014759D">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20A8" w14:textId="77777777" w:rsidR="006422F9" w:rsidRDefault="006422F9" w:rsidP="00894881">
      <w:r>
        <w:separator/>
      </w:r>
    </w:p>
  </w:endnote>
  <w:endnote w:type="continuationSeparator" w:id="0">
    <w:p w14:paraId="69B73EFC" w14:textId="77777777" w:rsidR="006422F9" w:rsidRDefault="006422F9"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DEB6" w14:textId="77777777" w:rsidR="0014759D" w:rsidRDefault="0014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3291" w14:textId="77777777" w:rsidR="0014759D" w:rsidRDefault="0014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D4E2" w14:textId="77777777" w:rsidR="0014759D" w:rsidRDefault="0014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E355" w14:textId="77777777" w:rsidR="006422F9" w:rsidRDefault="006422F9" w:rsidP="00894881">
      <w:r>
        <w:separator/>
      </w:r>
    </w:p>
  </w:footnote>
  <w:footnote w:type="continuationSeparator" w:id="0">
    <w:p w14:paraId="140D1E9C" w14:textId="77777777" w:rsidR="006422F9" w:rsidRDefault="006422F9"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11A2" w14:textId="77777777" w:rsidR="0014759D" w:rsidRDefault="0014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Content>
      <w:p w14:paraId="3E178D09" w14:textId="61D81A8A" w:rsidR="0014759D" w:rsidRDefault="0014759D">
        <w:pPr>
          <w:pStyle w:val="Header"/>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9C68" w14:textId="77777777" w:rsidR="0014759D" w:rsidRDefault="0014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9"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841219">
    <w:abstractNumId w:val="11"/>
  </w:num>
  <w:num w:numId="2" w16cid:durableId="2078428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9"/>
  </w:num>
  <w:num w:numId="4" w16cid:durableId="800340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4"/>
  </w:num>
  <w:num w:numId="6" w16cid:durableId="1097942165">
    <w:abstractNumId w:val="7"/>
  </w:num>
  <w:num w:numId="7" w16cid:durableId="396785296">
    <w:abstractNumId w:val="3"/>
  </w:num>
  <w:num w:numId="8" w16cid:durableId="326908603">
    <w:abstractNumId w:val="2"/>
  </w:num>
  <w:num w:numId="9" w16cid:durableId="225340506">
    <w:abstractNumId w:val="0"/>
  </w:num>
  <w:num w:numId="10" w16cid:durableId="495995538">
    <w:abstractNumId w:val="6"/>
  </w:num>
  <w:num w:numId="11" w16cid:durableId="337542610">
    <w:abstractNumId w:val="1"/>
  </w:num>
  <w:num w:numId="12" w16cid:durableId="969362802">
    <w:abstractNumId w:val="12"/>
  </w:num>
  <w:num w:numId="13" w16cid:durableId="1793283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10658"/>
    <w:rsid w:val="00015068"/>
    <w:rsid w:val="00020D23"/>
    <w:rsid w:val="00045E69"/>
    <w:rsid w:val="000536D4"/>
    <w:rsid w:val="00053C7A"/>
    <w:rsid w:val="00062388"/>
    <w:rsid w:val="000730AA"/>
    <w:rsid w:val="0008750B"/>
    <w:rsid w:val="000A6128"/>
    <w:rsid w:val="000B55D2"/>
    <w:rsid w:val="000B6EA2"/>
    <w:rsid w:val="000C2206"/>
    <w:rsid w:val="000D4E4F"/>
    <w:rsid w:val="000D5600"/>
    <w:rsid w:val="000E5A8F"/>
    <w:rsid w:val="000E6F2F"/>
    <w:rsid w:val="000F0C94"/>
    <w:rsid w:val="00104983"/>
    <w:rsid w:val="001103A9"/>
    <w:rsid w:val="00110740"/>
    <w:rsid w:val="0011391D"/>
    <w:rsid w:val="0011578A"/>
    <w:rsid w:val="00116AE7"/>
    <w:rsid w:val="00117301"/>
    <w:rsid w:val="00117C47"/>
    <w:rsid w:val="00123275"/>
    <w:rsid w:val="00124D1C"/>
    <w:rsid w:val="0012676A"/>
    <w:rsid w:val="00127E12"/>
    <w:rsid w:val="00131AA7"/>
    <w:rsid w:val="00142313"/>
    <w:rsid w:val="001439A5"/>
    <w:rsid w:val="00145073"/>
    <w:rsid w:val="0014569B"/>
    <w:rsid w:val="0014759D"/>
    <w:rsid w:val="00152C34"/>
    <w:rsid w:val="001554D9"/>
    <w:rsid w:val="00155B00"/>
    <w:rsid w:val="00155B5D"/>
    <w:rsid w:val="00162BEF"/>
    <w:rsid w:val="00163022"/>
    <w:rsid w:val="001650DB"/>
    <w:rsid w:val="00170E84"/>
    <w:rsid w:val="001720A6"/>
    <w:rsid w:val="00173E88"/>
    <w:rsid w:val="00181163"/>
    <w:rsid w:val="001814BE"/>
    <w:rsid w:val="00185ACE"/>
    <w:rsid w:val="00186546"/>
    <w:rsid w:val="001A1469"/>
    <w:rsid w:val="001A521C"/>
    <w:rsid w:val="001B6BBE"/>
    <w:rsid w:val="001E04E5"/>
    <w:rsid w:val="001E1211"/>
    <w:rsid w:val="001E2AA0"/>
    <w:rsid w:val="001E2CD3"/>
    <w:rsid w:val="001E4D90"/>
    <w:rsid w:val="001E6EC2"/>
    <w:rsid w:val="001F0F6C"/>
    <w:rsid w:val="001F2B4C"/>
    <w:rsid w:val="001F56F0"/>
    <w:rsid w:val="0020152F"/>
    <w:rsid w:val="00205171"/>
    <w:rsid w:val="0021244E"/>
    <w:rsid w:val="00216C47"/>
    <w:rsid w:val="00232144"/>
    <w:rsid w:val="00234EB2"/>
    <w:rsid w:val="0023615F"/>
    <w:rsid w:val="00256F6B"/>
    <w:rsid w:val="002612C9"/>
    <w:rsid w:val="002659C2"/>
    <w:rsid w:val="00273F4A"/>
    <w:rsid w:val="00275020"/>
    <w:rsid w:val="0027519B"/>
    <w:rsid w:val="00276B62"/>
    <w:rsid w:val="00281E18"/>
    <w:rsid w:val="002863A2"/>
    <w:rsid w:val="00287B51"/>
    <w:rsid w:val="00294375"/>
    <w:rsid w:val="002C0820"/>
    <w:rsid w:val="002C0F70"/>
    <w:rsid w:val="002C5400"/>
    <w:rsid w:val="002D0937"/>
    <w:rsid w:val="002D0CCE"/>
    <w:rsid w:val="002D1711"/>
    <w:rsid w:val="002D5614"/>
    <w:rsid w:val="002E1E85"/>
    <w:rsid w:val="002E317A"/>
    <w:rsid w:val="002F2C73"/>
    <w:rsid w:val="002F4052"/>
    <w:rsid w:val="002F6CD7"/>
    <w:rsid w:val="00307804"/>
    <w:rsid w:val="00313F9B"/>
    <w:rsid w:val="00320578"/>
    <w:rsid w:val="00320FD7"/>
    <w:rsid w:val="003237E3"/>
    <w:rsid w:val="00326977"/>
    <w:rsid w:val="00331808"/>
    <w:rsid w:val="0033308A"/>
    <w:rsid w:val="003443BC"/>
    <w:rsid w:val="003454D6"/>
    <w:rsid w:val="0035346A"/>
    <w:rsid w:val="00353ADF"/>
    <w:rsid w:val="00357F3E"/>
    <w:rsid w:val="00361F64"/>
    <w:rsid w:val="00364F0F"/>
    <w:rsid w:val="00380F79"/>
    <w:rsid w:val="00381EBE"/>
    <w:rsid w:val="0038229F"/>
    <w:rsid w:val="00386CCB"/>
    <w:rsid w:val="00392B7C"/>
    <w:rsid w:val="00396C23"/>
    <w:rsid w:val="003B06E2"/>
    <w:rsid w:val="003D0A5C"/>
    <w:rsid w:val="003D50E6"/>
    <w:rsid w:val="003E442E"/>
    <w:rsid w:val="003E6AA6"/>
    <w:rsid w:val="003F6BF9"/>
    <w:rsid w:val="00414D65"/>
    <w:rsid w:val="004166F8"/>
    <w:rsid w:val="00425468"/>
    <w:rsid w:val="0042781D"/>
    <w:rsid w:val="00430029"/>
    <w:rsid w:val="00436D84"/>
    <w:rsid w:val="00436E99"/>
    <w:rsid w:val="004408C7"/>
    <w:rsid w:val="00442C5E"/>
    <w:rsid w:val="004646C8"/>
    <w:rsid w:val="00480F67"/>
    <w:rsid w:val="00482558"/>
    <w:rsid w:val="00483458"/>
    <w:rsid w:val="00492D85"/>
    <w:rsid w:val="00493A0D"/>
    <w:rsid w:val="00494151"/>
    <w:rsid w:val="0049542C"/>
    <w:rsid w:val="00496D0E"/>
    <w:rsid w:val="004A602A"/>
    <w:rsid w:val="004B148D"/>
    <w:rsid w:val="004B4F04"/>
    <w:rsid w:val="004C34E6"/>
    <w:rsid w:val="004D1EBF"/>
    <w:rsid w:val="004D4D15"/>
    <w:rsid w:val="004E527A"/>
    <w:rsid w:val="004F017B"/>
    <w:rsid w:val="004F65EB"/>
    <w:rsid w:val="00505F73"/>
    <w:rsid w:val="005140D6"/>
    <w:rsid w:val="00521964"/>
    <w:rsid w:val="0053369A"/>
    <w:rsid w:val="005347E8"/>
    <w:rsid w:val="005462D5"/>
    <w:rsid w:val="00547CA6"/>
    <w:rsid w:val="00547DBC"/>
    <w:rsid w:val="00565EA9"/>
    <w:rsid w:val="00573D80"/>
    <w:rsid w:val="00582739"/>
    <w:rsid w:val="00595C81"/>
    <w:rsid w:val="005A2B58"/>
    <w:rsid w:val="005B0F3F"/>
    <w:rsid w:val="005C162B"/>
    <w:rsid w:val="005C1CC3"/>
    <w:rsid w:val="005C4B5D"/>
    <w:rsid w:val="005C790F"/>
    <w:rsid w:val="005D62EF"/>
    <w:rsid w:val="005E2B34"/>
    <w:rsid w:val="005E69D5"/>
    <w:rsid w:val="005F2F62"/>
    <w:rsid w:val="005F59AE"/>
    <w:rsid w:val="00605BDE"/>
    <w:rsid w:val="0061299A"/>
    <w:rsid w:val="0063028C"/>
    <w:rsid w:val="00633094"/>
    <w:rsid w:val="00633AE5"/>
    <w:rsid w:val="006422F9"/>
    <w:rsid w:val="00642B13"/>
    <w:rsid w:val="006635ED"/>
    <w:rsid w:val="0066362E"/>
    <w:rsid w:val="00664183"/>
    <w:rsid w:val="006650EF"/>
    <w:rsid w:val="00667FC1"/>
    <w:rsid w:val="00686D8C"/>
    <w:rsid w:val="006931C6"/>
    <w:rsid w:val="0069328D"/>
    <w:rsid w:val="006942F9"/>
    <w:rsid w:val="006A02DE"/>
    <w:rsid w:val="006B24C5"/>
    <w:rsid w:val="006C528B"/>
    <w:rsid w:val="006D17F9"/>
    <w:rsid w:val="006E0D5F"/>
    <w:rsid w:val="006F0098"/>
    <w:rsid w:val="006F05B0"/>
    <w:rsid w:val="006F175F"/>
    <w:rsid w:val="007017BD"/>
    <w:rsid w:val="007155AD"/>
    <w:rsid w:val="007159AE"/>
    <w:rsid w:val="007217E3"/>
    <w:rsid w:val="00721F60"/>
    <w:rsid w:val="007245E8"/>
    <w:rsid w:val="0072526B"/>
    <w:rsid w:val="00734732"/>
    <w:rsid w:val="00736067"/>
    <w:rsid w:val="00737F4E"/>
    <w:rsid w:val="007400E2"/>
    <w:rsid w:val="00745810"/>
    <w:rsid w:val="007471D8"/>
    <w:rsid w:val="00747A18"/>
    <w:rsid w:val="00750081"/>
    <w:rsid w:val="00753FA2"/>
    <w:rsid w:val="00756026"/>
    <w:rsid w:val="00756986"/>
    <w:rsid w:val="00756998"/>
    <w:rsid w:val="00757133"/>
    <w:rsid w:val="007628D2"/>
    <w:rsid w:val="0076376B"/>
    <w:rsid w:val="0077637A"/>
    <w:rsid w:val="00777673"/>
    <w:rsid w:val="007776D6"/>
    <w:rsid w:val="00783BAC"/>
    <w:rsid w:val="00786380"/>
    <w:rsid w:val="00790344"/>
    <w:rsid w:val="0079065E"/>
    <w:rsid w:val="0079627A"/>
    <w:rsid w:val="007B16C6"/>
    <w:rsid w:val="007C5068"/>
    <w:rsid w:val="007C60ED"/>
    <w:rsid w:val="007D02FF"/>
    <w:rsid w:val="007D2FCE"/>
    <w:rsid w:val="007E2838"/>
    <w:rsid w:val="007E2BF1"/>
    <w:rsid w:val="007E4498"/>
    <w:rsid w:val="007E4500"/>
    <w:rsid w:val="007F1949"/>
    <w:rsid w:val="007F629A"/>
    <w:rsid w:val="0080234D"/>
    <w:rsid w:val="00805714"/>
    <w:rsid w:val="00806F2A"/>
    <w:rsid w:val="0081566F"/>
    <w:rsid w:val="00824773"/>
    <w:rsid w:val="008259F8"/>
    <w:rsid w:val="008302BD"/>
    <w:rsid w:val="0083284B"/>
    <w:rsid w:val="00832C87"/>
    <w:rsid w:val="00841208"/>
    <w:rsid w:val="0084611C"/>
    <w:rsid w:val="00854536"/>
    <w:rsid w:val="008558DB"/>
    <w:rsid w:val="00863C9F"/>
    <w:rsid w:val="008817CE"/>
    <w:rsid w:val="0088422B"/>
    <w:rsid w:val="00884FFB"/>
    <w:rsid w:val="00885642"/>
    <w:rsid w:val="00886996"/>
    <w:rsid w:val="00894881"/>
    <w:rsid w:val="008A3938"/>
    <w:rsid w:val="008C326F"/>
    <w:rsid w:val="008C3FA1"/>
    <w:rsid w:val="008C4B03"/>
    <w:rsid w:val="008C6627"/>
    <w:rsid w:val="008C73B6"/>
    <w:rsid w:val="008D03CE"/>
    <w:rsid w:val="008F64EF"/>
    <w:rsid w:val="00901EE7"/>
    <w:rsid w:val="00904715"/>
    <w:rsid w:val="00911257"/>
    <w:rsid w:val="0092708D"/>
    <w:rsid w:val="00927DBD"/>
    <w:rsid w:val="00933A93"/>
    <w:rsid w:val="00945BA5"/>
    <w:rsid w:val="00947FF7"/>
    <w:rsid w:val="00964F3B"/>
    <w:rsid w:val="00973235"/>
    <w:rsid w:val="009830F4"/>
    <w:rsid w:val="0098422B"/>
    <w:rsid w:val="00987139"/>
    <w:rsid w:val="00987AEB"/>
    <w:rsid w:val="00997A38"/>
    <w:rsid w:val="009A7582"/>
    <w:rsid w:val="009B0143"/>
    <w:rsid w:val="009B1FE3"/>
    <w:rsid w:val="009B3D3F"/>
    <w:rsid w:val="009B6549"/>
    <w:rsid w:val="009C1F10"/>
    <w:rsid w:val="009D0F31"/>
    <w:rsid w:val="009E6337"/>
    <w:rsid w:val="009F521D"/>
    <w:rsid w:val="00A10243"/>
    <w:rsid w:val="00A10958"/>
    <w:rsid w:val="00A1126A"/>
    <w:rsid w:val="00A1296C"/>
    <w:rsid w:val="00A32013"/>
    <w:rsid w:val="00A53484"/>
    <w:rsid w:val="00A6632F"/>
    <w:rsid w:val="00A67BCB"/>
    <w:rsid w:val="00A75CDE"/>
    <w:rsid w:val="00A80A31"/>
    <w:rsid w:val="00A92414"/>
    <w:rsid w:val="00A96E96"/>
    <w:rsid w:val="00A973CC"/>
    <w:rsid w:val="00AA54A1"/>
    <w:rsid w:val="00AC4678"/>
    <w:rsid w:val="00AC75D7"/>
    <w:rsid w:val="00AD108D"/>
    <w:rsid w:val="00AD2D71"/>
    <w:rsid w:val="00AF2994"/>
    <w:rsid w:val="00AF3B0E"/>
    <w:rsid w:val="00AF3BA7"/>
    <w:rsid w:val="00AF6363"/>
    <w:rsid w:val="00AF75FE"/>
    <w:rsid w:val="00B00B28"/>
    <w:rsid w:val="00B24033"/>
    <w:rsid w:val="00B33E07"/>
    <w:rsid w:val="00B41DF2"/>
    <w:rsid w:val="00B44EA2"/>
    <w:rsid w:val="00B459AE"/>
    <w:rsid w:val="00B50679"/>
    <w:rsid w:val="00B52740"/>
    <w:rsid w:val="00B542AA"/>
    <w:rsid w:val="00B559B7"/>
    <w:rsid w:val="00B6016A"/>
    <w:rsid w:val="00B626CC"/>
    <w:rsid w:val="00B64867"/>
    <w:rsid w:val="00B64B9F"/>
    <w:rsid w:val="00B66FDF"/>
    <w:rsid w:val="00B847BD"/>
    <w:rsid w:val="00B90B79"/>
    <w:rsid w:val="00B93E15"/>
    <w:rsid w:val="00B941D1"/>
    <w:rsid w:val="00BA01EC"/>
    <w:rsid w:val="00BA2343"/>
    <w:rsid w:val="00BA6368"/>
    <w:rsid w:val="00BB6D88"/>
    <w:rsid w:val="00BB77E3"/>
    <w:rsid w:val="00BC1CF2"/>
    <w:rsid w:val="00BC6174"/>
    <w:rsid w:val="00BC6BF2"/>
    <w:rsid w:val="00BC6F1F"/>
    <w:rsid w:val="00BD71D3"/>
    <w:rsid w:val="00BF3750"/>
    <w:rsid w:val="00C07124"/>
    <w:rsid w:val="00C14CC7"/>
    <w:rsid w:val="00C15022"/>
    <w:rsid w:val="00C31E45"/>
    <w:rsid w:val="00C43283"/>
    <w:rsid w:val="00C4423A"/>
    <w:rsid w:val="00C45BF0"/>
    <w:rsid w:val="00C47B33"/>
    <w:rsid w:val="00C5347A"/>
    <w:rsid w:val="00C54AA5"/>
    <w:rsid w:val="00C607E3"/>
    <w:rsid w:val="00C61431"/>
    <w:rsid w:val="00C663F1"/>
    <w:rsid w:val="00C74A26"/>
    <w:rsid w:val="00C865F8"/>
    <w:rsid w:val="00CB0605"/>
    <w:rsid w:val="00CB1FE8"/>
    <w:rsid w:val="00CB5659"/>
    <w:rsid w:val="00CB74F8"/>
    <w:rsid w:val="00CD2529"/>
    <w:rsid w:val="00CD5748"/>
    <w:rsid w:val="00CE4110"/>
    <w:rsid w:val="00CF2F90"/>
    <w:rsid w:val="00CF3C91"/>
    <w:rsid w:val="00CF3F49"/>
    <w:rsid w:val="00CF4D84"/>
    <w:rsid w:val="00CF785F"/>
    <w:rsid w:val="00CF7FB9"/>
    <w:rsid w:val="00D07780"/>
    <w:rsid w:val="00D110C2"/>
    <w:rsid w:val="00D1464F"/>
    <w:rsid w:val="00D163E1"/>
    <w:rsid w:val="00D16B37"/>
    <w:rsid w:val="00D20760"/>
    <w:rsid w:val="00D21308"/>
    <w:rsid w:val="00D27DA9"/>
    <w:rsid w:val="00D355B7"/>
    <w:rsid w:val="00D373F2"/>
    <w:rsid w:val="00D37D1E"/>
    <w:rsid w:val="00D40E83"/>
    <w:rsid w:val="00D54885"/>
    <w:rsid w:val="00D578FA"/>
    <w:rsid w:val="00D606B6"/>
    <w:rsid w:val="00D63E18"/>
    <w:rsid w:val="00D6441C"/>
    <w:rsid w:val="00D90617"/>
    <w:rsid w:val="00D91B15"/>
    <w:rsid w:val="00D92095"/>
    <w:rsid w:val="00D97059"/>
    <w:rsid w:val="00DA7A6D"/>
    <w:rsid w:val="00DB179D"/>
    <w:rsid w:val="00DB436D"/>
    <w:rsid w:val="00DB53C9"/>
    <w:rsid w:val="00DC010F"/>
    <w:rsid w:val="00DC636E"/>
    <w:rsid w:val="00DD0D05"/>
    <w:rsid w:val="00DD39A9"/>
    <w:rsid w:val="00DE0982"/>
    <w:rsid w:val="00DE132A"/>
    <w:rsid w:val="00DF0B9B"/>
    <w:rsid w:val="00E02302"/>
    <w:rsid w:val="00E036D5"/>
    <w:rsid w:val="00E03DA3"/>
    <w:rsid w:val="00E04C97"/>
    <w:rsid w:val="00E068CF"/>
    <w:rsid w:val="00E116D5"/>
    <w:rsid w:val="00E11B5C"/>
    <w:rsid w:val="00E16CA7"/>
    <w:rsid w:val="00E22FA6"/>
    <w:rsid w:val="00E23C29"/>
    <w:rsid w:val="00E24C98"/>
    <w:rsid w:val="00E25859"/>
    <w:rsid w:val="00E30088"/>
    <w:rsid w:val="00E313DD"/>
    <w:rsid w:val="00E33052"/>
    <w:rsid w:val="00E349D0"/>
    <w:rsid w:val="00E375D3"/>
    <w:rsid w:val="00E470C8"/>
    <w:rsid w:val="00E5117A"/>
    <w:rsid w:val="00E5521E"/>
    <w:rsid w:val="00E609C2"/>
    <w:rsid w:val="00E61933"/>
    <w:rsid w:val="00E61FBD"/>
    <w:rsid w:val="00E719CB"/>
    <w:rsid w:val="00E724CE"/>
    <w:rsid w:val="00E72D55"/>
    <w:rsid w:val="00E77C62"/>
    <w:rsid w:val="00E849FC"/>
    <w:rsid w:val="00E9027E"/>
    <w:rsid w:val="00E95ACE"/>
    <w:rsid w:val="00EC69A5"/>
    <w:rsid w:val="00EE28DC"/>
    <w:rsid w:val="00EE52D5"/>
    <w:rsid w:val="00EE595C"/>
    <w:rsid w:val="00EF6072"/>
    <w:rsid w:val="00EF7466"/>
    <w:rsid w:val="00F01873"/>
    <w:rsid w:val="00F04F89"/>
    <w:rsid w:val="00F11E49"/>
    <w:rsid w:val="00F1745B"/>
    <w:rsid w:val="00F206F4"/>
    <w:rsid w:val="00F2088E"/>
    <w:rsid w:val="00F32D65"/>
    <w:rsid w:val="00F33992"/>
    <w:rsid w:val="00F43C97"/>
    <w:rsid w:val="00F46119"/>
    <w:rsid w:val="00F51350"/>
    <w:rsid w:val="00F54622"/>
    <w:rsid w:val="00F55932"/>
    <w:rsid w:val="00F710F1"/>
    <w:rsid w:val="00F72C34"/>
    <w:rsid w:val="00F73DED"/>
    <w:rsid w:val="00F75FF9"/>
    <w:rsid w:val="00F7774C"/>
    <w:rsid w:val="00F82311"/>
    <w:rsid w:val="00F82798"/>
    <w:rsid w:val="00F851DD"/>
    <w:rsid w:val="00F91B87"/>
    <w:rsid w:val="00F92C11"/>
    <w:rsid w:val="00F93EED"/>
    <w:rsid w:val="00FA16F3"/>
    <w:rsid w:val="00FB3C48"/>
    <w:rsid w:val="00FB7C98"/>
    <w:rsid w:val="00FC163E"/>
    <w:rsid w:val="00FC295B"/>
    <w:rsid w:val="00FD0891"/>
    <w:rsid w:val="00FD0CF2"/>
    <w:rsid w:val="00FD0D00"/>
    <w:rsid w:val="00FD2219"/>
    <w:rsid w:val="00FE0B0C"/>
    <w:rsid w:val="00FE46E4"/>
    <w:rsid w:val="00FE7D90"/>
    <w:rsid w:val="00FF1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1st elvel bullet green,1st level - Bullet List Paragraph,Lettre d'introduction,Paragrafo elenco,l"/>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1st elvel bullet green Char,Paragrafo elenco Char"/>
    <w:link w:val="ListParagraph"/>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Header"/>
    <w:next w:val="Heading4"/>
    <w:link w:val="Stilius1Diagrama"/>
    <w:qFormat/>
    <w:rsid w:val="00CD2529"/>
    <w:pPr>
      <w:spacing w:before="120" w:after="120"/>
    </w:pPr>
    <w:rPr>
      <w:b/>
      <w:i/>
      <w:color w:val="44546A" w:themeColor="text2"/>
    </w:rPr>
  </w:style>
  <w:style w:type="character" w:customStyle="1" w:styleId="Stilius1Diagrama">
    <w:name w:val="Stilius1 Diagrama"/>
    <w:basedOn w:val="HeaderChar"/>
    <w:link w:val="Stilius1"/>
    <w:rsid w:val="00CD2529"/>
    <w:rPr>
      <w:rFonts w:ascii="Times New Roman" w:eastAsia="Times New Roman" w:hAnsi="Times New Roman" w:cs="Times New Roman"/>
      <w:b/>
      <w:i/>
      <w:color w:val="44546A" w:themeColor="text2"/>
      <w:sz w:val="24"/>
      <w:szCs w:val="20"/>
      <w:lang w:eastAsia="lt-LT"/>
    </w:rPr>
  </w:style>
  <w:style w:type="paragraph" w:styleId="Header">
    <w:name w:val="header"/>
    <w:basedOn w:val="Normal"/>
    <w:link w:val="HeaderChar"/>
    <w:uiPriority w:val="99"/>
    <w:unhideWhenUsed/>
    <w:rsid w:val="00CD2529"/>
    <w:pPr>
      <w:tabs>
        <w:tab w:val="center" w:pos="4819"/>
        <w:tab w:val="right" w:pos="9638"/>
      </w:tabs>
    </w:pPr>
  </w:style>
  <w:style w:type="character" w:customStyle="1" w:styleId="HeaderChar">
    <w:name w:val="Header Char"/>
    <w:basedOn w:val="DefaultParagraphFont"/>
    <w:link w:val="Header"/>
    <w:uiPriority w:val="99"/>
    <w:rsid w:val="00CD252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Normal"/>
    <w:rsid w:val="00CD2529"/>
    <w:pPr>
      <w:spacing w:before="100" w:beforeAutospacing="1" w:after="100" w:afterAutospacing="1"/>
    </w:pPr>
    <w:rPr>
      <w:szCs w:val="24"/>
    </w:rPr>
  </w:style>
  <w:style w:type="character" w:customStyle="1" w:styleId="cf01">
    <w:name w:val="cf01"/>
    <w:basedOn w:val="DefaultParagraphFont"/>
    <w:rsid w:val="00CD2529"/>
    <w:rPr>
      <w:rFonts w:ascii="Segoe UI" w:hAnsi="Segoe UI" w:cs="Segoe UI" w:hint="default"/>
      <w:sz w:val="18"/>
      <w:szCs w:val="18"/>
    </w:rPr>
  </w:style>
  <w:style w:type="character" w:customStyle="1" w:styleId="cf11">
    <w:name w:val="cf11"/>
    <w:basedOn w:val="DefaultParagraphFont"/>
    <w:rsid w:val="007F1949"/>
    <w:rPr>
      <w:rFonts w:ascii="Segoe UI" w:hAnsi="Segoe UI" w:cs="Segoe UI" w:hint="default"/>
      <w:sz w:val="18"/>
      <w:szCs w:val="18"/>
    </w:rPr>
  </w:style>
  <w:style w:type="character" w:customStyle="1" w:styleId="cf21">
    <w:name w:val="cf21"/>
    <w:basedOn w:val="DefaultParagraphFont"/>
    <w:rsid w:val="007F1949"/>
    <w:rPr>
      <w:rFonts w:ascii="Segoe UI" w:hAnsi="Segoe UI" w:cs="Segoe UI" w:hint="default"/>
      <w:sz w:val="18"/>
      <w:szCs w:val="18"/>
    </w:rPr>
  </w:style>
  <w:style w:type="paragraph" w:styleId="Revision">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DefaultParagraphFont"/>
    <w:link w:val="Antrat1"/>
    <w:uiPriority w:val="35"/>
    <w:locked/>
    <w:rsid w:val="00D54885"/>
    <w:rPr>
      <w:rFonts w:ascii="Trebuchet MS" w:hAnsi="Trebuchet MS"/>
      <w:b/>
      <w:bCs/>
      <w:color w:val="005962"/>
    </w:rPr>
  </w:style>
  <w:style w:type="paragraph" w:customStyle="1" w:styleId="Antrat1">
    <w:name w:val="Antraštė1"/>
    <w:aliases w:val="Caption-tables,Tasks,Beschriftung Char2,Beschriftung Char1 Char1,Beschriftung Char Char Char1,Beschriftung Char1 Char Char,Beschriftung Char Char Char Char,Beschriftung Char Char1 Char,Beschriftung Char Char2,Beschriftung Char1 Cha...,Eco"/>
    <w:basedOn w:val="Normal"/>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DefaultParagraphFont"/>
    <w:uiPriority w:val="99"/>
    <w:semiHidden/>
    <w:unhideWhenUsed/>
    <w:rsid w:val="00E04C97"/>
    <w:rPr>
      <w:color w:val="605E5C"/>
      <w:shd w:val="clear" w:color="auto" w:fill="E1DFDD"/>
    </w:rPr>
  </w:style>
  <w:style w:type="paragraph" w:styleId="FootnoteText">
    <w:name w:val="footnote text"/>
    <w:basedOn w:val="Normal"/>
    <w:link w:val="FootnoteTextChar"/>
    <w:uiPriority w:val="99"/>
    <w:semiHidden/>
    <w:unhideWhenUsed/>
    <w:rsid w:val="00894881"/>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881"/>
    <w:rPr>
      <w:sz w:val="20"/>
      <w:szCs w:val="20"/>
    </w:rPr>
  </w:style>
  <w:style w:type="character" w:styleId="FootnoteReference">
    <w:name w:val="footnote reference"/>
    <w:basedOn w:val="DefaultParagraphFont"/>
    <w:uiPriority w:val="99"/>
    <w:semiHidden/>
    <w:unhideWhenUsed/>
    <w:rsid w:val="00894881"/>
    <w:rPr>
      <w:vertAlign w:val="superscript"/>
    </w:rPr>
  </w:style>
  <w:style w:type="paragraph" w:customStyle="1" w:styleId="rfrenceinstitutionnelle">
    <w:name w:val="rfrenceinstitutionnelle"/>
    <w:basedOn w:val="Normal"/>
    <w:rsid w:val="00894881"/>
    <w:pPr>
      <w:spacing w:before="100" w:beforeAutospacing="1" w:after="100" w:afterAutospacing="1"/>
    </w:pPr>
    <w:rPr>
      <w:szCs w:val="24"/>
    </w:rPr>
  </w:style>
  <w:style w:type="paragraph" w:customStyle="1" w:styleId="Hyperlink1">
    <w:name w:val="Hyperlink1"/>
    <w:basedOn w:val="Normal"/>
    <w:qFormat/>
    <w:rsid w:val="00331808"/>
    <w:pPr>
      <w:ind w:left="720"/>
      <w:contextualSpacing/>
    </w:pPr>
    <w:rPr>
      <w:szCs w:val="24"/>
      <w:lang w:val="en-US" w:eastAsia="en-US"/>
    </w:rPr>
  </w:style>
  <w:style w:type="paragraph" w:styleId="Footer">
    <w:name w:val="footer"/>
    <w:basedOn w:val="Normal"/>
    <w:link w:val="FooterChar"/>
    <w:uiPriority w:val="99"/>
    <w:unhideWhenUsed/>
    <w:rsid w:val="0014759D"/>
    <w:pPr>
      <w:tabs>
        <w:tab w:val="center" w:pos="4819"/>
        <w:tab w:val="right" w:pos="9638"/>
      </w:tabs>
    </w:pPr>
  </w:style>
  <w:style w:type="character" w:customStyle="1" w:styleId="FooterChar">
    <w:name w:val="Footer Char"/>
    <w:basedOn w:val="DefaultParagraphFont"/>
    <w:link w:val="Footer"/>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F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8930</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Rasa Povilaikė</cp:lastModifiedBy>
  <cp:revision>2</cp:revision>
  <cp:lastPrinted>2022-06-21T13:38:00Z</cp:lastPrinted>
  <dcterms:created xsi:type="dcterms:W3CDTF">2022-09-07T13:06:00Z</dcterms:created>
  <dcterms:modified xsi:type="dcterms:W3CDTF">2022-09-07T13:06:00Z</dcterms:modified>
</cp:coreProperties>
</file>