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C0C8" w14:textId="5BC449B7" w:rsidR="00482FB2" w:rsidRDefault="00727AE5" w:rsidP="00B2102B">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E2D4403" w:rsidR="00482FB2" w:rsidRDefault="00FE7D2F">
      <w:pPr>
        <w:widowControl w:val="0"/>
        <w:jc w:val="center"/>
        <w:textAlignment w:val="baseline"/>
        <w:rPr>
          <w:b/>
          <w:szCs w:val="24"/>
        </w:rPr>
      </w:pPr>
      <w:r>
        <w:rPr>
          <w:b/>
          <w:szCs w:val="24"/>
        </w:rPr>
        <w:t>PASIŪLYM</w:t>
      </w:r>
      <w:r w:rsidR="008250A5">
        <w:rPr>
          <w:b/>
          <w:szCs w:val="24"/>
        </w:rPr>
        <w:t>AS</w:t>
      </w:r>
      <w:r>
        <w:rPr>
          <w:b/>
          <w:szCs w:val="24"/>
        </w:rPr>
        <w:t xml:space="preserve">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6CA201D5" w:rsidR="00482FB2"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Pr="00DB45CF">
        <w:rPr>
          <w:szCs w:val="24"/>
        </w:rPr>
        <w:t>rug</w:t>
      </w:r>
      <w:r w:rsidR="00C05A28">
        <w:rPr>
          <w:szCs w:val="24"/>
        </w:rPr>
        <w:t>sėjo</w:t>
      </w:r>
      <w:r w:rsidR="00A1239B">
        <w:rPr>
          <w:szCs w:val="24"/>
          <w:lang w:val="en-US"/>
        </w:rPr>
        <w:t xml:space="preserve"> </w:t>
      </w:r>
      <w:r w:rsidR="00C23732">
        <w:rPr>
          <w:szCs w:val="24"/>
          <w:lang w:val="en-US"/>
        </w:rPr>
        <w:t>2</w:t>
      </w:r>
      <w:r w:rsidR="008250A5">
        <w:rPr>
          <w:szCs w:val="24"/>
          <w:lang w:val="en-US"/>
        </w:rPr>
        <w:t>2</w:t>
      </w:r>
      <w:r w:rsidR="00EA685F">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8765"/>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284064F6" w:rsidR="00482FB2" w:rsidRPr="00222D43" w:rsidRDefault="00C10EA2" w:rsidP="004F406F">
            <w:pPr>
              <w:widowControl w:val="0"/>
              <w:jc w:val="both"/>
              <w:textAlignment w:val="baseline"/>
              <w:rPr>
                <w:i/>
                <w:szCs w:val="24"/>
              </w:rPr>
            </w:pPr>
            <w:r w:rsidRPr="00222D43">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FA67C6" w:rsidRPr="00222D43">
              <w:rPr>
                <w:i/>
                <w:szCs w:val="24"/>
              </w:rPr>
              <w:t xml:space="preserve"> veiklos „Skatinti inovacijų pasiūlą“ </w:t>
            </w:r>
            <w:r w:rsidRPr="00222D43">
              <w:rPr>
                <w:i/>
                <w:szCs w:val="24"/>
              </w:rPr>
              <w:t>poveiklė</w:t>
            </w:r>
            <w:r w:rsidR="00867C46" w:rsidRPr="00222D43">
              <w:rPr>
                <w:i/>
                <w:szCs w:val="24"/>
              </w:rPr>
              <w:t xml:space="preserve">: </w:t>
            </w:r>
            <w:r w:rsidR="006A0CFB">
              <w:rPr>
                <w:i/>
                <w:szCs w:val="24"/>
              </w:rPr>
              <w:t>„</w:t>
            </w:r>
            <w:r w:rsidR="0098391F" w:rsidRPr="0098391F">
              <w:rPr>
                <w:i/>
                <w:szCs w:val="24"/>
              </w:rPr>
              <w:t>Investuoti į naujų APV</w:t>
            </w:r>
            <w:r w:rsidR="00706529">
              <w:rPr>
                <w:i/>
                <w:szCs w:val="24"/>
              </w:rPr>
              <w:t xml:space="preserve"> </w:t>
            </w:r>
            <w:r w:rsidR="0098391F" w:rsidRPr="0098391F">
              <w:rPr>
                <w:i/>
                <w:szCs w:val="24"/>
              </w:rPr>
              <w:t>produktų kūrimo veiklas ir sudaryti sąlygas tyrėjams dalyvauti įmonių MTEP veiklose, skatinti intelektinę nuosavybę, ankstyvąją sukurtų naujų produktų bandomąją gamybą, parengimą rinkai</w:t>
            </w:r>
            <w:r w:rsidR="00861869">
              <w:rPr>
                <w:i/>
                <w:szCs w:val="24"/>
              </w:rPr>
              <w:t>“</w:t>
            </w:r>
            <w:r w:rsidR="00867C46" w:rsidRPr="00222D43">
              <w:rPr>
                <w:i/>
                <w:szCs w:val="24"/>
              </w:rPr>
              <w:t xml:space="preserve"> </w:t>
            </w:r>
            <w:r w:rsidR="00861869">
              <w:rPr>
                <w:i/>
                <w:szCs w:val="24"/>
              </w:rPr>
              <w:t>(</w:t>
            </w:r>
            <w:r w:rsidR="00867C46" w:rsidRPr="00222D43">
              <w:rPr>
                <w:i/>
                <w:szCs w:val="24"/>
              </w:rPr>
              <w:t>Vidurio ir vakarų Lietuvos regionas</w:t>
            </w:r>
            <w:r w:rsidR="00FA0E95">
              <w:rPr>
                <w:i/>
                <w:szCs w:val="24"/>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0BB95C9" w:rsidR="00482FB2" w:rsidRPr="00DD33E8" w:rsidRDefault="00C739BD">
            <w:pPr>
              <w:widowControl w:val="0"/>
              <w:textAlignment w:val="baseline"/>
              <w:rPr>
                <w:i/>
                <w:iCs/>
                <w:szCs w:val="24"/>
                <w:lang w:val="en-US"/>
              </w:rPr>
            </w:pPr>
            <w:r>
              <w:rPr>
                <w:i/>
                <w:iCs/>
                <w:szCs w:val="24"/>
                <w:lang w:val="en-US"/>
              </w:rPr>
              <w:t>134,75</w:t>
            </w:r>
            <w:r w:rsidR="00DD33E8" w:rsidRPr="00DD33E8">
              <w:rPr>
                <w:i/>
                <w:iCs/>
                <w:szCs w:val="24"/>
                <w:lang w:val="en-US"/>
              </w:rPr>
              <w:t xml:space="preserve"> </w:t>
            </w:r>
            <w:proofErr w:type="spellStart"/>
            <w:r w:rsidR="00DD33E8" w:rsidRPr="00DD33E8">
              <w:rPr>
                <w:i/>
                <w:iCs/>
                <w:szCs w:val="24"/>
                <w:lang w:val="en-US"/>
              </w:rPr>
              <w:t>mln</w:t>
            </w:r>
            <w:proofErr w:type="spellEnd"/>
            <w:r w:rsidR="00DD33E8" w:rsidRPr="00DD33E8">
              <w:rPr>
                <w:i/>
                <w:iCs/>
                <w:szCs w:val="24"/>
                <w:lang w:val="en-US"/>
              </w:rPr>
              <w:t>. Eur</w:t>
            </w:r>
            <w:r w:rsidR="00FC606A">
              <w:rPr>
                <w:i/>
                <w:iCs/>
                <w:szCs w:val="24"/>
                <w:lang w:val="en-US"/>
              </w:rPr>
              <w:t xml:space="preserve">. </w:t>
            </w:r>
            <w:proofErr w:type="spellStart"/>
            <w:r w:rsidR="00FC606A" w:rsidRPr="00FC606A">
              <w:rPr>
                <w:i/>
                <w:iCs/>
                <w:szCs w:val="24"/>
                <w:lang w:val="en-US"/>
              </w:rPr>
              <w:t>Poveiklei</w:t>
            </w:r>
            <w:proofErr w:type="spellEnd"/>
            <w:r w:rsidR="00FC606A" w:rsidRPr="00FC606A">
              <w:rPr>
                <w:i/>
                <w:iCs/>
                <w:szCs w:val="24"/>
                <w:lang w:val="en-US"/>
              </w:rPr>
              <w:t xml:space="preserve"> </w:t>
            </w:r>
            <w:proofErr w:type="spellStart"/>
            <w:r w:rsidR="00FC606A" w:rsidRPr="00FC606A">
              <w:rPr>
                <w:i/>
                <w:iCs/>
                <w:szCs w:val="24"/>
                <w:lang w:val="en-US"/>
              </w:rPr>
              <w:t>skiriama</w:t>
            </w:r>
            <w:proofErr w:type="spellEnd"/>
            <w:r w:rsidR="00FC606A" w:rsidRPr="00FC606A">
              <w:rPr>
                <w:i/>
                <w:iCs/>
                <w:szCs w:val="24"/>
                <w:lang w:val="en-US"/>
              </w:rPr>
              <w:t xml:space="preserve"> </w:t>
            </w:r>
            <w:proofErr w:type="spellStart"/>
            <w:r w:rsidR="00FC606A" w:rsidRPr="00FC606A">
              <w:rPr>
                <w:i/>
                <w:iCs/>
                <w:szCs w:val="24"/>
                <w:lang w:val="en-US"/>
              </w:rPr>
              <w:t>iki</w:t>
            </w:r>
            <w:proofErr w:type="spellEnd"/>
            <w:r w:rsidR="00FC606A" w:rsidRPr="00FC606A">
              <w:rPr>
                <w:i/>
                <w:iCs/>
                <w:szCs w:val="24"/>
                <w:lang w:val="en-US"/>
              </w:rPr>
              <w:t xml:space="preserve"> 6,8 </w:t>
            </w:r>
            <w:proofErr w:type="spellStart"/>
            <w:r w:rsidR="00FC606A" w:rsidRPr="00FC606A">
              <w:rPr>
                <w:i/>
                <w:iCs/>
                <w:szCs w:val="24"/>
                <w:lang w:val="en-US"/>
              </w:rPr>
              <w:t>mln</w:t>
            </w:r>
            <w:proofErr w:type="spellEnd"/>
            <w:r w:rsidR="00FC606A" w:rsidRPr="00FC606A">
              <w:rPr>
                <w:i/>
                <w:iCs/>
                <w:szCs w:val="24"/>
                <w:lang w:val="en-US"/>
              </w:rPr>
              <w:t>. Eur.</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1A12A61D"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87B640D"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tc>
          <w:tcPr>
            <w:tcW w:w="6345" w:type="dxa"/>
            <w:shd w:val="clear" w:color="auto" w:fill="auto"/>
            <w:vAlign w:val="center"/>
          </w:tcPr>
          <w:p w14:paraId="44E3D02A" w14:textId="10BA256F" w:rsidR="00482FB2" w:rsidRDefault="00FE7D2F">
            <w:pPr>
              <w:widowControl w:val="0"/>
              <w:textAlignment w:val="baseline"/>
              <w:rPr>
                <w:b/>
                <w:szCs w:val="24"/>
              </w:rPr>
            </w:pPr>
            <w:r>
              <w:rPr>
                <w:b/>
                <w:szCs w:val="24"/>
              </w:rPr>
              <w:t xml:space="preserve">Atitiktis horizontaliesiems principams </w:t>
            </w:r>
          </w:p>
        </w:tc>
        <w:tc>
          <w:tcPr>
            <w:tcW w:w="9008" w:type="dxa"/>
            <w:shd w:val="clear" w:color="auto" w:fill="auto"/>
            <w:vAlign w:val="center"/>
          </w:tcPr>
          <w:p w14:paraId="12ACFF7F" w14:textId="34686194" w:rsidR="00300D94" w:rsidRDefault="00A41296" w:rsidP="00485DA5">
            <w:pPr>
              <w:tabs>
                <w:tab w:val="left" w:pos="860"/>
              </w:tabs>
              <w:jc w:val="both"/>
              <w:rPr>
                <w:i/>
                <w:iCs/>
              </w:rPr>
            </w:pPr>
            <w:r w:rsidRPr="00300D94">
              <w:rPr>
                <w:rFonts w:eastAsiaTheme="minorHAnsi"/>
                <w:i/>
                <w:iCs/>
                <w:szCs w:val="24"/>
              </w:rPr>
              <w:t>Pov</w:t>
            </w:r>
            <w:r w:rsidR="00197D47" w:rsidRPr="00300D94">
              <w:rPr>
                <w:rFonts w:eastAsiaTheme="minorHAnsi"/>
                <w:i/>
                <w:iCs/>
                <w:szCs w:val="24"/>
              </w:rPr>
              <w:t>eikl</w:t>
            </w:r>
            <w:r w:rsidRPr="00300D94">
              <w:rPr>
                <w:rFonts w:eastAsiaTheme="minorHAnsi"/>
                <w:i/>
                <w:iCs/>
                <w:szCs w:val="24"/>
              </w:rPr>
              <w:t>ė</w:t>
            </w:r>
            <w:r w:rsidR="00197D47" w:rsidRPr="00300D94">
              <w:rPr>
                <w:rFonts w:eastAsiaTheme="minorHAnsi"/>
                <w:i/>
                <w:iCs/>
                <w:szCs w:val="24"/>
              </w:rPr>
              <w:t xml:space="preserve"> tiesiogiai prisideda prie i</w:t>
            </w:r>
            <w:r w:rsidR="00197D47" w:rsidRPr="00300D94">
              <w:rPr>
                <w:rFonts w:eastAsia="Republika"/>
                <w:i/>
                <w:iCs/>
                <w:szCs w:val="24"/>
              </w:rPr>
              <w:t xml:space="preserve">novatyvumo (kūrybingumo) horizontaliojo principo, kuris įgyvendinamas per projektų veiklas, projektų vykdytojus ir tikslines grupes: </w:t>
            </w:r>
            <w:r w:rsidR="00197D47" w:rsidRPr="00300D94">
              <w:rPr>
                <w:i/>
                <w:iCs/>
                <w:szCs w:val="24"/>
              </w:rPr>
              <w:t xml:space="preserve">investuojama į naujų aukštos pridėtinės vertės (toliau – APV) produktų kūrimo veiklas, sudaromos sąlygos tyrėjams dalyvauti įmonių </w:t>
            </w:r>
            <w:r w:rsidR="00300D94">
              <w:rPr>
                <w:i/>
                <w:iCs/>
                <w:szCs w:val="24"/>
              </w:rPr>
              <w:t xml:space="preserve">mokslinių tyrimų ir eksperimentinės </w:t>
            </w:r>
            <w:r w:rsidR="00300D94">
              <w:rPr>
                <w:i/>
                <w:iCs/>
                <w:szCs w:val="24"/>
              </w:rPr>
              <w:lastRenderedPageBreak/>
              <w:t>plėtros (</w:t>
            </w:r>
            <w:r w:rsidR="00AD0FBB">
              <w:rPr>
                <w:i/>
                <w:iCs/>
                <w:szCs w:val="24"/>
              </w:rPr>
              <w:t xml:space="preserve">toliau – </w:t>
            </w:r>
            <w:r w:rsidR="00197D47" w:rsidRPr="00300D94">
              <w:rPr>
                <w:i/>
                <w:iCs/>
                <w:szCs w:val="24"/>
              </w:rPr>
              <w:t>MTEP</w:t>
            </w:r>
            <w:r w:rsidR="00AD0FBB">
              <w:rPr>
                <w:i/>
                <w:iCs/>
                <w:szCs w:val="24"/>
              </w:rPr>
              <w:t>)</w:t>
            </w:r>
            <w:r w:rsidR="00197D47" w:rsidRPr="00300D94">
              <w:rPr>
                <w:i/>
                <w:iCs/>
                <w:szCs w:val="24"/>
              </w:rPr>
              <w:t xml:space="preserve"> veiklose, skatinamas bendradarbiavimas ir (arba) technologijų perdavimas tarp įmonių (ir tarp didelių įmonių</w:t>
            </w:r>
            <w:r w:rsidR="00EF00A7">
              <w:rPr>
                <w:i/>
                <w:iCs/>
                <w:szCs w:val="24"/>
              </w:rPr>
              <w:t>,</w:t>
            </w:r>
            <w:r w:rsidR="00197D47" w:rsidRPr="00300D94">
              <w:rPr>
                <w:i/>
                <w:iCs/>
                <w:szCs w:val="24"/>
              </w:rPr>
              <w:t xml:space="preserve"> ir </w:t>
            </w:r>
            <w:r w:rsidR="009A0CAA">
              <w:rPr>
                <w:i/>
                <w:iCs/>
                <w:szCs w:val="24"/>
              </w:rPr>
              <w:t xml:space="preserve">labai mažų, mažų ir vidutinių įmonių (toliau </w:t>
            </w:r>
            <w:r w:rsidR="0059484C">
              <w:rPr>
                <w:i/>
                <w:iCs/>
                <w:szCs w:val="24"/>
              </w:rPr>
              <w:t xml:space="preserve">– </w:t>
            </w:r>
            <w:r w:rsidR="00197D47" w:rsidRPr="00300D94">
              <w:rPr>
                <w:i/>
                <w:iCs/>
                <w:szCs w:val="24"/>
              </w:rPr>
              <w:t>MVĮ)</w:t>
            </w:r>
            <w:r w:rsidR="00504F3B">
              <w:rPr>
                <w:i/>
                <w:iCs/>
                <w:szCs w:val="24"/>
              </w:rPr>
              <w:t xml:space="preserve">) </w:t>
            </w:r>
            <w:r w:rsidR="00197D47" w:rsidRPr="00300D94">
              <w:rPr>
                <w:i/>
                <w:iCs/>
                <w:szCs w:val="24"/>
              </w:rPr>
              <w:t>MTEP srityje</w:t>
            </w:r>
            <w:r w:rsidR="00A61B3E">
              <w:rPr>
                <w:i/>
                <w:iCs/>
                <w:szCs w:val="24"/>
              </w:rPr>
              <w:t xml:space="preserve">. </w:t>
            </w:r>
            <w:r w:rsidR="0047279A">
              <w:rPr>
                <w:i/>
                <w:iCs/>
                <w:szCs w:val="24"/>
              </w:rPr>
              <w:t>Po</w:t>
            </w:r>
            <w:r w:rsidR="0047279A">
              <w:rPr>
                <w:i/>
                <w:iCs/>
              </w:rPr>
              <w:t>v</w:t>
            </w:r>
            <w:r w:rsidR="00FF19F5" w:rsidRPr="00FF19F5">
              <w:rPr>
                <w:i/>
                <w:iCs/>
              </w:rPr>
              <w:t>eikl</w:t>
            </w:r>
            <w:r w:rsidR="0047279A">
              <w:rPr>
                <w:i/>
                <w:iCs/>
              </w:rPr>
              <w:t xml:space="preserve">ė </w:t>
            </w:r>
            <w:r w:rsidR="00FF19F5" w:rsidRPr="00FF19F5">
              <w:rPr>
                <w:i/>
                <w:iCs/>
              </w:rPr>
              <w:t xml:space="preserve">tiesiogiai neprisideda prie darnaus vystymosi principo. </w:t>
            </w:r>
            <w:r w:rsidR="0047279A">
              <w:rPr>
                <w:i/>
                <w:iCs/>
              </w:rPr>
              <w:t>Poveiklė</w:t>
            </w:r>
            <w:r w:rsidR="00FF19F5" w:rsidRPr="00FF19F5">
              <w:rPr>
                <w:i/>
                <w:iCs/>
              </w:rPr>
              <w:t xml:space="preserve"> tiesiogiai neprisideda prie horizontaliojo principo „lygios galimybės visiems“, tačiau neigiamos įtakos jam taip pat nedaro, nes </w:t>
            </w:r>
            <w:r w:rsidR="0047279A">
              <w:rPr>
                <w:i/>
                <w:iCs/>
              </w:rPr>
              <w:t>po</w:t>
            </w:r>
            <w:r w:rsidR="00FF19F5" w:rsidRPr="00FF19F5">
              <w:rPr>
                <w:i/>
                <w:iCs/>
              </w:rPr>
              <w:t>veikl</w:t>
            </w:r>
            <w:r w:rsidR="0047279A">
              <w:rPr>
                <w:i/>
                <w:iCs/>
              </w:rPr>
              <w:t>ė</w:t>
            </w:r>
            <w:r w:rsidR="00FF19F5" w:rsidRPr="00FF19F5">
              <w:rPr>
                <w:i/>
                <w:iCs/>
              </w:rPr>
              <w:t xml:space="preserve">s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503ADD94" w:rsidR="00853C95" w:rsidRPr="00853C95" w:rsidRDefault="004F3DD6" w:rsidP="00485DA5">
            <w:pPr>
              <w:tabs>
                <w:tab w:val="left" w:pos="860"/>
              </w:tabs>
              <w:jc w:val="both"/>
              <w:rPr>
                <w:i/>
                <w:iCs/>
                <w:color w:val="FF0000"/>
                <w:szCs w:val="24"/>
              </w:rPr>
            </w:pPr>
            <w:r>
              <w:rPr>
                <w:i/>
                <w:color w:val="000000"/>
                <w:szCs w:val="24"/>
              </w:rPr>
              <w:t>Pov</w:t>
            </w:r>
            <w:r w:rsidR="00853C95" w:rsidRPr="00853C95">
              <w:rPr>
                <w:i/>
                <w:color w:val="000000"/>
                <w:szCs w:val="24"/>
              </w:rPr>
              <w:t>eikl</w:t>
            </w:r>
            <w:r>
              <w:rPr>
                <w:i/>
                <w:color w:val="000000"/>
                <w:szCs w:val="24"/>
              </w:rPr>
              <w:t>ė</w:t>
            </w:r>
            <w:r w:rsidR="00853C95" w:rsidRPr="00853C95">
              <w:rPr>
                <w:i/>
                <w:color w:val="000000"/>
                <w:szCs w:val="24"/>
              </w:rPr>
              <w:t xml:space="preserve">, vadovaujantis </w:t>
            </w:r>
            <w:hyperlink r:id="rId13" w:history="1">
              <w:r w:rsidR="00853C95" w:rsidRPr="00853C95">
                <w:rPr>
                  <w:i/>
                  <w:color w:val="0000FF"/>
                  <w:szCs w:val="24"/>
                  <w:u w:val="single"/>
                </w:rPr>
                <w:t>Europos Komisijos 2021</w:t>
              </w:r>
              <w:r w:rsidR="00CE45A8">
                <w:rPr>
                  <w:i/>
                  <w:color w:val="0000FF"/>
                  <w:szCs w:val="24"/>
                  <w:u w:val="single"/>
                </w:rPr>
                <w:t> m.</w:t>
              </w:r>
              <w:r w:rsidR="00853C95" w:rsidRPr="00853C95">
                <w:rPr>
                  <w:i/>
                  <w:color w:val="0000FF"/>
                  <w:szCs w:val="24"/>
                  <w:u w:val="single"/>
                </w:rPr>
                <w:t xml:space="preserve"> vasario 12 d. patvirtintomis Reikšmingos žalos nedarymo principo taikymo pagal Ekonomikos atsparumo ir didinimo priemonės reglamentą techninėmis gairėmis</w:t>
              </w:r>
            </w:hyperlink>
            <w:r w:rsidR="00853C95" w:rsidRPr="00853C95">
              <w:rPr>
                <w:i/>
                <w:color w:val="000000"/>
                <w:szCs w:val="24"/>
              </w:rPr>
              <w:t xml:space="preserve">, atitinka reikšmingos žalos nedarymo principą, nes neturi neigiamo numatomo poveikio 6 aplinkos tikslams, nurodytiems </w:t>
            </w:r>
            <w:hyperlink r:id="rId14" w:history="1">
              <w:r w:rsidR="00853C95" w:rsidRPr="00853C95">
                <w:rPr>
                  <w:i/>
                  <w:color w:val="0000FF"/>
                  <w:szCs w:val="24"/>
                  <w:u w:val="single"/>
                </w:rPr>
                <w:t>2020</w:t>
              </w:r>
              <w:r w:rsidR="00CE45A8">
                <w:rPr>
                  <w:i/>
                  <w:color w:val="0000FF"/>
                  <w:szCs w:val="24"/>
                  <w:u w:val="single"/>
                </w:rPr>
                <w:t> </w:t>
              </w:r>
              <w:r w:rsidR="00853C95" w:rsidRPr="00853C95">
                <w:rPr>
                  <w:i/>
                  <w:color w:val="0000FF"/>
                  <w:szCs w:val="24"/>
                  <w:u w:val="single"/>
                </w:rPr>
                <w:t>m. birželio 18 d. Europos Parlamento ir Tarybos reglamento (ES) Nr. 2020/852 dėl sistemos tvariam investavimui palengvinti sukūrimo, kuriuo iš dalies keičiamas Reglamentas (ES) 2019/2088</w:t>
              </w:r>
            </w:hyperlink>
            <w:r w:rsidR="00853C95" w:rsidRPr="00853C95">
              <w:rPr>
                <w:i/>
                <w:color w:val="000000"/>
                <w:szCs w:val="24"/>
              </w:rPr>
              <w:t>, 17 straipsnyje</w:t>
            </w:r>
            <w:r w:rsidR="00853C95" w:rsidRPr="00853C95">
              <w:rPr>
                <w:rFonts w:ascii="Helv" w:hAnsi="Helv" w:cs="Helv"/>
                <w:i/>
                <w:color w:val="000000"/>
                <w:szCs w:val="24"/>
              </w:rPr>
              <w:t>,</w:t>
            </w:r>
            <w:r w:rsidR="00853C95" w:rsidRPr="00853C95">
              <w:rPr>
                <w:i/>
                <w:color w:val="000000"/>
                <w:szCs w:val="24"/>
              </w:rPr>
              <w:t xml:space="preserve"> arba numatomas jų poveikis yra nereikšmingas, t. y. nedaro tiesioginio ir pirminio netiesioginio poveikio per visą gyvavimo ciklą</w:t>
            </w:r>
            <w:r w:rsidR="00853C95" w:rsidRPr="00853C95">
              <w:rPr>
                <w:rFonts w:ascii="Helv" w:hAnsi="Helv" w:cs="Helv"/>
                <w:i/>
                <w:color w:val="000000"/>
                <w:szCs w:val="24"/>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lastRenderedPageBreak/>
              <w:t>Atitiktis Europos Sąjungos pagrindinių teisių chartijai (toliau – Chartija)</w:t>
            </w:r>
          </w:p>
        </w:tc>
        <w:tc>
          <w:tcPr>
            <w:tcW w:w="9008" w:type="dxa"/>
            <w:shd w:val="clear" w:color="auto" w:fill="auto"/>
            <w:vAlign w:val="center"/>
          </w:tcPr>
          <w:p w14:paraId="3A57C6C3" w14:textId="7D5350D3" w:rsidR="00A41296" w:rsidRPr="00300D94" w:rsidRDefault="00A41296" w:rsidP="00300D94">
            <w:pPr>
              <w:widowControl w:val="0"/>
              <w:jc w:val="both"/>
              <w:textAlignment w:val="baseline"/>
              <w:rPr>
                <w:bCs/>
                <w:i/>
                <w:color w:val="FF0000"/>
                <w:szCs w:val="24"/>
              </w:rPr>
            </w:pPr>
            <w:r>
              <w:rPr>
                <w:i/>
                <w:szCs w:val="24"/>
              </w:rPr>
              <w:t xml:space="preserve">Poveiklė </w:t>
            </w:r>
            <w:r w:rsidRPr="001306F3">
              <w:rPr>
                <w:i/>
                <w:szCs w:val="24"/>
              </w:rPr>
              <w:t>nepažeidžia</w:t>
            </w:r>
            <w:r w:rsidRPr="00B55624">
              <w:rPr>
                <w:i/>
                <w:sz w:val="20"/>
              </w:rPr>
              <w:t xml:space="preserve"> </w:t>
            </w:r>
            <w:r w:rsidR="0021091A">
              <w:rPr>
                <w:bCs/>
                <w:i/>
                <w:iCs/>
              </w:rPr>
              <w:t>C</w:t>
            </w:r>
            <w:r w:rsidRPr="001306F3">
              <w:rPr>
                <w:bCs/>
                <w:i/>
                <w:iCs/>
              </w:rPr>
              <w:t>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8765"/>
      </w:tblGrid>
      <w:tr w:rsidR="00482FB2" w14:paraId="51B3363E" w14:textId="77777777" w:rsidTr="603E2C61">
        <w:tc>
          <w:tcPr>
            <w:tcW w:w="6259"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9B534A">
              <w:rPr>
                <w:lang w:eastAsia="lt-LT"/>
              </w:rPr>
            </w:r>
            <w:r w:rsidR="009B534A">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03E2C61">
        <w:tc>
          <w:tcPr>
            <w:tcW w:w="6259"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794524A3" w14:textId="34398352" w:rsidR="00482FB2" w:rsidRPr="00282C61" w:rsidRDefault="00300D94" w:rsidP="00CA20BD">
            <w:pPr>
              <w:widowControl w:val="0"/>
              <w:jc w:val="both"/>
              <w:textAlignment w:val="baseline"/>
              <w:rPr>
                <w:bCs/>
                <w:i/>
                <w:szCs w:val="24"/>
                <w:lang w:eastAsia="lt-LT"/>
              </w:rPr>
            </w:pPr>
            <w:r w:rsidRPr="00485DA5">
              <w:rPr>
                <w:b/>
                <w:i/>
                <w:szCs w:val="24"/>
                <w:lang w:val="en-US" w:eastAsia="lt-LT"/>
              </w:rPr>
              <w:t xml:space="preserve">1. </w:t>
            </w:r>
            <w:r w:rsidRPr="00485DA5">
              <w:rPr>
                <w:b/>
                <w:i/>
                <w:szCs w:val="24"/>
                <w:lang w:eastAsia="lt-LT"/>
              </w:rPr>
              <w:t xml:space="preserve">Projekte suplanuotos veiklos atitinka </w:t>
            </w:r>
            <w:hyperlink r:id="rId15" w:history="1">
              <w:r w:rsidRPr="00491E52">
                <w:rPr>
                  <w:rStyle w:val="Hyperlink"/>
                  <w:b/>
                  <w:bCs/>
                  <w:i/>
                  <w:szCs w:val="24"/>
                  <w:lang w:eastAsia="lt-LT"/>
                </w:rPr>
                <w:t>Mokslinių tyrimų ir eksperimentinės plėtros ir inovacijų (sumaniosios specializacijos)</w:t>
              </w:r>
              <w:r w:rsidR="004E073A" w:rsidRPr="00491E52">
                <w:rPr>
                  <w:rStyle w:val="Hyperlink"/>
                  <w:b/>
                  <w:bCs/>
                  <w:i/>
                  <w:szCs w:val="24"/>
                  <w:lang w:eastAsia="lt-LT"/>
                </w:rPr>
                <w:t xml:space="preserve"> </w:t>
              </w:r>
              <w:r w:rsidRPr="00491E52">
                <w:rPr>
                  <w:rStyle w:val="Hyperlink"/>
                  <w:b/>
                  <w:bCs/>
                  <w:i/>
                  <w:szCs w:val="24"/>
                  <w:lang w:eastAsia="lt-LT"/>
                </w:rPr>
                <w:t>prioritetų įgyvendinimo koncepcijos</w:t>
              </w:r>
              <w:r w:rsidR="00823A4E" w:rsidRPr="00491E52">
                <w:rPr>
                  <w:rStyle w:val="Hyperlink"/>
                  <w:b/>
                  <w:bCs/>
                  <w:i/>
                  <w:szCs w:val="24"/>
                  <w:lang w:eastAsia="lt-LT"/>
                </w:rPr>
                <w:t xml:space="preserve">, patvirtintos </w:t>
              </w:r>
              <w:r w:rsidR="008D34C2" w:rsidRPr="00491E52">
                <w:rPr>
                  <w:rStyle w:val="Hyperlink"/>
                  <w:b/>
                  <w:bCs/>
                  <w:i/>
                  <w:szCs w:val="24"/>
                  <w:lang w:eastAsia="lt-LT"/>
                </w:rPr>
                <w:t>Lietuvos Respublikos Vyriausybės 20</w:t>
              </w:r>
              <w:r w:rsidR="008D34C2" w:rsidRPr="00491E52">
                <w:rPr>
                  <w:rStyle w:val="Hyperlink"/>
                  <w:b/>
                  <w:bCs/>
                  <w:i/>
                  <w:szCs w:val="24"/>
                  <w:lang w:val="en-US" w:eastAsia="lt-LT"/>
                </w:rPr>
                <w:t>22</w:t>
              </w:r>
              <w:r w:rsidR="008D34C2" w:rsidRPr="00491E52">
                <w:rPr>
                  <w:rStyle w:val="Hyperlink"/>
                  <w:b/>
                  <w:bCs/>
                  <w:i/>
                  <w:szCs w:val="24"/>
                  <w:lang w:eastAsia="lt-LT"/>
                </w:rPr>
                <w:t xml:space="preserve"> m. rugpjūčio 17 d. nutarimu Nr.</w:t>
              </w:r>
              <w:r w:rsidR="0021091A">
                <w:rPr>
                  <w:rStyle w:val="Hyperlink"/>
                  <w:b/>
                  <w:bCs/>
                  <w:i/>
                  <w:szCs w:val="24"/>
                  <w:lang w:eastAsia="lt-LT"/>
                </w:rPr>
                <w:t> </w:t>
              </w:r>
              <w:r w:rsidR="008D34C2" w:rsidRPr="00491E52">
                <w:rPr>
                  <w:rStyle w:val="Hyperlink"/>
                  <w:b/>
                  <w:bCs/>
                  <w:i/>
                  <w:szCs w:val="24"/>
                  <w:lang w:eastAsia="lt-LT"/>
                </w:rPr>
                <w:t xml:space="preserve">835 „Dėl </w:t>
              </w:r>
              <w:r w:rsidR="0021091A">
                <w:rPr>
                  <w:rStyle w:val="Hyperlink"/>
                  <w:b/>
                  <w:bCs/>
                  <w:i/>
                  <w:szCs w:val="24"/>
                  <w:lang w:eastAsia="lt-LT"/>
                </w:rPr>
                <w:t>M</w:t>
              </w:r>
              <w:r w:rsidR="008D34C2" w:rsidRPr="00491E52">
                <w:rPr>
                  <w:rStyle w:val="Hyperlink"/>
                  <w:b/>
                  <w:bCs/>
                  <w:i/>
                  <w:szCs w:val="24"/>
                  <w:lang w:eastAsia="lt-LT"/>
                </w:rPr>
                <w:t>okslinių tyrimų ir eksperimentinės plėtros ir inovacijų (sumaniosios specializacijos) koncepcijos patvirtinimo“</w:t>
              </w:r>
              <w:r w:rsidR="0021091A">
                <w:rPr>
                  <w:rStyle w:val="Hyperlink"/>
                  <w:b/>
                  <w:bCs/>
                  <w:i/>
                  <w:szCs w:val="24"/>
                  <w:lang w:eastAsia="lt-LT"/>
                </w:rPr>
                <w:t>,</w:t>
              </w:r>
              <w:r w:rsidRPr="00491E52">
                <w:rPr>
                  <w:rStyle w:val="Hyperlink"/>
                  <w:b/>
                  <w:bCs/>
                  <w:i/>
                  <w:szCs w:val="24"/>
                  <w:lang w:eastAsia="lt-LT"/>
                </w:rPr>
                <w:t xml:space="preserve"> nuostatas</w:t>
              </w:r>
            </w:hyperlink>
            <w:r w:rsidR="005B45DC" w:rsidRPr="00491E52">
              <w:rPr>
                <w:b/>
                <w:bCs/>
                <w:i/>
                <w:szCs w:val="24"/>
                <w:lang w:eastAsia="lt-LT"/>
              </w:rPr>
              <w:t xml:space="preserve"> </w:t>
            </w:r>
            <w:r w:rsidR="005B45DC" w:rsidRPr="00491E52">
              <w:rPr>
                <w:b/>
                <w:i/>
                <w:szCs w:val="24"/>
                <w:lang w:eastAsia="lt-LT"/>
              </w:rPr>
              <w:t xml:space="preserve">(toliau </w:t>
            </w:r>
            <w:r w:rsidR="005B45DC" w:rsidRPr="00491E52">
              <w:rPr>
                <w:b/>
                <w:i/>
                <w:iCs/>
                <w:szCs w:val="24"/>
              </w:rPr>
              <w:t>– Koncepcija)</w:t>
            </w:r>
            <w:r w:rsidRPr="00491E52">
              <w:rPr>
                <w:b/>
                <w:i/>
                <w:szCs w:val="24"/>
                <w:lang w:eastAsia="lt-LT"/>
              </w:rPr>
              <w:t xml:space="preserve"> ir bent vieno</w:t>
            </w:r>
            <w:r w:rsidR="005B45DC" w:rsidRPr="00491E52">
              <w:rPr>
                <w:b/>
                <w:i/>
                <w:szCs w:val="24"/>
                <w:lang w:eastAsia="lt-LT"/>
              </w:rPr>
              <w:t xml:space="preserve"> šios Koncepcijos</w:t>
            </w:r>
            <w:r w:rsidRPr="00491E52">
              <w:rPr>
                <w:b/>
                <w:i/>
                <w:szCs w:val="24"/>
                <w:lang w:eastAsia="lt-LT"/>
              </w:rPr>
              <w:t xml:space="preserve"> prioriteto įgyvendinimo tematiką</w:t>
            </w:r>
            <w:r w:rsidR="00282C61" w:rsidRPr="00491E52">
              <w:rPr>
                <w:b/>
                <w:i/>
                <w:szCs w:val="24"/>
                <w:lang w:eastAsia="lt-LT"/>
              </w:rPr>
              <w:t>.</w:t>
            </w:r>
          </w:p>
        </w:tc>
      </w:tr>
      <w:tr w:rsidR="00482FB2" w14:paraId="225452A9" w14:textId="77777777" w:rsidTr="603E2C61">
        <w:tc>
          <w:tcPr>
            <w:tcW w:w="6259"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868" w:type="dxa"/>
            <w:shd w:val="clear" w:color="auto" w:fill="auto"/>
          </w:tcPr>
          <w:p w14:paraId="74595665" w14:textId="4A7DA89F" w:rsidR="00482FB2" w:rsidRDefault="00497B47">
            <w:pPr>
              <w:widowControl w:val="0"/>
              <w:jc w:val="both"/>
              <w:textAlignment w:val="baseline"/>
              <w:rPr>
                <w:bCs/>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projektas prisideda prie </w:t>
            </w:r>
            <w:r w:rsidR="005B45DC">
              <w:rPr>
                <w:bCs/>
                <w:i/>
                <w:szCs w:val="24"/>
                <w:lang w:eastAsia="lt-LT"/>
              </w:rPr>
              <w:t>K</w:t>
            </w:r>
            <w:r w:rsidR="00F14D95">
              <w:rPr>
                <w:bCs/>
                <w:i/>
                <w:szCs w:val="24"/>
                <w:lang w:eastAsia="lt-LT"/>
              </w:rPr>
              <w:t xml:space="preserve">oncepcijos </w:t>
            </w:r>
            <w:r w:rsidR="000F6B6F" w:rsidRPr="000F6B6F">
              <w:rPr>
                <w:bCs/>
                <w:i/>
                <w:szCs w:val="24"/>
                <w:lang w:eastAsia="lt-LT"/>
              </w:rPr>
              <w:t>ir atitinka bent vieno</w:t>
            </w:r>
            <w:r w:rsidR="007F5006">
              <w:rPr>
                <w:bCs/>
                <w:i/>
                <w:szCs w:val="24"/>
                <w:lang w:eastAsia="lt-LT"/>
              </w:rPr>
              <w:t xml:space="preserve"> šios Koncepcijos</w:t>
            </w:r>
            <w:r w:rsidR="000F6B6F" w:rsidRPr="000F6B6F">
              <w:rPr>
                <w:bCs/>
                <w:i/>
                <w:szCs w:val="24"/>
                <w:lang w:eastAsia="lt-LT"/>
              </w:rPr>
              <w:t xml:space="preserve"> prioriteto įgyvendinimo tematiką</w:t>
            </w:r>
            <w:r w:rsidR="000F6B6F">
              <w:rPr>
                <w:bCs/>
                <w:i/>
                <w:szCs w:val="24"/>
                <w:lang w:eastAsia="lt-LT"/>
              </w:rPr>
              <w:t>.</w:t>
            </w:r>
          </w:p>
        </w:tc>
      </w:tr>
      <w:tr w:rsidR="00482FB2" w14:paraId="394004C0" w14:textId="77777777" w:rsidTr="603E2C61">
        <w:tc>
          <w:tcPr>
            <w:tcW w:w="6259"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11B75D9D" w14:textId="15B06898"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sidR="000E182F">
              <w:rPr>
                <w:bCs/>
                <w:i/>
                <w:iCs/>
                <w:lang w:eastAsia="lt-LT"/>
              </w:rPr>
              <w:t>atitinka</w:t>
            </w:r>
            <w:r w:rsidRPr="001E736E">
              <w:rPr>
                <w:bCs/>
                <w:i/>
                <w:iCs/>
                <w:lang w:eastAsia="lt-LT"/>
              </w:rPr>
              <w:t xml:space="preserve"> </w:t>
            </w:r>
            <w:r w:rsidR="000E182F" w:rsidRPr="000E182F">
              <w:rPr>
                <w:bCs/>
                <w:i/>
                <w:iCs/>
                <w:lang w:eastAsia="lt-LT"/>
              </w:rPr>
              <w:t>Investicijų programos 1 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C21B3C" w:rsidRPr="00C21B3C">
              <w:rPr>
                <w:bCs/>
                <w:i/>
                <w:iCs/>
                <w:lang w:eastAsia="lt-LT"/>
              </w:rPr>
              <w:t xml:space="preserve">siekiant </w:t>
            </w:r>
            <w:r w:rsidR="00FF41F9">
              <w:rPr>
                <w:bCs/>
                <w:i/>
                <w:iCs/>
                <w:lang w:eastAsia="lt-LT"/>
              </w:rPr>
              <w:t>sumaniąja specializacija</w:t>
            </w:r>
            <w:r w:rsidR="00C21B3C" w:rsidRPr="00C21B3C">
              <w:rPr>
                <w:bCs/>
                <w:i/>
                <w:iCs/>
                <w:lang w:eastAsia="lt-LT"/>
              </w:rPr>
              <w:t xml:space="preserve"> grįstos ekonomikos transformacijos į APV</w:t>
            </w:r>
            <w:r w:rsidR="00C21B3C">
              <w:rPr>
                <w:bCs/>
                <w:i/>
                <w:iCs/>
                <w:lang w:eastAsia="lt-LT"/>
              </w:rPr>
              <w:t xml:space="preserve"> produktų kūrimo</w:t>
            </w:r>
            <w:r w:rsidR="00560173">
              <w:rPr>
                <w:bCs/>
                <w:i/>
                <w:iCs/>
                <w:lang w:eastAsia="lt-LT"/>
              </w:rPr>
              <w:t xml:space="preserve"> vertes.</w:t>
            </w:r>
            <w:r w:rsidR="000E182F" w:rsidRPr="000E182F">
              <w:rPr>
                <w:bCs/>
                <w:i/>
                <w:iCs/>
                <w:lang w:eastAsia="lt-LT"/>
              </w:rPr>
              <w:t xml:space="preserve"> </w:t>
            </w:r>
          </w:p>
          <w:p w14:paraId="01E7EB71" w14:textId="2BA95A39" w:rsidR="00482FB2" w:rsidRDefault="007F5006" w:rsidP="00D6500F">
            <w:pPr>
              <w:jc w:val="both"/>
              <w:rPr>
                <w:bCs/>
                <w:i/>
                <w:szCs w:val="24"/>
                <w:lang w:eastAsia="lt-LT"/>
              </w:rPr>
            </w:pPr>
            <w:r>
              <w:rPr>
                <w:bCs/>
                <w:i/>
                <w:iCs/>
                <w:lang w:eastAsia="lt-LT"/>
              </w:rPr>
              <w:t>Šis k</w:t>
            </w:r>
            <w:r w:rsidR="00D337B8">
              <w:rPr>
                <w:bCs/>
                <w:i/>
                <w:iCs/>
                <w:lang w:eastAsia="lt-LT"/>
              </w:rPr>
              <w:t>riterijus reikalingas</w:t>
            </w:r>
            <w:r>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Pr>
                <w:bCs/>
                <w:i/>
                <w:iCs/>
                <w:lang w:val="en-US" w:eastAsia="lt-LT"/>
              </w:rPr>
              <w:t>1</w:t>
            </w:r>
            <w:r>
              <w:rPr>
                <w:bCs/>
                <w:i/>
                <w:iCs/>
                <w:lang w:val="en-US" w:eastAsia="lt-LT"/>
              </w:rPr>
              <w:t xml:space="preserve">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tc>
      </w:tr>
      <w:bookmarkEnd w:id="0"/>
      <w:tr w:rsidR="00911C69" w14:paraId="34E2D3DC" w14:textId="77777777" w:rsidTr="603E2C61">
        <w:tc>
          <w:tcPr>
            <w:tcW w:w="6259" w:type="dxa"/>
            <w:shd w:val="clear" w:color="auto" w:fill="auto"/>
          </w:tcPr>
          <w:p w14:paraId="15917472" w14:textId="77777777" w:rsidR="00911C69" w:rsidRDefault="00911C6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BF30632"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pPr>
              <w:widowControl w:val="0"/>
              <w:jc w:val="both"/>
              <w:textAlignment w:val="baseline"/>
              <w:rPr>
                <w:szCs w:val="24"/>
              </w:rPr>
            </w:pPr>
            <w:r>
              <w:rPr>
                <w:b/>
                <w:bCs/>
                <w:szCs w:val="24"/>
                <w:lang w:eastAsia="lt-LT"/>
              </w:rPr>
              <w:t>□ Keitimas</w:t>
            </w:r>
          </w:p>
        </w:tc>
      </w:tr>
      <w:tr w:rsidR="00911C69" w14:paraId="4B407B79" w14:textId="77777777" w:rsidTr="603E2C61">
        <w:tc>
          <w:tcPr>
            <w:tcW w:w="6259" w:type="dxa"/>
            <w:shd w:val="clear" w:color="auto" w:fill="auto"/>
            <w:vAlign w:val="center"/>
          </w:tcPr>
          <w:p w14:paraId="7CE672FD"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FD64C79" w14:textId="312B98AD" w:rsidR="00911C69" w:rsidRDefault="00911C69">
            <w:pPr>
              <w:widowControl w:val="0"/>
              <w:jc w:val="both"/>
              <w:textAlignment w:val="baseline"/>
              <w:rPr>
                <w:b/>
                <w:bCs/>
                <w:i/>
                <w:szCs w:val="24"/>
                <w:lang w:eastAsia="lt-LT"/>
              </w:rPr>
            </w:pPr>
            <w:r w:rsidRPr="006150D4">
              <w:rPr>
                <w:b/>
                <w:i/>
                <w:szCs w:val="24"/>
                <w:lang w:eastAsia="lt-LT"/>
              </w:rPr>
              <w:t>2. Pareiškėjas</w:t>
            </w:r>
            <w:r w:rsidR="002656E1">
              <w:rPr>
                <w:b/>
                <w:i/>
                <w:szCs w:val="24"/>
                <w:lang w:eastAsia="lt-LT"/>
              </w:rPr>
              <w:t xml:space="preserve"> atit</w:t>
            </w:r>
            <w:r w:rsidR="00824458">
              <w:rPr>
                <w:b/>
                <w:i/>
                <w:szCs w:val="24"/>
                <w:lang w:eastAsia="lt-LT"/>
              </w:rPr>
              <w:t>in</w:t>
            </w:r>
            <w:r w:rsidR="002656E1">
              <w:rPr>
                <w:b/>
                <w:i/>
                <w:szCs w:val="24"/>
                <w:lang w:eastAsia="lt-LT"/>
              </w:rPr>
              <w:t xml:space="preserve">ka </w:t>
            </w:r>
            <w:r w:rsidR="007F5006">
              <w:rPr>
                <w:b/>
                <w:i/>
                <w:szCs w:val="24"/>
                <w:lang w:eastAsia="lt-LT"/>
              </w:rPr>
              <w:t>p</w:t>
            </w:r>
            <w:r w:rsidR="002656E1" w:rsidRPr="002656E1">
              <w:rPr>
                <w:b/>
                <w:i/>
                <w:szCs w:val="24"/>
                <w:lang w:eastAsia="lt-LT"/>
              </w:rPr>
              <w:t>radedan</w:t>
            </w:r>
            <w:r w:rsidR="007F5006">
              <w:rPr>
                <w:b/>
                <w:i/>
                <w:szCs w:val="24"/>
                <w:lang w:eastAsia="lt-LT"/>
              </w:rPr>
              <w:t>čiojo</w:t>
            </w:r>
            <w:r w:rsidR="002656E1" w:rsidRPr="002656E1">
              <w:rPr>
                <w:b/>
                <w:i/>
                <w:szCs w:val="24"/>
                <w:lang w:eastAsia="lt-LT"/>
              </w:rPr>
              <w:t xml:space="preserve"> inovatori</w:t>
            </w:r>
            <w:r w:rsidR="007F5006">
              <w:rPr>
                <w:b/>
                <w:i/>
                <w:szCs w:val="24"/>
                <w:lang w:eastAsia="lt-LT"/>
              </w:rPr>
              <w:t>aus</w:t>
            </w:r>
            <w:r w:rsidRPr="006150D4">
              <w:rPr>
                <w:b/>
                <w:i/>
                <w:szCs w:val="24"/>
                <w:lang w:eastAsia="lt-LT"/>
              </w:rPr>
              <w:t xml:space="preserve"> </w:t>
            </w:r>
            <w:r w:rsidR="006735F1">
              <w:rPr>
                <w:b/>
                <w:i/>
                <w:szCs w:val="24"/>
                <w:lang w:eastAsia="lt-LT"/>
              </w:rPr>
              <w:t>apibr</w:t>
            </w:r>
            <w:r w:rsidR="007F5006">
              <w:rPr>
                <w:b/>
                <w:i/>
                <w:szCs w:val="24"/>
                <w:lang w:eastAsia="lt-LT"/>
              </w:rPr>
              <w:t>ėžimą</w:t>
            </w:r>
            <w:r w:rsidR="009276D4">
              <w:rPr>
                <w:b/>
                <w:i/>
                <w:szCs w:val="24"/>
                <w:lang w:eastAsia="lt-LT"/>
              </w:rPr>
              <w:t>.</w:t>
            </w:r>
            <w:r w:rsidR="007F5006">
              <w:rPr>
                <w:b/>
                <w:i/>
                <w:szCs w:val="24"/>
                <w:lang w:eastAsia="lt-LT"/>
              </w:rPr>
              <w:t xml:space="preserve"> </w:t>
            </w:r>
          </w:p>
        </w:tc>
      </w:tr>
      <w:tr w:rsidR="00911C69" w14:paraId="094B823C" w14:textId="77777777" w:rsidTr="603E2C61">
        <w:tc>
          <w:tcPr>
            <w:tcW w:w="6259" w:type="dxa"/>
            <w:shd w:val="clear" w:color="auto" w:fill="auto"/>
            <w:vAlign w:val="center"/>
          </w:tcPr>
          <w:p w14:paraId="03CDAFAC"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4223A669" w14:textId="7C6DF2E1" w:rsidR="002656E1" w:rsidRDefault="66117EF8" w:rsidP="603E2C61">
            <w:pPr>
              <w:jc w:val="both"/>
              <w:rPr>
                <w:i/>
                <w:iCs/>
                <w:lang w:eastAsia="lt-LT"/>
              </w:rPr>
            </w:pPr>
            <w:r w:rsidRPr="603E2C61">
              <w:rPr>
                <w:i/>
                <w:iCs/>
                <w:lang w:eastAsia="lt-LT"/>
              </w:rPr>
              <w:t>Pradedantysis inovatorius – pareiškėjas</w:t>
            </w:r>
            <w:r w:rsidR="00D6500F">
              <w:rPr>
                <w:i/>
                <w:iCs/>
                <w:lang w:eastAsia="lt-LT"/>
              </w:rPr>
              <w:t>,</w:t>
            </w:r>
            <w:r w:rsidRPr="603E2C61">
              <w:rPr>
                <w:i/>
                <w:iCs/>
                <w:lang w:eastAsia="lt-LT"/>
              </w:rPr>
              <w:t xml:space="preserve"> </w:t>
            </w:r>
            <w:r w:rsidR="54D3CB6D" w:rsidRPr="603E2C61">
              <w:rPr>
                <w:i/>
                <w:iCs/>
                <w:lang w:eastAsia="lt-LT"/>
              </w:rPr>
              <w:t xml:space="preserve">projekto įgyvendinimo plano (toliau – PĮP)   </w:t>
            </w:r>
            <w:r w:rsidRPr="603E2C61">
              <w:rPr>
                <w:i/>
                <w:iCs/>
                <w:lang w:eastAsia="lt-LT"/>
              </w:rPr>
              <w:t>pateikimo dieną vykdantis veiklą ne ilgiau kaip 1 metus, kurio veiklos pajamos nuo veiklos registravimo dienos iki PĮP pateikimo yra ne mažesnės kaip</w:t>
            </w:r>
            <w:r w:rsidR="00610F10">
              <w:rPr>
                <w:i/>
                <w:iCs/>
                <w:lang w:eastAsia="lt-LT"/>
              </w:rPr>
              <w:t xml:space="preserve"> 3</w:t>
            </w:r>
            <w:r w:rsidR="00D6500F">
              <w:rPr>
                <w:i/>
                <w:iCs/>
                <w:lang w:eastAsia="lt-LT"/>
              </w:rPr>
              <w:t> </w:t>
            </w:r>
            <w:r w:rsidR="00610F10">
              <w:rPr>
                <w:i/>
                <w:iCs/>
                <w:lang w:eastAsia="lt-LT"/>
              </w:rPr>
              <w:t>000</w:t>
            </w:r>
            <w:r w:rsidRPr="603E2C61">
              <w:rPr>
                <w:i/>
                <w:iCs/>
                <w:lang w:eastAsia="lt-LT"/>
              </w:rPr>
              <w:t xml:space="preserve"> Eur (</w:t>
            </w:r>
            <w:r w:rsidR="00610F10">
              <w:rPr>
                <w:i/>
                <w:iCs/>
                <w:lang w:eastAsia="lt-LT"/>
              </w:rPr>
              <w:t>trys</w:t>
            </w:r>
            <w:r w:rsidRPr="603E2C61">
              <w:rPr>
                <w:i/>
                <w:iCs/>
                <w:lang w:eastAsia="lt-LT"/>
              </w:rPr>
              <w:t xml:space="preserve"> tūkstanči</w:t>
            </w:r>
            <w:r w:rsidR="00610F10">
              <w:rPr>
                <w:i/>
                <w:iCs/>
                <w:lang w:eastAsia="lt-LT"/>
              </w:rPr>
              <w:t>ai</w:t>
            </w:r>
            <w:r w:rsidRPr="603E2C61">
              <w:rPr>
                <w:i/>
                <w:iCs/>
                <w:lang w:eastAsia="lt-LT"/>
              </w:rPr>
              <w:t xml:space="preserve"> eurų) arba vykdantis veiklą</w:t>
            </w:r>
            <w:r w:rsidR="603E2C61" w:rsidRPr="603E2C61">
              <w:rPr>
                <w:i/>
                <w:iCs/>
                <w:lang w:eastAsia="lt-LT"/>
              </w:rPr>
              <w:t xml:space="preserve"> </w:t>
            </w:r>
            <w:r w:rsidRPr="603E2C61">
              <w:rPr>
                <w:i/>
                <w:iCs/>
                <w:lang w:eastAsia="lt-LT"/>
              </w:rPr>
              <w:t>ilgiau kaip 1 metus, bet</w:t>
            </w:r>
            <w:r w:rsidR="603E2C61" w:rsidRPr="603E2C61">
              <w:rPr>
                <w:i/>
                <w:iCs/>
                <w:lang w:eastAsia="lt-LT"/>
              </w:rPr>
              <w:t xml:space="preserve"> </w:t>
            </w:r>
            <w:r w:rsidRPr="603E2C61">
              <w:rPr>
                <w:i/>
                <w:iCs/>
                <w:lang w:eastAsia="lt-LT"/>
              </w:rPr>
              <w:t>neturintis patirties MTEP srityje (t. y. neįgyvendino MTEP projektų ir (ar) nevykdė MTEP veiklų) ir jo metinės veiklos pajamos per paskutinius finansinius metus iki PĮP pateikimo yra ne mažesnės kaip</w:t>
            </w:r>
            <w:r w:rsidR="00610F10">
              <w:rPr>
                <w:i/>
                <w:iCs/>
                <w:lang w:eastAsia="lt-LT"/>
              </w:rPr>
              <w:t xml:space="preserve"> 3</w:t>
            </w:r>
            <w:r w:rsidR="00D6500F">
              <w:rPr>
                <w:i/>
                <w:iCs/>
                <w:lang w:eastAsia="lt-LT"/>
              </w:rPr>
              <w:t> </w:t>
            </w:r>
            <w:r w:rsidR="00610F10">
              <w:rPr>
                <w:i/>
                <w:iCs/>
                <w:lang w:eastAsia="lt-LT"/>
              </w:rPr>
              <w:t>000</w:t>
            </w:r>
            <w:r w:rsidRPr="603E2C61">
              <w:rPr>
                <w:i/>
                <w:iCs/>
                <w:lang w:eastAsia="lt-LT"/>
              </w:rPr>
              <w:t xml:space="preserve"> Eur (</w:t>
            </w:r>
            <w:r w:rsidR="00610F10">
              <w:rPr>
                <w:i/>
                <w:iCs/>
                <w:lang w:eastAsia="lt-LT"/>
              </w:rPr>
              <w:t>trys</w:t>
            </w:r>
            <w:r w:rsidRPr="603E2C61">
              <w:rPr>
                <w:i/>
                <w:iCs/>
                <w:lang w:eastAsia="lt-LT"/>
              </w:rPr>
              <w:t xml:space="preserve"> tūkstanči</w:t>
            </w:r>
            <w:r w:rsidR="00610F10">
              <w:rPr>
                <w:i/>
                <w:iCs/>
                <w:lang w:eastAsia="lt-LT"/>
              </w:rPr>
              <w:t>ai</w:t>
            </w:r>
            <w:r w:rsidRPr="603E2C61">
              <w:rPr>
                <w:i/>
                <w:iCs/>
                <w:lang w:eastAsia="lt-LT"/>
              </w:rPr>
              <w:t xml:space="preserve"> eurų).</w:t>
            </w:r>
          </w:p>
          <w:p w14:paraId="3283646B" w14:textId="3F09B895" w:rsidR="00EC239E" w:rsidRPr="00A602E3" w:rsidRDefault="00911C69" w:rsidP="00BA154C">
            <w:pPr>
              <w:jc w:val="both"/>
              <w:rPr>
                <w:bCs/>
                <w:i/>
                <w:szCs w:val="24"/>
                <w:lang w:eastAsia="lt-LT"/>
              </w:rPr>
            </w:pPr>
            <w:r w:rsidRPr="00CA20BD">
              <w:rPr>
                <w:bCs/>
                <w:i/>
                <w:szCs w:val="24"/>
                <w:lang w:eastAsia="lt-LT"/>
              </w:rPr>
              <w:t>Vertinami pareiškėjo pateikti dokumentai, parodantys jo pajamas nuo veiklos registravimo dienos</w:t>
            </w:r>
            <w:r w:rsidR="00C046C0">
              <w:rPr>
                <w:bCs/>
                <w:i/>
                <w:szCs w:val="24"/>
                <w:lang w:eastAsia="lt-LT"/>
              </w:rPr>
              <w:t xml:space="preserve"> iki</w:t>
            </w:r>
            <w:r w:rsidRPr="00CA20BD">
              <w:rPr>
                <w:bCs/>
                <w:i/>
                <w:szCs w:val="24"/>
                <w:lang w:eastAsia="lt-LT"/>
              </w:rPr>
              <w:t xml:space="preserve"> </w:t>
            </w:r>
            <w:r w:rsidR="00C046C0" w:rsidRPr="00C046C0">
              <w:rPr>
                <w:bCs/>
                <w:i/>
                <w:szCs w:val="24"/>
                <w:lang w:eastAsia="lt-LT"/>
              </w:rPr>
              <w:t>PĮP</w:t>
            </w:r>
            <w:r w:rsidR="009276D4">
              <w:rPr>
                <w:bCs/>
                <w:i/>
                <w:szCs w:val="24"/>
                <w:lang w:eastAsia="lt-LT"/>
              </w:rPr>
              <w:t xml:space="preserve"> </w:t>
            </w:r>
            <w:r w:rsidRPr="00CA20BD">
              <w:rPr>
                <w:bCs/>
                <w:i/>
                <w:szCs w:val="24"/>
                <w:lang w:eastAsia="lt-LT"/>
              </w:rPr>
              <w:t xml:space="preserve">pateikimo dienos, jeigu pareiškėjas veikia trumpiau kaip metus, arba vertinami paskutinių metų </w:t>
            </w:r>
            <w:r w:rsidRPr="00C046C0">
              <w:rPr>
                <w:bCs/>
                <w:i/>
                <w:szCs w:val="24"/>
                <w:lang w:eastAsia="lt-LT"/>
              </w:rPr>
              <w:t xml:space="preserve">iki </w:t>
            </w:r>
            <w:r w:rsidR="00C046C0" w:rsidRPr="00C046C0">
              <w:rPr>
                <w:bCs/>
                <w:i/>
                <w:szCs w:val="24"/>
                <w:lang w:eastAsia="lt-LT"/>
              </w:rPr>
              <w:t>PĮP</w:t>
            </w:r>
            <w:r w:rsidRPr="00CA20BD">
              <w:rPr>
                <w:bCs/>
                <w:i/>
                <w:szCs w:val="24"/>
                <w:lang w:eastAsia="lt-LT"/>
              </w:rPr>
              <w:t xml:space="preserve"> pateikimo finansinės atskaitomybės dokumentai, jeigu pareiškėjas veikia ilgiau kaip metus, bet neturi MTEP patirties. </w:t>
            </w:r>
            <w:r w:rsidR="003F54AD" w:rsidRPr="00A602E3">
              <w:rPr>
                <w:bCs/>
                <w:i/>
                <w:szCs w:val="24"/>
                <w:lang w:eastAsia="lt-LT"/>
              </w:rPr>
              <w:t>Pareiškėjų p</w:t>
            </w:r>
            <w:r w:rsidR="004C4163" w:rsidRPr="00A602E3">
              <w:rPr>
                <w:bCs/>
                <w:i/>
                <w:szCs w:val="24"/>
                <w:lang w:eastAsia="lt-LT"/>
              </w:rPr>
              <w:t xml:space="preserve">atirtis vertinama pagal </w:t>
            </w:r>
            <w:r w:rsidR="003C2780" w:rsidRPr="00A602E3">
              <w:rPr>
                <w:bCs/>
                <w:i/>
                <w:szCs w:val="24"/>
                <w:lang w:eastAsia="lt-LT"/>
              </w:rPr>
              <w:t xml:space="preserve">Lietuvos statistikos departamentui </w:t>
            </w:r>
            <w:r w:rsidR="004C4163" w:rsidRPr="00A602E3">
              <w:rPr>
                <w:bCs/>
                <w:i/>
                <w:szCs w:val="24"/>
                <w:lang w:eastAsia="lt-LT"/>
              </w:rPr>
              <w:t>deklaruo</w:t>
            </w:r>
            <w:r w:rsidR="003C2780" w:rsidRPr="00A602E3">
              <w:rPr>
                <w:bCs/>
                <w:i/>
                <w:szCs w:val="24"/>
                <w:lang w:eastAsia="lt-LT"/>
              </w:rPr>
              <w:t>jamas išlaidas MTEP.</w:t>
            </w:r>
          </w:p>
          <w:p w14:paraId="33E575AB" w14:textId="77777777" w:rsidR="00911C69" w:rsidRDefault="009604EE" w:rsidP="00C046C0">
            <w:pPr>
              <w:jc w:val="both"/>
              <w:rPr>
                <w:i/>
                <w:iCs/>
              </w:rPr>
            </w:pPr>
            <w:r w:rsidRPr="006D686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6D6866" w:rsidDel="0025387A">
              <w:rPr>
                <w:i/>
                <w:iCs/>
              </w:rPr>
              <w:t xml:space="preserve"> </w:t>
            </w:r>
            <w:r w:rsidRPr="006D6866">
              <w:rPr>
                <w:i/>
                <w:iCs/>
              </w:rPr>
              <w:t>Juridinių asmenų registrui.</w:t>
            </w:r>
          </w:p>
          <w:p w14:paraId="43254EC4" w14:textId="20132AF0" w:rsidR="00F63F67" w:rsidRPr="00785453" w:rsidRDefault="00785453" w:rsidP="00C046C0">
            <w:pPr>
              <w:jc w:val="both"/>
              <w:rPr>
                <w:bCs/>
                <w:i/>
                <w:iCs/>
                <w:szCs w:val="24"/>
                <w:lang w:eastAsia="lt-LT"/>
              </w:rPr>
            </w:pPr>
            <w:r w:rsidRPr="00785453">
              <w:rPr>
                <w:bCs/>
                <w:i/>
                <w:iCs/>
                <w:szCs w:val="24"/>
                <w:lang w:eastAsia="lt-LT"/>
              </w:rPr>
              <w:t>Šis projektų atrankos kriterijus taikomas tik projekto vertinimo metu.</w:t>
            </w:r>
          </w:p>
        </w:tc>
      </w:tr>
      <w:tr w:rsidR="00911C69" w14:paraId="09B98FB2" w14:textId="77777777" w:rsidTr="603E2C61">
        <w:tc>
          <w:tcPr>
            <w:tcW w:w="6259" w:type="dxa"/>
            <w:shd w:val="clear" w:color="auto" w:fill="auto"/>
            <w:vAlign w:val="center"/>
          </w:tcPr>
          <w:p w14:paraId="30CFE0C9" w14:textId="77777777" w:rsidR="00911C69" w:rsidRDefault="00911C69">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237F992A" w14:textId="45D5AAA3" w:rsidR="00F91037" w:rsidRDefault="000F598C">
            <w:pPr>
              <w:widowControl w:val="0"/>
              <w:jc w:val="both"/>
              <w:textAlignment w:val="baseline"/>
              <w:rPr>
                <w:bCs/>
                <w:i/>
                <w:szCs w:val="24"/>
                <w:lang w:eastAsia="lt-LT"/>
              </w:rPr>
            </w:pPr>
            <w:r w:rsidRPr="000F598C">
              <w:rPr>
                <w:bCs/>
                <w:i/>
                <w:szCs w:val="24"/>
                <w:lang w:eastAsia="lt-LT"/>
              </w:rPr>
              <w:t>Kriterijus nustatytas</w:t>
            </w:r>
            <w:r w:rsidR="004B069F">
              <w:rPr>
                <w:bCs/>
                <w:i/>
                <w:szCs w:val="24"/>
                <w:lang w:eastAsia="lt-LT"/>
              </w:rPr>
              <w:t xml:space="preserve"> </w:t>
            </w:r>
            <w:r w:rsidRPr="000F598C">
              <w:rPr>
                <w:bCs/>
                <w:i/>
                <w:szCs w:val="24"/>
                <w:lang w:eastAsia="lt-LT"/>
              </w:rPr>
              <w:t xml:space="preserve">siekiant įvertinti subjekto veiklos realumą ir užtikrinti, kad paramą </w:t>
            </w:r>
            <w:r w:rsidRPr="000F598C">
              <w:rPr>
                <w:bCs/>
                <w:i/>
                <w:szCs w:val="24"/>
                <w:lang w:eastAsia="lt-LT"/>
              </w:rPr>
              <w:lastRenderedPageBreak/>
              <w:t>gaus veikiantys, veiklas vykdantys subjektai</w:t>
            </w:r>
            <w:r>
              <w:rPr>
                <w:bCs/>
                <w:i/>
                <w:szCs w:val="24"/>
                <w:lang w:eastAsia="lt-LT"/>
              </w:rPr>
              <w:t xml:space="preserve">, </w:t>
            </w:r>
            <w:r w:rsidR="008A5246">
              <w:rPr>
                <w:bCs/>
                <w:i/>
                <w:szCs w:val="24"/>
                <w:lang w:eastAsia="lt-LT"/>
              </w:rPr>
              <w:t>atiti</w:t>
            </w:r>
            <w:r>
              <w:rPr>
                <w:bCs/>
                <w:i/>
                <w:szCs w:val="24"/>
                <w:lang w:eastAsia="lt-LT"/>
              </w:rPr>
              <w:t>nkantys</w:t>
            </w:r>
            <w:r w:rsidR="008A5246">
              <w:rPr>
                <w:bCs/>
                <w:i/>
                <w:szCs w:val="24"/>
                <w:lang w:eastAsia="lt-LT"/>
              </w:rPr>
              <w:t xml:space="preserve"> pradedančiųjų inovatori</w:t>
            </w:r>
            <w:r w:rsidR="000961F6">
              <w:rPr>
                <w:bCs/>
                <w:i/>
                <w:szCs w:val="24"/>
                <w:lang w:eastAsia="lt-LT"/>
              </w:rPr>
              <w:t>ų</w:t>
            </w:r>
            <w:r w:rsidR="008A5246">
              <w:rPr>
                <w:bCs/>
                <w:i/>
                <w:szCs w:val="24"/>
                <w:lang w:eastAsia="lt-LT"/>
              </w:rPr>
              <w:t xml:space="preserve"> statusą</w:t>
            </w:r>
            <w:r w:rsidR="007B12F2">
              <w:rPr>
                <w:bCs/>
                <w:i/>
                <w:szCs w:val="24"/>
                <w:lang w:eastAsia="lt-LT"/>
              </w:rPr>
              <w:t>.</w:t>
            </w:r>
          </w:p>
          <w:p w14:paraId="371D7E05" w14:textId="5FE189E2" w:rsidR="004E073A" w:rsidRDefault="00A441CD">
            <w:pPr>
              <w:widowControl w:val="0"/>
              <w:jc w:val="both"/>
              <w:textAlignment w:val="baseline"/>
              <w:rPr>
                <w:bCs/>
                <w:i/>
                <w:szCs w:val="24"/>
                <w:lang w:eastAsia="lt-LT"/>
              </w:rPr>
            </w:pPr>
            <w:r w:rsidRPr="003C082E">
              <w:rPr>
                <w:bCs/>
                <w:i/>
                <w:szCs w:val="24"/>
                <w:lang w:eastAsia="lt-LT"/>
              </w:rPr>
              <w:t>Teikiamas finansavimas</w:t>
            </w:r>
            <w:r>
              <w:rPr>
                <w:bCs/>
                <w:i/>
                <w:szCs w:val="24"/>
                <w:lang w:eastAsia="lt-LT"/>
              </w:rPr>
              <w:t xml:space="preserve"> </w:t>
            </w:r>
            <w:r w:rsidR="00B90C7F">
              <w:rPr>
                <w:bCs/>
                <w:i/>
                <w:szCs w:val="24"/>
                <w:lang w:eastAsia="lt-LT"/>
              </w:rPr>
              <w:t>paskatins įmones investuoti į MTEP veiklas,</w:t>
            </w:r>
            <w:r w:rsidR="00882649">
              <w:rPr>
                <w:bCs/>
                <w:i/>
                <w:szCs w:val="24"/>
                <w:lang w:eastAsia="lt-LT"/>
              </w:rPr>
              <w:t xml:space="preserve"> </w:t>
            </w:r>
            <w:r w:rsidR="00830C75">
              <w:rPr>
                <w:bCs/>
                <w:i/>
                <w:szCs w:val="24"/>
                <w:lang w:eastAsia="lt-LT"/>
              </w:rPr>
              <w:t xml:space="preserve">orientuoti savo veiklas </w:t>
            </w:r>
            <w:r w:rsidR="00882649">
              <w:rPr>
                <w:bCs/>
                <w:i/>
                <w:szCs w:val="24"/>
                <w:lang w:eastAsia="lt-LT"/>
              </w:rPr>
              <w:t>inovatyvi</w:t>
            </w:r>
            <w:r w:rsidR="00830C75">
              <w:rPr>
                <w:bCs/>
                <w:i/>
                <w:szCs w:val="24"/>
                <w:lang w:eastAsia="lt-LT"/>
              </w:rPr>
              <w:t>ų</w:t>
            </w:r>
            <w:r w:rsidR="00882649">
              <w:rPr>
                <w:bCs/>
                <w:i/>
                <w:szCs w:val="24"/>
                <w:lang w:eastAsia="lt-LT"/>
              </w:rPr>
              <w:t xml:space="preserve"> produkt</w:t>
            </w:r>
            <w:r w:rsidR="00830C75">
              <w:rPr>
                <w:bCs/>
                <w:i/>
                <w:szCs w:val="24"/>
                <w:lang w:eastAsia="lt-LT"/>
              </w:rPr>
              <w:t>ų kūrimui</w:t>
            </w:r>
            <w:r w:rsidR="00882649">
              <w:rPr>
                <w:bCs/>
                <w:i/>
                <w:szCs w:val="24"/>
                <w:lang w:eastAsia="lt-LT"/>
              </w:rPr>
              <w:t xml:space="preserve"> bei p</w:t>
            </w:r>
            <w:r w:rsidR="00B90C7F">
              <w:rPr>
                <w:bCs/>
                <w:i/>
                <w:szCs w:val="24"/>
                <w:lang w:eastAsia="lt-LT"/>
              </w:rPr>
              <w:t xml:space="preserve">adės pasiekti </w:t>
            </w:r>
            <w:r w:rsidR="00F91037" w:rsidRPr="00F91037">
              <w:rPr>
                <w:bCs/>
                <w:i/>
                <w:szCs w:val="24"/>
                <w:lang w:eastAsia="lt-LT"/>
              </w:rPr>
              <w:t>Investicijų programos 1</w:t>
            </w:r>
            <w:r w:rsidR="00D6500F">
              <w:rPr>
                <w:bCs/>
                <w:i/>
                <w:szCs w:val="24"/>
                <w:lang w:eastAsia="lt-LT"/>
              </w:rPr>
              <w:t> </w:t>
            </w:r>
            <w:r w:rsidR="00F91037" w:rsidRPr="00F91037">
              <w:rPr>
                <w:bCs/>
                <w:i/>
                <w:szCs w:val="24"/>
                <w:lang w:eastAsia="lt-LT"/>
              </w:rPr>
              <w:t xml:space="preserve">prioriteto „Pažangesnė Lietuva“ 1.1 konkretaus uždavinio „Plėtoti ir stiprinti mokslinių tyrimų ir inovacinius pajėgumus ir diegti pažangiąsias technologijas“ tikslus </w:t>
            </w:r>
            <w:r w:rsidR="0094070C">
              <w:rPr>
                <w:bCs/>
                <w:i/>
                <w:szCs w:val="24"/>
                <w:lang w:eastAsia="lt-LT"/>
              </w:rPr>
              <w:t xml:space="preserve">bei </w:t>
            </w:r>
            <w:r w:rsidR="00E44A98" w:rsidRPr="00E44A98">
              <w:rPr>
                <w:bCs/>
                <w:i/>
                <w:szCs w:val="24"/>
                <w:lang w:eastAsia="lt-LT"/>
              </w:rPr>
              <w:t xml:space="preserve">prisidės prie </w:t>
            </w:r>
            <w:r w:rsidR="004E073A" w:rsidRPr="004E073A">
              <w:rPr>
                <w:bCs/>
                <w:i/>
                <w:szCs w:val="24"/>
                <w:lang w:eastAsia="lt-LT"/>
              </w:rPr>
              <w:t xml:space="preserve">2022–2030 metų plėtros programos valdytojos Lietuvos Respublikos ekonomikos ir inovacijų ministerijos ekonomikos transformacijos ir konkurencingumo plėtros programoje </w:t>
            </w:r>
            <w:r w:rsidR="008B13C1">
              <w:rPr>
                <w:bCs/>
                <w:i/>
                <w:szCs w:val="24"/>
                <w:lang w:eastAsia="lt-LT"/>
              </w:rPr>
              <w:t>pateikto</w:t>
            </w:r>
            <w:r w:rsidR="004E073A" w:rsidRPr="004E073A">
              <w:rPr>
                <w:bCs/>
                <w:i/>
                <w:szCs w:val="24"/>
                <w:lang w:eastAsia="lt-LT"/>
              </w:rPr>
              <w:t xml:space="preserve"> Nacionalinio pažangos plano 1.5 uždavinio „Skatinti pažangiųjų technologijų ir inovacijų kūrimą, diegimą ir sklaidą“ rodiklių „MTEP išlaidos verslo sektoriuje, palyginti su BVP“ ir „Inovacinę veiklą vykdančių įmonių dalis nuo visų įmonių“  siekimo.</w:t>
            </w:r>
          </w:p>
          <w:p w14:paraId="01A3F34D" w14:textId="6A737C6A" w:rsidR="00911C69" w:rsidRPr="00456FF8" w:rsidRDefault="002F1897" w:rsidP="000F1CA7">
            <w:pPr>
              <w:widowControl w:val="0"/>
              <w:jc w:val="both"/>
              <w:textAlignment w:val="baseline"/>
              <w:rPr>
                <w:b/>
                <w:bCs/>
                <w:i/>
                <w:szCs w:val="24"/>
                <w:lang w:eastAsia="lt-LT"/>
              </w:rPr>
            </w:pPr>
            <w:r w:rsidRPr="00F504C1">
              <w:rPr>
                <w:i/>
                <w:szCs w:val="24"/>
                <w:lang w:eastAsia="lt-LT"/>
              </w:rPr>
              <w:t>Kriterijus pasirinktas remiantis 2014–2020 m</w:t>
            </w:r>
            <w:r w:rsidR="004B069F" w:rsidRPr="00F504C1">
              <w:rPr>
                <w:i/>
                <w:szCs w:val="24"/>
                <w:lang w:eastAsia="lt-LT"/>
              </w:rPr>
              <w:t>etų</w:t>
            </w:r>
            <w:r w:rsidRPr="00F504C1">
              <w:rPr>
                <w:i/>
                <w:szCs w:val="24"/>
                <w:lang w:eastAsia="lt-LT"/>
              </w:rPr>
              <w:t xml:space="preserve"> Europos Sąjungos fondų investicijų veiksmų programos laikotarpio </w:t>
            </w:r>
            <w:r w:rsidR="000F1CA7">
              <w:rPr>
                <w:i/>
                <w:szCs w:val="24"/>
                <w:lang w:eastAsia="lt-LT"/>
              </w:rPr>
              <w:t>duomenimis</w:t>
            </w:r>
            <w:r w:rsidRPr="00F504C1">
              <w:rPr>
                <w:i/>
                <w:szCs w:val="24"/>
                <w:lang w:eastAsia="lt-LT"/>
              </w:rPr>
              <w:t>, įgyvendinant projektus pagal Lietuvos Respublikos ekonomikos ir inovacijų ministerijos 1 prioriteto „Mokslinių tyrimų, eksperimentinės plėtros ir inovacijų skatinimas“ 1.2.1 uždavinio „Padidinti mokslinių tyrimų, eksperimentinės plėtros ir inovacijų veiklų aktyvumą privačiame sektoriuje“ priemonę Nr. 01.2.1-MITA-T-851 „Inočekiai“.</w:t>
            </w:r>
            <w:r w:rsidR="00B37F99">
              <w:rPr>
                <w:i/>
                <w:szCs w:val="24"/>
                <w:lang w:eastAsia="lt-LT"/>
              </w:rPr>
              <w:t xml:space="preserve"> </w:t>
            </w:r>
            <w:r w:rsidR="00B37F99" w:rsidRPr="00456FF8">
              <w:rPr>
                <w:i/>
                <w:szCs w:val="24"/>
                <w:lang w:eastAsia="lt-LT"/>
              </w:rPr>
              <w:t xml:space="preserve">Remiantis šia priemone </w:t>
            </w:r>
            <w:r w:rsidR="005C6FBA" w:rsidRPr="00456FF8">
              <w:rPr>
                <w:i/>
                <w:szCs w:val="24"/>
                <w:lang w:eastAsia="lt-LT"/>
              </w:rPr>
              <w:t>apibrėžtas</w:t>
            </w:r>
            <w:r w:rsidR="00B37F99" w:rsidRPr="00456FF8">
              <w:rPr>
                <w:i/>
                <w:szCs w:val="24"/>
                <w:lang w:eastAsia="lt-LT"/>
              </w:rPr>
              <w:t xml:space="preserve"> pradedančiojo inovatoriaus </w:t>
            </w:r>
            <w:r w:rsidR="005C6FBA" w:rsidRPr="00456FF8">
              <w:rPr>
                <w:i/>
                <w:szCs w:val="24"/>
                <w:lang w:eastAsia="lt-LT"/>
              </w:rPr>
              <w:t>statusas</w:t>
            </w:r>
            <w:r w:rsidR="00B37F99" w:rsidRPr="00456FF8">
              <w:rPr>
                <w:i/>
                <w:szCs w:val="24"/>
                <w:lang w:eastAsia="lt-LT"/>
              </w:rPr>
              <w:t>.</w:t>
            </w:r>
            <w:r w:rsidR="00B37F99">
              <w:rPr>
                <w:b/>
                <w:bCs/>
                <w:i/>
                <w:szCs w:val="24"/>
                <w:lang w:eastAsia="lt-LT"/>
              </w:rPr>
              <w:t xml:space="preserve"> </w:t>
            </w:r>
          </w:p>
        </w:tc>
      </w:tr>
      <w:tr w:rsidR="0062599E" w14:paraId="763AD074" w14:textId="77777777" w:rsidTr="603E2C61">
        <w:tc>
          <w:tcPr>
            <w:tcW w:w="6259" w:type="dxa"/>
            <w:shd w:val="clear" w:color="auto" w:fill="auto"/>
          </w:tcPr>
          <w:p w14:paraId="4F8A375B" w14:textId="77777777" w:rsidR="0062599E" w:rsidRDefault="0062599E" w:rsidP="0062599E">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047A6B3D" w14:textId="6B78DC20" w:rsidR="0062599E" w:rsidRDefault="0062599E" w:rsidP="0062599E">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0A0C53D3" w14:textId="6770BA15" w:rsidR="0062599E" w:rsidRDefault="0062599E" w:rsidP="0062599E">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6A9F96EF" w14:textId="16A1ADDD" w:rsidR="0062599E" w:rsidRDefault="0062599E" w:rsidP="0062599E">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Nustatymas</w:t>
            </w:r>
          </w:p>
          <w:p w14:paraId="15F86B58" w14:textId="076E50D4" w:rsidR="0062599E" w:rsidRPr="000F598C" w:rsidRDefault="0062599E" w:rsidP="0062599E">
            <w:pPr>
              <w:widowControl w:val="0"/>
              <w:jc w:val="both"/>
              <w:textAlignment w:val="baseline"/>
              <w:rPr>
                <w:bCs/>
                <w:i/>
                <w:szCs w:val="24"/>
                <w:lang w:eastAsia="lt-LT"/>
              </w:rPr>
            </w:pPr>
            <w:r>
              <w:rPr>
                <w:b/>
                <w:bCs/>
                <w:szCs w:val="24"/>
                <w:lang w:eastAsia="lt-LT"/>
              </w:rPr>
              <w:t>□ Keitimas</w:t>
            </w:r>
          </w:p>
        </w:tc>
      </w:tr>
      <w:tr w:rsidR="0062599E" w14:paraId="6F133CD8" w14:textId="77777777" w:rsidTr="603E2C61">
        <w:tc>
          <w:tcPr>
            <w:tcW w:w="6259" w:type="dxa"/>
            <w:shd w:val="clear" w:color="auto" w:fill="auto"/>
            <w:vAlign w:val="center"/>
          </w:tcPr>
          <w:p w14:paraId="19DE046B" w14:textId="2E1F8E1D" w:rsidR="0062599E" w:rsidRDefault="0062599E" w:rsidP="0062599E">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755C4014" w14:textId="6EFEC39A" w:rsidR="0062599E" w:rsidRPr="000F598C" w:rsidRDefault="0062599E" w:rsidP="0062599E">
            <w:pPr>
              <w:widowControl w:val="0"/>
              <w:jc w:val="both"/>
              <w:textAlignment w:val="baseline"/>
              <w:rPr>
                <w:bCs/>
                <w:i/>
                <w:szCs w:val="24"/>
                <w:lang w:eastAsia="lt-LT"/>
              </w:rPr>
            </w:pPr>
            <w:r>
              <w:rPr>
                <w:b/>
                <w:i/>
                <w:szCs w:val="24"/>
                <w:lang w:val="en-US" w:eastAsia="lt-LT"/>
              </w:rPr>
              <w:t>3</w:t>
            </w:r>
            <w:r w:rsidRPr="005045D5">
              <w:rPr>
                <w:b/>
                <w:i/>
                <w:szCs w:val="24"/>
                <w:lang w:val="en-US" w:eastAsia="lt-LT"/>
              </w:rPr>
              <w:t xml:space="preserve">. </w:t>
            </w:r>
            <w:r w:rsidRPr="005045D5">
              <w:rPr>
                <w:rFonts w:eastAsia="Calibri"/>
                <w:b/>
                <w:i/>
                <w:szCs w:val="24"/>
              </w:rPr>
              <w:t>Projekto įgyvendinimo metu</w:t>
            </w:r>
            <w:r>
              <w:rPr>
                <w:rFonts w:eastAsia="Calibri"/>
                <w:b/>
                <w:i/>
                <w:szCs w:val="24"/>
              </w:rPr>
              <w:t xml:space="preserve"> </w:t>
            </w:r>
            <w:r w:rsidRPr="005045D5">
              <w:rPr>
                <w:rFonts w:eastAsia="Calibri"/>
                <w:b/>
                <w:i/>
                <w:szCs w:val="24"/>
              </w:rPr>
              <w:t>sukurtų produktų komercinimo potencialas.</w:t>
            </w:r>
          </w:p>
        </w:tc>
      </w:tr>
      <w:tr w:rsidR="0062599E" w14:paraId="344BC23F" w14:textId="77777777" w:rsidTr="603E2C61">
        <w:tc>
          <w:tcPr>
            <w:tcW w:w="6259" w:type="dxa"/>
            <w:shd w:val="clear" w:color="auto" w:fill="auto"/>
            <w:vAlign w:val="center"/>
          </w:tcPr>
          <w:p w14:paraId="7C6C9D0F" w14:textId="07DC8852" w:rsidR="0062599E" w:rsidRDefault="0062599E" w:rsidP="0062599E">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32665382" w14:textId="3C0997E7" w:rsidR="0062599E" w:rsidRDefault="0062599E" w:rsidP="0062599E">
            <w:pPr>
              <w:widowControl w:val="0"/>
              <w:jc w:val="both"/>
              <w:textAlignment w:val="baseline"/>
              <w:rPr>
                <w:bCs/>
                <w:i/>
                <w:szCs w:val="24"/>
                <w:lang w:eastAsia="lt-LT"/>
              </w:rPr>
            </w:pPr>
            <w:r w:rsidRPr="00127F7B">
              <w:rPr>
                <w:bCs/>
                <w:i/>
                <w:szCs w:val="24"/>
                <w:lang w:eastAsia="lt-LT"/>
              </w:rPr>
              <w:t>Siekiama skatinti rinkai patrauklesnių produktų kūrimą, todėl aukštesnis įvertinimas suteikiamas tiems projektams, kurių</w:t>
            </w:r>
            <w:r w:rsidR="00A25EA9">
              <w:rPr>
                <w:bCs/>
                <w:i/>
                <w:szCs w:val="24"/>
                <w:lang w:eastAsia="lt-LT"/>
              </w:rPr>
              <w:t xml:space="preserve"> projekto</w:t>
            </w:r>
            <w:r w:rsidRPr="00127F7B">
              <w:rPr>
                <w:bCs/>
                <w:i/>
                <w:szCs w:val="24"/>
                <w:lang w:eastAsia="lt-LT"/>
              </w:rPr>
              <w:t xml:space="preserve"> įgyvendinimo metu sukurtų produktų komercinimo potencialas yra didesnis. </w:t>
            </w:r>
          </w:p>
          <w:p w14:paraId="4B893B2D" w14:textId="04DA6B1C" w:rsidR="0062599E" w:rsidRPr="00456FF8" w:rsidRDefault="0062599E" w:rsidP="0062599E">
            <w:pPr>
              <w:widowControl w:val="0"/>
              <w:jc w:val="both"/>
              <w:textAlignment w:val="baseline"/>
              <w:rPr>
                <w:bCs/>
                <w:i/>
                <w:iCs/>
                <w:szCs w:val="24"/>
                <w:lang w:eastAsia="lt-LT"/>
              </w:rPr>
            </w:pPr>
            <w:r w:rsidRPr="00127F7B">
              <w:rPr>
                <w:bCs/>
                <w:i/>
                <w:szCs w:val="24"/>
                <w:lang w:eastAsia="lt-LT"/>
              </w:rPr>
              <w:t>Komercinimo potencialas vertinamas atsižvelgiant į naujo produkto technologinės parengties lygį –</w:t>
            </w:r>
            <w:r>
              <w:rPr>
                <w:bCs/>
                <w:i/>
                <w:szCs w:val="24"/>
                <w:lang w:eastAsia="lt-LT"/>
              </w:rPr>
              <w:t xml:space="preserve"> aukštesnis įvertinimas</w:t>
            </w:r>
            <w:r w:rsidRPr="00127F7B">
              <w:rPr>
                <w:bCs/>
                <w:i/>
                <w:szCs w:val="24"/>
                <w:lang w:eastAsia="lt-LT"/>
              </w:rPr>
              <w:t xml:space="preserve"> </w:t>
            </w:r>
            <w:r>
              <w:rPr>
                <w:bCs/>
                <w:i/>
                <w:szCs w:val="24"/>
                <w:lang w:eastAsia="lt-LT"/>
              </w:rPr>
              <w:t xml:space="preserve">(daugiau balų) </w:t>
            </w:r>
            <w:r w:rsidRPr="00127F7B">
              <w:rPr>
                <w:bCs/>
                <w:i/>
                <w:szCs w:val="24"/>
                <w:lang w:eastAsia="lt-LT"/>
              </w:rPr>
              <w:t>suteikiama</w:t>
            </w:r>
            <w:r w:rsidR="000F1CA7">
              <w:rPr>
                <w:bCs/>
                <w:i/>
                <w:szCs w:val="24"/>
                <w:lang w:eastAsia="lt-LT"/>
              </w:rPr>
              <w:t>s (-a)</w:t>
            </w:r>
            <w:r w:rsidRPr="00127F7B">
              <w:rPr>
                <w:bCs/>
                <w:i/>
                <w:szCs w:val="24"/>
                <w:lang w:eastAsia="lt-LT"/>
              </w:rPr>
              <w:t xml:space="preserve"> tiems projektams, kurių įgyvendinimo metu sukurtų produktų technologinės parengties lygis didesnis projekto pradžioje ir pabaigoje</w:t>
            </w:r>
            <w:r w:rsidR="00DA29A4">
              <w:rPr>
                <w:bCs/>
                <w:i/>
                <w:szCs w:val="24"/>
                <w:lang w:eastAsia="lt-LT"/>
              </w:rPr>
              <w:t>. Technologinės parengties lygis nustatomas vadovaujantis</w:t>
            </w:r>
            <w:r w:rsidR="00DA29A4">
              <w:t xml:space="preserve"> </w:t>
            </w:r>
            <w:hyperlink r:id="rId16" w:history="1">
              <w:r w:rsidR="00DA29A4" w:rsidRPr="00FF0020">
                <w:rPr>
                  <w:rStyle w:val="Hyperlink"/>
                  <w:bCs/>
                  <w:i/>
                  <w:szCs w:val="24"/>
                  <w:lang w:eastAsia="lt-LT"/>
                </w:rPr>
                <w:t>Rekomenduojamos mokslinių tyrimų ir eksperimentinės plėtros etapų klasifikacijos apraš</w:t>
              </w:r>
              <w:r w:rsidR="00F33DF7" w:rsidRPr="00FF0020">
                <w:rPr>
                  <w:rStyle w:val="Hyperlink"/>
                  <w:bCs/>
                  <w:i/>
                  <w:szCs w:val="24"/>
                  <w:lang w:eastAsia="lt-LT"/>
                </w:rPr>
                <w:t>u</w:t>
              </w:r>
              <w:r w:rsidR="00AA3543" w:rsidRPr="00FF0020">
                <w:rPr>
                  <w:rStyle w:val="Hyperlink"/>
                  <w:bCs/>
                  <w:i/>
                  <w:szCs w:val="24"/>
                  <w:lang w:eastAsia="lt-LT"/>
                </w:rPr>
                <w:t xml:space="preserve">, </w:t>
              </w:r>
              <w:r w:rsidR="00DA29A4" w:rsidRPr="00FF0020">
                <w:rPr>
                  <w:rStyle w:val="Hyperlink"/>
                  <w:bCs/>
                  <w:i/>
                  <w:szCs w:val="24"/>
                  <w:lang w:eastAsia="lt-LT"/>
                </w:rPr>
                <w:t xml:space="preserve">patvirtintu </w:t>
              </w:r>
              <w:r w:rsidR="00AA3543" w:rsidRPr="00FF0020">
                <w:rPr>
                  <w:rStyle w:val="Hyperlink"/>
                  <w:bCs/>
                  <w:i/>
                  <w:szCs w:val="24"/>
                  <w:lang w:eastAsia="lt-LT"/>
                </w:rPr>
                <w:t xml:space="preserve"> </w:t>
              </w:r>
              <w:r w:rsidR="00AA3543" w:rsidRPr="00FF0020">
                <w:rPr>
                  <w:rStyle w:val="Hyperlink"/>
                  <w:i/>
                  <w:iCs/>
                </w:rPr>
                <w:t xml:space="preserve">Lietuvos Respublikos Vyriausybės 2012 m. birželio </w:t>
              </w:r>
              <w:r w:rsidR="00AA3543" w:rsidRPr="00FF0020">
                <w:rPr>
                  <w:rStyle w:val="Hyperlink"/>
                  <w:i/>
                  <w:iCs/>
                </w:rPr>
                <w:lastRenderedPageBreak/>
                <w:t>6</w:t>
              </w:r>
              <w:r w:rsidR="000F1CA7">
                <w:rPr>
                  <w:rStyle w:val="Hyperlink"/>
                  <w:i/>
                  <w:iCs/>
                </w:rPr>
                <w:t> </w:t>
              </w:r>
              <w:r w:rsidR="00AA3543" w:rsidRPr="00FF0020">
                <w:rPr>
                  <w:rStyle w:val="Hyperlink"/>
                  <w:i/>
                  <w:iCs/>
                </w:rPr>
                <w:t>d. nutarimu Nr. 650</w:t>
              </w:r>
            </w:hyperlink>
            <w:r w:rsidR="000F1CA7">
              <w:rPr>
                <w:rStyle w:val="Hyperlink"/>
                <w:i/>
                <w:iCs/>
              </w:rPr>
              <w:t>,</w:t>
            </w:r>
            <w:r w:rsidR="00A441CD" w:rsidRPr="00456FF8">
              <w:rPr>
                <w:bCs/>
                <w:i/>
                <w:iCs/>
                <w:szCs w:val="24"/>
                <w:lang w:eastAsia="lt-LT"/>
              </w:rPr>
              <w:t xml:space="preserve"> </w:t>
            </w:r>
            <w:r w:rsidR="00A441CD" w:rsidRPr="003C082E">
              <w:rPr>
                <w:bCs/>
                <w:i/>
                <w:iCs/>
                <w:szCs w:val="24"/>
                <w:lang w:eastAsia="lt-LT"/>
              </w:rPr>
              <w:t xml:space="preserve">ir </w:t>
            </w:r>
            <w:hyperlink r:id="rId17" w:history="1">
              <w:r w:rsidR="00BD4455" w:rsidRPr="003C082E">
                <w:rPr>
                  <w:rStyle w:val="Hyperlink"/>
                  <w:bCs/>
                  <w:i/>
                  <w:iCs/>
                  <w:szCs w:val="24"/>
                  <w:lang w:eastAsia="lt-LT"/>
                </w:rPr>
                <w:t xml:space="preserve">Frascati vadovu </w:t>
              </w:r>
              <w:r w:rsidR="000F1CA7">
                <w:rPr>
                  <w:rStyle w:val="Hyperlink"/>
                  <w:bCs/>
                  <w:i/>
                  <w:iCs/>
                  <w:szCs w:val="24"/>
                  <w:lang w:eastAsia="lt-LT"/>
                </w:rPr>
                <w:t>(</w:t>
              </w:r>
              <w:r w:rsidR="00BD4455" w:rsidRPr="003C082E">
                <w:rPr>
                  <w:rStyle w:val="Hyperlink"/>
                  <w:bCs/>
                  <w:i/>
                  <w:iCs/>
                  <w:szCs w:val="24"/>
                  <w:lang w:eastAsia="lt-LT"/>
                </w:rPr>
                <w:t>2015</w:t>
              </w:r>
              <w:r w:rsidR="000F1CA7">
                <w:rPr>
                  <w:rStyle w:val="Hyperlink"/>
                  <w:bCs/>
                  <w:i/>
                  <w:iCs/>
                  <w:szCs w:val="24"/>
                  <w:lang w:eastAsia="lt-LT"/>
                </w:rPr>
                <w:t>)</w:t>
              </w:r>
              <w:r w:rsidR="00BD4455" w:rsidRPr="003C082E">
                <w:rPr>
                  <w:rStyle w:val="Hyperlink"/>
                  <w:bCs/>
                  <w:i/>
                  <w:iCs/>
                  <w:szCs w:val="24"/>
                  <w:lang w:eastAsia="lt-LT"/>
                </w:rPr>
                <w:t xml:space="preserve"> </w:t>
              </w:r>
              <w:r w:rsidR="000F1CA7">
                <w:rPr>
                  <w:rStyle w:val="Hyperlink"/>
                  <w:bCs/>
                  <w:i/>
                  <w:iCs/>
                  <w:szCs w:val="24"/>
                  <w:lang w:eastAsia="lt-LT"/>
                </w:rPr>
                <w:t>„</w:t>
              </w:r>
              <w:r w:rsidR="00BD4455" w:rsidRPr="003C082E">
                <w:rPr>
                  <w:rStyle w:val="Hyperlink"/>
                  <w:bCs/>
                  <w:i/>
                  <w:iCs/>
                  <w:szCs w:val="24"/>
                  <w:lang w:eastAsia="lt-LT"/>
                </w:rPr>
                <w:t>Mokslinių tyrimų ir eksperimentinės plėtros duomenų rinkimo bei teikimo rekomendacijos. Mokslinės, technologinės ir inovacinės veiklos vertinimas</w:t>
              </w:r>
            </w:hyperlink>
            <w:r w:rsidR="000F1CA7">
              <w:rPr>
                <w:bCs/>
                <w:i/>
                <w:iCs/>
                <w:szCs w:val="24"/>
                <w:lang w:eastAsia="lt-LT"/>
              </w:rPr>
              <w:t>“</w:t>
            </w:r>
            <w:r w:rsidR="00456FF8" w:rsidRPr="003C082E">
              <w:rPr>
                <w:bCs/>
                <w:i/>
                <w:iCs/>
                <w:szCs w:val="24"/>
                <w:lang w:eastAsia="lt-LT"/>
              </w:rPr>
              <w:t>.</w:t>
            </w:r>
          </w:p>
          <w:p w14:paraId="6F697224" w14:textId="5BD82079" w:rsidR="000274AC" w:rsidRDefault="000274AC" w:rsidP="0062599E">
            <w:pPr>
              <w:widowControl w:val="0"/>
              <w:jc w:val="both"/>
              <w:textAlignment w:val="baseline"/>
              <w:rPr>
                <w:i/>
                <w:lang w:eastAsia="lt-LT"/>
              </w:rPr>
            </w:pPr>
            <w:bookmarkStart w:id="1" w:name="_Hlk114150054"/>
            <w:r w:rsidRPr="000274AC">
              <w:rPr>
                <w:i/>
                <w:lang w:eastAsia="lt-LT"/>
              </w:rPr>
              <w:t>Kriterijus taikomas tik pradedantiesiems inovatoriams</w:t>
            </w:r>
            <w:bookmarkEnd w:id="1"/>
            <w:r>
              <w:rPr>
                <w:i/>
                <w:lang w:eastAsia="lt-LT"/>
              </w:rPr>
              <w:t>.</w:t>
            </w:r>
          </w:p>
          <w:p w14:paraId="6DD23518" w14:textId="385D0740" w:rsidR="0062599E" w:rsidRPr="000F598C" w:rsidRDefault="0062599E" w:rsidP="0062599E">
            <w:pPr>
              <w:widowControl w:val="0"/>
              <w:jc w:val="both"/>
              <w:textAlignment w:val="baseline"/>
              <w:rPr>
                <w:bCs/>
                <w:i/>
                <w:szCs w:val="24"/>
                <w:lang w:eastAsia="lt-LT"/>
              </w:rPr>
            </w:pPr>
            <w:r w:rsidRPr="004A78EC">
              <w:rPr>
                <w:b/>
                <w:i/>
                <w:szCs w:val="24"/>
                <w:lang w:eastAsia="lt-LT"/>
              </w:rPr>
              <w:t>Šiam kriterijui bus nustatytas didžiausias kriterijaus vertinimo balas</w:t>
            </w:r>
            <w:r w:rsidR="001F782C">
              <w:rPr>
                <w:b/>
                <w:i/>
                <w:szCs w:val="24"/>
                <w:lang w:eastAsia="lt-LT"/>
              </w:rPr>
              <w:t>.</w:t>
            </w:r>
          </w:p>
        </w:tc>
      </w:tr>
      <w:tr w:rsidR="0062599E" w14:paraId="52B00169" w14:textId="77777777" w:rsidTr="603E2C61">
        <w:tc>
          <w:tcPr>
            <w:tcW w:w="6259" w:type="dxa"/>
            <w:shd w:val="clear" w:color="auto" w:fill="auto"/>
            <w:vAlign w:val="center"/>
          </w:tcPr>
          <w:p w14:paraId="3E66324D" w14:textId="24384749" w:rsidR="0062599E" w:rsidRDefault="0062599E" w:rsidP="0062599E">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71A499DF" w14:textId="26C2C258" w:rsidR="0062599E" w:rsidRPr="000F598C" w:rsidRDefault="0062599E" w:rsidP="0062599E">
            <w:pPr>
              <w:widowControl w:val="0"/>
              <w:jc w:val="both"/>
              <w:textAlignment w:val="baseline"/>
              <w:rPr>
                <w:bCs/>
                <w:i/>
                <w:szCs w:val="24"/>
                <w:lang w:eastAsia="lt-LT"/>
              </w:rPr>
            </w:pPr>
            <w:r w:rsidRPr="003F3BF4">
              <w:rPr>
                <w:bCs/>
                <w:i/>
                <w:szCs w:val="24"/>
                <w:lang w:eastAsia="lt-LT"/>
              </w:rPr>
              <w:t>Nustatytas kriterijus padės atrinkti tuos projektus, kuriuos įgyvendinant bus kuriami rinkai patrauklesni</w:t>
            </w:r>
            <w:r w:rsidR="005D6611">
              <w:rPr>
                <w:bCs/>
                <w:i/>
                <w:szCs w:val="24"/>
                <w:lang w:eastAsia="lt-LT"/>
              </w:rPr>
              <w:t>,</w:t>
            </w:r>
            <w:r w:rsidRPr="003F3BF4">
              <w:rPr>
                <w:bCs/>
                <w:i/>
                <w:szCs w:val="24"/>
                <w:lang w:eastAsia="lt-LT"/>
              </w:rPr>
              <w:t xml:space="preserve"> </w:t>
            </w:r>
            <w:r w:rsidR="00E60EF1">
              <w:rPr>
                <w:bCs/>
                <w:i/>
                <w:szCs w:val="24"/>
                <w:lang w:eastAsia="lt-LT"/>
              </w:rPr>
              <w:t xml:space="preserve">komerciškai naudingi, išskirtiniai </w:t>
            </w:r>
            <w:r w:rsidRPr="003F3BF4">
              <w:rPr>
                <w:bCs/>
                <w:i/>
                <w:szCs w:val="24"/>
                <w:lang w:eastAsia="lt-LT"/>
              </w:rPr>
              <w:t>produktai</w:t>
            </w:r>
            <w:r w:rsidR="00D77DF1">
              <w:rPr>
                <w:bCs/>
                <w:i/>
                <w:szCs w:val="24"/>
                <w:lang w:eastAsia="lt-LT"/>
              </w:rPr>
              <w:t>,</w:t>
            </w:r>
            <w:r w:rsidR="005D6611">
              <w:rPr>
                <w:bCs/>
                <w:i/>
                <w:szCs w:val="24"/>
                <w:lang w:eastAsia="lt-LT"/>
              </w:rPr>
              <w:t xml:space="preserve"> </w:t>
            </w:r>
            <w:r w:rsidR="00E60EF1">
              <w:rPr>
                <w:bCs/>
                <w:i/>
                <w:szCs w:val="24"/>
                <w:lang w:eastAsia="lt-LT"/>
              </w:rPr>
              <w:t xml:space="preserve">prisidedantys ne tik prie </w:t>
            </w:r>
            <w:r w:rsidR="00EA049D" w:rsidRPr="00EA049D">
              <w:rPr>
                <w:bCs/>
                <w:i/>
                <w:szCs w:val="24"/>
                <w:lang w:eastAsia="lt-LT"/>
              </w:rPr>
              <w:t>mokslinių tyrimų, eksperimentinės plėtros ir inovacijų (toliau</w:t>
            </w:r>
            <w:r w:rsidR="0081636D">
              <w:rPr>
                <w:bCs/>
                <w:i/>
                <w:szCs w:val="24"/>
                <w:lang w:eastAsia="lt-LT"/>
              </w:rPr>
              <w:t xml:space="preserve"> </w:t>
            </w:r>
            <w:r w:rsidR="000F1CA7">
              <w:rPr>
                <w:bCs/>
                <w:i/>
                <w:szCs w:val="24"/>
                <w:lang w:eastAsia="lt-LT"/>
              </w:rPr>
              <w:t>–</w:t>
            </w:r>
            <w:r w:rsidR="0081636D">
              <w:rPr>
                <w:bCs/>
                <w:i/>
                <w:szCs w:val="24"/>
                <w:lang w:eastAsia="lt-LT"/>
              </w:rPr>
              <w:t xml:space="preserve"> </w:t>
            </w:r>
            <w:r w:rsidR="00EA049D" w:rsidRPr="00EA049D">
              <w:rPr>
                <w:bCs/>
                <w:i/>
                <w:szCs w:val="24"/>
                <w:lang w:eastAsia="lt-LT"/>
              </w:rPr>
              <w:t>MTEPI)</w:t>
            </w:r>
            <w:r w:rsidR="00EA049D">
              <w:rPr>
                <w:bCs/>
                <w:i/>
                <w:szCs w:val="24"/>
                <w:lang w:eastAsia="lt-LT"/>
              </w:rPr>
              <w:t xml:space="preserve"> </w:t>
            </w:r>
            <w:r w:rsidR="005A3B81">
              <w:rPr>
                <w:bCs/>
                <w:i/>
                <w:szCs w:val="24"/>
                <w:lang w:eastAsia="lt-LT"/>
              </w:rPr>
              <w:t xml:space="preserve">didinimo, komercinių žinių kūrimo, </w:t>
            </w:r>
            <w:r w:rsidR="00D77DF1">
              <w:rPr>
                <w:bCs/>
                <w:i/>
                <w:szCs w:val="24"/>
                <w:lang w:eastAsia="lt-LT"/>
              </w:rPr>
              <w:t>bet ir</w:t>
            </w:r>
            <w:r>
              <w:rPr>
                <w:bCs/>
                <w:i/>
                <w:szCs w:val="24"/>
                <w:lang w:eastAsia="lt-LT"/>
              </w:rPr>
              <w:t xml:space="preserve"> efektyviausiai </w:t>
            </w:r>
            <w:r w:rsidR="005A3B81">
              <w:rPr>
                <w:bCs/>
                <w:i/>
                <w:szCs w:val="24"/>
                <w:lang w:eastAsia="lt-LT"/>
              </w:rPr>
              <w:t xml:space="preserve">padedantys 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sidR="005A3B81">
              <w:rPr>
                <w:bCs/>
                <w:i/>
                <w:szCs w:val="24"/>
                <w:lang w:eastAsia="lt-LT"/>
              </w:rPr>
              <w:t>us</w:t>
            </w:r>
            <w:r>
              <w:rPr>
                <w:bCs/>
                <w:i/>
                <w:szCs w:val="24"/>
                <w:lang w:eastAsia="lt-LT"/>
              </w:rPr>
              <w:t xml:space="preserve"> bei</w:t>
            </w:r>
            <w:r w:rsidR="00956606">
              <w:rPr>
                <w:bCs/>
                <w:i/>
                <w:szCs w:val="24"/>
                <w:lang w:eastAsia="lt-LT"/>
              </w:rPr>
              <w:t xml:space="preserve"> </w:t>
            </w:r>
            <w:r w:rsidRPr="00C07662">
              <w:rPr>
                <w:bCs/>
                <w:i/>
                <w:szCs w:val="24"/>
                <w:lang w:eastAsia="lt-LT"/>
              </w:rPr>
              <w:t>2022–2030 metų plėtros programos valdytojos Lietuvos Respublikos ekonomikos ir inovacijų ministerijos ekonomikos transformacijos ir konkurencingumo plėtros program</w:t>
            </w:r>
            <w:r>
              <w:rPr>
                <w:bCs/>
                <w:i/>
                <w:szCs w:val="24"/>
                <w:lang w:eastAsia="lt-LT"/>
              </w:rPr>
              <w:t>oje pateik</w:t>
            </w:r>
            <w:r w:rsidR="00956606">
              <w:rPr>
                <w:bCs/>
                <w:i/>
                <w:szCs w:val="24"/>
                <w:lang w:eastAsia="lt-LT"/>
              </w:rPr>
              <w:t>to</w:t>
            </w:r>
            <w:r>
              <w:rPr>
                <w:bCs/>
                <w:i/>
                <w:szCs w:val="24"/>
                <w:lang w:eastAsia="lt-LT"/>
              </w:rPr>
              <w:t xml:space="preserve"> Nacionalin</w:t>
            </w:r>
            <w:r w:rsidR="00956606">
              <w:rPr>
                <w:bCs/>
                <w:i/>
                <w:szCs w:val="24"/>
                <w:lang w:eastAsia="lt-LT"/>
              </w:rPr>
              <w:t>io</w:t>
            </w:r>
            <w:r>
              <w:rPr>
                <w:bCs/>
                <w:i/>
                <w:szCs w:val="24"/>
                <w:lang w:eastAsia="lt-LT"/>
              </w:rPr>
              <w:t xml:space="preserve"> pažangos plan</w:t>
            </w:r>
            <w:r w:rsidR="00956606">
              <w:rPr>
                <w:bCs/>
                <w:i/>
                <w:szCs w:val="24"/>
                <w:lang w:eastAsia="lt-LT"/>
              </w:rPr>
              <w:t>o</w:t>
            </w:r>
            <w:r>
              <w:rPr>
                <w:bCs/>
                <w:i/>
                <w:szCs w:val="24"/>
                <w:lang w:eastAsia="lt-LT"/>
              </w:rPr>
              <w:t xml:space="preserve"> </w:t>
            </w:r>
            <w:r w:rsidRPr="003371FF">
              <w:rPr>
                <w:bCs/>
                <w:i/>
                <w:szCs w:val="24"/>
                <w:lang w:eastAsia="lt-LT"/>
              </w:rPr>
              <w:t>1.5 uždavin</w:t>
            </w:r>
            <w:r w:rsidR="00820877">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w:t>
            </w:r>
            <w:r w:rsidR="00820877">
              <w:rPr>
                <w:bCs/>
                <w:i/>
                <w:szCs w:val="24"/>
                <w:lang w:eastAsia="lt-LT"/>
              </w:rPr>
              <w:t xml:space="preserve">nustatytas </w:t>
            </w:r>
            <w:r>
              <w:rPr>
                <w:bCs/>
                <w:i/>
                <w:szCs w:val="24"/>
                <w:lang w:eastAsia="lt-LT"/>
              </w:rPr>
              <w:t>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w:t>
            </w:r>
            <w:r w:rsidR="001C1E67">
              <w:rPr>
                <w:bCs/>
                <w:i/>
                <w:szCs w:val="24"/>
                <w:lang w:eastAsia="lt-LT"/>
              </w:rPr>
              <w:t>es</w:t>
            </w:r>
            <w:r w:rsidRPr="002332C0">
              <w:rPr>
                <w:bCs/>
                <w:i/>
                <w:szCs w:val="24"/>
                <w:lang w:eastAsia="lt-LT"/>
              </w:rPr>
              <w:t>.</w:t>
            </w:r>
          </w:p>
        </w:tc>
      </w:tr>
      <w:tr w:rsidR="00911C69" w14:paraId="425DD51C" w14:textId="77777777" w:rsidTr="603E2C61">
        <w:tc>
          <w:tcPr>
            <w:tcW w:w="6259" w:type="dxa"/>
            <w:shd w:val="clear" w:color="auto" w:fill="auto"/>
          </w:tcPr>
          <w:p w14:paraId="2ECA450C" w14:textId="61A8AE06" w:rsidR="00911C69" w:rsidRDefault="00911C69">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20C7BC94" w14:textId="18A65E6C" w:rsidR="00911C69" w:rsidRDefault="00911C6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299A2FF1"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B2DF08B"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911C69" w:rsidRDefault="00911C69">
            <w:pPr>
              <w:widowControl w:val="0"/>
              <w:jc w:val="both"/>
              <w:textAlignment w:val="baseline"/>
              <w:rPr>
                <w:szCs w:val="24"/>
              </w:rPr>
            </w:pPr>
            <w:r>
              <w:rPr>
                <w:b/>
                <w:bCs/>
                <w:szCs w:val="24"/>
                <w:lang w:eastAsia="lt-LT"/>
              </w:rPr>
              <w:t>□ Keitimas</w:t>
            </w:r>
          </w:p>
        </w:tc>
      </w:tr>
      <w:tr w:rsidR="00911C69" w14:paraId="38C4D8DD" w14:textId="77777777" w:rsidTr="603E2C61">
        <w:tc>
          <w:tcPr>
            <w:tcW w:w="6259" w:type="dxa"/>
            <w:shd w:val="clear" w:color="auto" w:fill="auto"/>
            <w:vAlign w:val="center"/>
          </w:tcPr>
          <w:p w14:paraId="24C5799A"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46D6C809" w14:textId="57155082" w:rsidR="00911C69" w:rsidRPr="005045D5" w:rsidRDefault="00874180">
            <w:pPr>
              <w:widowControl w:val="0"/>
              <w:jc w:val="both"/>
              <w:textAlignment w:val="baseline"/>
              <w:rPr>
                <w:b/>
                <w:i/>
                <w:lang w:eastAsia="lt-LT"/>
              </w:rPr>
            </w:pPr>
            <w:r w:rsidRPr="253E920C">
              <w:rPr>
                <w:b/>
                <w:i/>
                <w:lang w:val="en-US" w:eastAsia="lt-LT"/>
              </w:rPr>
              <w:t>4</w:t>
            </w:r>
            <w:r w:rsidR="00911C69" w:rsidRPr="253E920C">
              <w:rPr>
                <w:b/>
                <w:i/>
                <w:lang w:val="en-US" w:eastAsia="lt-LT"/>
              </w:rPr>
              <w:t>.</w:t>
            </w:r>
            <w:r w:rsidR="004C2B27" w:rsidRPr="253E920C">
              <w:rPr>
                <w:b/>
                <w:i/>
                <w:lang w:val="en-US" w:eastAsia="lt-LT"/>
              </w:rPr>
              <w:t xml:space="preserve"> </w:t>
            </w:r>
            <w:bookmarkStart w:id="2" w:name="_Hlk111022681"/>
            <w:r w:rsidR="00DF1DD7" w:rsidRPr="253E920C">
              <w:rPr>
                <w:rFonts w:eastAsia="Calibri"/>
                <w:b/>
                <w:i/>
              </w:rPr>
              <w:t xml:space="preserve">Projekto įgyvendinimo metu ir 3 metus po projekto veiklų įgyvendinimo pabaigos įmonės pajamų, gautų </w:t>
            </w:r>
            <w:r w:rsidR="00DF1DD7" w:rsidRPr="253E920C">
              <w:rPr>
                <w:rFonts w:eastAsia="Calibri"/>
                <w:b/>
                <w:i/>
                <w:color w:val="000000" w:themeColor="text1"/>
              </w:rPr>
              <w:t>iš tiesiogiai projekto įgyvendinimo metu sukurtų ir rinkai pateiktų produktų</w:t>
            </w:r>
            <w:r w:rsidR="00DA5892" w:rsidRPr="253E920C">
              <w:rPr>
                <w:rFonts w:eastAsia="Calibri"/>
                <w:b/>
                <w:i/>
                <w:color w:val="000000" w:themeColor="text1"/>
              </w:rPr>
              <w:t>,</w:t>
            </w:r>
            <w:r w:rsidR="00DF1DD7" w:rsidRPr="253E920C">
              <w:rPr>
                <w:rFonts w:eastAsia="Calibri"/>
                <w:b/>
                <w:i/>
                <w:color w:val="000000" w:themeColor="text1"/>
              </w:rPr>
              <w:t xml:space="preserve"> santykis su tinkamomis finansuoti projekto išlaidomis</w:t>
            </w:r>
            <w:r w:rsidR="00DF1DD7" w:rsidRPr="253E920C">
              <w:rPr>
                <w:rFonts w:eastAsia="Calibri"/>
                <w:b/>
                <w:i/>
              </w:rPr>
              <w:t>.</w:t>
            </w:r>
            <w:bookmarkEnd w:id="2"/>
          </w:p>
        </w:tc>
      </w:tr>
      <w:tr w:rsidR="00911C69" w14:paraId="77D5F09F" w14:textId="77777777" w:rsidTr="603E2C61">
        <w:tc>
          <w:tcPr>
            <w:tcW w:w="6259" w:type="dxa"/>
            <w:shd w:val="clear" w:color="auto" w:fill="auto"/>
            <w:vAlign w:val="center"/>
          </w:tcPr>
          <w:p w14:paraId="72C056B9"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34C8524C" w14:textId="2AC0336A" w:rsidR="00ED6B71" w:rsidRDefault="00B71EDA" w:rsidP="00B71EDA">
            <w:pPr>
              <w:widowControl w:val="0"/>
              <w:jc w:val="both"/>
              <w:textAlignment w:val="baseline"/>
              <w:rPr>
                <w:bCs/>
                <w:i/>
                <w:szCs w:val="24"/>
                <w:lang w:eastAsia="lt-LT"/>
              </w:rPr>
            </w:pPr>
            <w:r w:rsidRPr="00B71EDA">
              <w:rPr>
                <w:bCs/>
                <w:i/>
                <w:szCs w:val="24"/>
                <w:lang w:eastAsia="lt-LT"/>
              </w:rPr>
              <w:t xml:space="preserve">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w:t>
            </w:r>
          </w:p>
          <w:p w14:paraId="0A691535" w14:textId="52443176" w:rsidR="00B71EDA" w:rsidRPr="00B71EDA" w:rsidRDefault="00B71EDA" w:rsidP="00B71EDA">
            <w:pPr>
              <w:widowControl w:val="0"/>
              <w:jc w:val="both"/>
              <w:textAlignment w:val="baseline"/>
              <w:rPr>
                <w:bCs/>
                <w:i/>
                <w:szCs w:val="24"/>
                <w:lang w:eastAsia="lt-LT"/>
              </w:rPr>
            </w:pPr>
            <w:r w:rsidRPr="00B71EDA">
              <w:rPr>
                <w:bCs/>
                <w:i/>
                <w:szCs w:val="24"/>
                <w:lang w:eastAsia="lt-LT"/>
              </w:rPr>
              <w:t>Vertinama pagal formulę</w:t>
            </w:r>
            <w:r w:rsidR="001C40F6">
              <w:rPr>
                <w:bCs/>
                <w:i/>
                <w:szCs w:val="24"/>
                <w:lang w:eastAsia="lt-LT"/>
              </w:rPr>
              <w:t xml:space="preserve"> </w:t>
            </w:r>
            <w:r w:rsidRPr="00B71EDA">
              <w:rPr>
                <w:bCs/>
                <w:i/>
                <w:szCs w:val="24"/>
                <w:lang w:eastAsia="lt-LT"/>
              </w:rPr>
              <w:t>X</w:t>
            </w:r>
            <w:r w:rsidR="00C77963">
              <w:rPr>
                <w:bCs/>
                <w:i/>
                <w:szCs w:val="24"/>
                <w:lang w:val="en-US" w:eastAsia="lt-LT"/>
              </w:rPr>
              <w:t>=</w:t>
            </w:r>
            <w:r w:rsidRPr="00B71EDA">
              <w:rPr>
                <w:bCs/>
                <w:i/>
                <w:szCs w:val="24"/>
                <w:lang w:eastAsia="lt-LT"/>
              </w:rPr>
              <w:t xml:space="preserve">P/I, </w:t>
            </w:r>
            <w:r w:rsidR="001C40F6">
              <w:rPr>
                <w:bCs/>
                <w:i/>
                <w:szCs w:val="24"/>
                <w:lang w:eastAsia="lt-LT"/>
              </w:rPr>
              <w:t>kurioje:</w:t>
            </w:r>
            <w:r w:rsidRPr="00B71EDA">
              <w:rPr>
                <w:bCs/>
                <w:i/>
                <w:szCs w:val="24"/>
                <w:lang w:eastAsia="lt-LT"/>
              </w:rPr>
              <w:t xml:space="preserve"> </w:t>
            </w:r>
          </w:p>
          <w:p w14:paraId="7C5F42BB" w14:textId="2A81388F" w:rsidR="00B71EDA" w:rsidRPr="00B71EDA" w:rsidRDefault="00B71EDA" w:rsidP="00B71EDA">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produktų; </w:t>
            </w:r>
          </w:p>
          <w:p w14:paraId="432A39B5" w14:textId="77777777" w:rsidR="00C77963" w:rsidRDefault="00B71EDA" w:rsidP="00B71EDA">
            <w:pPr>
              <w:widowControl w:val="0"/>
              <w:jc w:val="both"/>
              <w:textAlignment w:val="baseline"/>
              <w:rPr>
                <w:bCs/>
                <w:i/>
                <w:szCs w:val="24"/>
                <w:lang w:eastAsia="lt-LT"/>
              </w:rPr>
            </w:pPr>
            <w:r w:rsidRPr="00B71EDA">
              <w:rPr>
                <w:bCs/>
                <w:i/>
                <w:szCs w:val="24"/>
                <w:lang w:eastAsia="lt-LT"/>
              </w:rPr>
              <w:t>I – tinkamos finansuoti projekto išlaidos</w:t>
            </w:r>
            <w:r w:rsidR="00C77963">
              <w:rPr>
                <w:bCs/>
                <w:i/>
                <w:szCs w:val="24"/>
                <w:lang w:eastAsia="lt-LT"/>
              </w:rPr>
              <w:t>;</w:t>
            </w:r>
          </w:p>
          <w:p w14:paraId="17C76376" w14:textId="3A6391A1" w:rsidR="00911C69" w:rsidRDefault="00C77963">
            <w:pPr>
              <w:widowControl w:val="0"/>
              <w:jc w:val="both"/>
              <w:textAlignment w:val="baseline"/>
              <w:rPr>
                <w:bCs/>
                <w:i/>
                <w:szCs w:val="24"/>
                <w:lang w:eastAsia="lt-LT"/>
              </w:rPr>
            </w:pPr>
            <w:r w:rsidRPr="00B71EDA">
              <w:rPr>
                <w:bCs/>
                <w:i/>
                <w:szCs w:val="24"/>
                <w:lang w:eastAsia="lt-LT"/>
              </w:rPr>
              <w:lastRenderedPageBreak/>
              <w:t>X</w:t>
            </w:r>
            <w:r w:rsidR="00AA34CA">
              <w:rPr>
                <w:bCs/>
                <w:i/>
                <w:szCs w:val="24"/>
                <w:lang w:eastAsia="lt-LT"/>
              </w:rPr>
              <w:t xml:space="preserve"> </w:t>
            </w:r>
            <w:r w:rsidR="00AA34CA" w:rsidRPr="00AA34CA">
              <w:rPr>
                <w:bCs/>
                <w:i/>
                <w:szCs w:val="24"/>
                <w:lang w:eastAsia="lt-LT"/>
              </w:rPr>
              <w:t>–</w:t>
            </w:r>
            <w:r w:rsidR="00AA34CA">
              <w:rPr>
                <w:bCs/>
                <w:i/>
                <w:szCs w:val="24"/>
                <w:lang w:eastAsia="lt-LT"/>
              </w:rPr>
              <w:t xml:space="preserve"> </w:t>
            </w:r>
            <w:r>
              <w:rPr>
                <w:bCs/>
                <w:i/>
                <w:szCs w:val="24"/>
                <w:lang w:eastAsia="lt-LT"/>
              </w:rPr>
              <w:t>santykis tarp</w:t>
            </w:r>
            <w:r w:rsidR="00906F94">
              <w:rPr>
                <w:bCs/>
                <w:i/>
                <w:szCs w:val="24"/>
                <w:lang w:eastAsia="lt-LT"/>
              </w:rPr>
              <w:t xml:space="preserve"> pajamų, gautų iš </w:t>
            </w:r>
            <w:r w:rsidR="00906F94" w:rsidRPr="00906F94">
              <w:rPr>
                <w:bCs/>
                <w:i/>
                <w:szCs w:val="24"/>
                <w:lang w:eastAsia="lt-LT"/>
              </w:rPr>
              <w:t>projekto įgyvendinimo metu ir 3 metus po projekto veiklų įgyvendinimo pabaigos</w:t>
            </w:r>
            <w:r w:rsidR="00482D08">
              <w:rPr>
                <w:bCs/>
                <w:i/>
                <w:szCs w:val="24"/>
                <w:lang w:eastAsia="lt-LT"/>
              </w:rPr>
              <w:t xml:space="preserve"> </w:t>
            </w:r>
            <w:r w:rsidR="00906F94" w:rsidRPr="00906F94">
              <w:rPr>
                <w:bCs/>
                <w:i/>
                <w:szCs w:val="24"/>
                <w:lang w:eastAsia="lt-LT"/>
              </w:rPr>
              <w:t>tiesiogiai projekto metu sukurtų ir rinkai pateiktų produktų</w:t>
            </w:r>
            <w:r w:rsidR="00906F94">
              <w:rPr>
                <w:bCs/>
                <w:i/>
                <w:szCs w:val="24"/>
                <w:lang w:eastAsia="lt-LT"/>
              </w:rPr>
              <w:t xml:space="preserve"> </w:t>
            </w:r>
            <w:r w:rsidR="008D1868">
              <w:rPr>
                <w:bCs/>
                <w:i/>
                <w:szCs w:val="24"/>
                <w:lang w:eastAsia="lt-LT"/>
              </w:rPr>
              <w:t xml:space="preserve">ir </w:t>
            </w:r>
            <w:r w:rsidR="00B93F9E" w:rsidRPr="008D1868">
              <w:rPr>
                <w:bCs/>
                <w:i/>
                <w:szCs w:val="24"/>
                <w:lang w:eastAsia="lt-LT"/>
              </w:rPr>
              <w:t>išlaid</w:t>
            </w:r>
            <w:r w:rsidR="00B93F9E">
              <w:rPr>
                <w:bCs/>
                <w:i/>
                <w:szCs w:val="24"/>
                <w:lang w:eastAsia="lt-LT"/>
              </w:rPr>
              <w:t xml:space="preserve">ų, skirtų </w:t>
            </w:r>
            <w:r w:rsidR="008D1868" w:rsidRPr="008D1868">
              <w:rPr>
                <w:bCs/>
                <w:i/>
                <w:szCs w:val="24"/>
                <w:lang w:eastAsia="lt-LT"/>
              </w:rPr>
              <w:t>projekt</w:t>
            </w:r>
            <w:r w:rsidR="00B93F9E">
              <w:rPr>
                <w:bCs/>
                <w:i/>
                <w:szCs w:val="24"/>
                <w:lang w:eastAsia="lt-LT"/>
              </w:rPr>
              <w:t>ui finansuoti</w:t>
            </w:r>
            <w:r w:rsidR="008D1868">
              <w:rPr>
                <w:bCs/>
                <w:i/>
                <w:szCs w:val="24"/>
                <w:lang w:eastAsia="lt-LT"/>
              </w:rPr>
              <w:t>.</w:t>
            </w:r>
          </w:p>
          <w:p w14:paraId="5D8C29F2" w14:textId="18D69280" w:rsidR="008D1868" w:rsidRDefault="008D1868">
            <w:pPr>
              <w:widowControl w:val="0"/>
              <w:jc w:val="both"/>
              <w:textAlignment w:val="baseline"/>
              <w:rPr>
                <w:bCs/>
                <w:i/>
                <w:szCs w:val="24"/>
                <w:lang w:eastAsia="lt-LT"/>
              </w:rPr>
            </w:pPr>
            <w:r>
              <w:rPr>
                <w:bCs/>
                <w:i/>
                <w:szCs w:val="24"/>
                <w:lang w:eastAsia="lt-LT"/>
              </w:rPr>
              <w:t>D</w:t>
            </w:r>
            <w:r w:rsidRPr="008D1868">
              <w:rPr>
                <w:bCs/>
                <w:i/>
                <w:szCs w:val="24"/>
                <w:lang w:eastAsia="lt-LT"/>
              </w:rPr>
              <w:t xml:space="preserve">augiau balų suteikiama tiems projektams, kurių </w:t>
            </w:r>
            <w:r w:rsidR="006D11D1">
              <w:rPr>
                <w:bCs/>
                <w:i/>
                <w:szCs w:val="24"/>
                <w:lang w:eastAsia="lt-LT"/>
              </w:rPr>
              <w:t xml:space="preserve">X </w:t>
            </w:r>
            <w:r>
              <w:rPr>
                <w:bCs/>
                <w:i/>
                <w:szCs w:val="24"/>
                <w:lang w:eastAsia="lt-LT"/>
              </w:rPr>
              <w:t>yra didesnis</w:t>
            </w:r>
            <w:r w:rsidR="003A5168">
              <w:rPr>
                <w:bCs/>
                <w:i/>
                <w:szCs w:val="24"/>
                <w:lang w:eastAsia="lt-LT"/>
              </w:rPr>
              <w:t>.</w:t>
            </w:r>
          </w:p>
          <w:p w14:paraId="77DD175B" w14:textId="7ABEF723" w:rsidR="000E4A1B" w:rsidRPr="00482D08" w:rsidRDefault="00DF4D62">
            <w:pPr>
              <w:widowControl w:val="0"/>
              <w:jc w:val="both"/>
              <w:textAlignment w:val="baseline"/>
              <w:rPr>
                <w:bCs/>
                <w:i/>
                <w:szCs w:val="24"/>
                <w:lang w:eastAsia="lt-LT"/>
              </w:rPr>
            </w:pPr>
            <w:r>
              <w:rPr>
                <w:bCs/>
                <w:i/>
                <w:szCs w:val="24"/>
                <w:lang w:eastAsia="lt-LT"/>
              </w:rPr>
              <w:t>Šis kriterijus taikomas tik p</w:t>
            </w:r>
            <w:r w:rsidR="000E4A1B">
              <w:rPr>
                <w:bCs/>
                <w:i/>
                <w:szCs w:val="24"/>
                <w:lang w:eastAsia="lt-LT"/>
              </w:rPr>
              <w:t>radedantiesiems inovatoriams</w:t>
            </w:r>
            <w:r w:rsidR="00AA34CA">
              <w:rPr>
                <w:bCs/>
                <w:i/>
                <w:szCs w:val="24"/>
                <w:lang w:eastAsia="lt-LT"/>
              </w:rPr>
              <w:t>.</w:t>
            </w:r>
            <w:r w:rsidR="000E4A1B">
              <w:rPr>
                <w:bCs/>
                <w:i/>
                <w:szCs w:val="24"/>
                <w:lang w:eastAsia="lt-LT"/>
              </w:rPr>
              <w:t xml:space="preserve"> </w:t>
            </w:r>
          </w:p>
        </w:tc>
      </w:tr>
      <w:tr w:rsidR="00911C69" w14:paraId="7C6F7554" w14:textId="77777777" w:rsidTr="603E2C61">
        <w:tc>
          <w:tcPr>
            <w:tcW w:w="6259" w:type="dxa"/>
            <w:shd w:val="clear" w:color="auto" w:fill="auto"/>
            <w:vAlign w:val="center"/>
          </w:tcPr>
          <w:p w14:paraId="657CF99F" w14:textId="77777777" w:rsidR="00911C69" w:rsidRDefault="00911C69">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2740CFC5" w14:textId="7EAD9553" w:rsidR="00911C69" w:rsidRDefault="00B71EDA" w:rsidP="001C40F6">
            <w:pPr>
              <w:widowControl w:val="0"/>
              <w:jc w:val="both"/>
              <w:textAlignment w:val="baseline"/>
              <w:rPr>
                <w:bCs/>
                <w:i/>
                <w:szCs w:val="24"/>
                <w:lang w:eastAsia="lt-LT"/>
              </w:rPr>
            </w:pPr>
            <w:r w:rsidRPr="00B71EDA">
              <w:rPr>
                <w:bCs/>
                <w:i/>
                <w:szCs w:val="24"/>
                <w:lang w:eastAsia="lt-LT"/>
              </w:rPr>
              <w:t xml:space="preserve">Nustatytas kriterijus padės atrinkti projektus, kuriais sukuriami komerciškai naudingesni </w:t>
            </w:r>
            <w:r w:rsidR="00660796">
              <w:rPr>
                <w:bCs/>
                <w:i/>
                <w:szCs w:val="24"/>
                <w:lang w:eastAsia="lt-LT"/>
              </w:rPr>
              <w:t xml:space="preserve">ir komerciškai patrauklesni </w:t>
            </w:r>
            <w:r w:rsidRPr="00B71EDA">
              <w:rPr>
                <w:bCs/>
                <w:i/>
                <w:szCs w:val="24"/>
                <w:lang w:eastAsia="lt-LT"/>
              </w:rPr>
              <w:t>produktai</w:t>
            </w:r>
            <w:r w:rsidR="00386620">
              <w:rPr>
                <w:bCs/>
                <w:i/>
                <w:szCs w:val="24"/>
                <w:lang w:eastAsia="lt-LT"/>
              </w:rPr>
              <w:t xml:space="preserve">. </w:t>
            </w:r>
            <w:r w:rsidR="0092044D">
              <w:rPr>
                <w:bCs/>
                <w:i/>
                <w:szCs w:val="24"/>
                <w:lang w:eastAsia="lt-LT"/>
              </w:rPr>
              <w:t>T</w:t>
            </w:r>
            <w:r w:rsidRPr="00B71EDA">
              <w:rPr>
                <w:bCs/>
                <w:i/>
                <w:szCs w:val="24"/>
                <w:lang w:eastAsia="lt-LT"/>
              </w:rPr>
              <w:t xml:space="preserve">okie projektai </w:t>
            </w:r>
            <w:r w:rsidR="00386620">
              <w:rPr>
                <w:bCs/>
                <w:i/>
                <w:szCs w:val="24"/>
                <w:lang w:eastAsia="lt-LT"/>
              </w:rPr>
              <w:t xml:space="preserve">prisidės ne tik prie investicijų į inovacijas skatinimo, </w:t>
            </w:r>
            <w:r w:rsidR="009325C1">
              <w:rPr>
                <w:bCs/>
                <w:i/>
                <w:szCs w:val="24"/>
                <w:lang w:eastAsia="lt-LT"/>
              </w:rPr>
              <w:t xml:space="preserve">naujų produktų komercinimo, </w:t>
            </w:r>
            <w:r w:rsidR="00386620">
              <w:rPr>
                <w:bCs/>
                <w:i/>
                <w:szCs w:val="24"/>
                <w:lang w:eastAsia="lt-LT"/>
              </w:rPr>
              <w:t xml:space="preserve">bet ir </w:t>
            </w:r>
            <w:r w:rsidRPr="00B71EDA">
              <w:rPr>
                <w:bCs/>
                <w:i/>
                <w:szCs w:val="24"/>
                <w:lang w:eastAsia="lt-LT"/>
              </w:rPr>
              <w:t>p</w:t>
            </w:r>
            <w:r w:rsidR="00C65366">
              <w:rPr>
                <w:bCs/>
                <w:i/>
                <w:szCs w:val="24"/>
                <w:lang w:eastAsia="lt-LT"/>
              </w:rPr>
              <w:t>adės įgyvendinti</w:t>
            </w:r>
            <w:r w:rsidRPr="00B71EDA">
              <w:rPr>
                <w:bCs/>
                <w:i/>
                <w:szCs w:val="24"/>
                <w:lang w:eastAsia="lt-LT"/>
              </w:rPr>
              <w:t xml:space="preserve"> </w:t>
            </w:r>
            <w:r w:rsidR="001E736E" w:rsidRPr="001E736E">
              <w:rPr>
                <w:bCs/>
                <w:i/>
                <w:szCs w:val="24"/>
                <w:lang w:eastAsia="lt-LT"/>
              </w:rPr>
              <w:t>Investicijų programos 1 prioritet</w:t>
            </w:r>
            <w:r w:rsidR="00895D5B">
              <w:rPr>
                <w:bCs/>
                <w:i/>
                <w:szCs w:val="24"/>
                <w:lang w:eastAsia="lt-LT"/>
              </w:rPr>
              <w:t>o</w:t>
            </w:r>
            <w:r w:rsidR="001E736E" w:rsidRPr="001E736E">
              <w:rPr>
                <w:bCs/>
                <w:i/>
                <w:szCs w:val="24"/>
                <w:lang w:eastAsia="lt-LT"/>
              </w:rPr>
              <w:t xml:space="preserve"> „Pažangesnė Lietuva“</w:t>
            </w:r>
            <w:r w:rsidR="00895D5B">
              <w:rPr>
                <w:bCs/>
                <w:i/>
                <w:szCs w:val="24"/>
                <w:lang w:eastAsia="lt-LT"/>
              </w:rPr>
              <w:t xml:space="preserve"> </w:t>
            </w:r>
            <w:r w:rsidR="00451784" w:rsidRPr="00451784">
              <w:rPr>
                <w:bCs/>
                <w:i/>
                <w:szCs w:val="24"/>
                <w:lang w:eastAsia="lt-LT"/>
              </w:rPr>
              <w:t xml:space="preserve">1.1 </w:t>
            </w:r>
            <w:r w:rsidR="00895D5B">
              <w:rPr>
                <w:bCs/>
                <w:i/>
                <w:szCs w:val="24"/>
                <w:lang w:eastAsia="lt-LT"/>
              </w:rPr>
              <w:t>konkretaus uždavinio</w:t>
            </w:r>
            <w:r w:rsidR="00895D5B" w:rsidRPr="00451784">
              <w:rPr>
                <w:bCs/>
                <w:i/>
                <w:szCs w:val="24"/>
                <w:lang w:eastAsia="lt-LT"/>
              </w:rPr>
              <w:t xml:space="preserve"> </w:t>
            </w:r>
            <w:r w:rsidR="00895D5B">
              <w:rPr>
                <w:bCs/>
                <w:i/>
                <w:szCs w:val="24"/>
                <w:lang w:eastAsia="lt-LT"/>
              </w:rPr>
              <w:t>„</w:t>
            </w:r>
            <w:r w:rsidR="00451784" w:rsidRPr="00451784">
              <w:rPr>
                <w:bCs/>
                <w:i/>
                <w:szCs w:val="24"/>
                <w:lang w:eastAsia="lt-LT"/>
              </w:rPr>
              <w:t>Plėtoti ir stiprinti mokslinių tyrimų ir inovacinius pajėgumus ir diegti pažangiąsias technologijas</w:t>
            </w:r>
            <w:r w:rsidR="00895D5B">
              <w:rPr>
                <w:bCs/>
                <w:i/>
                <w:szCs w:val="24"/>
                <w:lang w:eastAsia="lt-LT"/>
              </w:rPr>
              <w:t>“</w:t>
            </w:r>
            <w:r w:rsidR="00451784" w:rsidRPr="00451784">
              <w:rPr>
                <w:bCs/>
                <w:i/>
                <w:szCs w:val="24"/>
                <w:lang w:eastAsia="lt-LT"/>
              </w:rPr>
              <w:t xml:space="preserve"> </w:t>
            </w:r>
            <w:r w:rsidRPr="00B71EDA">
              <w:rPr>
                <w:bCs/>
                <w:i/>
                <w:szCs w:val="24"/>
                <w:lang w:eastAsia="lt-LT"/>
              </w:rPr>
              <w:t>tikslus</w:t>
            </w:r>
            <w:r w:rsidR="00540EB1">
              <w:rPr>
                <w:bCs/>
                <w:i/>
                <w:szCs w:val="24"/>
                <w:lang w:eastAsia="lt-LT"/>
              </w:rPr>
              <w:t xml:space="preserve"> </w:t>
            </w:r>
            <w:r w:rsidR="009B79BC">
              <w:rPr>
                <w:bCs/>
                <w:i/>
                <w:szCs w:val="24"/>
                <w:lang w:eastAsia="lt-LT"/>
              </w:rPr>
              <w:t>siekiant</w:t>
            </w:r>
            <w:r w:rsidR="00540EB1" w:rsidRPr="00540EB1">
              <w:rPr>
                <w:bCs/>
                <w:i/>
                <w:szCs w:val="24"/>
                <w:lang w:eastAsia="lt-LT"/>
              </w:rPr>
              <w:t xml:space="preserve"> investicijų į MTEPI</w:t>
            </w:r>
            <w:r w:rsidR="00974496">
              <w:rPr>
                <w:bCs/>
                <w:i/>
                <w:szCs w:val="24"/>
                <w:lang w:eastAsia="lt-LT"/>
              </w:rPr>
              <w:t xml:space="preserve"> </w:t>
            </w:r>
            <w:r w:rsidR="00540EB1" w:rsidRPr="00540EB1">
              <w:rPr>
                <w:bCs/>
                <w:i/>
                <w:szCs w:val="24"/>
                <w:lang w:eastAsia="lt-LT"/>
              </w:rPr>
              <w:t>didinim</w:t>
            </w:r>
            <w:r w:rsidR="00654AE9">
              <w:rPr>
                <w:bCs/>
                <w:i/>
                <w:szCs w:val="24"/>
                <w:lang w:eastAsia="lt-LT"/>
              </w:rPr>
              <w:t>o</w:t>
            </w:r>
            <w:r w:rsidRPr="00B71EDA">
              <w:rPr>
                <w:bCs/>
                <w:i/>
                <w:szCs w:val="24"/>
                <w:lang w:eastAsia="lt-LT"/>
              </w:rPr>
              <w:t xml:space="preserve"> ir </w:t>
            </w:r>
            <w:r w:rsidR="004B2425" w:rsidRPr="004B2425">
              <w:rPr>
                <w:bCs/>
                <w:i/>
                <w:szCs w:val="24"/>
                <w:lang w:eastAsia="lt-LT"/>
              </w:rPr>
              <w:t>prisidės prie 2022–2030</w:t>
            </w:r>
            <w:r w:rsidR="001C40F6">
              <w:rPr>
                <w:bCs/>
                <w:i/>
                <w:szCs w:val="24"/>
                <w:lang w:eastAsia="lt-LT"/>
              </w:rPr>
              <w:t> </w:t>
            </w:r>
            <w:r w:rsidR="004B2425" w:rsidRPr="004B2425">
              <w:rPr>
                <w:bCs/>
                <w:i/>
                <w:szCs w:val="24"/>
                <w:lang w:eastAsia="lt-LT"/>
              </w:rPr>
              <w:t xml:space="preserve">metų plėtros programos valdytojos Lietuvos Respublikos ekonomikos ir inovacijų ministerijos ekonomikos transformacijos ir konkurencingumo plėtros programoje </w:t>
            </w:r>
            <w:r w:rsidR="001D1472">
              <w:rPr>
                <w:bCs/>
                <w:i/>
                <w:szCs w:val="24"/>
                <w:lang w:eastAsia="lt-LT"/>
              </w:rPr>
              <w:t>pateikto</w:t>
            </w:r>
            <w:r w:rsidR="004B2425" w:rsidRPr="004B2425">
              <w:rPr>
                <w:bCs/>
                <w:i/>
                <w:szCs w:val="24"/>
                <w:lang w:eastAsia="lt-LT"/>
              </w:rPr>
              <w:t xml:space="preserve"> </w:t>
            </w:r>
            <w:r w:rsidR="00DB3F59">
              <w:rPr>
                <w:bCs/>
                <w:i/>
                <w:szCs w:val="24"/>
                <w:lang w:eastAsia="lt-LT"/>
              </w:rPr>
              <w:t>N</w:t>
            </w:r>
            <w:r w:rsidR="004B2425" w:rsidRPr="004B2425">
              <w:rPr>
                <w:bCs/>
                <w:i/>
                <w:szCs w:val="24"/>
                <w:lang w:eastAsia="lt-LT"/>
              </w:rPr>
              <w:t>acionalinio pažangos plano 1.5 uždavinio „Skatinti pažangiųjų technologijų ir inovacijų kūrimą, diegimą ir sklaidą“ rodiklių „MTEP išlaidos verslo sektoriuje, palyginti su BVP“ ir</w:t>
            </w:r>
            <w:r w:rsidR="004B2425">
              <w:rPr>
                <w:bCs/>
                <w:i/>
                <w:szCs w:val="24"/>
                <w:lang w:eastAsia="lt-LT"/>
              </w:rPr>
              <w:t xml:space="preserve"> </w:t>
            </w:r>
            <w:r w:rsidR="004B2425" w:rsidRPr="004B2425">
              <w:rPr>
                <w:bCs/>
                <w:i/>
                <w:szCs w:val="24"/>
                <w:lang w:eastAsia="lt-LT"/>
              </w:rPr>
              <w:t>„Inovacinę veiklą vykdančių įmonių dalis nuo visų įmonių“  siekimo.</w:t>
            </w:r>
          </w:p>
        </w:tc>
      </w:tr>
      <w:tr w:rsidR="0062599E" w14:paraId="30134DB0" w14:textId="77777777" w:rsidTr="603E2C61">
        <w:tc>
          <w:tcPr>
            <w:tcW w:w="6259" w:type="dxa"/>
            <w:shd w:val="clear" w:color="auto" w:fill="auto"/>
            <w:vAlign w:val="center"/>
          </w:tcPr>
          <w:p w14:paraId="40FA75B8" w14:textId="77777777" w:rsidR="0062599E" w:rsidRDefault="0062599E">
            <w:pPr>
              <w:widowControl w:val="0"/>
              <w:textAlignment w:val="baseline"/>
              <w:rPr>
                <w:b/>
                <w:bCs/>
                <w:szCs w:val="24"/>
                <w:lang w:eastAsia="lt-LT"/>
              </w:rPr>
            </w:pPr>
          </w:p>
        </w:tc>
        <w:tc>
          <w:tcPr>
            <w:tcW w:w="8868" w:type="dxa"/>
            <w:shd w:val="clear" w:color="auto" w:fill="auto"/>
          </w:tcPr>
          <w:p w14:paraId="6382E836" w14:textId="77777777" w:rsidR="0062599E" w:rsidRPr="00B71EDA" w:rsidRDefault="0062599E" w:rsidP="00B71EDA">
            <w:pPr>
              <w:widowControl w:val="0"/>
              <w:jc w:val="both"/>
              <w:textAlignment w:val="baseline"/>
              <w:rPr>
                <w:bCs/>
                <w:i/>
                <w:szCs w:val="24"/>
                <w:lang w:eastAsia="lt-LT"/>
              </w:rPr>
            </w:pPr>
          </w:p>
        </w:tc>
      </w:tr>
      <w:tr w:rsidR="00B050FA" w14:paraId="15B7FC9A" w14:textId="77777777" w:rsidTr="603E2C61">
        <w:tc>
          <w:tcPr>
            <w:tcW w:w="6259" w:type="dxa"/>
            <w:shd w:val="clear" w:color="auto" w:fill="auto"/>
          </w:tcPr>
          <w:p w14:paraId="74443CC9" w14:textId="77777777" w:rsidR="00B050FA" w:rsidRDefault="00B050FA">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B050FA" w:rsidRDefault="00B050FA">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B050FA" w:rsidRDefault="00B050FA">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36B9E029" w14:textId="77777777" w:rsidR="00B050FA" w:rsidRDefault="00B050F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Nustatymas</w:t>
            </w:r>
          </w:p>
          <w:p w14:paraId="13D96302" w14:textId="77777777" w:rsidR="00B050FA" w:rsidRDefault="00B050FA">
            <w:pPr>
              <w:widowControl w:val="0"/>
              <w:jc w:val="both"/>
              <w:textAlignment w:val="baseline"/>
              <w:rPr>
                <w:szCs w:val="24"/>
              </w:rPr>
            </w:pPr>
            <w:r>
              <w:rPr>
                <w:b/>
                <w:bCs/>
                <w:szCs w:val="24"/>
                <w:lang w:eastAsia="lt-LT"/>
              </w:rPr>
              <w:t>□ Keitimas</w:t>
            </w:r>
          </w:p>
        </w:tc>
      </w:tr>
      <w:tr w:rsidR="00B050FA" w:rsidRPr="00DF1DD7" w14:paraId="19383E38" w14:textId="77777777" w:rsidTr="603E2C61">
        <w:tc>
          <w:tcPr>
            <w:tcW w:w="6259" w:type="dxa"/>
            <w:shd w:val="clear" w:color="auto" w:fill="auto"/>
            <w:vAlign w:val="center"/>
          </w:tcPr>
          <w:p w14:paraId="4E624E40" w14:textId="77777777" w:rsidR="00B050FA" w:rsidRDefault="00B050FA">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C60D0D5" w14:textId="7D960265" w:rsidR="00B050FA" w:rsidRPr="005045D5" w:rsidRDefault="001839D9">
            <w:pPr>
              <w:widowControl w:val="0"/>
              <w:jc w:val="both"/>
              <w:textAlignment w:val="baseline"/>
              <w:rPr>
                <w:b/>
                <w:i/>
                <w:szCs w:val="24"/>
                <w:lang w:eastAsia="lt-LT"/>
              </w:rPr>
            </w:pPr>
            <w:r w:rsidRPr="005045D5">
              <w:rPr>
                <w:b/>
                <w:i/>
                <w:szCs w:val="24"/>
                <w:lang w:val="en-US" w:eastAsia="lt-LT"/>
              </w:rPr>
              <w:t>5</w:t>
            </w:r>
            <w:r w:rsidR="00B050FA" w:rsidRPr="005045D5">
              <w:rPr>
                <w:b/>
                <w:i/>
                <w:szCs w:val="24"/>
                <w:lang w:val="en-US" w:eastAsia="lt-LT"/>
              </w:rPr>
              <w:t xml:space="preserve">. </w:t>
            </w:r>
            <w:r w:rsidR="00B050FA" w:rsidRPr="005045D5">
              <w:rPr>
                <w:rFonts w:eastAsia="Calibri"/>
                <w:b/>
                <w:i/>
                <w:szCs w:val="24"/>
              </w:rPr>
              <w:t>Projekto įgyvendinimo metu sukurto (</w:t>
            </w:r>
            <w:r w:rsidR="001C40F6">
              <w:rPr>
                <w:rFonts w:eastAsia="Calibri"/>
                <w:b/>
                <w:i/>
                <w:szCs w:val="24"/>
              </w:rPr>
              <w:t>-o</w:t>
            </w:r>
            <w:r w:rsidR="00B050FA" w:rsidRPr="005045D5">
              <w:rPr>
                <w:rFonts w:eastAsia="Calibri"/>
                <w:b/>
                <w:i/>
                <w:szCs w:val="24"/>
              </w:rPr>
              <w:t>s) produkto (inovacijos) reikšmingumo lygis</w:t>
            </w:r>
          </w:p>
        </w:tc>
      </w:tr>
      <w:tr w:rsidR="00B050FA" w14:paraId="6685BD92" w14:textId="77777777" w:rsidTr="603E2C61">
        <w:tc>
          <w:tcPr>
            <w:tcW w:w="6259" w:type="dxa"/>
            <w:shd w:val="clear" w:color="auto" w:fill="auto"/>
            <w:vAlign w:val="center"/>
          </w:tcPr>
          <w:p w14:paraId="1DB79EB9" w14:textId="77777777" w:rsidR="00B050FA" w:rsidRDefault="00B050FA">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32C3DD90" w14:textId="219F3A4E" w:rsidR="000274AC" w:rsidRDefault="00905A92">
            <w:pPr>
              <w:widowControl w:val="0"/>
              <w:jc w:val="both"/>
              <w:textAlignment w:val="baseline"/>
              <w:rPr>
                <w:bCs/>
                <w:i/>
                <w:szCs w:val="24"/>
                <w:lang w:eastAsia="lt-LT"/>
              </w:rPr>
            </w:pPr>
            <w:r>
              <w:rPr>
                <w:bCs/>
                <w:i/>
                <w:szCs w:val="24"/>
                <w:lang w:eastAsia="lt-LT"/>
              </w:rPr>
              <w:t>Kriteri</w:t>
            </w:r>
            <w:r w:rsidR="00C043E1">
              <w:rPr>
                <w:bCs/>
                <w:i/>
                <w:szCs w:val="24"/>
                <w:lang w:eastAsia="lt-LT"/>
              </w:rPr>
              <w:t>jumi vertinamas</w:t>
            </w:r>
            <w:r w:rsidR="000274AC" w:rsidRPr="000274AC">
              <w:rPr>
                <w:bCs/>
                <w:i/>
                <w:szCs w:val="24"/>
                <w:lang w:eastAsia="lt-LT"/>
              </w:rPr>
              <w:t xml:space="preserve"> projekto įgyvendinimo metu sukurto (-ų) produkto (-ų) reikšmingumo lyg</w:t>
            </w:r>
            <w:r w:rsidR="00974496">
              <w:rPr>
                <w:bCs/>
                <w:i/>
                <w:szCs w:val="24"/>
                <w:lang w:eastAsia="lt-LT"/>
              </w:rPr>
              <w:t>is</w:t>
            </w:r>
            <w:r w:rsidR="000274AC" w:rsidRPr="000274AC">
              <w:rPr>
                <w:bCs/>
                <w:i/>
                <w:szCs w:val="24"/>
                <w:lang w:eastAsia="lt-LT"/>
              </w:rPr>
              <w:t>.</w:t>
            </w:r>
          </w:p>
          <w:p w14:paraId="4AEFCF3E" w14:textId="77777777" w:rsidR="0080348C" w:rsidRDefault="00317444" w:rsidP="0080348C">
            <w:pPr>
              <w:widowControl w:val="0"/>
              <w:jc w:val="both"/>
              <w:textAlignment w:val="baseline"/>
              <w:rPr>
                <w:bCs/>
                <w:i/>
                <w:szCs w:val="24"/>
                <w:lang w:eastAsia="lt-LT"/>
              </w:rPr>
            </w:pPr>
            <w:r w:rsidRPr="00317444">
              <w:rPr>
                <w:bCs/>
                <w:i/>
                <w:szCs w:val="24"/>
                <w:lang w:eastAsia="lt-LT"/>
              </w:rPr>
              <w:t>Reikšmingumas yra vertinamas atsižvelgiant į projekto įgyvendinimo metu</w:t>
            </w:r>
            <w:r w:rsidR="00336F6E">
              <w:rPr>
                <w:bCs/>
                <w:i/>
                <w:szCs w:val="24"/>
                <w:lang w:eastAsia="lt-LT"/>
              </w:rPr>
              <w:t xml:space="preserve"> </w:t>
            </w:r>
            <w:r w:rsidRPr="00317444">
              <w:rPr>
                <w:bCs/>
                <w:i/>
                <w:szCs w:val="24"/>
                <w:lang w:eastAsia="lt-LT"/>
              </w:rPr>
              <w:t xml:space="preserve">sukurto (-ų) produkto (-ų) naujumo lygį. Naujumas klasifikuojamas į tris grupes (reikšmingumo didėjimo tvarka): produktas naujas įmonės lygmeniu, produktas naujas rinkos lygmeniu, produktas naujas pasaulio lygmeniu, kaip nurodyta </w:t>
            </w:r>
            <w:hyperlink r:id="rId18" w:history="1">
              <w:r w:rsidR="0080348C" w:rsidRPr="004E7084">
                <w:rPr>
                  <w:rStyle w:val="Hyperlink"/>
                  <w:bCs/>
                  <w:i/>
                  <w:szCs w:val="24"/>
                  <w:lang w:eastAsia="lt-LT"/>
                </w:rPr>
                <w:t>Oslo vadove (Oslo manual. Guidelines for Collecting and Interpreting Innovation Data, 4rd Edition, OECD, Eurostat, 2018)</w:t>
              </w:r>
            </w:hyperlink>
            <w:r w:rsidR="0080348C" w:rsidRPr="00317444">
              <w:rPr>
                <w:bCs/>
                <w:i/>
                <w:szCs w:val="24"/>
                <w:lang w:eastAsia="lt-LT"/>
              </w:rPr>
              <w:t xml:space="preserve">. </w:t>
            </w:r>
          </w:p>
          <w:p w14:paraId="4DE231CA" w14:textId="7E421EF0" w:rsidR="00905A92" w:rsidRDefault="00372E1C">
            <w:pPr>
              <w:widowControl w:val="0"/>
              <w:jc w:val="both"/>
              <w:textAlignment w:val="baseline"/>
              <w:rPr>
                <w:bCs/>
                <w:i/>
                <w:szCs w:val="24"/>
                <w:lang w:eastAsia="lt-LT"/>
              </w:rPr>
            </w:pPr>
            <w:r w:rsidRPr="00317444">
              <w:rPr>
                <w:bCs/>
                <w:i/>
                <w:szCs w:val="24"/>
                <w:lang w:eastAsia="lt-LT"/>
              </w:rPr>
              <w:t>Aukštesnis įvertinimas</w:t>
            </w:r>
            <w:r>
              <w:rPr>
                <w:bCs/>
                <w:i/>
                <w:szCs w:val="24"/>
                <w:lang w:eastAsia="lt-LT"/>
              </w:rPr>
              <w:t xml:space="preserve"> (daugiau balų)</w:t>
            </w:r>
            <w:r w:rsidRPr="00317444">
              <w:rPr>
                <w:bCs/>
                <w:i/>
                <w:szCs w:val="24"/>
                <w:lang w:eastAsia="lt-LT"/>
              </w:rPr>
              <w:t xml:space="preserve"> suteikiamas </w:t>
            </w:r>
            <w:r w:rsidR="00FB54B7">
              <w:rPr>
                <w:bCs/>
                <w:i/>
                <w:szCs w:val="24"/>
                <w:lang w:eastAsia="lt-LT"/>
              </w:rPr>
              <w:t xml:space="preserve">(-a) </w:t>
            </w:r>
            <w:r w:rsidRPr="00317444">
              <w:rPr>
                <w:bCs/>
                <w:i/>
                <w:szCs w:val="24"/>
                <w:lang w:eastAsia="lt-LT"/>
              </w:rPr>
              <w:t>tiems projektams, kurių įgyvendinimo metu sukurtų produktų reikšmingumas yra didesnis.</w:t>
            </w:r>
          </w:p>
          <w:p w14:paraId="71B92322" w14:textId="108ADF5A" w:rsidR="00B050FA" w:rsidRPr="00336F6E" w:rsidRDefault="00905A92">
            <w:pPr>
              <w:widowControl w:val="0"/>
              <w:jc w:val="both"/>
              <w:textAlignment w:val="baseline"/>
              <w:rPr>
                <w:bCs/>
                <w:i/>
                <w:szCs w:val="24"/>
                <w:lang w:eastAsia="lt-LT"/>
              </w:rPr>
            </w:pPr>
            <w:r>
              <w:rPr>
                <w:bCs/>
                <w:i/>
                <w:szCs w:val="24"/>
                <w:lang w:eastAsia="lt-LT"/>
              </w:rPr>
              <w:lastRenderedPageBreak/>
              <w:t>K</w:t>
            </w:r>
            <w:r w:rsidR="00B137A4" w:rsidRPr="00B137A4">
              <w:rPr>
                <w:bCs/>
                <w:i/>
                <w:szCs w:val="24"/>
                <w:lang w:eastAsia="lt-LT"/>
              </w:rPr>
              <w:t>riterijus taikomas tik pradedantiesiems inovatoriams.</w:t>
            </w:r>
          </w:p>
        </w:tc>
      </w:tr>
      <w:tr w:rsidR="00B050FA" w14:paraId="7F574B45" w14:textId="77777777" w:rsidTr="603E2C61">
        <w:tc>
          <w:tcPr>
            <w:tcW w:w="6259" w:type="dxa"/>
            <w:shd w:val="clear" w:color="auto" w:fill="auto"/>
            <w:vAlign w:val="center"/>
          </w:tcPr>
          <w:p w14:paraId="33C66B5F" w14:textId="77777777" w:rsidR="00B050FA" w:rsidRDefault="00B050FA">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71B67299" w14:textId="64468A62" w:rsidR="00B050FA" w:rsidRDefault="00E01112" w:rsidP="00FB54B7">
            <w:pPr>
              <w:widowControl w:val="0"/>
              <w:jc w:val="both"/>
              <w:textAlignment w:val="baseline"/>
              <w:rPr>
                <w:bCs/>
                <w:i/>
                <w:szCs w:val="24"/>
                <w:lang w:eastAsia="lt-LT"/>
              </w:rPr>
            </w:pPr>
            <w:r>
              <w:rPr>
                <w:bCs/>
                <w:i/>
                <w:szCs w:val="24"/>
                <w:lang w:eastAsia="lt-LT"/>
              </w:rPr>
              <w:t>Nustatytas kriterijus padės atrinkti p</w:t>
            </w:r>
            <w:r w:rsidR="003A7DD1" w:rsidRPr="003A7DD1">
              <w:rPr>
                <w:bCs/>
                <w:i/>
                <w:szCs w:val="24"/>
                <w:lang w:eastAsia="lt-LT"/>
              </w:rPr>
              <w:t>rojekt</w:t>
            </w:r>
            <w:r>
              <w:rPr>
                <w:bCs/>
                <w:i/>
                <w:szCs w:val="24"/>
                <w:lang w:eastAsia="lt-LT"/>
              </w:rPr>
              <w:t>us</w:t>
            </w:r>
            <w:r w:rsidR="003A7DD1" w:rsidRPr="003A7DD1">
              <w:rPr>
                <w:bCs/>
                <w:i/>
                <w:szCs w:val="24"/>
                <w:lang w:eastAsia="lt-LT"/>
              </w:rPr>
              <w:t>, kurių įgyvendinimo metu sukuriami reikšmingi produktai (inovacijos)</w:t>
            </w:r>
            <w:r>
              <w:rPr>
                <w:bCs/>
                <w:i/>
                <w:szCs w:val="24"/>
                <w:lang w:eastAsia="lt-LT"/>
              </w:rPr>
              <w:t xml:space="preserve">, </w:t>
            </w:r>
            <w:r w:rsidR="00A85E33">
              <w:rPr>
                <w:bCs/>
                <w:i/>
                <w:szCs w:val="24"/>
                <w:lang w:eastAsia="lt-LT"/>
              </w:rPr>
              <w:t xml:space="preserve">turintys </w:t>
            </w:r>
            <w:r w:rsidR="00A52641">
              <w:rPr>
                <w:bCs/>
                <w:i/>
                <w:szCs w:val="24"/>
                <w:lang w:eastAsia="lt-LT"/>
              </w:rPr>
              <w:t>APV</w:t>
            </w:r>
            <w:r w:rsidR="00A85E33">
              <w:rPr>
                <w:bCs/>
                <w:i/>
                <w:szCs w:val="24"/>
                <w:lang w:eastAsia="lt-LT"/>
              </w:rPr>
              <w:t>, komerciškai patrauklūs ir naudingi,</w:t>
            </w:r>
            <w:r>
              <w:rPr>
                <w:bCs/>
                <w:i/>
                <w:szCs w:val="24"/>
                <w:lang w:eastAsia="lt-LT"/>
              </w:rPr>
              <w:t xml:space="preserve"> </w:t>
            </w:r>
            <w:r w:rsidR="00FB54B7">
              <w:rPr>
                <w:bCs/>
                <w:i/>
                <w:szCs w:val="24"/>
                <w:lang w:eastAsia="lt-LT"/>
              </w:rPr>
              <w:t xml:space="preserve">o tai </w:t>
            </w:r>
            <w:r>
              <w:rPr>
                <w:bCs/>
                <w:i/>
                <w:szCs w:val="24"/>
                <w:lang w:eastAsia="lt-LT"/>
              </w:rPr>
              <w:t>savo ruožtu</w:t>
            </w:r>
            <w:r w:rsidR="003A7DD1" w:rsidRPr="003A7DD1">
              <w:rPr>
                <w:bCs/>
                <w:i/>
                <w:szCs w:val="24"/>
                <w:lang w:eastAsia="lt-LT"/>
              </w:rPr>
              <w:t xml:space="preserve"> pad</w:t>
            </w:r>
            <w:r>
              <w:rPr>
                <w:bCs/>
                <w:i/>
                <w:szCs w:val="24"/>
                <w:lang w:eastAsia="lt-LT"/>
              </w:rPr>
              <w:t>ės</w:t>
            </w:r>
            <w:r w:rsidR="003A7DD1" w:rsidRPr="003A7DD1">
              <w:rPr>
                <w:bCs/>
                <w:i/>
                <w:szCs w:val="24"/>
                <w:lang w:eastAsia="lt-LT"/>
              </w:rPr>
              <w:t xml:space="preserve"> </w:t>
            </w:r>
            <w:r w:rsidR="001640C6" w:rsidRPr="001640C6">
              <w:rPr>
                <w:bCs/>
                <w:i/>
                <w:szCs w:val="24"/>
                <w:lang w:eastAsia="lt-LT"/>
              </w:rPr>
              <w:t>pasiekti Investicijų programos 1 priori</w:t>
            </w:r>
            <w:r w:rsidR="0060738A">
              <w:rPr>
                <w:bCs/>
                <w:i/>
                <w:szCs w:val="24"/>
                <w:lang w:eastAsia="lt-LT"/>
              </w:rPr>
              <w:t>teto</w:t>
            </w:r>
            <w:r w:rsidR="001640C6" w:rsidRPr="001640C6">
              <w:rPr>
                <w:bCs/>
                <w:i/>
                <w:szCs w:val="24"/>
                <w:lang w:eastAsia="lt-LT"/>
              </w:rPr>
              <w:t xml:space="preserve"> „Pažangesnė Lietuva“ 1.1</w:t>
            </w:r>
            <w:r w:rsidR="006328AA">
              <w:rPr>
                <w:bCs/>
                <w:i/>
                <w:szCs w:val="24"/>
                <w:lang w:eastAsia="lt-LT"/>
              </w:rPr>
              <w:t xml:space="preserve"> konkretaus uždavinio „</w:t>
            </w:r>
            <w:r w:rsidR="001640C6" w:rsidRPr="001640C6">
              <w:rPr>
                <w:bCs/>
                <w:i/>
                <w:szCs w:val="24"/>
                <w:lang w:eastAsia="lt-LT"/>
              </w:rPr>
              <w:t>Plėtoti ir stiprinti mokslinių tyrimų ir inovacinius pajėgumus ir diegti pažangiąsias technologijas</w:t>
            </w:r>
            <w:r w:rsidR="006328AA">
              <w:rPr>
                <w:bCs/>
                <w:i/>
                <w:szCs w:val="24"/>
                <w:lang w:eastAsia="lt-LT"/>
              </w:rPr>
              <w:t>“</w:t>
            </w:r>
            <w:r w:rsidR="001640C6" w:rsidRPr="001640C6">
              <w:rPr>
                <w:bCs/>
                <w:i/>
                <w:szCs w:val="24"/>
                <w:lang w:eastAsia="lt-LT"/>
              </w:rPr>
              <w:t xml:space="preserve"> tikslus </w:t>
            </w:r>
            <w:r w:rsidR="00044FDD" w:rsidRPr="00044FDD">
              <w:rPr>
                <w:bCs/>
                <w:i/>
                <w:szCs w:val="24"/>
                <w:lang w:eastAsia="lt-LT"/>
              </w:rPr>
              <w:t>ir prisidės prie 2022–2030 metų plėtros programos valdytojos Lietuvos Respublikos ekonomikos ir inovacijų ministerijos ekonomikos transformacijos ir konkurencingumo plėtros programo</w:t>
            </w:r>
            <w:r w:rsidR="00C94D36">
              <w:rPr>
                <w:bCs/>
                <w:i/>
                <w:szCs w:val="24"/>
                <w:lang w:eastAsia="lt-LT"/>
              </w:rPr>
              <w:t>je</w:t>
            </w:r>
            <w:r w:rsidR="00044FDD" w:rsidRPr="00044FDD">
              <w:rPr>
                <w:bCs/>
                <w:i/>
                <w:szCs w:val="24"/>
                <w:lang w:eastAsia="lt-LT"/>
              </w:rPr>
              <w:t xml:space="preserve"> </w:t>
            </w:r>
            <w:r w:rsidR="00C94D36">
              <w:rPr>
                <w:bCs/>
                <w:i/>
                <w:szCs w:val="24"/>
                <w:lang w:eastAsia="lt-LT"/>
              </w:rPr>
              <w:t>pateikto N</w:t>
            </w:r>
            <w:r w:rsidR="00044FDD" w:rsidRPr="00044FDD">
              <w:rPr>
                <w:bCs/>
                <w:i/>
                <w:szCs w:val="24"/>
                <w:lang w:eastAsia="lt-LT"/>
              </w:rPr>
              <w:t>acionalinio pažangos plano 1.5 uždavinio „Skatinti pažangiųjų technologijų ir inovacijų kūrimą, diegimą ir sklaidą“ rodiklių</w:t>
            </w:r>
            <w:r w:rsidR="00044FDD">
              <w:rPr>
                <w:bCs/>
                <w:i/>
                <w:szCs w:val="24"/>
                <w:lang w:eastAsia="lt-LT"/>
              </w:rPr>
              <w:t xml:space="preserve"> </w:t>
            </w:r>
            <w:r w:rsidR="00044FDD" w:rsidRPr="00044FDD">
              <w:rPr>
                <w:bCs/>
                <w:i/>
                <w:szCs w:val="24"/>
                <w:lang w:eastAsia="lt-LT"/>
              </w:rPr>
              <w:t>„MTEP išlaidos verslo sektoriuje, palyginti su BVP“</w:t>
            </w:r>
            <w:r w:rsidR="00044FDD">
              <w:rPr>
                <w:bCs/>
                <w:i/>
                <w:szCs w:val="24"/>
                <w:lang w:eastAsia="lt-LT"/>
              </w:rPr>
              <w:t xml:space="preserve"> ir</w:t>
            </w:r>
            <w:r w:rsidR="003426CF">
              <w:rPr>
                <w:bCs/>
                <w:i/>
                <w:szCs w:val="24"/>
                <w:lang w:eastAsia="lt-LT"/>
              </w:rPr>
              <w:t xml:space="preserve"> </w:t>
            </w:r>
            <w:r w:rsidR="00044FDD" w:rsidRPr="00044FDD">
              <w:rPr>
                <w:bCs/>
                <w:i/>
                <w:szCs w:val="24"/>
                <w:lang w:eastAsia="lt-LT"/>
              </w:rPr>
              <w:t>„Inovacinę veiklą vykdančių įmonių dalis nuo visų įmonių“</w:t>
            </w:r>
            <w:r w:rsidR="001358C5">
              <w:rPr>
                <w:bCs/>
                <w:i/>
                <w:szCs w:val="24"/>
                <w:lang w:eastAsia="lt-LT"/>
              </w:rPr>
              <w:t xml:space="preserve"> </w:t>
            </w:r>
            <w:r w:rsidR="00044FDD">
              <w:rPr>
                <w:bCs/>
                <w:i/>
                <w:szCs w:val="24"/>
                <w:lang w:eastAsia="lt-LT"/>
              </w:rPr>
              <w:t xml:space="preserve"> </w:t>
            </w:r>
            <w:r>
              <w:rPr>
                <w:bCs/>
                <w:i/>
                <w:szCs w:val="24"/>
                <w:lang w:eastAsia="lt-LT"/>
              </w:rPr>
              <w:t>siekimo</w:t>
            </w:r>
            <w:r w:rsidR="007154F3" w:rsidRPr="007154F3">
              <w:rPr>
                <w:bCs/>
                <w:i/>
                <w:szCs w:val="24"/>
                <w:lang w:eastAsia="lt-LT"/>
              </w:rPr>
              <w:t>.</w:t>
            </w:r>
          </w:p>
        </w:tc>
      </w:tr>
      <w:tr w:rsidR="001358C5" w14:paraId="6A81325C" w14:textId="77777777" w:rsidTr="603E2C61">
        <w:tc>
          <w:tcPr>
            <w:tcW w:w="6259" w:type="dxa"/>
            <w:shd w:val="clear" w:color="auto" w:fill="auto"/>
          </w:tcPr>
          <w:p w14:paraId="73731CE9" w14:textId="77777777" w:rsidR="001358C5" w:rsidRDefault="001358C5">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2229005F" w14:textId="0137CDE9" w:rsidR="001358C5" w:rsidRDefault="001358C5">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B534A">
              <w:rPr>
                <w:bCs/>
                <w:lang w:eastAsia="lt-LT"/>
              </w:rPr>
            </w:r>
            <w:r w:rsidR="009B534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19FFFB61" w14:textId="77777777" w:rsidR="001358C5" w:rsidRDefault="001358C5">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0C5B7AEE" w14:textId="77777777" w:rsidR="001358C5" w:rsidRPr="00FB54B7" w:rsidRDefault="001358C5">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9B534A">
              <w:rPr>
                <w:bCs/>
                <w:lang w:eastAsia="lt-LT"/>
              </w:rPr>
            </w:r>
            <w:r w:rsidR="009B534A">
              <w:rPr>
                <w:bCs/>
                <w:lang w:eastAsia="lt-LT"/>
              </w:rPr>
              <w:fldChar w:fldCharType="separate"/>
            </w:r>
            <w:r w:rsidRPr="00FC606A">
              <w:rPr>
                <w:bCs/>
                <w:lang w:eastAsia="lt-LT"/>
              </w:rPr>
              <w:fldChar w:fldCharType="end"/>
            </w:r>
            <w:r w:rsidRPr="00FB54B7">
              <w:rPr>
                <w:b/>
                <w:bCs/>
                <w:szCs w:val="24"/>
                <w:lang w:eastAsia="lt-LT"/>
              </w:rPr>
              <w:t xml:space="preserve">  Nustatymas</w:t>
            </w:r>
          </w:p>
          <w:p w14:paraId="2C87A2E7" w14:textId="77777777" w:rsidR="001358C5" w:rsidRPr="00FB54B7" w:rsidRDefault="001358C5">
            <w:pPr>
              <w:widowControl w:val="0"/>
              <w:jc w:val="both"/>
              <w:textAlignment w:val="baseline"/>
              <w:rPr>
                <w:szCs w:val="24"/>
              </w:rPr>
            </w:pPr>
            <w:r w:rsidRPr="00FB54B7">
              <w:rPr>
                <w:b/>
                <w:bCs/>
                <w:szCs w:val="24"/>
                <w:lang w:eastAsia="lt-LT"/>
              </w:rPr>
              <w:t>□ Keitimas</w:t>
            </w:r>
          </w:p>
        </w:tc>
      </w:tr>
      <w:tr w:rsidR="001358C5" w:rsidRPr="00DF1DD7" w14:paraId="07921F95" w14:textId="77777777" w:rsidTr="603E2C61">
        <w:tc>
          <w:tcPr>
            <w:tcW w:w="6259" w:type="dxa"/>
            <w:shd w:val="clear" w:color="auto" w:fill="auto"/>
            <w:vAlign w:val="center"/>
          </w:tcPr>
          <w:p w14:paraId="7975E755" w14:textId="77777777" w:rsidR="001358C5" w:rsidRDefault="001358C5">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3B38A802" w14:textId="3C81A5DD" w:rsidR="001358C5" w:rsidRPr="00EC4C40" w:rsidRDefault="001358C5" w:rsidP="00B638BC">
            <w:pPr>
              <w:widowControl w:val="0"/>
              <w:jc w:val="both"/>
              <w:textAlignment w:val="baseline"/>
              <w:rPr>
                <w:b/>
                <w:i/>
                <w:lang w:eastAsia="lt-LT"/>
              </w:rPr>
            </w:pPr>
            <w:r w:rsidRPr="00EC4C40">
              <w:rPr>
                <w:b/>
                <w:i/>
                <w:lang w:eastAsia="lt-LT"/>
              </w:rPr>
              <w:t>6.</w:t>
            </w:r>
            <w:r w:rsidR="001362D4" w:rsidRPr="00EC4C40">
              <w:rPr>
                <w:b/>
                <w:i/>
                <w:lang w:eastAsia="lt-LT"/>
              </w:rPr>
              <w:t xml:space="preserve"> </w:t>
            </w:r>
            <w:r w:rsidR="009B1A4C" w:rsidRPr="00EC4C40">
              <w:rPr>
                <w:b/>
                <w:i/>
                <w:lang w:eastAsia="lt-LT"/>
              </w:rPr>
              <w:t>Įmonėje sukurtų pilnų etatų, skirt</w:t>
            </w:r>
            <w:r w:rsidR="00A508DA" w:rsidRPr="00EC4C40">
              <w:rPr>
                <w:b/>
                <w:i/>
                <w:lang w:eastAsia="lt-LT"/>
              </w:rPr>
              <w:t>ų</w:t>
            </w:r>
            <w:r w:rsidR="009B1A4C" w:rsidRPr="00EC4C40">
              <w:rPr>
                <w:b/>
                <w:i/>
                <w:lang w:eastAsia="lt-LT"/>
              </w:rPr>
              <w:t xml:space="preserve"> </w:t>
            </w:r>
            <w:r w:rsidR="00A508DA" w:rsidRPr="00EC4C40">
              <w:rPr>
                <w:b/>
                <w:i/>
                <w:lang w:eastAsia="lt-LT"/>
              </w:rPr>
              <w:t xml:space="preserve">tyrėjams </w:t>
            </w:r>
            <w:r w:rsidR="009B1A4C" w:rsidRPr="00EC4C40">
              <w:rPr>
                <w:b/>
                <w:i/>
                <w:lang w:eastAsia="lt-LT"/>
              </w:rPr>
              <w:t>dalyvauti įmonių MTEP veiklose</w:t>
            </w:r>
            <w:r w:rsidR="00A508DA" w:rsidRPr="00EC4C40">
              <w:rPr>
                <w:b/>
                <w:i/>
                <w:lang w:eastAsia="lt-LT"/>
              </w:rPr>
              <w:t>, skaičius projekto įgyvendinimo metu ir per 3 metus po projekto įgyvendinimo.</w:t>
            </w:r>
          </w:p>
        </w:tc>
      </w:tr>
      <w:tr w:rsidR="001358C5" w14:paraId="218D47F5" w14:textId="77777777" w:rsidTr="603E2C61">
        <w:tc>
          <w:tcPr>
            <w:tcW w:w="6259" w:type="dxa"/>
            <w:shd w:val="clear" w:color="auto" w:fill="auto"/>
            <w:vAlign w:val="center"/>
          </w:tcPr>
          <w:p w14:paraId="0BD25C37" w14:textId="77777777" w:rsidR="001358C5" w:rsidRDefault="001358C5">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3871A38D" w14:textId="396E0CB1" w:rsidR="00515A65" w:rsidRDefault="00133EFA" w:rsidP="00E31611">
            <w:pPr>
              <w:widowControl w:val="0"/>
              <w:jc w:val="both"/>
              <w:textAlignment w:val="baseline"/>
              <w:rPr>
                <w:bCs/>
                <w:i/>
                <w:strike/>
                <w:szCs w:val="24"/>
                <w:lang w:eastAsia="lt-LT"/>
              </w:rPr>
            </w:pPr>
            <w:r w:rsidRPr="00133EFA">
              <w:rPr>
                <w:bCs/>
                <w:i/>
                <w:szCs w:val="24"/>
                <w:lang w:eastAsia="lt-LT"/>
              </w:rPr>
              <w:t xml:space="preserve">Įvertinama, kiek pilnų etatų įmonėje sudarys etatai, skirti tyrėjams, dalyvaujantiems MTEP veiklose projekto įgyvendinimo metu ir per 3 metus po projekto įgyvendinimo. </w:t>
            </w:r>
          </w:p>
          <w:p w14:paraId="4791820A" w14:textId="33A6D298" w:rsidR="00C043E1" w:rsidRDefault="00133EFA" w:rsidP="0001705F">
            <w:pPr>
              <w:widowControl w:val="0"/>
              <w:jc w:val="both"/>
              <w:textAlignment w:val="baseline"/>
              <w:rPr>
                <w:bCs/>
                <w:i/>
                <w:strike/>
                <w:szCs w:val="24"/>
                <w:lang w:eastAsia="lt-LT"/>
              </w:rPr>
            </w:pPr>
            <w:r w:rsidRPr="00133EFA">
              <w:rPr>
                <w:bCs/>
                <w:i/>
                <w:szCs w:val="24"/>
                <w:lang w:eastAsia="lt-LT"/>
              </w:rPr>
              <w:t xml:space="preserve">Aukštesnis įvertinimas suteikiamas tiems projektams, kuriuose įsipareigojama įdarbinti didesnį tyrėjų skaičių projekto įgyvendinimo metu ir per 3 metus po projekto įgyvendinimo  (skaičiuojant pilno etato ekvivalentais). </w:t>
            </w:r>
          </w:p>
          <w:p w14:paraId="24606848" w14:textId="3A8B5A5B" w:rsidR="007C49F2" w:rsidRPr="00515A65" w:rsidRDefault="00C043E1" w:rsidP="0001705F">
            <w:pPr>
              <w:widowControl w:val="0"/>
              <w:jc w:val="both"/>
              <w:textAlignment w:val="baseline"/>
              <w:rPr>
                <w:bCs/>
                <w:i/>
                <w:strike/>
                <w:szCs w:val="24"/>
                <w:lang w:eastAsia="lt-LT"/>
              </w:rPr>
            </w:pPr>
            <w:r>
              <w:rPr>
                <w:bCs/>
                <w:i/>
                <w:szCs w:val="24"/>
                <w:lang w:eastAsia="lt-LT"/>
              </w:rPr>
              <w:t>K</w:t>
            </w:r>
            <w:r w:rsidR="00FB3B87" w:rsidRPr="00FB3B87">
              <w:rPr>
                <w:bCs/>
                <w:i/>
                <w:szCs w:val="24"/>
                <w:lang w:eastAsia="lt-LT"/>
              </w:rPr>
              <w:t>riterijus taikomas tik pradedantiesiems inovatoriams.</w:t>
            </w:r>
          </w:p>
        </w:tc>
      </w:tr>
      <w:tr w:rsidR="001358C5" w14:paraId="3F19DE0D" w14:textId="77777777" w:rsidTr="603E2C61">
        <w:tc>
          <w:tcPr>
            <w:tcW w:w="6259" w:type="dxa"/>
            <w:shd w:val="clear" w:color="auto" w:fill="auto"/>
            <w:vAlign w:val="center"/>
          </w:tcPr>
          <w:p w14:paraId="440E4584" w14:textId="77777777" w:rsidR="001358C5" w:rsidRDefault="001358C5">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728DA5AD" w14:textId="28782868" w:rsidR="001358C5" w:rsidRDefault="001358C5">
            <w:pPr>
              <w:widowControl w:val="0"/>
              <w:jc w:val="both"/>
              <w:textAlignment w:val="baseline"/>
              <w:rPr>
                <w:bCs/>
                <w:i/>
                <w:szCs w:val="24"/>
                <w:lang w:eastAsia="lt-LT"/>
              </w:rPr>
            </w:pPr>
            <w:r>
              <w:rPr>
                <w:bCs/>
                <w:i/>
                <w:szCs w:val="24"/>
                <w:lang w:eastAsia="lt-LT"/>
              </w:rPr>
              <w:t>Nustatytas kriterijus padės atrinkti p</w:t>
            </w:r>
            <w:r w:rsidRPr="003A7DD1">
              <w:rPr>
                <w:bCs/>
                <w:i/>
                <w:szCs w:val="24"/>
                <w:lang w:eastAsia="lt-LT"/>
              </w:rPr>
              <w:t>rojekt</w:t>
            </w:r>
            <w:r>
              <w:rPr>
                <w:bCs/>
                <w:i/>
                <w:szCs w:val="24"/>
                <w:lang w:eastAsia="lt-LT"/>
              </w:rPr>
              <w:t>us</w:t>
            </w:r>
            <w:r w:rsidRPr="003A7DD1">
              <w:rPr>
                <w:bCs/>
                <w:i/>
                <w:szCs w:val="24"/>
                <w:lang w:eastAsia="lt-LT"/>
              </w:rPr>
              <w:t>, kurių įgyvendinimo metu</w:t>
            </w:r>
            <w:r w:rsidR="00514624">
              <w:rPr>
                <w:bCs/>
                <w:i/>
                <w:szCs w:val="24"/>
                <w:lang w:eastAsia="lt-LT"/>
              </w:rPr>
              <w:t xml:space="preserve"> didesnis dėmesys skiriamas tyrėjų įdarbinimui MTEP</w:t>
            </w:r>
            <w:r w:rsidR="0012444D">
              <w:rPr>
                <w:bCs/>
                <w:i/>
                <w:szCs w:val="24"/>
                <w:lang w:eastAsia="lt-LT"/>
              </w:rPr>
              <w:t xml:space="preserve"> veiklose</w:t>
            </w:r>
            <w:r w:rsidR="00B064CD">
              <w:rPr>
                <w:bCs/>
                <w:i/>
                <w:szCs w:val="24"/>
                <w:lang w:eastAsia="lt-LT"/>
              </w:rPr>
              <w:t xml:space="preserve"> ir efektyviausiai prisid</w:t>
            </w:r>
            <w:r w:rsidR="00C230AA">
              <w:rPr>
                <w:bCs/>
                <w:i/>
                <w:szCs w:val="24"/>
                <w:lang w:eastAsia="lt-LT"/>
              </w:rPr>
              <w:t>eda</w:t>
            </w:r>
            <w:r w:rsidR="00FB54B7">
              <w:rPr>
                <w:bCs/>
                <w:i/>
                <w:szCs w:val="24"/>
                <w:lang w:eastAsia="lt-LT"/>
              </w:rPr>
              <w:t>ma</w:t>
            </w:r>
            <w:r w:rsidR="001E4E8A">
              <w:rPr>
                <w:bCs/>
                <w:i/>
                <w:szCs w:val="24"/>
                <w:lang w:eastAsia="lt-LT"/>
              </w:rPr>
              <w:t xml:space="preserve"> </w:t>
            </w:r>
            <w:r w:rsidR="0012444D">
              <w:rPr>
                <w:bCs/>
                <w:i/>
                <w:szCs w:val="24"/>
                <w:lang w:eastAsia="lt-LT"/>
              </w:rPr>
              <w:t xml:space="preserve">prie </w:t>
            </w:r>
            <w:r w:rsidRPr="001640C6">
              <w:rPr>
                <w:bCs/>
                <w:i/>
                <w:szCs w:val="24"/>
                <w:lang w:eastAsia="lt-LT"/>
              </w:rPr>
              <w:t>Investicijų programo</w:t>
            </w:r>
            <w:r w:rsidR="00C230AA">
              <w:rPr>
                <w:bCs/>
                <w:i/>
                <w:szCs w:val="24"/>
                <w:lang w:eastAsia="lt-LT"/>
              </w:rPr>
              <w:t xml:space="preserve">s </w:t>
            </w:r>
            <w:r w:rsidRPr="001640C6">
              <w:rPr>
                <w:bCs/>
                <w:i/>
                <w:szCs w:val="24"/>
                <w:lang w:eastAsia="lt-LT"/>
              </w:rPr>
              <w:t>1 priori</w:t>
            </w:r>
            <w:r>
              <w:rPr>
                <w:bCs/>
                <w:i/>
                <w:szCs w:val="24"/>
                <w:lang w:eastAsia="lt-LT"/>
              </w:rPr>
              <w:t>teto</w:t>
            </w:r>
            <w:r w:rsidRPr="001640C6">
              <w:rPr>
                <w:bCs/>
                <w:i/>
                <w:szCs w:val="24"/>
                <w:lang w:eastAsia="lt-LT"/>
              </w:rPr>
              <w:t xml:space="preserve"> „Pažangesnė Lietuva“ 1.1</w:t>
            </w:r>
            <w:r>
              <w:rPr>
                <w:bCs/>
                <w:i/>
                <w:szCs w:val="24"/>
                <w:lang w:eastAsia="lt-LT"/>
              </w:rPr>
              <w:t xml:space="preserve"> konkretaus uždavinio „</w:t>
            </w:r>
            <w:r w:rsidRPr="001640C6">
              <w:rPr>
                <w:bCs/>
                <w:i/>
                <w:szCs w:val="24"/>
                <w:lang w:eastAsia="lt-LT"/>
              </w:rPr>
              <w:t>Plėtoti ir stiprinti mokslinių tyrimų ir inovacinius pajėgumus ir diegti pažangiąsias technologijas</w:t>
            </w:r>
            <w:r>
              <w:rPr>
                <w:bCs/>
                <w:i/>
                <w:szCs w:val="24"/>
                <w:lang w:eastAsia="lt-LT"/>
              </w:rPr>
              <w:t>“</w:t>
            </w:r>
            <w:r w:rsidRPr="001640C6">
              <w:rPr>
                <w:bCs/>
                <w:i/>
                <w:szCs w:val="24"/>
                <w:lang w:eastAsia="lt-LT"/>
              </w:rPr>
              <w:t xml:space="preserve"> tiksl</w:t>
            </w:r>
            <w:r w:rsidR="0012444D">
              <w:rPr>
                <w:bCs/>
                <w:i/>
                <w:szCs w:val="24"/>
                <w:lang w:eastAsia="lt-LT"/>
              </w:rPr>
              <w:t>ų</w:t>
            </w:r>
            <w:r w:rsidR="00615737">
              <w:rPr>
                <w:bCs/>
                <w:i/>
                <w:szCs w:val="24"/>
                <w:lang w:eastAsia="lt-LT"/>
              </w:rPr>
              <w:t xml:space="preserve"> įgyvendinimo</w:t>
            </w:r>
            <w:r w:rsidRPr="001640C6">
              <w:rPr>
                <w:bCs/>
                <w:i/>
                <w:szCs w:val="24"/>
                <w:lang w:eastAsia="lt-LT"/>
              </w:rPr>
              <w:t xml:space="preserve"> </w:t>
            </w:r>
            <w:r w:rsidR="0012444D">
              <w:rPr>
                <w:bCs/>
                <w:i/>
                <w:szCs w:val="24"/>
                <w:lang w:eastAsia="lt-LT"/>
              </w:rPr>
              <w:t xml:space="preserve">ir </w:t>
            </w:r>
            <w:r w:rsidR="0012444D" w:rsidRPr="0012444D">
              <w:rPr>
                <w:bCs/>
                <w:i/>
                <w:szCs w:val="24"/>
                <w:lang w:eastAsia="lt-LT"/>
              </w:rPr>
              <w:t xml:space="preserve">rezultato </w:t>
            </w:r>
            <w:r w:rsidR="00413313" w:rsidRPr="00413313">
              <w:rPr>
                <w:bCs/>
                <w:i/>
                <w:szCs w:val="24"/>
                <w:lang w:eastAsia="lt-LT"/>
              </w:rPr>
              <w:t>R-05-001-01-05-07-05</w:t>
            </w:r>
            <w:r w:rsidR="00413313">
              <w:rPr>
                <w:bCs/>
                <w:i/>
                <w:szCs w:val="24"/>
                <w:lang w:eastAsia="lt-LT"/>
              </w:rPr>
              <w:t xml:space="preserve"> (</w:t>
            </w:r>
            <w:r w:rsidR="0012444D" w:rsidRPr="0012444D">
              <w:rPr>
                <w:bCs/>
                <w:i/>
                <w:szCs w:val="24"/>
                <w:lang w:eastAsia="lt-LT"/>
              </w:rPr>
              <w:t>RCR102</w:t>
            </w:r>
            <w:r w:rsidR="00413313">
              <w:rPr>
                <w:bCs/>
                <w:i/>
                <w:szCs w:val="24"/>
                <w:lang w:eastAsia="lt-LT"/>
              </w:rPr>
              <w:t>)</w:t>
            </w:r>
            <w:r w:rsidR="0012444D" w:rsidRPr="0012444D">
              <w:rPr>
                <w:bCs/>
                <w:i/>
                <w:szCs w:val="24"/>
                <w:lang w:eastAsia="lt-LT"/>
              </w:rPr>
              <w:t xml:space="preserve"> stebėsenos rodiklio „Paramą gavusiuose subjektuose sukurtos mokslo tiriamojo darbo vietos“ </w:t>
            </w:r>
            <w:r w:rsidR="0012444D">
              <w:rPr>
                <w:bCs/>
                <w:i/>
                <w:szCs w:val="24"/>
                <w:lang w:eastAsia="lt-LT"/>
              </w:rPr>
              <w:t>pasiekimo.</w:t>
            </w:r>
          </w:p>
        </w:tc>
      </w:tr>
    </w:tbl>
    <w:p w14:paraId="68030FA7" w14:textId="77777777" w:rsidR="00482FB2" w:rsidRDefault="00482FB2">
      <w:pPr>
        <w:widowControl w:val="0"/>
        <w:spacing w:line="240" w:lineRule="exact"/>
        <w:jc w:val="both"/>
        <w:textAlignment w:val="baseline"/>
        <w:rPr>
          <w:szCs w:val="24"/>
        </w:rPr>
      </w:pPr>
    </w:p>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57"/>
        <w:gridCol w:w="1513"/>
        <w:gridCol w:w="3456"/>
        <w:gridCol w:w="1633"/>
        <w:gridCol w:w="2999"/>
      </w:tblGrid>
      <w:tr w:rsidR="001C6E03" w14:paraId="148A9663" w14:textId="77777777" w:rsidTr="00137FDA">
        <w:tc>
          <w:tcPr>
            <w:tcW w:w="5357" w:type="dxa"/>
          </w:tcPr>
          <w:p w14:paraId="76C2560D" w14:textId="5F064D96" w:rsidR="00482FB2" w:rsidRDefault="001C6E03" w:rsidP="00F4656F">
            <w:pPr>
              <w:widowControl w:val="0"/>
              <w:spacing w:line="240" w:lineRule="exact"/>
              <w:jc w:val="center"/>
              <w:textAlignment w:val="baseline"/>
              <w:rPr>
                <w:szCs w:val="24"/>
              </w:rPr>
            </w:pPr>
            <w:r>
              <w:rPr>
                <w:szCs w:val="24"/>
              </w:rPr>
              <w:lastRenderedPageBreak/>
              <w:t>Ekonomikos ir inovacijų viceministras</w:t>
            </w:r>
          </w:p>
        </w:tc>
        <w:tc>
          <w:tcPr>
            <w:tcW w:w="1513"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56" w:type="dxa"/>
          </w:tcPr>
          <w:p w14:paraId="0A8F3AFC" w14:textId="77777777" w:rsidR="00482FB2"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999" w:type="dxa"/>
          </w:tcPr>
          <w:p w14:paraId="492B1327" w14:textId="0FCEDE9A" w:rsidR="009B6B63" w:rsidRDefault="00D94B36">
            <w:pPr>
              <w:widowControl w:val="0"/>
              <w:spacing w:line="240" w:lineRule="exact"/>
              <w:jc w:val="both"/>
              <w:textAlignment w:val="baseline"/>
              <w:rPr>
                <w:szCs w:val="24"/>
              </w:rPr>
            </w:pPr>
            <w:r>
              <w:rPr>
                <w:szCs w:val="24"/>
              </w:rPr>
              <w:t xml:space="preserve">          </w:t>
            </w:r>
            <w:r w:rsidR="001C6E03">
              <w:rPr>
                <w:szCs w:val="24"/>
              </w:rPr>
              <w:t>Vincas Jurgutis</w:t>
            </w:r>
          </w:p>
        </w:tc>
      </w:tr>
    </w:tbl>
    <w:p w14:paraId="694D1F0E" w14:textId="7E9AA760" w:rsidR="00482FB2" w:rsidRDefault="00482FB2">
      <w:pPr>
        <w:widowControl w:val="0"/>
        <w:spacing w:line="240" w:lineRule="exact"/>
        <w:ind w:firstLine="720"/>
        <w:jc w:val="center"/>
        <w:textAlignment w:val="baseline"/>
        <w:rPr>
          <w:sz w:val="22"/>
          <w:szCs w:val="24"/>
        </w:rPr>
      </w:pPr>
    </w:p>
    <w:p w14:paraId="03600C5E" w14:textId="77777777" w:rsidR="009B6B63" w:rsidRDefault="009B6B63" w:rsidP="00712B2B">
      <w:pPr>
        <w:widowControl w:val="0"/>
        <w:spacing w:line="240" w:lineRule="exact"/>
        <w:textAlignment w:val="baseline"/>
        <w:rPr>
          <w:sz w:val="22"/>
          <w:szCs w:val="24"/>
        </w:rPr>
      </w:pPr>
    </w:p>
    <w:p w14:paraId="12C7CA8E" w14:textId="3994DA8A" w:rsidR="00F4656F" w:rsidRDefault="00F4656F" w:rsidP="00336F6E">
      <w:pPr>
        <w:widowControl w:val="0"/>
        <w:spacing w:line="240" w:lineRule="exact"/>
        <w:jc w:val="center"/>
        <w:textAlignment w:val="baseline"/>
        <w:rPr>
          <w:sz w:val="22"/>
          <w:szCs w:val="24"/>
        </w:rPr>
      </w:pPr>
    </w:p>
    <w:sectPr w:rsidR="00F4656F" w:rsidSect="00EC4C40">
      <w:headerReference w:type="default" r:id="rId19"/>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B7D5" w14:textId="77777777" w:rsidR="004003DF" w:rsidRDefault="004003DF" w:rsidP="0021091A">
      <w:r>
        <w:separator/>
      </w:r>
    </w:p>
  </w:endnote>
  <w:endnote w:type="continuationSeparator" w:id="0">
    <w:p w14:paraId="6DC80504" w14:textId="77777777" w:rsidR="004003DF" w:rsidRDefault="004003DF" w:rsidP="0021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D0A2" w14:textId="77777777" w:rsidR="004003DF" w:rsidRDefault="004003DF" w:rsidP="0021091A">
      <w:r>
        <w:separator/>
      </w:r>
    </w:p>
  </w:footnote>
  <w:footnote w:type="continuationSeparator" w:id="0">
    <w:p w14:paraId="17539BE4" w14:textId="77777777" w:rsidR="004003DF" w:rsidRDefault="004003DF" w:rsidP="0021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Header"/>
          <w:jc w:val="center"/>
        </w:pPr>
        <w:r>
          <w:fldChar w:fldCharType="begin"/>
        </w:r>
        <w:r>
          <w:instrText>PAGE   \* MERGEFORMAT</w:instrText>
        </w:r>
        <w:r>
          <w:fldChar w:fldCharType="separate"/>
        </w:r>
        <w:r w:rsidR="00EB7048">
          <w:rPr>
            <w:noProof/>
          </w:rPr>
          <w:t>8</w:t>
        </w:r>
        <w:r>
          <w:fldChar w:fldCharType="end"/>
        </w:r>
      </w:p>
    </w:sdtContent>
  </w:sdt>
  <w:p w14:paraId="49ABF039" w14:textId="77777777" w:rsidR="0021091A" w:rsidRDefault="00210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127FD"/>
    <w:rsid w:val="000140C1"/>
    <w:rsid w:val="0001705F"/>
    <w:rsid w:val="000252C7"/>
    <w:rsid w:val="000274AC"/>
    <w:rsid w:val="00036130"/>
    <w:rsid w:val="00036470"/>
    <w:rsid w:val="00044FDD"/>
    <w:rsid w:val="00050176"/>
    <w:rsid w:val="00066D93"/>
    <w:rsid w:val="000674AE"/>
    <w:rsid w:val="000836B3"/>
    <w:rsid w:val="00084864"/>
    <w:rsid w:val="00091021"/>
    <w:rsid w:val="000961F6"/>
    <w:rsid w:val="00097A7C"/>
    <w:rsid w:val="000A3B66"/>
    <w:rsid w:val="000A4EC6"/>
    <w:rsid w:val="000A4F2E"/>
    <w:rsid w:val="000D05B9"/>
    <w:rsid w:val="000E182F"/>
    <w:rsid w:val="000E4A1B"/>
    <w:rsid w:val="000E7165"/>
    <w:rsid w:val="000F1CA7"/>
    <w:rsid w:val="000F598C"/>
    <w:rsid w:val="000F6B6F"/>
    <w:rsid w:val="0012444D"/>
    <w:rsid w:val="00127F7B"/>
    <w:rsid w:val="00131A2F"/>
    <w:rsid w:val="00133EFA"/>
    <w:rsid w:val="001358C5"/>
    <w:rsid w:val="001362D4"/>
    <w:rsid w:val="00137FDA"/>
    <w:rsid w:val="001640C6"/>
    <w:rsid w:val="00167A61"/>
    <w:rsid w:val="00175D79"/>
    <w:rsid w:val="00176B05"/>
    <w:rsid w:val="001839D9"/>
    <w:rsid w:val="001925CD"/>
    <w:rsid w:val="00197D47"/>
    <w:rsid w:val="001B6499"/>
    <w:rsid w:val="001B6562"/>
    <w:rsid w:val="001C1E67"/>
    <w:rsid w:val="001C40F6"/>
    <w:rsid w:val="001C6B63"/>
    <w:rsid w:val="001C6E03"/>
    <w:rsid w:val="001D1472"/>
    <w:rsid w:val="001E4E8A"/>
    <w:rsid w:val="001E736E"/>
    <w:rsid w:val="001F782C"/>
    <w:rsid w:val="0021091A"/>
    <w:rsid w:val="00222D43"/>
    <w:rsid w:val="002332C0"/>
    <w:rsid w:val="00242284"/>
    <w:rsid w:val="00255174"/>
    <w:rsid w:val="002656E1"/>
    <w:rsid w:val="00270246"/>
    <w:rsid w:val="00274C27"/>
    <w:rsid w:val="00282C61"/>
    <w:rsid w:val="00292966"/>
    <w:rsid w:val="002B18F7"/>
    <w:rsid w:val="002B32C4"/>
    <w:rsid w:val="002C113C"/>
    <w:rsid w:val="002D1D41"/>
    <w:rsid w:val="002D3B7E"/>
    <w:rsid w:val="002F1897"/>
    <w:rsid w:val="00300D94"/>
    <w:rsid w:val="00304C6C"/>
    <w:rsid w:val="0031014C"/>
    <w:rsid w:val="00313828"/>
    <w:rsid w:val="00317444"/>
    <w:rsid w:val="00317B79"/>
    <w:rsid w:val="00322038"/>
    <w:rsid w:val="00325872"/>
    <w:rsid w:val="00332C88"/>
    <w:rsid w:val="0033379A"/>
    <w:rsid w:val="00336F6E"/>
    <w:rsid w:val="003371FF"/>
    <w:rsid w:val="003426CF"/>
    <w:rsid w:val="00345770"/>
    <w:rsid w:val="003536B3"/>
    <w:rsid w:val="00370B2E"/>
    <w:rsid w:val="00371761"/>
    <w:rsid w:val="00372E1C"/>
    <w:rsid w:val="003757E2"/>
    <w:rsid w:val="0037777C"/>
    <w:rsid w:val="00377C41"/>
    <w:rsid w:val="00386620"/>
    <w:rsid w:val="00387FE6"/>
    <w:rsid w:val="00391FC3"/>
    <w:rsid w:val="003A2BBD"/>
    <w:rsid w:val="003A5168"/>
    <w:rsid w:val="003A7DD1"/>
    <w:rsid w:val="003C082E"/>
    <w:rsid w:val="003C2780"/>
    <w:rsid w:val="003C4163"/>
    <w:rsid w:val="003D19A4"/>
    <w:rsid w:val="003E2757"/>
    <w:rsid w:val="003F0EA0"/>
    <w:rsid w:val="003F29E2"/>
    <w:rsid w:val="003F300E"/>
    <w:rsid w:val="003F3BF4"/>
    <w:rsid w:val="003F54AD"/>
    <w:rsid w:val="004003DF"/>
    <w:rsid w:val="00404517"/>
    <w:rsid w:val="00413313"/>
    <w:rsid w:val="00417464"/>
    <w:rsid w:val="0043695F"/>
    <w:rsid w:val="00437A96"/>
    <w:rsid w:val="00451784"/>
    <w:rsid w:val="00455BE5"/>
    <w:rsid w:val="00456FF8"/>
    <w:rsid w:val="00460716"/>
    <w:rsid w:val="00464FBC"/>
    <w:rsid w:val="0047279A"/>
    <w:rsid w:val="00482D08"/>
    <w:rsid w:val="00482FB2"/>
    <w:rsid w:val="00485DA5"/>
    <w:rsid w:val="00485E48"/>
    <w:rsid w:val="00491E52"/>
    <w:rsid w:val="00497B47"/>
    <w:rsid w:val="004A37F3"/>
    <w:rsid w:val="004A78EC"/>
    <w:rsid w:val="004B0135"/>
    <w:rsid w:val="004B069F"/>
    <w:rsid w:val="004B2425"/>
    <w:rsid w:val="004B2E89"/>
    <w:rsid w:val="004C2B27"/>
    <w:rsid w:val="004C4163"/>
    <w:rsid w:val="004C6A14"/>
    <w:rsid w:val="004E073A"/>
    <w:rsid w:val="004E756D"/>
    <w:rsid w:val="004F30B0"/>
    <w:rsid w:val="004F3DD6"/>
    <w:rsid w:val="004F406F"/>
    <w:rsid w:val="005045D5"/>
    <w:rsid w:val="00504F3B"/>
    <w:rsid w:val="00514624"/>
    <w:rsid w:val="00515A65"/>
    <w:rsid w:val="00522869"/>
    <w:rsid w:val="00525B74"/>
    <w:rsid w:val="00534AFF"/>
    <w:rsid w:val="00540452"/>
    <w:rsid w:val="00540EB1"/>
    <w:rsid w:val="00550578"/>
    <w:rsid w:val="00560173"/>
    <w:rsid w:val="00562F16"/>
    <w:rsid w:val="005655C3"/>
    <w:rsid w:val="005850F1"/>
    <w:rsid w:val="00585F60"/>
    <w:rsid w:val="0059484C"/>
    <w:rsid w:val="005A36C6"/>
    <w:rsid w:val="005A3B81"/>
    <w:rsid w:val="005A50AC"/>
    <w:rsid w:val="005A553A"/>
    <w:rsid w:val="005B34D5"/>
    <w:rsid w:val="005B45DC"/>
    <w:rsid w:val="005C6FBA"/>
    <w:rsid w:val="005D6611"/>
    <w:rsid w:val="006006DB"/>
    <w:rsid w:val="006054E4"/>
    <w:rsid w:val="0060738A"/>
    <w:rsid w:val="00610F10"/>
    <w:rsid w:val="006150D4"/>
    <w:rsid w:val="00615737"/>
    <w:rsid w:val="00620ABC"/>
    <w:rsid w:val="0062599E"/>
    <w:rsid w:val="00631D56"/>
    <w:rsid w:val="006328AA"/>
    <w:rsid w:val="00654AE9"/>
    <w:rsid w:val="00660796"/>
    <w:rsid w:val="006735F1"/>
    <w:rsid w:val="00681CCC"/>
    <w:rsid w:val="00691FB9"/>
    <w:rsid w:val="006A0CFB"/>
    <w:rsid w:val="006B04E5"/>
    <w:rsid w:val="006B486A"/>
    <w:rsid w:val="006B5D98"/>
    <w:rsid w:val="006C2351"/>
    <w:rsid w:val="006C7343"/>
    <w:rsid w:val="006D11D1"/>
    <w:rsid w:val="006D3BB4"/>
    <w:rsid w:val="00706529"/>
    <w:rsid w:val="0071111E"/>
    <w:rsid w:val="00712B2B"/>
    <w:rsid w:val="007138B7"/>
    <w:rsid w:val="007154F3"/>
    <w:rsid w:val="007161A3"/>
    <w:rsid w:val="00720E9E"/>
    <w:rsid w:val="0072575F"/>
    <w:rsid w:val="00725E08"/>
    <w:rsid w:val="00727AE5"/>
    <w:rsid w:val="007314E9"/>
    <w:rsid w:val="007404F1"/>
    <w:rsid w:val="00740BCA"/>
    <w:rsid w:val="007469F9"/>
    <w:rsid w:val="0075354F"/>
    <w:rsid w:val="0077150C"/>
    <w:rsid w:val="00774984"/>
    <w:rsid w:val="00784653"/>
    <w:rsid w:val="00785453"/>
    <w:rsid w:val="00794830"/>
    <w:rsid w:val="00794B38"/>
    <w:rsid w:val="007A0075"/>
    <w:rsid w:val="007A1696"/>
    <w:rsid w:val="007B0587"/>
    <w:rsid w:val="007B12F2"/>
    <w:rsid w:val="007C49F2"/>
    <w:rsid w:val="007F5006"/>
    <w:rsid w:val="007F5834"/>
    <w:rsid w:val="0080348C"/>
    <w:rsid w:val="00806E28"/>
    <w:rsid w:val="00813C6E"/>
    <w:rsid w:val="0081636D"/>
    <w:rsid w:val="00820877"/>
    <w:rsid w:val="00823A4E"/>
    <w:rsid w:val="00824458"/>
    <w:rsid w:val="008250A5"/>
    <w:rsid w:val="00830C75"/>
    <w:rsid w:val="00847FA5"/>
    <w:rsid w:val="00853C95"/>
    <w:rsid w:val="00861869"/>
    <w:rsid w:val="00867C46"/>
    <w:rsid w:val="00874180"/>
    <w:rsid w:val="00882649"/>
    <w:rsid w:val="00886D65"/>
    <w:rsid w:val="00895D5B"/>
    <w:rsid w:val="00897FEC"/>
    <w:rsid w:val="008A2DB1"/>
    <w:rsid w:val="008A5246"/>
    <w:rsid w:val="008B13C1"/>
    <w:rsid w:val="008B7064"/>
    <w:rsid w:val="008C0931"/>
    <w:rsid w:val="008D1868"/>
    <w:rsid w:val="008D34C2"/>
    <w:rsid w:val="008E36BE"/>
    <w:rsid w:val="008E5D85"/>
    <w:rsid w:val="008F51CA"/>
    <w:rsid w:val="008F7A1B"/>
    <w:rsid w:val="00905A92"/>
    <w:rsid w:val="00906F94"/>
    <w:rsid w:val="00911C69"/>
    <w:rsid w:val="00914F84"/>
    <w:rsid w:val="0092044D"/>
    <w:rsid w:val="0092411A"/>
    <w:rsid w:val="009276D4"/>
    <w:rsid w:val="009325C1"/>
    <w:rsid w:val="00934E71"/>
    <w:rsid w:val="00937033"/>
    <w:rsid w:val="0094070C"/>
    <w:rsid w:val="00942DAE"/>
    <w:rsid w:val="00956606"/>
    <w:rsid w:val="009604EE"/>
    <w:rsid w:val="00974496"/>
    <w:rsid w:val="00981DB0"/>
    <w:rsid w:val="0098391F"/>
    <w:rsid w:val="009A0CAA"/>
    <w:rsid w:val="009A4D6F"/>
    <w:rsid w:val="009B1A4C"/>
    <w:rsid w:val="009B534A"/>
    <w:rsid w:val="009B6B63"/>
    <w:rsid w:val="009B79BC"/>
    <w:rsid w:val="009C4F34"/>
    <w:rsid w:val="009D560D"/>
    <w:rsid w:val="009D5E97"/>
    <w:rsid w:val="009D713B"/>
    <w:rsid w:val="009E7C87"/>
    <w:rsid w:val="009F6690"/>
    <w:rsid w:val="00A035CA"/>
    <w:rsid w:val="00A06C0C"/>
    <w:rsid w:val="00A1072C"/>
    <w:rsid w:val="00A1239B"/>
    <w:rsid w:val="00A2560E"/>
    <w:rsid w:val="00A25EA9"/>
    <w:rsid w:val="00A37964"/>
    <w:rsid w:val="00A41296"/>
    <w:rsid w:val="00A441CD"/>
    <w:rsid w:val="00A44CFD"/>
    <w:rsid w:val="00A4602A"/>
    <w:rsid w:val="00A508DA"/>
    <w:rsid w:val="00A52641"/>
    <w:rsid w:val="00A5416F"/>
    <w:rsid w:val="00A602E3"/>
    <w:rsid w:val="00A61B3E"/>
    <w:rsid w:val="00A74004"/>
    <w:rsid w:val="00A80450"/>
    <w:rsid w:val="00A85E33"/>
    <w:rsid w:val="00A87981"/>
    <w:rsid w:val="00A93083"/>
    <w:rsid w:val="00AA34CA"/>
    <w:rsid w:val="00AA3543"/>
    <w:rsid w:val="00AA58AE"/>
    <w:rsid w:val="00AB140A"/>
    <w:rsid w:val="00AC2797"/>
    <w:rsid w:val="00AD0FBB"/>
    <w:rsid w:val="00AE4EC4"/>
    <w:rsid w:val="00AF5B4C"/>
    <w:rsid w:val="00B050FA"/>
    <w:rsid w:val="00B064CD"/>
    <w:rsid w:val="00B1334F"/>
    <w:rsid w:val="00B137A4"/>
    <w:rsid w:val="00B14450"/>
    <w:rsid w:val="00B14B90"/>
    <w:rsid w:val="00B2102B"/>
    <w:rsid w:val="00B25C88"/>
    <w:rsid w:val="00B261E5"/>
    <w:rsid w:val="00B327C4"/>
    <w:rsid w:val="00B37F99"/>
    <w:rsid w:val="00B40EF3"/>
    <w:rsid w:val="00B43E6E"/>
    <w:rsid w:val="00B54660"/>
    <w:rsid w:val="00B638BC"/>
    <w:rsid w:val="00B71EDA"/>
    <w:rsid w:val="00B7461E"/>
    <w:rsid w:val="00B85120"/>
    <w:rsid w:val="00B85C5C"/>
    <w:rsid w:val="00B90AED"/>
    <w:rsid w:val="00B90C7F"/>
    <w:rsid w:val="00B93783"/>
    <w:rsid w:val="00B93F9E"/>
    <w:rsid w:val="00B97959"/>
    <w:rsid w:val="00BA154C"/>
    <w:rsid w:val="00BA2228"/>
    <w:rsid w:val="00BC7FCB"/>
    <w:rsid w:val="00BD2B13"/>
    <w:rsid w:val="00BD4455"/>
    <w:rsid w:val="00BE6FF8"/>
    <w:rsid w:val="00BF177B"/>
    <w:rsid w:val="00C01B71"/>
    <w:rsid w:val="00C043E1"/>
    <w:rsid w:val="00C046C0"/>
    <w:rsid w:val="00C05A28"/>
    <w:rsid w:val="00C07662"/>
    <w:rsid w:val="00C10EA2"/>
    <w:rsid w:val="00C21B3C"/>
    <w:rsid w:val="00C230AA"/>
    <w:rsid w:val="00C23732"/>
    <w:rsid w:val="00C30E59"/>
    <w:rsid w:val="00C3104D"/>
    <w:rsid w:val="00C4251D"/>
    <w:rsid w:val="00C55963"/>
    <w:rsid w:val="00C5743E"/>
    <w:rsid w:val="00C632AE"/>
    <w:rsid w:val="00C65366"/>
    <w:rsid w:val="00C67DEB"/>
    <w:rsid w:val="00C70CC4"/>
    <w:rsid w:val="00C739BD"/>
    <w:rsid w:val="00C77963"/>
    <w:rsid w:val="00C94D36"/>
    <w:rsid w:val="00CA14AD"/>
    <w:rsid w:val="00CA20BD"/>
    <w:rsid w:val="00CA7A62"/>
    <w:rsid w:val="00CD763D"/>
    <w:rsid w:val="00CE3202"/>
    <w:rsid w:val="00CE45A8"/>
    <w:rsid w:val="00CF17C1"/>
    <w:rsid w:val="00CF31C3"/>
    <w:rsid w:val="00CF32BD"/>
    <w:rsid w:val="00D05484"/>
    <w:rsid w:val="00D05FC9"/>
    <w:rsid w:val="00D06863"/>
    <w:rsid w:val="00D32744"/>
    <w:rsid w:val="00D337B8"/>
    <w:rsid w:val="00D35AE8"/>
    <w:rsid w:val="00D35D8F"/>
    <w:rsid w:val="00D55BCD"/>
    <w:rsid w:val="00D61B1B"/>
    <w:rsid w:val="00D6500F"/>
    <w:rsid w:val="00D651A5"/>
    <w:rsid w:val="00D66CE4"/>
    <w:rsid w:val="00D77DF1"/>
    <w:rsid w:val="00D930DD"/>
    <w:rsid w:val="00D94B36"/>
    <w:rsid w:val="00DA29A4"/>
    <w:rsid w:val="00DA2C0C"/>
    <w:rsid w:val="00DA5892"/>
    <w:rsid w:val="00DB3F59"/>
    <w:rsid w:val="00DB45CF"/>
    <w:rsid w:val="00DD33E8"/>
    <w:rsid w:val="00DF1DD7"/>
    <w:rsid w:val="00DF1E53"/>
    <w:rsid w:val="00DF2C26"/>
    <w:rsid w:val="00DF4D62"/>
    <w:rsid w:val="00E01112"/>
    <w:rsid w:val="00E14770"/>
    <w:rsid w:val="00E160AA"/>
    <w:rsid w:val="00E168FB"/>
    <w:rsid w:val="00E17ECA"/>
    <w:rsid w:val="00E31611"/>
    <w:rsid w:val="00E35340"/>
    <w:rsid w:val="00E44A98"/>
    <w:rsid w:val="00E5493B"/>
    <w:rsid w:val="00E60EF1"/>
    <w:rsid w:val="00E627F4"/>
    <w:rsid w:val="00EA049D"/>
    <w:rsid w:val="00EA685F"/>
    <w:rsid w:val="00EA7D11"/>
    <w:rsid w:val="00EB0C97"/>
    <w:rsid w:val="00EB7048"/>
    <w:rsid w:val="00EC1D95"/>
    <w:rsid w:val="00EC239E"/>
    <w:rsid w:val="00EC4C40"/>
    <w:rsid w:val="00ED1A84"/>
    <w:rsid w:val="00ED66FA"/>
    <w:rsid w:val="00ED67D2"/>
    <w:rsid w:val="00ED6B71"/>
    <w:rsid w:val="00EF00A7"/>
    <w:rsid w:val="00EF7E90"/>
    <w:rsid w:val="00F042E5"/>
    <w:rsid w:val="00F14D95"/>
    <w:rsid w:val="00F33DF7"/>
    <w:rsid w:val="00F42C27"/>
    <w:rsid w:val="00F4656F"/>
    <w:rsid w:val="00F504C1"/>
    <w:rsid w:val="00F55119"/>
    <w:rsid w:val="00F63F67"/>
    <w:rsid w:val="00F70288"/>
    <w:rsid w:val="00F711E2"/>
    <w:rsid w:val="00F84AAD"/>
    <w:rsid w:val="00F91037"/>
    <w:rsid w:val="00FA0E95"/>
    <w:rsid w:val="00FA33E6"/>
    <w:rsid w:val="00FA67C6"/>
    <w:rsid w:val="00FB3B87"/>
    <w:rsid w:val="00FB5162"/>
    <w:rsid w:val="00FB54B7"/>
    <w:rsid w:val="00FB72CB"/>
    <w:rsid w:val="00FC606A"/>
    <w:rsid w:val="00FD3F50"/>
    <w:rsid w:val="00FE16E6"/>
    <w:rsid w:val="00FE7D2F"/>
    <w:rsid w:val="00FF0020"/>
    <w:rsid w:val="00FF19F5"/>
    <w:rsid w:val="00FF41F9"/>
    <w:rsid w:val="0FDC36EA"/>
    <w:rsid w:val="136B15E0"/>
    <w:rsid w:val="253E920C"/>
    <w:rsid w:val="444E8E32"/>
    <w:rsid w:val="4ADD0AE0"/>
    <w:rsid w:val="4EE0CAEB"/>
    <w:rsid w:val="5494D684"/>
    <w:rsid w:val="54D3CB6D"/>
    <w:rsid w:val="59486D29"/>
    <w:rsid w:val="5CB2CCE9"/>
    <w:rsid w:val="603E2C61"/>
    <w:rsid w:val="66117EF8"/>
    <w:rsid w:val="68E2DE15"/>
    <w:rsid w:val="6ACAE548"/>
    <w:rsid w:val="6E151B13"/>
    <w:rsid w:val="7398872A"/>
    <w:rsid w:val="788B5621"/>
    <w:rsid w:val="79705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FC44DB2D-FC30-4E30-AA6C-6F6C570B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PDF/?uri=CELEX:52021XC0218(01)&amp;from=EN" TargetMode="External"/><Relationship Id="rId18" Type="http://schemas.openxmlformats.org/officeDocument/2006/relationships/hyperlink" Target="https://ec.europa.eu/eurostat/web/products-manuals-and-guidelines/-/ks-01-18-85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s://mita.lrv.lt/uploads/mita/documents/files/Frascati_vadovas.pdf" TargetMode="External"/><Relationship Id="rId2" Type="http://schemas.openxmlformats.org/officeDocument/2006/relationships/customXml" Target="../customXml/item2.xml"/><Relationship Id="rId16" Type="http://schemas.openxmlformats.org/officeDocument/2006/relationships/hyperlink" Target="https://www.e-tar.lt/portal/lt/legalAct/TAR.2512A4C0E864/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LT/TXT/?uri=CELEX%3A32020R0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1E307-B7DD-47AA-B9FB-860B77596A0A}">
  <ds:schemaRefs>
    <ds:schemaRef ds:uri="http://schemas.openxmlformats.org/officeDocument/2006/bibliography"/>
  </ds:schemaRefs>
</ds:datastoreItem>
</file>

<file path=customXml/itemProps2.xml><?xml version="1.0" encoding="utf-8"?>
<ds:datastoreItem xmlns:ds="http://schemas.openxmlformats.org/officeDocument/2006/customXml" ds:itemID="{472CCEB2-00FD-4662-909C-EB964060C7FC}">
  <ds:schemaRefs>
    <ds:schemaRef ds:uri="http://schemas.openxmlformats.org/officeDocument/2006/bibliography"/>
  </ds:schemaRefs>
</ds:datastoreItem>
</file>

<file path=customXml/itemProps3.xml><?xml version="1.0" encoding="utf-8"?>
<ds:datastoreItem xmlns:ds="http://schemas.openxmlformats.org/officeDocument/2006/customXml" ds:itemID="{2192DE8D-4D4A-44CF-8256-A20B19986C05}">
  <ds:schemaRefs>
    <ds:schemaRef ds:uri="http://purl.org/dc/terms/"/>
    <ds:schemaRef ds:uri="7ed14601-a767-49df-87ac-319a5ad53ef2"/>
    <ds:schemaRef ds:uri="http://www.w3.org/XML/1998/namespace"/>
    <ds:schemaRef ds:uri="http://purl.org/dc/dcmitype/"/>
    <ds:schemaRef ds:uri="http://purl.org/dc/elements/1.1/"/>
    <ds:schemaRef ds:uri="http://schemas.microsoft.com/office/2006/metadata/properties"/>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D0024C7-3100-4EFB-A5D8-816B10A9A2CD}">
  <ds:schemaRefs>
    <ds:schemaRef ds:uri="http://schemas.openxmlformats.org/officeDocument/2006/bibliography"/>
  </ds:schemaRefs>
</ds:datastoreItem>
</file>

<file path=customXml/itemProps5.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6.xml><?xml version="1.0" encoding="utf-8"?>
<ds:datastoreItem xmlns:ds="http://schemas.openxmlformats.org/officeDocument/2006/customXml" ds:itemID="{8F72E9D3-19C6-49F5-AEBC-A2E2CB52CD47}">
  <ds:schemaRefs>
    <ds:schemaRef ds:uri="http://schemas.openxmlformats.org/officeDocument/2006/bibliography"/>
  </ds:schemaRefs>
</ds:datastoreItem>
</file>

<file path=customXml/itemProps7.xml><?xml version="1.0" encoding="utf-8"?>
<ds:datastoreItem xmlns:ds="http://schemas.openxmlformats.org/officeDocument/2006/customXml" ds:itemID="{D0062C37-C64E-44B8-84E8-7F5ABB24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2660</Words>
  <Characters>15166</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Evelina Matutienė</cp:lastModifiedBy>
  <cp:revision>3</cp:revision>
  <cp:lastPrinted>2017-02-13T18:49:00Z</cp:lastPrinted>
  <dcterms:created xsi:type="dcterms:W3CDTF">2022-09-22T13:54:00Z</dcterms:created>
  <dcterms:modified xsi:type="dcterms:W3CDTF">2022-10-05T11:46:00Z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