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25111" w14:textId="77777777" w:rsidR="00310187" w:rsidRDefault="00310187" w:rsidP="00310187">
      <w:pPr>
        <w:tabs>
          <w:tab w:val="left" w:pos="5529"/>
          <w:tab w:val="left" w:pos="5812"/>
        </w:tabs>
        <w:ind w:left="5670"/>
        <w:rPr>
          <w:rFonts w:eastAsia="Calibri"/>
          <w:szCs w:val="24"/>
          <w:lang w:eastAsia="lt-LT"/>
        </w:rPr>
      </w:pPr>
      <w:r>
        <w:rPr>
          <w:rFonts w:eastAsia="Calibri"/>
          <w:szCs w:val="24"/>
          <w:lang w:eastAsia="lt-LT"/>
        </w:rPr>
        <w:t xml:space="preserve">2021–2027 metų Europos Sąjungos fondų investicijų programos ir </w:t>
      </w:r>
      <w:r>
        <w:rPr>
          <w:bCs/>
          <w:szCs w:val="24"/>
          <w:lang w:eastAsia="lt-LT"/>
        </w:rPr>
        <w:t xml:space="preserve">Ekonomikos gaivinimo ir atsparumo didinimo </w:t>
      </w:r>
      <w:r>
        <w:rPr>
          <w:rFonts w:eastAsia="Calibri"/>
          <w:szCs w:val="24"/>
          <w:lang w:eastAsia="lt-LT"/>
        </w:rPr>
        <w:t>plano „Naujos kartos Lietuva“ administravimo taisyklių</w:t>
      </w:r>
    </w:p>
    <w:p w14:paraId="3DFCB978" w14:textId="77777777" w:rsidR="00310187" w:rsidRDefault="00310187" w:rsidP="00310187">
      <w:pPr>
        <w:tabs>
          <w:tab w:val="left" w:pos="5529"/>
          <w:tab w:val="left" w:pos="5812"/>
        </w:tabs>
        <w:ind w:left="5670"/>
        <w:rPr>
          <w:szCs w:val="24"/>
          <w:lang w:eastAsia="lt-LT"/>
        </w:rPr>
      </w:pPr>
      <w:r>
        <w:rPr>
          <w:rFonts w:eastAsia="Calibri"/>
          <w:szCs w:val="24"/>
          <w:lang w:eastAsia="lt-LT"/>
        </w:rPr>
        <w:t>1</w:t>
      </w:r>
      <w:r>
        <w:rPr>
          <w:szCs w:val="24"/>
          <w:lang w:eastAsia="lt-LT"/>
        </w:rPr>
        <w:t xml:space="preserve"> priedas</w:t>
      </w:r>
    </w:p>
    <w:p w14:paraId="63A3066C" w14:textId="77777777" w:rsidR="00310187" w:rsidRDefault="00310187">
      <w:pPr>
        <w:widowControl w:val="0"/>
        <w:spacing w:line="360" w:lineRule="atLeast"/>
        <w:jc w:val="center"/>
        <w:textAlignment w:val="baseline"/>
        <w:rPr>
          <w:szCs w:val="24"/>
        </w:rPr>
      </w:pPr>
    </w:p>
    <w:p w14:paraId="003A4803" w14:textId="77777777" w:rsidR="00310187" w:rsidRDefault="00310187">
      <w:pPr>
        <w:widowControl w:val="0"/>
        <w:spacing w:line="360" w:lineRule="atLeast"/>
        <w:jc w:val="center"/>
        <w:textAlignment w:val="baseline"/>
        <w:rPr>
          <w:szCs w:val="24"/>
        </w:rPr>
      </w:pPr>
    </w:p>
    <w:p w14:paraId="4457BDA1" w14:textId="77777777" w:rsidR="00CC4E49" w:rsidRDefault="00CC4E49">
      <w:pPr>
        <w:widowControl w:val="0"/>
        <w:spacing w:line="360" w:lineRule="atLeast"/>
        <w:jc w:val="center"/>
        <w:textAlignment w:val="baseline"/>
        <w:rPr>
          <w:szCs w:val="24"/>
        </w:rPr>
      </w:pPr>
      <w:r>
        <w:rPr>
          <w:szCs w:val="24"/>
        </w:rPr>
        <w:t xml:space="preserve">Ekonomikos ir inovacijų ministerija </w:t>
      </w:r>
    </w:p>
    <w:p w14:paraId="49D6078E" w14:textId="77777777" w:rsidR="00460407" w:rsidRPr="00FD38B8" w:rsidRDefault="00460407">
      <w:pPr>
        <w:widowControl w:val="0"/>
        <w:spacing w:line="360" w:lineRule="atLeast"/>
        <w:jc w:val="center"/>
        <w:textAlignment w:val="baseline"/>
        <w:rPr>
          <w:szCs w:val="24"/>
        </w:rPr>
      </w:pPr>
    </w:p>
    <w:p w14:paraId="32ECA323" w14:textId="77777777" w:rsidR="00460407" w:rsidRPr="00FD38B8" w:rsidRDefault="00640579">
      <w:pPr>
        <w:widowControl w:val="0"/>
        <w:spacing w:line="360" w:lineRule="atLeast"/>
        <w:textAlignment w:val="baseline"/>
        <w:rPr>
          <w:szCs w:val="24"/>
        </w:rPr>
      </w:pPr>
      <w:r w:rsidRPr="00FD38B8">
        <w:rPr>
          <w:szCs w:val="24"/>
        </w:rPr>
        <w:t>Lietuvos Respublikos finansų ministerijai</w:t>
      </w:r>
    </w:p>
    <w:p w14:paraId="3B3B334E" w14:textId="77777777" w:rsidR="00460407" w:rsidRPr="00FD38B8" w:rsidRDefault="00460407">
      <w:pPr>
        <w:widowControl w:val="0"/>
        <w:spacing w:line="360" w:lineRule="atLeast"/>
        <w:textAlignment w:val="baseline"/>
        <w:rPr>
          <w:szCs w:val="24"/>
        </w:rPr>
      </w:pPr>
    </w:p>
    <w:p w14:paraId="37DBAC73" w14:textId="77777777" w:rsidR="00CC4E49" w:rsidRDefault="00CC4E49">
      <w:pPr>
        <w:widowControl w:val="0"/>
        <w:jc w:val="center"/>
        <w:textAlignment w:val="baseline"/>
        <w:rPr>
          <w:b/>
          <w:caps/>
          <w:szCs w:val="24"/>
        </w:rPr>
      </w:pPr>
    </w:p>
    <w:p w14:paraId="692C1D03" w14:textId="01738DB9" w:rsidR="00460407" w:rsidRPr="00FD38B8" w:rsidRDefault="00640579">
      <w:pPr>
        <w:widowControl w:val="0"/>
        <w:jc w:val="center"/>
        <w:textAlignment w:val="baseline"/>
        <w:rPr>
          <w:b/>
          <w:szCs w:val="24"/>
        </w:rPr>
      </w:pPr>
      <w:r w:rsidRPr="00FD38B8">
        <w:rPr>
          <w:b/>
          <w:caps/>
          <w:szCs w:val="24"/>
        </w:rPr>
        <w:t xml:space="preserve">PasiūlymAS keisti 2021–2027 metų </w:t>
      </w:r>
      <w:proofErr w:type="gramStart"/>
      <w:r w:rsidRPr="00FD38B8">
        <w:rPr>
          <w:b/>
          <w:caps/>
          <w:szCs w:val="24"/>
        </w:rPr>
        <w:t>Europos Sąjungos</w:t>
      </w:r>
      <w:proofErr w:type="gramEnd"/>
      <w:r w:rsidRPr="00FD38B8">
        <w:rPr>
          <w:b/>
          <w:caps/>
          <w:szCs w:val="24"/>
        </w:rPr>
        <w:t xml:space="preserve"> fondų investicijų programą</w:t>
      </w:r>
    </w:p>
    <w:p w14:paraId="5C61E896" w14:textId="77777777" w:rsidR="00460407" w:rsidRPr="00FD38B8" w:rsidRDefault="00460407">
      <w:pPr>
        <w:widowControl w:val="0"/>
        <w:jc w:val="center"/>
        <w:textAlignment w:val="baseline"/>
        <w:rPr>
          <w:szCs w:val="24"/>
        </w:rPr>
      </w:pPr>
    </w:p>
    <w:p w14:paraId="33249CEF" w14:textId="6935B28B" w:rsidR="00460407" w:rsidRPr="00FD38B8" w:rsidRDefault="00CC4E49">
      <w:pPr>
        <w:widowControl w:val="0"/>
        <w:spacing w:line="240" w:lineRule="exact"/>
        <w:jc w:val="center"/>
        <w:textAlignment w:val="baseline"/>
        <w:rPr>
          <w:szCs w:val="24"/>
        </w:rPr>
      </w:pPr>
      <w:r>
        <w:rPr>
          <w:szCs w:val="24"/>
        </w:rPr>
        <w:t>2022</w:t>
      </w:r>
      <w:proofErr w:type="gramStart"/>
      <w:r>
        <w:rPr>
          <w:szCs w:val="24"/>
        </w:rPr>
        <w:t xml:space="preserve"> </w:t>
      </w:r>
      <w:r w:rsidR="00640579" w:rsidRPr="00FD38B8">
        <w:rPr>
          <w:szCs w:val="24"/>
        </w:rPr>
        <w:t xml:space="preserve"> </w:t>
      </w:r>
      <w:proofErr w:type="gramEnd"/>
      <w:r w:rsidR="00640579" w:rsidRPr="00FD38B8">
        <w:rPr>
          <w:szCs w:val="24"/>
        </w:rPr>
        <w:t xml:space="preserve">m. </w:t>
      </w:r>
      <w:r>
        <w:rPr>
          <w:szCs w:val="24"/>
        </w:rPr>
        <w:t>spalio 1</w:t>
      </w:r>
      <w:r w:rsidR="00E12166">
        <w:rPr>
          <w:szCs w:val="24"/>
        </w:rPr>
        <w:t>4</w:t>
      </w:r>
      <w:r>
        <w:rPr>
          <w:szCs w:val="24"/>
        </w:rPr>
        <w:t xml:space="preserve"> </w:t>
      </w:r>
      <w:r w:rsidR="00640579" w:rsidRPr="00FD38B8">
        <w:rPr>
          <w:szCs w:val="24"/>
        </w:rPr>
        <w:t>d.</w:t>
      </w:r>
    </w:p>
    <w:p w14:paraId="1EA53985" w14:textId="77777777" w:rsidR="00460407" w:rsidRPr="00FD38B8" w:rsidRDefault="00460407">
      <w:pPr>
        <w:widowControl w:val="0"/>
        <w:spacing w:line="360" w:lineRule="atLeast"/>
        <w:jc w:val="center"/>
        <w:textAlignment w:val="baseline"/>
        <w:rPr>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5"/>
      </w:tblGrid>
      <w:tr w:rsidR="00460407" w:rsidRPr="00FD38B8" w14:paraId="607832E1" w14:textId="77777777">
        <w:tc>
          <w:tcPr>
            <w:tcW w:w="5000" w:type="pct"/>
            <w:tcBorders>
              <w:top w:val="single" w:sz="4" w:space="0" w:color="auto"/>
              <w:left w:val="single" w:sz="4" w:space="0" w:color="auto"/>
              <w:bottom w:val="single" w:sz="4" w:space="0" w:color="auto"/>
              <w:right w:val="single" w:sz="4" w:space="0" w:color="auto"/>
            </w:tcBorders>
            <w:vAlign w:val="center"/>
          </w:tcPr>
          <w:p w14:paraId="439C5BBD" w14:textId="7E08EF92" w:rsidR="00CC4E49" w:rsidRPr="00FD38B8" w:rsidRDefault="00640579" w:rsidP="00CC4E49">
            <w:pPr>
              <w:widowControl w:val="0"/>
              <w:jc w:val="both"/>
              <w:textAlignment w:val="baseline"/>
              <w:rPr>
                <w:szCs w:val="24"/>
              </w:rPr>
            </w:pPr>
            <w:r w:rsidRPr="00FD38B8">
              <w:rPr>
                <w:b/>
                <w:szCs w:val="24"/>
              </w:rPr>
              <w:t>2021–2027 METŲ EUROPOS SĄJUNGOS FONDŲ INVESTICIJŲ PROGRAMOS</w:t>
            </w:r>
            <w:proofErr w:type="gramStart"/>
            <w:r w:rsidR="009A4A5B" w:rsidRPr="00FD38B8">
              <w:rPr>
                <w:b/>
                <w:szCs w:val="24"/>
              </w:rPr>
              <w:t xml:space="preserve"> </w:t>
            </w:r>
            <w:r w:rsidRPr="00FD38B8">
              <w:rPr>
                <w:b/>
                <w:szCs w:val="24"/>
              </w:rPr>
              <w:t xml:space="preserve"> </w:t>
            </w:r>
            <w:proofErr w:type="gramEnd"/>
            <w:r w:rsidRPr="00FD38B8">
              <w:rPr>
                <w:b/>
                <w:szCs w:val="24"/>
              </w:rPr>
              <w:t xml:space="preserve">(TOLIAU – INVESTICIJŲ PROGRAMA) </w:t>
            </w:r>
            <w:r w:rsidR="009A4A5B" w:rsidRPr="00FD38B8">
              <w:rPr>
                <w:b/>
                <w:szCs w:val="24"/>
              </w:rPr>
              <w:t xml:space="preserve">PAPILDYMAS 9 PRIORITETU </w:t>
            </w:r>
          </w:p>
        </w:tc>
      </w:tr>
      <w:tr w:rsidR="00460407" w:rsidRPr="00FD38B8" w14:paraId="330732F3" w14:textId="77777777">
        <w:tc>
          <w:tcPr>
            <w:tcW w:w="5000" w:type="pct"/>
            <w:tcBorders>
              <w:top w:val="single" w:sz="4" w:space="0" w:color="auto"/>
              <w:left w:val="single" w:sz="4" w:space="0" w:color="auto"/>
              <w:bottom w:val="single" w:sz="4" w:space="0" w:color="auto"/>
              <w:right w:val="single" w:sz="4" w:space="0" w:color="auto"/>
            </w:tcBorders>
            <w:vAlign w:val="center"/>
          </w:tcPr>
          <w:p w14:paraId="5C18FBC3" w14:textId="055A1A71" w:rsidR="00460407" w:rsidRPr="00FD38B8" w:rsidRDefault="00640579">
            <w:pPr>
              <w:widowControl w:val="0"/>
              <w:jc w:val="both"/>
              <w:textAlignment w:val="baseline"/>
              <w:rPr>
                <w:szCs w:val="24"/>
              </w:rPr>
            </w:pPr>
            <w:r w:rsidRPr="00FD38B8">
              <w:rPr>
                <w:b/>
                <w:szCs w:val="24"/>
              </w:rPr>
              <w:t xml:space="preserve">SIŪLOMAS PAKEITIMAS </w:t>
            </w:r>
          </w:p>
          <w:p w14:paraId="7E44DE0A" w14:textId="7E962C2E" w:rsidR="009A4A5B" w:rsidRPr="00FD38B8" w:rsidRDefault="009A4A5B">
            <w:pPr>
              <w:widowControl w:val="0"/>
              <w:jc w:val="both"/>
              <w:textAlignment w:val="baseline"/>
              <w:rPr>
                <w:szCs w:val="24"/>
              </w:rPr>
            </w:pPr>
            <w:r w:rsidRPr="00FD38B8">
              <w:rPr>
                <w:szCs w:val="24"/>
              </w:rPr>
              <w:t xml:space="preserve">Pakeitimas pridedamas Priede </w:t>
            </w:r>
            <w:proofErr w:type="spellStart"/>
            <w:r w:rsidRPr="00FD38B8">
              <w:rPr>
                <w:szCs w:val="24"/>
                <w:lang w:val="en-US"/>
              </w:rPr>
              <w:t>Nr</w:t>
            </w:r>
            <w:proofErr w:type="spellEnd"/>
            <w:r w:rsidRPr="00FD38B8">
              <w:rPr>
                <w:szCs w:val="24"/>
                <w:lang w:val="en-US"/>
              </w:rPr>
              <w:t>. 1</w:t>
            </w:r>
            <w:r w:rsidRPr="00FD38B8">
              <w:rPr>
                <w:szCs w:val="24"/>
              </w:rPr>
              <w:t>.</w:t>
            </w:r>
            <w:bookmarkStart w:id="0" w:name="_GoBack"/>
            <w:bookmarkEnd w:id="0"/>
          </w:p>
        </w:tc>
      </w:tr>
      <w:tr w:rsidR="00460407" w:rsidRPr="00FD38B8" w14:paraId="78326280" w14:textId="77777777">
        <w:tc>
          <w:tcPr>
            <w:tcW w:w="5000" w:type="pct"/>
            <w:tcBorders>
              <w:top w:val="single" w:sz="4" w:space="0" w:color="auto"/>
              <w:left w:val="single" w:sz="4" w:space="0" w:color="auto"/>
              <w:bottom w:val="single" w:sz="4" w:space="0" w:color="auto"/>
              <w:right w:val="single" w:sz="4" w:space="0" w:color="auto"/>
            </w:tcBorders>
            <w:vAlign w:val="center"/>
          </w:tcPr>
          <w:p w14:paraId="4B9CA95B" w14:textId="7BAC3ECB" w:rsidR="00460407" w:rsidRPr="00FD38B8" w:rsidRDefault="00640579">
            <w:pPr>
              <w:widowControl w:val="0"/>
              <w:jc w:val="both"/>
              <w:textAlignment w:val="baseline"/>
              <w:rPr>
                <w:szCs w:val="24"/>
              </w:rPr>
            </w:pPr>
            <w:r w:rsidRPr="00FD38B8">
              <w:rPr>
                <w:b/>
                <w:szCs w:val="24"/>
              </w:rPr>
              <w:t>TEISINIS PAGRINDAS</w:t>
            </w:r>
          </w:p>
          <w:p w14:paraId="363A5DEF" w14:textId="098CFBC2" w:rsidR="007A2818" w:rsidRPr="00FD38B8" w:rsidRDefault="007A2818">
            <w:pPr>
              <w:widowControl w:val="0"/>
              <w:jc w:val="both"/>
              <w:textAlignment w:val="baseline"/>
              <w:rPr>
                <w:szCs w:val="24"/>
                <w:lang w:val="en-US"/>
              </w:rPr>
            </w:pPr>
            <w:r w:rsidRPr="00FD38B8">
              <w:rPr>
                <w:szCs w:val="24"/>
              </w:rPr>
              <w:t xml:space="preserve">Reglamento (ES) </w:t>
            </w:r>
            <w:r w:rsidRPr="00FD38B8">
              <w:rPr>
                <w:szCs w:val="24"/>
                <w:lang w:val="en-US"/>
              </w:rPr>
              <w:t xml:space="preserve">2021/1060 24 </w:t>
            </w:r>
            <w:r w:rsidRPr="00EB4B10">
              <w:rPr>
                <w:szCs w:val="24"/>
              </w:rPr>
              <w:t>straipsnis</w:t>
            </w:r>
            <w:r w:rsidR="009A4A5B" w:rsidRPr="00FD38B8">
              <w:rPr>
                <w:szCs w:val="24"/>
                <w:lang w:val="en-US"/>
              </w:rPr>
              <w:t>.</w:t>
            </w:r>
          </w:p>
        </w:tc>
      </w:tr>
      <w:tr w:rsidR="00460407" w:rsidRPr="00FD38B8" w14:paraId="0FE3A3DD" w14:textId="77777777">
        <w:tc>
          <w:tcPr>
            <w:tcW w:w="5000" w:type="pct"/>
            <w:tcBorders>
              <w:top w:val="single" w:sz="4" w:space="0" w:color="auto"/>
              <w:left w:val="single" w:sz="4" w:space="0" w:color="auto"/>
              <w:bottom w:val="single" w:sz="4" w:space="0" w:color="auto"/>
              <w:right w:val="single" w:sz="4" w:space="0" w:color="auto"/>
            </w:tcBorders>
            <w:vAlign w:val="center"/>
          </w:tcPr>
          <w:p w14:paraId="3FF9D00C" w14:textId="1811CD98" w:rsidR="00460407" w:rsidRDefault="00640579">
            <w:pPr>
              <w:widowControl w:val="0"/>
              <w:jc w:val="both"/>
              <w:textAlignment w:val="baseline"/>
              <w:rPr>
                <w:szCs w:val="24"/>
              </w:rPr>
            </w:pPr>
            <w:r w:rsidRPr="00FD38B8">
              <w:rPr>
                <w:b/>
                <w:szCs w:val="24"/>
              </w:rPr>
              <w:t>PAKEITIMO PAGRINDIMAS</w:t>
            </w:r>
            <w:r w:rsidRPr="00FD38B8">
              <w:rPr>
                <w:szCs w:val="24"/>
              </w:rPr>
              <w:t>:</w:t>
            </w:r>
          </w:p>
          <w:p w14:paraId="760343A1" w14:textId="77777777" w:rsidR="00C36F0C" w:rsidRPr="00FD38B8" w:rsidRDefault="00C36F0C">
            <w:pPr>
              <w:widowControl w:val="0"/>
              <w:jc w:val="both"/>
              <w:textAlignment w:val="baseline"/>
              <w:rPr>
                <w:szCs w:val="24"/>
              </w:rPr>
            </w:pPr>
          </w:p>
          <w:p w14:paraId="6DAF2676" w14:textId="5EFD7E6A" w:rsidR="00460407" w:rsidRPr="00FD38B8" w:rsidRDefault="00640579">
            <w:pPr>
              <w:widowControl w:val="0"/>
              <w:tabs>
                <w:tab w:val="left" w:pos="567"/>
              </w:tabs>
              <w:jc w:val="both"/>
              <w:textAlignment w:val="baseline"/>
              <w:rPr>
                <w:i/>
              </w:rPr>
            </w:pPr>
            <w:r w:rsidRPr="00FD38B8">
              <w:rPr>
                <w:i/>
              </w:rPr>
              <w:t xml:space="preserve">1. Siūlomo pakeitimo priežastys ir svarba </w:t>
            </w:r>
          </w:p>
          <w:p w14:paraId="00506350" w14:textId="77777777" w:rsidR="00BA53E4" w:rsidRPr="00FD38B8" w:rsidRDefault="00BA53E4">
            <w:pPr>
              <w:widowControl w:val="0"/>
              <w:tabs>
                <w:tab w:val="left" w:pos="567"/>
              </w:tabs>
              <w:jc w:val="both"/>
              <w:textAlignment w:val="baseline"/>
              <w:rPr>
                <w:i/>
              </w:rPr>
            </w:pPr>
          </w:p>
          <w:p w14:paraId="648AC26C" w14:textId="57D3EBA3" w:rsidR="00BA53E4" w:rsidRPr="00FD38B8" w:rsidRDefault="004E6760">
            <w:pPr>
              <w:widowControl w:val="0"/>
              <w:jc w:val="both"/>
              <w:textAlignment w:val="baseline"/>
              <w:rPr>
                <w:color w:val="333333"/>
                <w:sz w:val="27"/>
                <w:szCs w:val="27"/>
                <w:shd w:val="clear" w:color="auto" w:fill="FFFFFF"/>
              </w:rPr>
            </w:pPr>
            <w:r w:rsidRPr="00FD38B8">
              <w:rPr>
                <w:iCs/>
              </w:rPr>
              <w:t>Siūlomu pakeitimu siekiama Investicijų programą papildyti Teisingos pertvarkos fondo</w:t>
            </w:r>
            <w:r w:rsidR="002D0623" w:rsidRPr="00FD38B8">
              <w:rPr>
                <w:iCs/>
              </w:rPr>
              <w:t xml:space="preserve"> (toliau – TPF)</w:t>
            </w:r>
            <w:r w:rsidRPr="00FD38B8">
              <w:rPr>
                <w:iCs/>
              </w:rPr>
              <w:t xml:space="preserve"> prioritetu.</w:t>
            </w:r>
            <w:r w:rsidR="00A62ABE" w:rsidRPr="00FD38B8">
              <w:rPr>
                <w:iCs/>
              </w:rPr>
              <w:t xml:space="preserve"> Tam, kad valstybė narė galėtų </w:t>
            </w:r>
            <w:r w:rsidR="00A62ABE" w:rsidRPr="00FD38B8">
              <w:rPr>
                <w:szCs w:val="24"/>
              </w:rPr>
              <w:t xml:space="preserve">pasinaudoti </w:t>
            </w:r>
            <w:r w:rsidR="002D0623" w:rsidRPr="00FD38B8">
              <w:rPr>
                <w:szCs w:val="24"/>
              </w:rPr>
              <w:t>TPF</w:t>
            </w:r>
            <w:r w:rsidR="00A62ABE" w:rsidRPr="00FD38B8">
              <w:rPr>
                <w:szCs w:val="24"/>
              </w:rPr>
              <w:t xml:space="preserve"> teikiamomis investicijomis, buvo reikalinga parengti Teritorinį teisingos pertvarkos planą (toliau – TTPP), kuris nustato teritorijas, </w:t>
            </w:r>
            <w:r w:rsidR="00A62ABE" w:rsidRPr="00FD38B8">
              <w:rPr>
                <w:szCs w:val="24"/>
                <w:shd w:val="clear" w:color="auto" w:fill="FFFFFF"/>
              </w:rPr>
              <w:t>kurioms dėl perėjimo prie klimatui neutralios ekonomikos daromas didžiausias neigiamas ekonominis ir socialinis poveikis, visų pirma dėl numatomo darbo vietų sumažėjimo iškastinio kuro gamybos ir naudojimo sektoriuje ir poreikio pertvarkyti šiltnamio efektą sukeliančiomis dujomis taršiausių pramonės įrenginių gamybos procesus.</w:t>
            </w:r>
            <w:r w:rsidR="009E3D65" w:rsidRPr="00FD38B8">
              <w:rPr>
                <w:iCs/>
              </w:rPr>
              <w:t xml:space="preserve"> </w:t>
            </w:r>
            <w:r w:rsidR="00753307" w:rsidRPr="00FD38B8">
              <w:rPr>
                <w:iCs/>
              </w:rPr>
              <w:t xml:space="preserve">Taigi remiantis siūlomu pakeitimu, </w:t>
            </w:r>
            <w:r w:rsidR="00A62ABE" w:rsidRPr="00FD38B8">
              <w:rPr>
                <w:iCs/>
              </w:rPr>
              <w:t>numatoma</w:t>
            </w:r>
            <w:r w:rsidR="00753307" w:rsidRPr="00FD38B8">
              <w:rPr>
                <w:iCs/>
              </w:rPr>
              <w:t xml:space="preserve"> invest</w:t>
            </w:r>
            <w:r w:rsidR="00A62ABE" w:rsidRPr="00FD38B8">
              <w:rPr>
                <w:iCs/>
              </w:rPr>
              <w:t>uoti</w:t>
            </w:r>
            <w:r w:rsidR="00753307" w:rsidRPr="00FD38B8">
              <w:rPr>
                <w:iCs/>
              </w:rPr>
              <w:t xml:space="preserve"> į labiausiai dėl perėjimo prie</w:t>
            </w:r>
            <w:r w:rsidR="009904BA" w:rsidRPr="00FD38B8">
              <w:rPr>
                <w:iCs/>
              </w:rPr>
              <w:t xml:space="preserve"> klimatui neutralios ekonomikos nukentėsiančias teritorijas </w:t>
            </w:r>
            <w:r w:rsidR="0013267B" w:rsidRPr="00FD38B8">
              <w:rPr>
                <w:iCs/>
              </w:rPr>
              <w:t xml:space="preserve">sudarant sąlygas pramonės </w:t>
            </w:r>
            <w:proofErr w:type="spellStart"/>
            <w:r w:rsidR="0013267B" w:rsidRPr="00FD38B8">
              <w:rPr>
                <w:iCs/>
              </w:rPr>
              <w:t>dekarbonizacijai</w:t>
            </w:r>
            <w:proofErr w:type="spellEnd"/>
            <w:r w:rsidR="0013267B" w:rsidRPr="00FD38B8">
              <w:rPr>
                <w:iCs/>
              </w:rPr>
              <w:t xml:space="preserve"> ir priklausomybės nuo vieno darbdavio mažinimui skatinant alternatyvių tvarių darbo vietų kūrimą. </w:t>
            </w:r>
          </w:p>
          <w:p w14:paraId="11125A75" w14:textId="77777777" w:rsidR="00BA53E4" w:rsidRPr="00FD38B8" w:rsidRDefault="00BA53E4">
            <w:pPr>
              <w:widowControl w:val="0"/>
              <w:jc w:val="both"/>
              <w:textAlignment w:val="baseline"/>
              <w:rPr>
                <w:i/>
              </w:rPr>
            </w:pPr>
          </w:p>
          <w:p w14:paraId="73636F5B" w14:textId="69DB8755" w:rsidR="00460407" w:rsidRPr="00FD38B8" w:rsidRDefault="00640579">
            <w:pPr>
              <w:widowControl w:val="0"/>
              <w:jc w:val="both"/>
              <w:textAlignment w:val="baseline"/>
              <w:rPr>
                <w:i/>
              </w:rPr>
            </w:pPr>
            <w:r w:rsidRPr="00FD38B8">
              <w:rPr>
                <w:i/>
              </w:rPr>
              <w:t>2. Siūlomo pakeitimo indėlis siekiant Europos Sąjungos tikslų.</w:t>
            </w:r>
          </w:p>
          <w:p w14:paraId="25E3B534" w14:textId="77777777" w:rsidR="008A429A" w:rsidRPr="00FD38B8" w:rsidRDefault="008A429A">
            <w:pPr>
              <w:widowControl w:val="0"/>
              <w:jc w:val="both"/>
              <w:textAlignment w:val="baseline"/>
              <w:rPr>
                <w:i/>
              </w:rPr>
            </w:pPr>
          </w:p>
          <w:p w14:paraId="29BAC3F7" w14:textId="5D1ADF0A" w:rsidR="009E3D65" w:rsidRPr="00FD38B8" w:rsidRDefault="009E3D65">
            <w:pPr>
              <w:widowControl w:val="0"/>
              <w:jc w:val="both"/>
              <w:textAlignment w:val="baseline"/>
              <w:rPr>
                <w:iCs/>
                <w:szCs w:val="24"/>
              </w:rPr>
            </w:pPr>
            <w:r w:rsidRPr="00FD38B8">
              <w:rPr>
                <w:iCs/>
              </w:rPr>
              <w:t xml:space="preserve">Pakeitimas </w:t>
            </w:r>
            <w:r w:rsidR="00BA53E4" w:rsidRPr="00FD38B8">
              <w:rPr>
                <w:iCs/>
                <w:szCs w:val="24"/>
              </w:rPr>
              <w:t xml:space="preserve">tiesiogiai prisidės prie vieno iš svarbiausių Europos Sąjungos tikslų </w:t>
            </w:r>
            <w:r w:rsidR="00355320" w:rsidRPr="00FD38B8">
              <w:rPr>
                <w:iCs/>
                <w:szCs w:val="24"/>
              </w:rPr>
              <w:t>–</w:t>
            </w:r>
            <w:r w:rsidR="00BA53E4" w:rsidRPr="00FD38B8">
              <w:rPr>
                <w:iCs/>
                <w:szCs w:val="24"/>
              </w:rPr>
              <w:t xml:space="preserve"> </w:t>
            </w:r>
            <w:r w:rsidR="00BA53E4" w:rsidRPr="00FD38B8">
              <w:rPr>
                <w:color w:val="333333"/>
                <w:szCs w:val="24"/>
                <w:shd w:val="clear" w:color="auto" w:fill="FFFFFF"/>
              </w:rPr>
              <w:t>perėjim</w:t>
            </w:r>
            <w:r w:rsidR="00355320" w:rsidRPr="00FD38B8">
              <w:rPr>
                <w:color w:val="333333"/>
                <w:szCs w:val="24"/>
                <w:shd w:val="clear" w:color="auto" w:fill="FFFFFF"/>
              </w:rPr>
              <w:t>o</w:t>
            </w:r>
            <w:r w:rsidR="00BA53E4" w:rsidRPr="00FD38B8">
              <w:rPr>
                <w:color w:val="333333"/>
                <w:szCs w:val="24"/>
                <w:shd w:val="clear" w:color="auto" w:fill="FFFFFF"/>
              </w:rPr>
              <w:t xml:space="preserve"> prie neutralaus poveikio klimatui ir žiedinės ekonomikos. </w:t>
            </w:r>
            <w:r w:rsidR="00355320" w:rsidRPr="00FD38B8">
              <w:rPr>
                <w:color w:val="333333"/>
                <w:szCs w:val="24"/>
                <w:shd w:val="clear" w:color="auto" w:fill="FFFFFF"/>
              </w:rPr>
              <w:t xml:space="preserve">Atsižvelgiant į tai, kad </w:t>
            </w:r>
            <w:r w:rsidR="00667CA2" w:rsidRPr="00FD38B8">
              <w:rPr>
                <w:color w:val="333333"/>
                <w:szCs w:val="24"/>
                <w:shd w:val="clear" w:color="auto" w:fill="FFFFFF"/>
              </w:rPr>
              <w:t>TPF</w:t>
            </w:r>
            <w:r w:rsidR="00355320" w:rsidRPr="00FD38B8">
              <w:rPr>
                <w:color w:val="333333"/>
                <w:szCs w:val="24"/>
                <w:shd w:val="clear" w:color="auto" w:fill="FFFFFF"/>
              </w:rPr>
              <w:t xml:space="preserve"> prioritetas parengtas remiantis </w:t>
            </w:r>
            <w:r w:rsidR="00667CA2" w:rsidRPr="00FD38B8">
              <w:rPr>
                <w:color w:val="333333"/>
                <w:szCs w:val="24"/>
                <w:shd w:val="clear" w:color="auto" w:fill="FFFFFF"/>
              </w:rPr>
              <w:t>TTPP</w:t>
            </w:r>
            <w:r w:rsidR="00355320" w:rsidRPr="00FD38B8">
              <w:rPr>
                <w:color w:val="333333"/>
                <w:szCs w:val="24"/>
                <w:shd w:val="clear" w:color="auto" w:fill="FFFFFF"/>
              </w:rPr>
              <w:t xml:space="preserve">, </w:t>
            </w:r>
            <w:r w:rsidR="008A429A" w:rsidRPr="00FD38B8">
              <w:rPr>
                <w:color w:val="333333"/>
                <w:szCs w:val="24"/>
                <w:shd w:val="clear" w:color="auto" w:fill="FFFFFF"/>
              </w:rPr>
              <w:t>parengtu vadovaujantis Reglamento 2021/1056 11 straipsnio nuostatomis</w:t>
            </w:r>
            <w:r w:rsidR="00B3225E" w:rsidRPr="00FD38B8">
              <w:rPr>
                <w:color w:val="333333"/>
                <w:szCs w:val="24"/>
                <w:shd w:val="clear" w:color="auto" w:fill="FFFFFF"/>
              </w:rPr>
              <w:t>, šis tiesiogiai atliepia Europos Sąjungos pagrindinį tikslą</w:t>
            </w:r>
            <w:r w:rsidR="00287F23" w:rsidRPr="00FD38B8">
              <w:rPr>
                <w:color w:val="333333"/>
                <w:szCs w:val="24"/>
                <w:shd w:val="clear" w:color="auto" w:fill="FFFFFF"/>
              </w:rPr>
              <w:t xml:space="preserve"> </w:t>
            </w:r>
            <w:r w:rsidR="002D0623" w:rsidRPr="00FD38B8">
              <w:rPr>
                <w:color w:val="333333"/>
                <w:szCs w:val="24"/>
                <w:shd w:val="clear" w:color="auto" w:fill="FFFFFF"/>
              </w:rPr>
              <w:t xml:space="preserve">– </w:t>
            </w:r>
            <w:r w:rsidR="00287F23" w:rsidRPr="00FD38B8">
              <w:rPr>
                <w:color w:val="333333"/>
                <w:szCs w:val="24"/>
                <w:shd w:val="clear" w:color="auto" w:fill="FFFFFF"/>
              </w:rPr>
              <w:t>siekti, kad Europa taptų pirmuoju neutralaus poveikio klimatui žemynu ir modernia, efektyvaus išteklių naudojimo ekonomika.</w:t>
            </w:r>
          </w:p>
          <w:p w14:paraId="10CA66FF" w14:textId="77777777" w:rsidR="00355320" w:rsidRPr="00FD38B8" w:rsidRDefault="00355320">
            <w:pPr>
              <w:widowControl w:val="0"/>
              <w:jc w:val="both"/>
              <w:textAlignment w:val="baseline"/>
              <w:rPr>
                <w:iCs/>
                <w:szCs w:val="24"/>
              </w:rPr>
            </w:pPr>
          </w:p>
          <w:p w14:paraId="48B3E4E1" w14:textId="2BAB3FE4" w:rsidR="00460407" w:rsidRPr="00FD38B8" w:rsidRDefault="00640579">
            <w:pPr>
              <w:widowControl w:val="0"/>
              <w:tabs>
                <w:tab w:val="left" w:pos="567"/>
              </w:tabs>
              <w:jc w:val="both"/>
              <w:textAlignment w:val="baseline"/>
              <w:rPr>
                <w:i/>
              </w:rPr>
            </w:pPr>
            <w:r w:rsidRPr="00FD38B8">
              <w:rPr>
                <w:i/>
              </w:rPr>
              <w:t xml:space="preserve">3. Siūlomo pakeitimo indėlis siekiant numatytų </w:t>
            </w:r>
            <w:r w:rsidRPr="00FD38B8">
              <w:rPr>
                <w:i/>
                <w:szCs w:val="24"/>
              </w:rPr>
              <w:t>Partnerystės sutarties</w:t>
            </w:r>
            <w:r w:rsidRPr="00FD38B8">
              <w:rPr>
                <w:rFonts w:eastAsia="Calibri"/>
                <w:i/>
                <w:szCs w:val="24"/>
                <w:lang w:eastAsia="lt-LT"/>
              </w:rPr>
              <w:t xml:space="preserve"> </w:t>
            </w:r>
            <w:r w:rsidRPr="00FD38B8">
              <w:rPr>
                <w:i/>
              </w:rPr>
              <w:t>ir Investicijų programos tikslų ir prioritetų.</w:t>
            </w:r>
          </w:p>
          <w:p w14:paraId="63BEE9EA" w14:textId="46C7C006" w:rsidR="008A429A" w:rsidRPr="00FD38B8" w:rsidRDefault="008A429A">
            <w:pPr>
              <w:widowControl w:val="0"/>
              <w:tabs>
                <w:tab w:val="left" w:pos="567"/>
              </w:tabs>
              <w:jc w:val="both"/>
              <w:textAlignment w:val="baseline"/>
              <w:rPr>
                <w:i/>
              </w:rPr>
            </w:pPr>
          </w:p>
          <w:p w14:paraId="781E7B5F" w14:textId="59B045E4" w:rsidR="008A429A" w:rsidRPr="00FD38B8" w:rsidRDefault="002D0623">
            <w:pPr>
              <w:widowControl w:val="0"/>
              <w:tabs>
                <w:tab w:val="left" w:pos="567"/>
              </w:tabs>
              <w:jc w:val="both"/>
              <w:textAlignment w:val="baseline"/>
            </w:pPr>
            <w:r w:rsidRPr="00FD38B8">
              <w:rPr>
                <w:iCs/>
              </w:rPr>
              <w:t>TPF prioritetu siekiama Partnerystės sutartyje nustatyto</w:t>
            </w:r>
            <w:r w:rsidRPr="00FD38B8">
              <w:t xml:space="preserve"> TPF tikslo: švelninti neigiamą su klimato kaita susijusios pertvarkos poveikį, suteikiant paramą labiausiai paveiktiems regionams ir darbuotojams, skatinant subalansuotą socialinę ir ekonominę pertvarką.</w:t>
            </w:r>
            <w:r w:rsidR="00321D13" w:rsidRPr="00FD38B8">
              <w:t xml:space="preserve"> TPF investicijos, kuriomis </w:t>
            </w:r>
            <w:proofErr w:type="gramStart"/>
            <w:r w:rsidR="00321D13" w:rsidRPr="00FD38B8">
              <w:t>100%</w:t>
            </w:r>
            <w:proofErr w:type="gramEnd"/>
            <w:r w:rsidR="00321D13" w:rsidRPr="00FD38B8">
              <w:t xml:space="preserve"> bus siekiama klimato srities tikslų, prisidės prie 2021–2030 m. NEKSP tikslų pasiekimo, kuriuose numatytas siekis iki 2050 m. pereiti prie neutralaus poveikio klimatui ekonomikos Lietuvoje ir išmetamų ŠESD kiekius nuo 2020 m. iki 2030 m. sumažinti 24% bei pasiekti 12 MtCO</w:t>
            </w:r>
            <w:r w:rsidR="00321D13" w:rsidRPr="00FD38B8">
              <w:rPr>
                <w:vertAlign w:val="subscript"/>
              </w:rPr>
              <w:t>2</w:t>
            </w:r>
            <w:r w:rsidR="00321D13" w:rsidRPr="00FD38B8">
              <w:t>e lygį. Lyginant su 1990 m. kiekiais, sumažėjimas sieks 67%. Iki 2040 m. Lietuvoje išmetamų teršalų kiekius planuojama mažinti toliau ir pasiekti 70% sumažėjimą, lyginant su 1990 m. lygiu. Taip pat TPF investicijos prisidės prie Klimato kaito valdymo darbotvarkėje1 nustatytų ambicingesnių tikslų, lyginant su NEKSP, siekiant neutralios klimato ekonomikos: AEI naudojimas – siekiama, kad iki 2030 m. AEI dalis šalies bendrame galutinio energijos suvartojimo balanse sudarytų 45</w:t>
            </w:r>
            <w:r w:rsidR="00293F16" w:rsidRPr="00FD38B8">
              <w:t>%</w:t>
            </w:r>
            <w:r w:rsidR="00321D13" w:rsidRPr="00FD38B8">
              <w:t>; iki 2040 m. – ne mažiau kaip 75</w:t>
            </w:r>
            <w:r w:rsidR="00293F16" w:rsidRPr="00FD38B8">
              <w:t>%</w:t>
            </w:r>
            <w:r w:rsidR="00321D13" w:rsidRPr="00FD38B8">
              <w:t>; iki 2050 m. – 90</w:t>
            </w:r>
            <w:r w:rsidR="00293F16" w:rsidRPr="00FD38B8">
              <w:t>%</w:t>
            </w:r>
            <w:r w:rsidR="00321D13" w:rsidRPr="00FD38B8">
              <w:t>; iki 2050 m. bus atsisakyta iškastinio kuro naudojimo (ES ATLPS dalyvaujančios pramonės įmonės, kelių transportas jo turi atsisakyti iki 2045 m., ES ATLPS nedalyvaujančios pramonės įmonės, žemės ūkis – iki 2040 m.); o iki 2050 m. pramonės sektoriaus ŠESD kiekis bus sumažintas 100</w:t>
            </w:r>
            <w:r w:rsidR="00293F16" w:rsidRPr="00FD38B8">
              <w:t>%</w:t>
            </w:r>
            <w:r w:rsidR="00321D13" w:rsidRPr="00FD38B8">
              <w:t xml:space="preserve"> palyginti su 2005 m.</w:t>
            </w:r>
          </w:p>
          <w:p w14:paraId="2CAFCDF4" w14:textId="77777777" w:rsidR="00321D13" w:rsidRPr="00FD38B8" w:rsidRDefault="00321D13">
            <w:pPr>
              <w:widowControl w:val="0"/>
              <w:tabs>
                <w:tab w:val="left" w:pos="567"/>
              </w:tabs>
              <w:jc w:val="both"/>
              <w:textAlignment w:val="baseline"/>
              <w:rPr>
                <w:iCs/>
              </w:rPr>
            </w:pPr>
          </w:p>
          <w:p w14:paraId="38605817" w14:textId="6F7CD70A" w:rsidR="00460407" w:rsidRPr="00FD38B8" w:rsidRDefault="00640579">
            <w:pPr>
              <w:widowControl w:val="0"/>
              <w:tabs>
                <w:tab w:val="left" w:pos="567"/>
              </w:tabs>
              <w:jc w:val="both"/>
              <w:textAlignment w:val="baseline"/>
              <w:rPr>
                <w:i/>
              </w:rPr>
            </w:pPr>
            <w:r w:rsidRPr="00FD38B8">
              <w:rPr>
                <w:i/>
              </w:rPr>
              <w:t>4. Siūlomo pakeitimo įtaka Investicijų programos stebėsenos rodikliams, jų pasiekimui.</w:t>
            </w:r>
          </w:p>
          <w:p w14:paraId="23528CD3" w14:textId="30F14D99" w:rsidR="00321D13" w:rsidRPr="00FD38B8" w:rsidRDefault="00321D13">
            <w:pPr>
              <w:widowControl w:val="0"/>
              <w:tabs>
                <w:tab w:val="left" w:pos="567"/>
              </w:tabs>
              <w:jc w:val="both"/>
              <w:textAlignment w:val="baseline"/>
              <w:rPr>
                <w:i/>
              </w:rPr>
            </w:pPr>
          </w:p>
          <w:p w14:paraId="298F095F" w14:textId="0E658CAC" w:rsidR="00293F16" w:rsidRPr="00FD38B8" w:rsidRDefault="009A4A5B" w:rsidP="00293F16">
            <w:pPr>
              <w:widowControl w:val="0"/>
              <w:tabs>
                <w:tab w:val="left" w:pos="567"/>
              </w:tabs>
              <w:jc w:val="both"/>
              <w:textAlignment w:val="baseline"/>
              <w:rPr>
                <w:iCs/>
              </w:rPr>
            </w:pPr>
            <w:r w:rsidRPr="00FD38B8">
              <w:rPr>
                <w:iCs/>
              </w:rPr>
              <w:t>Suformuojamas naujas TPF prioritetas ir nauji rodikliai</w:t>
            </w:r>
            <w:r w:rsidR="0055492F" w:rsidRPr="00FD38B8">
              <w:rPr>
                <w:iCs/>
              </w:rPr>
              <w:t>, žr. Priedo Nr. 1 x lentelę.</w:t>
            </w:r>
            <w:r w:rsidR="00293F16" w:rsidRPr="00FD38B8">
              <w:rPr>
                <w:iCs/>
              </w:rPr>
              <w:t xml:space="preserve"> Šie Investicijų programos rodikliai prisidės prie Investicijų programos tikslų ir uždavinių įgyvendinimo.</w:t>
            </w:r>
          </w:p>
          <w:p w14:paraId="343AC358" w14:textId="47693124" w:rsidR="00321D13" w:rsidRPr="00FD38B8" w:rsidRDefault="00321D13">
            <w:pPr>
              <w:widowControl w:val="0"/>
              <w:tabs>
                <w:tab w:val="left" w:pos="567"/>
              </w:tabs>
              <w:jc w:val="both"/>
              <w:textAlignment w:val="baseline"/>
              <w:rPr>
                <w:iCs/>
              </w:rPr>
            </w:pPr>
          </w:p>
          <w:p w14:paraId="339719DB" w14:textId="77777777" w:rsidR="008A429A" w:rsidRPr="00FD38B8" w:rsidRDefault="008A429A">
            <w:pPr>
              <w:widowControl w:val="0"/>
              <w:tabs>
                <w:tab w:val="left" w:pos="567"/>
              </w:tabs>
              <w:jc w:val="both"/>
              <w:textAlignment w:val="baseline"/>
              <w:rPr>
                <w:i/>
              </w:rPr>
            </w:pPr>
          </w:p>
          <w:p w14:paraId="632047B7" w14:textId="32D9F15E" w:rsidR="00460407" w:rsidRPr="00FD38B8" w:rsidRDefault="00640579">
            <w:pPr>
              <w:widowControl w:val="0"/>
              <w:tabs>
                <w:tab w:val="left" w:pos="567"/>
              </w:tabs>
              <w:jc w:val="both"/>
              <w:textAlignment w:val="baseline"/>
              <w:rPr>
                <w:i/>
              </w:rPr>
            </w:pPr>
            <w:r w:rsidRPr="00FD38B8">
              <w:rPr>
                <w:i/>
              </w:rPr>
              <w:t xml:space="preserve">5. Siūlomo pakeitimo poveikis Investicijų programos finansavimo planui (lėšų paskirstymui pagal Investicijų programos prioritetus), išlaidų pasiskirstymui pagal intervencinių priemonių sritis, finansavimo formas, teritorinį įgyvendinimo mechanizmą ir pagrindinę teritorinę sritį, </w:t>
            </w:r>
            <w:r w:rsidRPr="00FD38B8">
              <w:rPr>
                <w:rFonts w:eastAsia="Calibri"/>
                <w:i/>
              </w:rPr>
              <w:t>„Europos socialinio fondo +“, Europos regioninės plėtros fondo, Sanglaudos fondo ir Teisingos pertvarkos fondo lyčių lygybės matmenis</w:t>
            </w:r>
            <w:r w:rsidRPr="00FD38B8">
              <w:rPr>
                <w:i/>
              </w:rPr>
              <w:t>, nustatytas Investicijų programoje.</w:t>
            </w:r>
          </w:p>
          <w:p w14:paraId="6E0D62D6" w14:textId="129594B8" w:rsidR="00B95578" w:rsidRPr="00FD38B8" w:rsidRDefault="00B95578">
            <w:pPr>
              <w:widowControl w:val="0"/>
              <w:tabs>
                <w:tab w:val="left" w:pos="567"/>
              </w:tabs>
              <w:jc w:val="both"/>
              <w:textAlignment w:val="baseline"/>
              <w:rPr>
                <w:i/>
              </w:rPr>
            </w:pPr>
          </w:p>
          <w:p w14:paraId="0F771CC1" w14:textId="5A76124B" w:rsidR="00B95578" w:rsidRPr="00FD38B8" w:rsidRDefault="00293F16">
            <w:pPr>
              <w:widowControl w:val="0"/>
              <w:tabs>
                <w:tab w:val="left" w:pos="567"/>
              </w:tabs>
              <w:jc w:val="both"/>
              <w:textAlignment w:val="baseline"/>
              <w:rPr>
                <w:iCs/>
              </w:rPr>
            </w:pPr>
            <w:r w:rsidRPr="00FD38B8">
              <w:t xml:space="preserve">Investicijų programa papildoma nauju prioritetu, kurio veiklų įgyvendinimui bus paskirstomos papildomos Lietuvai skirtos </w:t>
            </w:r>
            <w:r w:rsidR="00B3126C" w:rsidRPr="00FD38B8">
              <w:t>TPF</w:t>
            </w:r>
            <w:r w:rsidRPr="00FD38B8">
              <w:t xml:space="preserve"> lėšos. </w:t>
            </w:r>
            <w:r w:rsidR="00B3126C" w:rsidRPr="00FD38B8">
              <w:t xml:space="preserve">Visi siūlomi pakeitimai padės siekti Investicijų programos tikslų ir prisidės prie </w:t>
            </w:r>
            <w:r w:rsidR="00B3126C" w:rsidRPr="00FD38B8">
              <w:rPr>
                <w:iCs/>
              </w:rPr>
              <w:t>nustatyto</w:t>
            </w:r>
            <w:r w:rsidR="00B3126C" w:rsidRPr="00FD38B8">
              <w:t xml:space="preserve"> TPF tikslo: švelninti neigiamą su klimato kaita susijusios pertvarkos poveikį, suteikiant paramą labiausiai paveiktiems regionams ir darbuotojams, skatinant subalansuotą socialinę ir ekonominę pertvarką.</w:t>
            </w:r>
          </w:p>
          <w:p w14:paraId="27A60A61" w14:textId="77777777" w:rsidR="00293F16" w:rsidRPr="00FD38B8" w:rsidRDefault="00293F16">
            <w:pPr>
              <w:widowControl w:val="0"/>
              <w:tabs>
                <w:tab w:val="left" w:pos="567"/>
              </w:tabs>
              <w:jc w:val="both"/>
              <w:textAlignment w:val="baseline"/>
              <w:rPr>
                <w:iCs/>
              </w:rPr>
            </w:pPr>
          </w:p>
          <w:p w14:paraId="686C1DC1" w14:textId="5F4C6AC5" w:rsidR="00460407" w:rsidRPr="00FD38B8" w:rsidRDefault="00640579">
            <w:pPr>
              <w:widowControl w:val="0"/>
              <w:tabs>
                <w:tab w:val="left" w:pos="567"/>
              </w:tabs>
              <w:jc w:val="both"/>
              <w:textAlignment w:val="baseline"/>
              <w:rPr>
                <w:i/>
              </w:rPr>
            </w:pPr>
            <w:r w:rsidRPr="00FD38B8">
              <w:rPr>
                <w:i/>
              </w:rPr>
              <w:t xml:space="preserve">6. Siūlomo pakeitimo poveikis Europos Sąjungos struktūrinių fondų lėšų panaudojimui ir </w:t>
            </w:r>
            <w:r w:rsidRPr="00FD38B8">
              <w:rPr>
                <w:i/>
                <w:szCs w:val="24"/>
              </w:rPr>
              <w:t xml:space="preserve">Lietuvos Respublikos Vyriausybės tvirtinamo </w:t>
            </w:r>
            <w:r w:rsidRPr="00FD38B8">
              <w:rPr>
                <w:i/>
              </w:rPr>
              <w:t>Europos Sąjungos struktūrinių fondų lėšų naudojimo plano vykdymui.</w:t>
            </w:r>
          </w:p>
          <w:p w14:paraId="11A8EB39" w14:textId="77777777" w:rsidR="00762518" w:rsidRPr="00FD38B8" w:rsidRDefault="00762518">
            <w:pPr>
              <w:widowControl w:val="0"/>
              <w:tabs>
                <w:tab w:val="left" w:pos="567"/>
              </w:tabs>
              <w:jc w:val="both"/>
              <w:textAlignment w:val="baseline"/>
              <w:rPr>
                <w:i/>
              </w:rPr>
            </w:pPr>
          </w:p>
          <w:p w14:paraId="434AC52B" w14:textId="5710183C" w:rsidR="00B3126C" w:rsidRPr="00FD38B8" w:rsidRDefault="00B3126C" w:rsidP="00B3126C">
            <w:pPr>
              <w:widowControl w:val="0"/>
              <w:tabs>
                <w:tab w:val="left" w:pos="567"/>
              </w:tabs>
              <w:jc w:val="both"/>
              <w:textAlignment w:val="baseline"/>
              <w:rPr>
                <w:bCs/>
                <w:iCs/>
              </w:rPr>
            </w:pPr>
            <w:r w:rsidRPr="00FD38B8">
              <w:rPr>
                <w:iCs/>
              </w:rPr>
              <w:t>Siūlomas pakeitimas turės įtakos Europos Sąjungos struktūrinių fondų lėšų panaudojimo ir Europos Sąjungos struktūrinių fondų lėšų naudojimo plano, vykdymui: Investicijų programą papildžius nauju prioritetu, šiam prioritetui įgyvendinti bus paskirstytos papildomos lėšos.</w:t>
            </w:r>
          </w:p>
          <w:p w14:paraId="21C1F25D" w14:textId="77777777" w:rsidR="00B95578" w:rsidRPr="00FD38B8" w:rsidRDefault="00B95578">
            <w:pPr>
              <w:widowControl w:val="0"/>
              <w:tabs>
                <w:tab w:val="left" w:pos="567"/>
              </w:tabs>
              <w:jc w:val="both"/>
              <w:textAlignment w:val="baseline"/>
              <w:rPr>
                <w:iCs/>
              </w:rPr>
            </w:pPr>
          </w:p>
          <w:p w14:paraId="16BE72FF" w14:textId="287B9116" w:rsidR="00460407" w:rsidRPr="00FD38B8" w:rsidRDefault="00640579">
            <w:pPr>
              <w:widowControl w:val="0"/>
              <w:tabs>
                <w:tab w:val="left" w:pos="567"/>
              </w:tabs>
              <w:jc w:val="both"/>
              <w:textAlignment w:val="baseline"/>
              <w:rPr>
                <w:i/>
              </w:rPr>
            </w:pPr>
            <w:r w:rsidRPr="00FD38B8">
              <w:rPr>
                <w:i/>
              </w:rPr>
              <w:t>7. Siūlomo pakeitimo poveikis Europos Sąjungos struktūrinių fondų lėšų, nacionalinių lėšų ir lankstumo sumos paskirstymui Investicijų programos prioritetams įgyvendinti.</w:t>
            </w:r>
          </w:p>
          <w:p w14:paraId="2779AE6B" w14:textId="022505E8" w:rsidR="00B95578" w:rsidRPr="00FD38B8" w:rsidRDefault="00B95578">
            <w:pPr>
              <w:widowControl w:val="0"/>
              <w:tabs>
                <w:tab w:val="left" w:pos="567"/>
              </w:tabs>
              <w:jc w:val="both"/>
              <w:textAlignment w:val="baseline"/>
              <w:rPr>
                <w:i/>
              </w:rPr>
            </w:pPr>
          </w:p>
          <w:p w14:paraId="61605040" w14:textId="70E260FB" w:rsidR="00B95578" w:rsidRPr="00FD38B8" w:rsidRDefault="00B3126C">
            <w:pPr>
              <w:widowControl w:val="0"/>
              <w:tabs>
                <w:tab w:val="left" w:pos="567"/>
              </w:tabs>
              <w:jc w:val="both"/>
              <w:textAlignment w:val="baseline"/>
            </w:pPr>
            <w:r w:rsidRPr="00FD38B8">
              <w:t>Atsižvelgiant į siūlomą pakeitimą bus patikslintas Europos Sąjungos struktūrinių fondų lėšų, nacionalinių lėšų ir lankstumo sumos paskirstymas, įtraukiant naujo prioriteto lėšas.</w:t>
            </w:r>
          </w:p>
          <w:p w14:paraId="17F8DA62" w14:textId="77777777" w:rsidR="00B3126C" w:rsidRPr="00FD38B8" w:rsidRDefault="00B3126C">
            <w:pPr>
              <w:widowControl w:val="0"/>
              <w:tabs>
                <w:tab w:val="left" w:pos="567"/>
              </w:tabs>
              <w:jc w:val="both"/>
              <w:textAlignment w:val="baseline"/>
            </w:pPr>
          </w:p>
          <w:p w14:paraId="4ED34A56" w14:textId="76C97180" w:rsidR="00BA2B3F" w:rsidRPr="008D58FA" w:rsidRDefault="00640579">
            <w:pPr>
              <w:widowControl w:val="0"/>
              <w:tabs>
                <w:tab w:val="left" w:pos="567"/>
              </w:tabs>
              <w:jc w:val="both"/>
              <w:textAlignment w:val="baseline"/>
              <w:rPr>
                <w:i/>
              </w:rPr>
            </w:pPr>
            <w:r w:rsidRPr="00FD38B8">
              <w:rPr>
                <w:i/>
              </w:rPr>
              <w:t>8. Siūlomo pakeitimo poveikio analizė (nurodoma esama situacija, numatomas (-i) pokytis (-</w:t>
            </w:r>
            <w:proofErr w:type="spellStart"/>
            <w:r w:rsidRPr="00FD38B8">
              <w:rPr>
                <w:i/>
              </w:rPr>
              <w:t>čiai</w:t>
            </w:r>
            <w:proofErr w:type="spellEnd"/>
            <w:r w:rsidRPr="00FD38B8">
              <w:rPr>
                <w:i/>
              </w:rPr>
              <w:t>) ir tikėtinas jo (jų) poveikis.</w:t>
            </w:r>
          </w:p>
          <w:p w14:paraId="234E5A1C" w14:textId="337309D1" w:rsidR="00BA2B3F" w:rsidRPr="00FD38B8" w:rsidRDefault="00BA2B3F">
            <w:pPr>
              <w:widowControl w:val="0"/>
              <w:tabs>
                <w:tab w:val="left" w:pos="567"/>
              </w:tabs>
              <w:jc w:val="both"/>
              <w:textAlignment w:val="baseline"/>
              <w:rPr>
                <w:iCs/>
                <w:szCs w:val="24"/>
              </w:rPr>
            </w:pPr>
            <w:r w:rsidRPr="00FD38B8">
              <w:rPr>
                <w:iCs/>
                <w:szCs w:val="24"/>
              </w:rPr>
              <w:lastRenderedPageBreak/>
              <w:t>Šiuo metu Investicijų programoje nėra numatytų TPF investicijų. Atlikus pakeitimus, bus numatytos investicijos teritorijoms, kurios patirs didžiausią neigiamą poveikį dėl perėjimo prie klimatui neutralios ekonomikos, tokiu būdu sudarant sąlygas darbo vietų išsaugojimui ir alternatyvių tvarių darbo vietų kūrimui</w:t>
            </w:r>
            <w:r w:rsidR="00762518" w:rsidRPr="00FD38B8">
              <w:rPr>
                <w:iCs/>
                <w:szCs w:val="24"/>
              </w:rPr>
              <w:t xml:space="preserve"> tose teritorijose.</w:t>
            </w:r>
          </w:p>
        </w:tc>
      </w:tr>
    </w:tbl>
    <w:p w14:paraId="2B1217E6" w14:textId="77777777" w:rsidR="00460407" w:rsidRPr="00FD38B8" w:rsidRDefault="00460407"/>
    <w:p w14:paraId="702B9863" w14:textId="77777777" w:rsidR="00460407" w:rsidRDefault="00640579">
      <w:pPr>
        <w:spacing w:line="276" w:lineRule="auto"/>
        <w:jc w:val="center"/>
      </w:pPr>
      <w:r w:rsidRPr="00FD38B8">
        <w:rPr>
          <w:rFonts w:eastAsia="Calibri"/>
        </w:rPr>
        <w:t>________________</w:t>
      </w:r>
    </w:p>
    <w:sectPr w:rsidR="004604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94"/>
    <w:rsid w:val="0013267B"/>
    <w:rsid w:val="002648E5"/>
    <w:rsid w:val="00287F23"/>
    <w:rsid w:val="00293F16"/>
    <w:rsid w:val="002D0623"/>
    <w:rsid w:val="00310187"/>
    <w:rsid w:val="00321D13"/>
    <w:rsid w:val="00347C39"/>
    <w:rsid w:val="00355320"/>
    <w:rsid w:val="00370BF6"/>
    <w:rsid w:val="004412B7"/>
    <w:rsid w:val="00455991"/>
    <w:rsid w:val="00456386"/>
    <w:rsid w:val="00460407"/>
    <w:rsid w:val="004E6760"/>
    <w:rsid w:val="0055492F"/>
    <w:rsid w:val="00640579"/>
    <w:rsid w:val="006467CB"/>
    <w:rsid w:val="00647994"/>
    <w:rsid w:val="00667CA2"/>
    <w:rsid w:val="00753307"/>
    <w:rsid w:val="00762518"/>
    <w:rsid w:val="007A2818"/>
    <w:rsid w:val="008A429A"/>
    <w:rsid w:val="008D58FA"/>
    <w:rsid w:val="009904BA"/>
    <w:rsid w:val="009A4A5B"/>
    <w:rsid w:val="009E3D65"/>
    <w:rsid w:val="00A3670A"/>
    <w:rsid w:val="00A62ABE"/>
    <w:rsid w:val="00B10494"/>
    <w:rsid w:val="00B3126C"/>
    <w:rsid w:val="00B3225E"/>
    <w:rsid w:val="00B95578"/>
    <w:rsid w:val="00BA2B3F"/>
    <w:rsid w:val="00BA53E4"/>
    <w:rsid w:val="00C36F0C"/>
    <w:rsid w:val="00CC4E49"/>
    <w:rsid w:val="00D22C76"/>
    <w:rsid w:val="00E12166"/>
    <w:rsid w:val="00EB4B10"/>
    <w:rsid w:val="00FD3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56386"/>
    <w:rPr>
      <w:sz w:val="16"/>
      <w:szCs w:val="16"/>
    </w:rPr>
  </w:style>
  <w:style w:type="paragraph" w:styleId="Komentarotekstas">
    <w:name w:val="annotation text"/>
    <w:basedOn w:val="prastasis"/>
    <w:link w:val="KomentarotekstasDiagrama"/>
    <w:unhideWhenUsed/>
    <w:rsid w:val="00456386"/>
    <w:rPr>
      <w:sz w:val="20"/>
    </w:rPr>
  </w:style>
  <w:style w:type="character" w:customStyle="1" w:styleId="KomentarotekstasDiagrama">
    <w:name w:val="Komentaro tekstas Diagrama"/>
    <w:basedOn w:val="Numatytasispastraiposriftas"/>
    <w:link w:val="Komentarotekstas"/>
    <w:rsid w:val="00456386"/>
    <w:rPr>
      <w:sz w:val="20"/>
    </w:rPr>
  </w:style>
  <w:style w:type="paragraph" w:styleId="Komentarotema">
    <w:name w:val="annotation subject"/>
    <w:basedOn w:val="Komentarotekstas"/>
    <w:next w:val="Komentarotekstas"/>
    <w:link w:val="KomentarotemaDiagrama"/>
    <w:semiHidden/>
    <w:unhideWhenUsed/>
    <w:rsid w:val="00456386"/>
    <w:rPr>
      <w:b/>
      <w:bCs/>
    </w:rPr>
  </w:style>
  <w:style w:type="character" w:customStyle="1" w:styleId="KomentarotemaDiagrama">
    <w:name w:val="Komentaro tema Diagrama"/>
    <w:basedOn w:val="KomentarotekstasDiagrama"/>
    <w:link w:val="Komentarotema"/>
    <w:semiHidden/>
    <w:rsid w:val="00456386"/>
    <w:rPr>
      <w:b/>
      <w:bCs/>
      <w:sz w:val="20"/>
    </w:rPr>
  </w:style>
  <w:style w:type="paragraph" w:styleId="Sraopastraipa">
    <w:name w:val="List Paragraph"/>
    <w:basedOn w:val="prastasis"/>
    <w:rsid w:val="004E6760"/>
    <w:pPr>
      <w:ind w:left="720"/>
      <w:contextualSpacing/>
    </w:pPr>
  </w:style>
  <w:style w:type="paragraph" w:styleId="Pataisymai">
    <w:name w:val="Revision"/>
    <w:hidden/>
    <w:semiHidden/>
    <w:rsid w:val="009A4A5B"/>
  </w:style>
  <w:style w:type="paragraph" w:styleId="Debesliotekstas">
    <w:name w:val="Balloon Text"/>
    <w:basedOn w:val="prastasis"/>
    <w:link w:val="DebesliotekstasDiagrama"/>
    <w:semiHidden/>
    <w:unhideWhenUsed/>
    <w:rsid w:val="006467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46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56386"/>
    <w:rPr>
      <w:sz w:val="16"/>
      <w:szCs w:val="16"/>
    </w:rPr>
  </w:style>
  <w:style w:type="paragraph" w:styleId="Komentarotekstas">
    <w:name w:val="annotation text"/>
    <w:basedOn w:val="prastasis"/>
    <w:link w:val="KomentarotekstasDiagrama"/>
    <w:unhideWhenUsed/>
    <w:rsid w:val="00456386"/>
    <w:rPr>
      <w:sz w:val="20"/>
    </w:rPr>
  </w:style>
  <w:style w:type="character" w:customStyle="1" w:styleId="KomentarotekstasDiagrama">
    <w:name w:val="Komentaro tekstas Diagrama"/>
    <w:basedOn w:val="Numatytasispastraiposriftas"/>
    <w:link w:val="Komentarotekstas"/>
    <w:rsid w:val="00456386"/>
    <w:rPr>
      <w:sz w:val="20"/>
    </w:rPr>
  </w:style>
  <w:style w:type="paragraph" w:styleId="Komentarotema">
    <w:name w:val="annotation subject"/>
    <w:basedOn w:val="Komentarotekstas"/>
    <w:next w:val="Komentarotekstas"/>
    <w:link w:val="KomentarotemaDiagrama"/>
    <w:semiHidden/>
    <w:unhideWhenUsed/>
    <w:rsid w:val="00456386"/>
    <w:rPr>
      <w:b/>
      <w:bCs/>
    </w:rPr>
  </w:style>
  <w:style w:type="character" w:customStyle="1" w:styleId="KomentarotemaDiagrama">
    <w:name w:val="Komentaro tema Diagrama"/>
    <w:basedOn w:val="KomentarotekstasDiagrama"/>
    <w:link w:val="Komentarotema"/>
    <w:semiHidden/>
    <w:rsid w:val="00456386"/>
    <w:rPr>
      <w:b/>
      <w:bCs/>
      <w:sz w:val="20"/>
    </w:rPr>
  </w:style>
  <w:style w:type="paragraph" w:styleId="Sraopastraipa">
    <w:name w:val="List Paragraph"/>
    <w:basedOn w:val="prastasis"/>
    <w:rsid w:val="004E6760"/>
    <w:pPr>
      <w:ind w:left="720"/>
      <w:contextualSpacing/>
    </w:pPr>
  </w:style>
  <w:style w:type="paragraph" w:styleId="Pataisymai">
    <w:name w:val="Revision"/>
    <w:hidden/>
    <w:semiHidden/>
    <w:rsid w:val="009A4A5B"/>
  </w:style>
  <w:style w:type="paragraph" w:styleId="Debesliotekstas">
    <w:name w:val="Balloon Text"/>
    <w:basedOn w:val="prastasis"/>
    <w:link w:val="DebesliotekstasDiagrama"/>
    <w:semiHidden/>
    <w:unhideWhenUsed/>
    <w:rsid w:val="006467C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46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10BD-C9C6-4ED3-8A2F-02DCC3FACCFE}">
  <ds:schemaRefs>
    <ds:schemaRef ds:uri="http://schemas.openxmlformats.org/officeDocument/2006/bibliography"/>
  </ds:schemaRefs>
</ds:datastoreItem>
</file>

<file path=customXml/itemProps2.xml><?xml version="1.0" encoding="utf-8"?>
<ds:datastoreItem xmlns:ds="http://schemas.openxmlformats.org/officeDocument/2006/customXml" ds:itemID="{120224EE-4B09-46C4-882C-238FDCDC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3880</Words>
  <Characters>2212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6080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Garbštas</dc:creator>
  <cp:lastModifiedBy>Julija Kvietkė</cp:lastModifiedBy>
  <cp:revision>10</cp:revision>
  <dcterms:created xsi:type="dcterms:W3CDTF">2022-10-03T05:57:00Z</dcterms:created>
  <dcterms:modified xsi:type="dcterms:W3CDTF">2022-10-14T08:21:00Z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