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D32D8" w14:textId="3257DFCD" w:rsidR="00083837" w:rsidRDefault="00DF2F6F">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 xml:space="preserve">Ekonomikos gaivinimo ir atsparumo didinimo plano „Naujos kartos Lietuva“ administravimo taisyklių </w:t>
      </w:r>
    </w:p>
    <w:p w14:paraId="681455F1" w14:textId="77777777" w:rsidR="00083837" w:rsidRDefault="00DF2F6F">
      <w:pPr>
        <w:widowControl w:val="0"/>
        <w:ind w:left="9639"/>
        <w:jc w:val="both"/>
        <w:textAlignment w:val="baseline"/>
        <w:rPr>
          <w:szCs w:val="24"/>
        </w:rPr>
      </w:pPr>
      <w:r>
        <w:rPr>
          <w:szCs w:val="24"/>
        </w:rPr>
        <w:t>6 priedas</w:t>
      </w:r>
    </w:p>
    <w:p w14:paraId="6F31F7B5" w14:textId="77777777" w:rsidR="00083837" w:rsidRDefault="00083837">
      <w:pPr>
        <w:widowControl w:val="0"/>
        <w:jc w:val="right"/>
        <w:textAlignment w:val="baseline"/>
        <w:rPr>
          <w:szCs w:val="24"/>
        </w:rPr>
      </w:pPr>
    </w:p>
    <w:p w14:paraId="6AF8CFF1" w14:textId="7B974DF5" w:rsidR="00083837" w:rsidRDefault="00DF2F6F">
      <w:pPr>
        <w:widowControl w:val="0"/>
        <w:shd w:val="clear" w:color="auto" w:fill="FFFFFF"/>
        <w:jc w:val="center"/>
        <w:textAlignment w:val="baseline"/>
        <w:rPr>
          <w:b/>
          <w:szCs w:val="24"/>
        </w:rPr>
      </w:pPr>
      <w:r>
        <w:rPr>
          <w:b/>
          <w:szCs w:val="24"/>
        </w:rPr>
        <w:t>(Pasiūlymo dėl projektų specialiųjų ir prioritetinių atrankos kriterijų nustatymo ir (arba) keitimo bei vertinimo metodikos forma)</w:t>
      </w:r>
    </w:p>
    <w:p w14:paraId="664E2DAF" w14:textId="61D3E5F3" w:rsidR="00083837" w:rsidRDefault="00083837">
      <w:pPr>
        <w:widowControl w:val="0"/>
        <w:textAlignment w:val="baseline"/>
        <w:rPr>
          <w:szCs w:val="24"/>
        </w:rPr>
      </w:pPr>
    </w:p>
    <w:p w14:paraId="5AE29B7C" w14:textId="2A841C8C" w:rsidR="00083837" w:rsidRPr="00B415E1" w:rsidRDefault="00EE6872">
      <w:pPr>
        <w:widowControl w:val="0"/>
        <w:jc w:val="center"/>
        <w:textAlignment w:val="baseline"/>
        <w:rPr>
          <w:sz w:val="22"/>
          <w:szCs w:val="22"/>
          <w:u w:val="single"/>
        </w:rPr>
      </w:pPr>
      <w:r w:rsidRPr="00B415E1">
        <w:rPr>
          <w:u w:val="single"/>
        </w:rPr>
        <w:t>Lietuvos Respublikos kultūros ministerija</w:t>
      </w:r>
    </w:p>
    <w:p w14:paraId="2947E700" w14:textId="77777777" w:rsidR="00EE6872" w:rsidRDefault="00EE6872">
      <w:pPr>
        <w:widowControl w:val="0"/>
        <w:jc w:val="center"/>
        <w:textAlignment w:val="baseline"/>
        <w:rPr>
          <w:sz w:val="22"/>
          <w:szCs w:val="22"/>
        </w:rPr>
      </w:pPr>
    </w:p>
    <w:p w14:paraId="06A2625F" w14:textId="77777777" w:rsidR="00083837" w:rsidRDefault="00083837">
      <w:pPr>
        <w:widowControl w:val="0"/>
        <w:textAlignment w:val="baseline"/>
        <w:rPr>
          <w:szCs w:val="24"/>
        </w:rPr>
      </w:pPr>
    </w:p>
    <w:p w14:paraId="51D1B5B7" w14:textId="022201E3" w:rsidR="00083837" w:rsidRDefault="00083837">
      <w:pPr>
        <w:widowControl w:val="0"/>
        <w:textAlignment w:val="baseline"/>
        <w:rPr>
          <w:szCs w:val="24"/>
        </w:rPr>
      </w:pPr>
    </w:p>
    <w:p w14:paraId="6DAF0414" w14:textId="77777777" w:rsidR="00EE6872" w:rsidRDefault="00EE6872">
      <w:pPr>
        <w:widowControl w:val="0"/>
        <w:textAlignment w:val="baseline"/>
        <w:rPr>
          <w:szCs w:val="24"/>
        </w:rPr>
      </w:pPr>
    </w:p>
    <w:p w14:paraId="7534FC61" w14:textId="4C2F64DB" w:rsidR="00083837" w:rsidRDefault="00DF2F6F">
      <w:pPr>
        <w:widowControl w:val="0"/>
        <w:jc w:val="center"/>
        <w:textAlignment w:val="baseline"/>
        <w:rPr>
          <w:b/>
          <w:szCs w:val="24"/>
        </w:rPr>
      </w:pPr>
      <w:r>
        <w:rPr>
          <w:b/>
          <w:szCs w:val="24"/>
        </w:rPr>
        <w:t>PASIŪLYMAS DĖL PROJEKTŲ SPECIALIŲJŲ IR PRIORITETINIŲ ATRANKOS KRITERIJŲ NUSTATYMO IR (ARBA) KEITIMO BEI VERTINIMO METODIKA</w:t>
      </w:r>
    </w:p>
    <w:p w14:paraId="0CC2F959" w14:textId="77777777" w:rsidR="00083837" w:rsidRDefault="00083837">
      <w:pPr>
        <w:widowControl w:val="0"/>
        <w:jc w:val="center"/>
        <w:textAlignment w:val="baseline"/>
        <w:rPr>
          <w:szCs w:val="24"/>
        </w:rPr>
      </w:pPr>
    </w:p>
    <w:p w14:paraId="2EE47239" w14:textId="672311BD" w:rsidR="00083837" w:rsidRDefault="00DF2F6F">
      <w:pPr>
        <w:widowControl w:val="0"/>
        <w:jc w:val="center"/>
        <w:textAlignment w:val="baseline"/>
        <w:rPr>
          <w:szCs w:val="24"/>
        </w:rPr>
      </w:pPr>
      <w:r w:rsidRPr="00FB4957">
        <w:rPr>
          <w:szCs w:val="24"/>
        </w:rPr>
        <w:t>20</w:t>
      </w:r>
      <w:r w:rsidR="00F73767" w:rsidRPr="00FB4957">
        <w:rPr>
          <w:szCs w:val="24"/>
        </w:rPr>
        <w:t>22</w:t>
      </w:r>
      <w:r w:rsidRPr="00FB4957">
        <w:rPr>
          <w:szCs w:val="24"/>
        </w:rPr>
        <w:t xml:space="preserve"> </w:t>
      </w:r>
      <w:r w:rsidRPr="00DC26D4">
        <w:rPr>
          <w:szCs w:val="24"/>
        </w:rPr>
        <w:t xml:space="preserve">m. </w:t>
      </w:r>
      <w:r w:rsidR="005B11E3" w:rsidRPr="00DC26D4">
        <w:rPr>
          <w:szCs w:val="24"/>
        </w:rPr>
        <w:t xml:space="preserve">spalio </w:t>
      </w:r>
      <w:r w:rsidR="000B7BB6">
        <w:rPr>
          <w:szCs w:val="24"/>
        </w:rPr>
        <w:t>24</w:t>
      </w:r>
      <w:r w:rsidR="00DC26D4" w:rsidRPr="00DC26D4">
        <w:rPr>
          <w:szCs w:val="24"/>
        </w:rPr>
        <w:t xml:space="preserve"> </w:t>
      </w:r>
      <w:r w:rsidRPr="00DC26D4">
        <w:rPr>
          <w:szCs w:val="24"/>
        </w:rPr>
        <w:t>d.</w:t>
      </w:r>
    </w:p>
    <w:p w14:paraId="523DCB94" w14:textId="77777777" w:rsidR="00083837" w:rsidRDefault="00083837">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008"/>
      </w:tblGrid>
      <w:tr w:rsidR="00083837" w14:paraId="77188082" w14:textId="77777777">
        <w:tc>
          <w:tcPr>
            <w:tcW w:w="6345" w:type="dxa"/>
            <w:shd w:val="clear" w:color="auto" w:fill="auto"/>
            <w:vAlign w:val="center"/>
          </w:tcPr>
          <w:p w14:paraId="27B7C8B4" w14:textId="26D73FFD" w:rsidR="00083837" w:rsidRDefault="00DF2F6F">
            <w:pPr>
              <w:widowControl w:val="0"/>
              <w:textAlignment w:val="baseline"/>
              <w:rPr>
                <w:b/>
                <w:szCs w:val="24"/>
              </w:rPr>
            </w:pPr>
            <w:r>
              <w:rPr>
                <w:b/>
                <w:szCs w:val="24"/>
              </w:rPr>
              <w:t>Pasiūlymą dėl projektų atrankos kriterijų nustatymo ir (arba) keitimo bei vertinimo metodiką teikianti institucija</w:t>
            </w:r>
          </w:p>
        </w:tc>
        <w:tc>
          <w:tcPr>
            <w:tcW w:w="9008" w:type="dxa"/>
            <w:shd w:val="clear" w:color="auto" w:fill="auto"/>
            <w:vAlign w:val="center"/>
          </w:tcPr>
          <w:p w14:paraId="532F9A50" w14:textId="77777777" w:rsidR="000B1D46" w:rsidRPr="001D589D" w:rsidRDefault="000B1D46" w:rsidP="000B1D46">
            <w:pPr>
              <w:widowControl w:val="0"/>
              <w:textAlignment w:val="baseline"/>
              <w:rPr>
                <w:szCs w:val="24"/>
              </w:rPr>
            </w:pPr>
            <w:r w:rsidRPr="001D589D">
              <w:rPr>
                <w:szCs w:val="24"/>
              </w:rPr>
              <w:t>Lietuvos Respublikos kultūros ministerija</w:t>
            </w:r>
          </w:p>
          <w:p w14:paraId="509B765C" w14:textId="33BC204B" w:rsidR="00083837" w:rsidRPr="001D589D" w:rsidRDefault="00083837">
            <w:pPr>
              <w:widowControl w:val="0"/>
              <w:textAlignment w:val="baseline"/>
              <w:rPr>
                <w:i/>
                <w:szCs w:val="24"/>
              </w:rPr>
            </w:pPr>
          </w:p>
        </w:tc>
      </w:tr>
      <w:tr w:rsidR="00083837" w14:paraId="5BE1F7E2" w14:textId="77777777">
        <w:tc>
          <w:tcPr>
            <w:tcW w:w="6345" w:type="dxa"/>
            <w:shd w:val="clear" w:color="auto" w:fill="auto"/>
            <w:vAlign w:val="center"/>
          </w:tcPr>
          <w:p w14:paraId="0206FA4F" w14:textId="4BEED8B3" w:rsidR="00083837" w:rsidRDefault="00DF2F6F">
            <w:pPr>
              <w:widowControl w:val="0"/>
              <w:textAlignment w:val="baseline"/>
              <w:rPr>
                <w:b/>
                <w:szCs w:val="24"/>
              </w:rPr>
            </w:pPr>
            <w:r>
              <w:rPr>
                <w:b/>
                <w:szCs w:val="24"/>
              </w:rPr>
              <w:t>Pažangos priemonės veiklos (poveiklės) pavadinimas</w:t>
            </w:r>
          </w:p>
        </w:tc>
        <w:tc>
          <w:tcPr>
            <w:tcW w:w="9008" w:type="dxa"/>
            <w:shd w:val="clear" w:color="auto" w:fill="auto"/>
            <w:vAlign w:val="center"/>
          </w:tcPr>
          <w:p w14:paraId="60BD5E92" w14:textId="39338B1B" w:rsidR="00083837" w:rsidRPr="001D589D" w:rsidRDefault="00524DB8">
            <w:pPr>
              <w:widowControl w:val="0"/>
              <w:textAlignment w:val="baseline"/>
              <w:rPr>
                <w:szCs w:val="24"/>
              </w:rPr>
            </w:pPr>
            <w:r w:rsidRPr="001D589D">
              <w:rPr>
                <w:szCs w:val="24"/>
              </w:rPr>
              <w:t xml:space="preserve">2021-2030 m. Kultūros ir kūrybingumo plėtros programos pažangos priemonės </w:t>
            </w:r>
            <w:r w:rsidR="00CE496F" w:rsidRPr="001D589D">
              <w:rPr>
                <w:szCs w:val="24"/>
              </w:rPr>
              <w:t xml:space="preserve">Nr. </w:t>
            </w:r>
            <w:bookmarkStart w:id="0" w:name="_Hlk113520076"/>
            <w:r w:rsidR="00CE496F" w:rsidRPr="001D589D">
              <w:rPr>
                <w:szCs w:val="24"/>
              </w:rPr>
              <w:t>08-001-04-06-01 „Tvarių prielaidų ir paskatų aktualizuoti paveldo vertybes sukūrimas“</w:t>
            </w:r>
            <w:bookmarkEnd w:id="0"/>
            <w:r w:rsidR="00CE496F" w:rsidRPr="001D589D">
              <w:rPr>
                <w:szCs w:val="24"/>
              </w:rPr>
              <w:t xml:space="preserve"> </w:t>
            </w:r>
            <w:r w:rsidR="00DB49C5" w:rsidRPr="001D589D">
              <w:rPr>
                <w:szCs w:val="24"/>
              </w:rPr>
              <w:t xml:space="preserve">(Toliau – Priemonė) </w:t>
            </w:r>
            <w:r w:rsidR="00CE496F" w:rsidRPr="001D589D">
              <w:rPr>
                <w:szCs w:val="24"/>
              </w:rPr>
              <w:t>aprašo veikla „7.1. Kultūros paveldo aktualizavimas ir įveiklinimas“</w:t>
            </w:r>
          </w:p>
        </w:tc>
      </w:tr>
      <w:tr w:rsidR="00083837" w14:paraId="31AE92AE" w14:textId="77777777">
        <w:tc>
          <w:tcPr>
            <w:tcW w:w="6345" w:type="dxa"/>
            <w:shd w:val="clear" w:color="auto" w:fill="auto"/>
            <w:vAlign w:val="center"/>
          </w:tcPr>
          <w:p w14:paraId="06EF78B7" w14:textId="77C8EE32" w:rsidR="00083837" w:rsidRDefault="00DF2F6F">
            <w:pPr>
              <w:widowControl w:val="0"/>
              <w:textAlignment w:val="baseline"/>
              <w:rPr>
                <w:b/>
                <w:szCs w:val="24"/>
              </w:rPr>
            </w:pPr>
            <w:r>
              <w:rPr>
                <w:b/>
                <w:szCs w:val="24"/>
              </w:rPr>
              <w:t>Pažangos priemonės veiklai (poveiklei) skirta finansavimo suma (mln. eurų)</w:t>
            </w:r>
          </w:p>
        </w:tc>
        <w:tc>
          <w:tcPr>
            <w:tcW w:w="9008" w:type="dxa"/>
            <w:shd w:val="clear" w:color="auto" w:fill="auto"/>
            <w:vAlign w:val="center"/>
          </w:tcPr>
          <w:p w14:paraId="2BF6AF44" w14:textId="602D0F66" w:rsidR="00083837" w:rsidRPr="001D589D" w:rsidRDefault="005A08F8">
            <w:pPr>
              <w:widowControl w:val="0"/>
              <w:textAlignment w:val="baseline"/>
              <w:rPr>
                <w:szCs w:val="24"/>
              </w:rPr>
            </w:pPr>
            <w:r w:rsidRPr="001D589D">
              <w:rPr>
                <w:szCs w:val="24"/>
              </w:rPr>
              <w:t>12,00 ml</w:t>
            </w:r>
            <w:r w:rsidR="00F61ECD" w:rsidRPr="001D589D">
              <w:rPr>
                <w:szCs w:val="24"/>
              </w:rPr>
              <w:t>n</w:t>
            </w:r>
            <w:r w:rsidRPr="001D589D">
              <w:rPr>
                <w:szCs w:val="24"/>
              </w:rPr>
              <w:t>. Eur</w:t>
            </w:r>
          </w:p>
        </w:tc>
      </w:tr>
      <w:tr w:rsidR="00083837" w14:paraId="390279EA" w14:textId="77777777">
        <w:tc>
          <w:tcPr>
            <w:tcW w:w="6345" w:type="dxa"/>
            <w:shd w:val="clear" w:color="auto" w:fill="auto"/>
            <w:vAlign w:val="center"/>
          </w:tcPr>
          <w:p w14:paraId="113DE1EC" w14:textId="78882A84" w:rsidR="00083837" w:rsidRDefault="00DF2F6F">
            <w:pPr>
              <w:widowControl w:val="0"/>
              <w:textAlignment w:val="baseline"/>
              <w:rPr>
                <w:b/>
                <w:szCs w:val="24"/>
              </w:rPr>
            </w:pPr>
            <w:r>
              <w:rPr>
                <w:b/>
                <w:szCs w:val="24"/>
              </w:rPr>
              <w:t>Finansavimo šaltinis (-iai)</w:t>
            </w:r>
          </w:p>
        </w:tc>
        <w:tc>
          <w:tcPr>
            <w:tcW w:w="9008" w:type="dxa"/>
            <w:shd w:val="clear" w:color="auto" w:fill="auto"/>
            <w:vAlign w:val="center"/>
          </w:tcPr>
          <w:p w14:paraId="0E10E3DE" w14:textId="35479D16" w:rsidR="00083837" w:rsidRPr="001D589D" w:rsidRDefault="00DF2F6F">
            <w:pPr>
              <w:rPr>
                <w:szCs w:val="24"/>
              </w:rPr>
            </w:pPr>
            <w:r w:rsidRPr="001D589D">
              <w:rPr>
                <w:szCs w:val="24"/>
              </w:rPr>
              <w:t>2021–2027 metų Europos Sąjungos fondų investicijų program</w:t>
            </w:r>
            <w:r w:rsidR="00510CF2" w:rsidRPr="001D589D">
              <w:rPr>
                <w:szCs w:val="24"/>
              </w:rPr>
              <w:t>os lėšos</w:t>
            </w:r>
          </w:p>
        </w:tc>
      </w:tr>
      <w:tr w:rsidR="00083837" w14:paraId="4C57846C" w14:textId="77777777">
        <w:tc>
          <w:tcPr>
            <w:tcW w:w="6345" w:type="dxa"/>
            <w:shd w:val="clear" w:color="auto" w:fill="auto"/>
            <w:vAlign w:val="center"/>
          </w:tcPr>
          <w:p w14:paraId="2F0BDDAD" w14:textId="1AD41399" w:rsidR="00083837" w:rsidRDefault="00DF2F6F">
            <w:pPr>
              <w:widowControl w:val="0"/>
              <w:textAlignment w:val="baseline"/>
              <w:rPr>
                <w:b/>
                <w:szCs w:val="24"/>
              </w:rPr>
            </w:pPr>
            <w:r>
              <w:rPr>
                <w:b/>
                <w:bCs/>
                <w:szCs w:val="24"/>
              </w:rPr>
              <w:t>Prioritetas ar komponentas</w:t>
            </w:r>
          </w:p>
        </w:tc>
        <w:tc>
          <w:tcPr>
            <w:tcW w:w="9008" w:type="dxa"/>
            <w:shd w:val="clear" w:color="auto" w:fill="auto"/>
            <w:vAlign w:val="center"/>
          </w:tcPr>
          <w:p w14:paraId="7543FD40" w14:textId="4498F45A" w:rsidR="00083837" w:rsidRPr="001D589D" w:rsidRDefault="00DF2F6F">
            <w:pPr>
              <w:widowControl w:val="0"/>
              <w:textAlignment w:val="baseline"/>
              <w:rPr>
                <w:szCs w:val="24"/>
              </w:rPr>
            </w:pPr>
            <w:r w:rsidRPr="001D589D">
              <w:rPr>
                <w:szCs w:val="24"/>
              </w:rPr>
              <w:t xml:space="preserve">Investicijų programos </w:t>
            </w:r>
            <w:r w:rsidR="00DE1A6A" w:rsidRPr="001D589D">
              <w:rPr>
                <w:szCs w:val="24"/>
              </w:rPr>
              <w:t xml:space="preserve">4 prioritetas </w:t>
            </w:r>
          </w:p>
        </w:tc>
      </w:tr>
      <w:tr w:rsidR="00083837" w14:paraId="336BAD4A" w14:textId="77777777">
        <w:tc>
          <w:tcPr>
            <w:tcW w:w="6345" w:type="dxa"/>
            <w:shd w:val="clear" w:color="auto" w:fill="auto"/>
            <w:vAlign w:val="center"/>
          </w:tcPr>
          <w:p w14:paraId="3F00C7BD" w14:textId="4D595484" w:rsidR="00083837" w:rsidRDefault="00DF2F6F">
            <w:pPr>
              <w:widowControl w:val="0"/>
              <w:textAlignment w:val="baseline"/>
              <w:rPr>
                <w:b/>
                <w:szCs w:val="24"/>
              </w:rPr>
            </w:pPr>
            <w:r>
              <w:rPr>
                <w:b/>
                <w:szCs w:val="24"/>
              </w:rPr>
              <w:t>Projektų atrankos būdas (finansavimo forma, kai įgyvendinamos finansinės priemonės)</w:t>
            </w:r>
          </w:p>
        </w:tc>
        <w:tc>
          <w:tcPr>
            <w:tcW w:w="9008" w:type="dxa"/>
            <w:shd w:val="clear" w:color="auto" w:fill="auto"/>
            <w:vAlign w:val="center"/>
          </w:tcPr>
          <w:p w14:paraId="1BFB854A" w14:textId="77777777" w:rsidR="00083837" w:rsidRPr="001D589D" w:rsidRDefault="00DF2F6F">
            <w:pPr>
              <w:widowControl w:val="0"/>
              <w:textAlignment w:val="baseline"/>
              <w:rPr>
                <w:szCs w:val="24"/>
              </w:rPr>
            </w:pPr>
            <w:r w:rsidRPr="001D589D">
              <w:rPr>
                <w:b/>
                <w:bCs/>
                <w:szCs w:val="24"/>
                <w:lang w:eastAsia="lt-LT"/>
              </w:rPr>
              <w:sym w:font="Times New Roman" w:char="F07F"/>
            </w:r>
            <w:r w:rsidRPr="001D589D">
              <w:rPr>
                <w:szCs w:val="24"/>
              </w:rPr>
              <w:t xml:space="preserve"> Planavimo</w:t>
            </w:r>
          </w:p>
          <w:p w14:paraId="1B352361" w14:textId="317B6264" w:rsidR="00083837" w:rsidRPr="001D589D" w:rsidRDefault="00DE1A6A">
            <w:pPr>
              <w:widowControl w:val="0"/>
              <w:textAlignment w:val="baseline"/>
              <w:rPr>
                <w:szCs w:val="24"/>
              </w:rPr>
            </w:pPr>
            <w:r w:rsidRPr="001D589D">
              <w:rPr>
                <w:b/>
                <w:bCs/>
                <w:szCs w:val="24"/>
                <w:lang w:eastAsia="lt-LT"/>
              </w:rPr>
              <w:t>x</w:t>
            </w:r>
            <w:r w:rsidR="00DF2F6F" w:rsidRPr="001D589D">
              <w:rPr>
                <w:szCs w:val="24"/>
              </w:rPr>
              <w:t xml:space="preserve"> Konkurso</w:t>
            </w:r>
          </w:p>
          <w:p w14:paraId="609AFC41" w14:textId="77777777" w:rsidR="00083837" w:rsidRPr="001D589D" w:rsidRDefault="00DF2F6F">
            <w:pPr>
              <w:widowControl w:val="0"/>
              <w:textAlignment w:val="baseline"/>
              <w:rPr>
                <w:szCs w:val="24"/>
              </w:rPr>
            </w:pPr>
            <w:r w:rsidRPr="001D589D">
              <w:rPr>
                <w:b/>
                <w:bCs/>
                <w:szCs w:val="24"/>
                <w:lang w:eastAsia="lt-LT"/>
              </w:rPr>
              <w:sym w:font="Times New Roman" w:char="F07F"/>
            </w:r>
            <w:r w:rsidRPr="001D589D">
              <w:rPr>
                <w:szCs w:val="24"/>
              </w:rPr>
              <w:t xml:space="preserve"> Tęstinės projektų atrankos</w:t>
            </w:r>
          </w:p>
          <w:p w14:paraId="19502A19" w14:textId="6F8ECD49" w:rsidR="00083837" w:rsidRPr="001D589D" w:rsidRDefault="00DF2F6F">
            <w:pPr>
              <w:widowControl w:val="0"/>
              <w:textAlignment w:val="baseline"/>
              <w:rPr>
                <w:szCs w:val="24"/>
              </w:rPr>
            </w:pPr>
            <w:r w:rsidRPr="001D589D">
              <w:rPr>
                <w:b/>
                <w:bCs/>
                <w:szCs w:val="24"/>
                <w:lang w:eastAsia="lt-LT"/>
              </w:rPr>
              <w:sym w:font="Times New Roman" w:char="F07F"/>
            </w:r>
            <w:r w:rsidRPr="001D589D">
              <w:rPr>
                <w:b/>
                <w:bCs/>
                <w:szCs w:val="24"/>
                <w:lang w:eastAsia="lt-LT"/>
              </w:rPr>
              <w:t xml:space="preserve"> </w:t>
            </w:r>
            <w:r w:rsidRPr="001D589D">
              <w:rPr>
                <w:bCs/>
                <w:szCs w:val="24"/>
                <w:lang w:eastAsia="lt-LT"/>
              </w:rPr>
              <w:t>Finansinė priemonė</w:t>
            </w:r>
          </w:p>
        </w:tc>
      </w:tr>
      <w:tr w:rsidR="00083837" w14:paraId="424A16BA" w14:textId="77777777">
        <w:tc>
          <w:tcPr>
            <w:tcW w:w="6345" w:type="dxa"/>
            <w:shd w:val="clear" w:color="auto" w:fill="auto"/>
            <w:vAlign w:val="center"/>
          </w:tcPr>
          <w:p w14:paraId="44E3D02A" w14:textId="62C2CCFF" w:rsidR="00083837" w:rsidRDefault="00DF2F6F">
            <w:pPr>
              <w:widowControl w:val="0"/>
              <w:textAlignment w:val="baseline"/>
              <w:rPr>
                <w:b/>
                <w:szCs w:val="24"/>
              </w:rPr>
            </w:pPr>
            <w:r>
              <w:rPr>
                <w:b/>
                <w:szCs w:val="24"/>
              </w:rPr>
              <w:t xml:space="preserve">Atitiktis horizontaliesiems principams (toliau – HP) </w:t>
            </w:r>
          </w:p>
        </w:tc>
        <w:tc>
          <w:tcPr>
            <w:tcW w:w="9008" w:type="dxa"/>
            <w:shd w:val="clear" w:color="auto" w:fill="auto"/>
            <w:vAlign w:val="center"/>
          </w:tcPr>
          <w:p w14:paraId="3BE8C7F3" w14:textId="3CD66E31" w:rsidR="00371BB7" w:rsidRPr="001D589D" w:rsidRDefault="00371BB7" w:rsidP="00E50B60">
            <w:pPr>
              <w:tabs>
                <w:tab w:val="left" w:pos="426"/>
                <w:tab w:val="left" w:pos="709"/>
              </w:tabs>
              <w:ind w:firstLine="425"/>
              <w:jc w:val="both"/>
              <w:rPr>
                <w:bCs/>
                <w:iCs/>
                <w:szCs w:val="24"/>
              </w:rPr>
            </w:pPr>
            <w:r w:rsidRPr="001D589D">
              <w:rPr>
                <w:bCs/>
                <w:iCs/>
                <w:szCs w:val="24"/>
              </w:rPr>
              <w:t>Tiesiogiai pr</w:t>
            </w:r>
            <w:r w:rsidR="00D27B81">
              <w:rPr>
                <w:bCs/>
                <w:iCs/>
                <w:szCs w:val="24"/>
              </w:rPr>
              <w:t>i</w:t>
            </w:r>
            <w:r w:rsidRPr="001D589D">
              <w:rPr>
                <w:bCs/>
                <w:iCs/>
                <w:szCs w:val="24"/>
              </w:rPr>
              <w:t>sideda prie šių HP įgyvendinimo:</w:t>
            </w:r>
          </w:p>
          <w:p w14:paraId="6C4B8440" w14:textId="67FA7F22" w:rsidR="00371BB7" w:rsidRPr="000C7BF7" w:rsidRDefault="00371BB7" w:rsidP="000C7BF7">
            <w:pPr>
              <w:overflowPunct w:val="0"/>
              <w:ind w:firstLine="851"/>
              <w:jc w:val="both"/>
              <w:textAlignment w:val="baseline"/>
              <w:rPr>
                <w:szCs w:val="24"/>
                <w:lang w:eastAsia="lt-LT"/>
              </w:rPr>
            </w:pPr>
            <w:r w:rsidRPr="000C7BF7">
              <w:rPr>
                <w:szCs w:val="24"/>
                <w:lang w:eastAsia="lt-LT"/>
              </w:rPr>
              <w:t xml:space="preserve">- darnaus vystymosi, įskaitant reikšmingos žalos nedarymo principą. Vadovaujantis </w:t>
            </w:r>
            <w:r w:rsidR="00DB49C5" w:rsidRPr="000C7BF7">
              <w:rPr>
                <w:szCs w:val="24"/>
                <w:lang w:eastAsia="lt-LT"/>
              </w:rPr>
              <w:t>Priemonės</w:t>
            </w:r>
            <w:r w:rsidR="00524DB8" w:rsidRPr="001D589D">
              <w:rPr>
                <w:szCs w:val="24"/>
                <w:lang w:eastAsia="lt-LT"/>
              </w:rPr>
              <w:t xml:space="preserve"> p</w:t>
            </w:r>
            <w:r w:rsidR="00524DB8" w:rsidRPr="000C7BF7">
              <w:rPr>
                <w:szCs w:val="24"/>
                <w:lang w:eastAsia="lt-LT"/>
              </w:rPr>
              <w:t xml:space="preserve">rojektų finansavimo sąlygų aprašo (toliau – Aprašas) </w:t>
            </w:r>
            <w:r w:rsidRPr="000C7BF7">
              <w:rPr>
                <w:szCs w:val="24"/>
                <w:lang w:eastAsia="lt-LT"/>
              </w:rPr>
              <w:t xml:space="preserve"> 1 priedu vertinama Projekto veiklų atitiktis Reikšmingos žalos nedarymo principui;</w:t>
            </w:r>
          </w:p>
          <w:p w14:paraId="281D7653" w14:textId="0341E628" w:rsidR="00371BB7" w:rsidRPr="000C7BF7" w:rsidRDefault="00371BB7" w:rsidP="000C7BF7">
            <w:pPr>
              <w:overflowPunct w:val="0"/>
              <w:ind w:firstLine="851"/>
              <w:jc w:val="both"/>
              <w:textAlignment w:val="baseline"/>
              <w:rPr>
                <w:szCs w:val="24"/>
                <w:lang w:eastAsia="lt-LT"/>
              </w:rPr>
            </w:pPr>
            <w:r w:rsidRPr="000C7BF7">
              <w:rPr>
                <w:szCs w:val="24"/>
                <w:lang w:eastAsia="lt-LT"/>
              </w:rPr>
              <w:t>- ne</w:t>
            </w:r>
            <w:r w:rsidR="003750A8">
              <w:rPr>
                <w:szCs w:val="24"/>
                <w:lang w:eastAsia="lt-LT"/>
              </w:rPr>
              <w:t xml:space="preserve"> </w:t>
            </w:r>
            <w:r w:rsidRPr="000C7BF7">
              <w:rPr>
                <w:szCs w:val="24"/>
                <w:lang w:eastAsia="lt-LT"/>
              </w:rPr>
              <w:t>mažiau kaip dviejų Universalaus dizaino principų įgyvendinimo. Du Universalaus dizaino principai ir jų įgyvendinimas detaliai apraš</w:t>
            </w:r>
            <w:r w:rsidR="00E50B60" w:rsidRPr="000C7BF7">
              <w:rPr>
                <w:szCs w:val="24"/>
                <w:lang w:eastAsia="lt-LT"/>
              </w:rPr>
              <w:t>omi</w:t>
            </w:r>
            <w:r w:rsidRPr="000C7BF7">
              <w:rPr>
                <w:szCs w:val="24"/>
                <w:lang w:eastAsia="lt-LT"/>
              </w:rPr>
              <w:t xml:space="preserve"> PĮP</w:t>
            </w:r>
            <w:r w:rsidR="00524DB8" w:rsidRPr="000C7BF7">
              <w:rPr>
                <w:szCs w:val="24"/>
                <w:lang w:eastAsia="lt-LT"/>
              </w:rPr>
              <w:t xml:space="preserve">. </w:t>
            </w:r>
            <w:r w:rsidR="003750A8">
              <w:rPr>
                <w:szCs w:val="24"/>
                <w:lang w:eastAsia="lt-LT"/>
              </w:rPr>
              <w:t xml:space="preserve">Universalaus dizaino principai parenkami atsižvelgiant į </w:t>
            </w:r>
            <w:r w:rsidR="00524DB8" w:rsidRPr="000C7BF7">
              <w:rPr>
                <w:szCs w:val="24"/>
                <w:lang w:eastAsia="lt-LT"/>
              </w:rPr>
              <w:t>Apraše</w:t>
            </w:r>
            <w:r w:rsidR="003750A8">
              <w:rPr>
                <w:szCs w:val="24"/>
                <w:lang w:eastAsia="lt-LT"/>
              </w:rPr>
              <w:t xml:space="preserve"> pateikimą informaciją ir jame </w:t>
            </w:r>
            <w:r w:rsidR="00524DB8" w:rsidRPr="000C7BF7">
              <w:rPr>
                <w:szCs w:val="24"/>
                <w:lang w:eastAsia="lt-LT"/>
              </w:rPr>
              <w:t xml:space="preserve"> </w:t>
            </w:r>
            <w:r w:rsidR="00E50B60" w:rsidRPr="000C7BF7">
              <w:rPr>
                <w:szCs w:val="24"/>
                <w:lang w:eastAsia="lt-LT"/>
              </w:rPr>
              <w:lastRenderedPageBreak/>
              <w:t>nurodom</w:t>
            </w:r>
            <w:r w:rsidR="003750A8">
              <w:rPr>
                <w:szCs w:val="24"/>
                <w:lang w:eastAsia="lt-LT"/>
              </w:rPr>
              <w:t>ų</w:t>
            </w:r>
            <w:r w:rsidR="00524DB8" w:rsidRPr="000C7BF7">
              <w:rPr>
                <w:szCs w:val="24"/>
                <w:lang w:eastAsia="lt-LT"/>
              </w:rPr>
              <w:t xml:space="preserve"> teisės akt</w:t>
            </w:r>
            <w:r w:rsidR="003750A8">
              <w:rPr>
                <w:szCs w:val="24"/>
                <w:lang w:eastAsia="lt-LT"/>
              </w:rPr>
              <w:t>ų</w:t>
            </w:r>
            <w:r w:rsidR="00683E37">
              <w:rPr>
                <w:szCs w:val="24"/>
                <w:lang w:eastAsia="lt-LT"/>
              </w:rPr>
              <w:t xml:space="preserve"> </w:t>
            </w:r>
            <w:r w:rsidR="003750A8">
              <w:rPr>
                <w:szCs w:val="24"/>
                <w:lang w:eastAsia="lt-LT"/>
              </w:rPr>
              <w:t>nuostatas</w:t>
            </w:r>
            <w:r w:rsidR="00683E37">
              <w:rPr>
                <w:szCs w:val="24"/>
                <w:lang w:eastAsia="lt-LT"/>
              </w:rPr>
              <w:t>, susijus</w:t>
            </w:r>
            <w:r w:rsidR="003750A8">
              <w:rPr>
                <w:szCs w:val="24"/>
                <w:lang w:eastAsia="lt-LT"/>
              </w:rPr>
              <w:t>ias</w:t>
            </w:r>
            <w:r w:rsidR="00683E37">
              <w:rPr>
                <w:szCs w:val="24"/>
                <w:lang w:eastAsia="lt-LT"/>
              </w:rPr>
              <w:t xml:space="preserve"> su  </w:t>
            </w:r>
            <w:r w:rsidR="00524DB8" w:rsidRPr="000C7BF7">
              <w:rPr>
                <w:szCs w:val="24"/>
                <w:lang w:eastAsia="lt-LT"/>
              </w:rPr>
              <w:t>Universalaus dizaino principa</w:t>
            </w:r>
            <w:r w:rsidR="00683E37">
              <w:rPr>
                <w:szCs w:val="24"/>
                <w:lang w:eastAsia="lt-LT"/>
              </w:rPr>
              <w:t>is ir jų įgyvendinimu</w:t>
            </w:r>
            <w:r w:rsidR="00524DB8" w:rsidRPr="000C7BF7">
              <w:rPr>
                <w:szCs w:val="24"/>
                <w:lang w:eastAsia="lt-LT"/>
              </w:rPr>
              <w:t xml:space="preserve">. </w:t>
            </w:r>
          </w:p>
          <w:p w14:paraId="0D51175C" w14:textId="44A4CA05" w:rsidR="00371BB7" w:rsidRPr="000C7BF7" w:rsidRDefault="00371BB7" w:rsidP="000C7BF7">
            <w:pPr>
              <w:overflowPunct w:val="0"/>
              <w:ind w:firstLine="851"/>
              <w:jc w:val="both"/>
              <w:textAlignment w:val="baseline"/>
              <w:rPr>
                <w:szCs w:val="24"/>
                <w:lang w:eastAsia="lt-LT"/>
              </w:rPr>
            </w:pPr>
            <w:r w:rsidRPr="000C7BF7">
              <w:rPr>
                <w:szCs w:val="24"/>
                <w:lang w:eastAsia="lt-LT"/>
              </w:rPr>
              <w:t xml:space="preserve">- prieinamumo visiems reikalavimo užtikrinimo - </w:t>
            </w:r>
            <w:r w:rsidR="00E50B60" w:rsidRPr="000C7BF7">
              <w:rPr>
                <w:szCs w:val="24"/>
                <w:lang w:eastAsia="lt-LT"/>
              </w:rPr>
              <w:t>sudaromos</w:t>
            </w:r>
            <w:r w:rsidRPr="000C7BF7">
              <w:rPr>
                <w:szCs w:val="24"/>
                <w:lang w:eastAsia="lt-LT"/>
              </w:rPr>
              <w:t xml:space="preserve"> visos galimybės žmonėms, susiduriantiems su negalia/negalios situacijomis, nepriklausomai judėti pastato teritorijoje, patekti į pastatą, bei pagal galimybes savarankiškai judėti pastato viduje.</w:t>
            </w:r>
          </w:p>
          <w:p w14:paraId="72B5C4C1" w14:textId="43D0F5EA" w:rsidR="00083837" w:rsidRPr="001D589D" w:rsidRDefault="00083837" w:rsidP="00E50B60">
            <w:pPr>
              <w:widowControl w:val="0"/>
              <w:ind w:firstLine="425"/>
              <w:jc w:val="both"/>
              <w:textAlignment w:val="baseline"/>
              <w:rPr>
                <w:b/>
                <w:bCs/>
                <w:szCs w:val="24"/>
                <w:lang w:eastAsia="lt-LT"/>
              </w:rPr>
            </w:pPr>
          </w:p>
        </w:tc>
      </w:tr>
      <w:tr w:rsidR="00083837" w14:paraId="54710AA5" w14:textId="77777777" w:rsidTr="002175B0">
        <w:trPr>
          <w:trHeight w:val="936"/>
        </w:trPr>
        <w:tc>
          <w:tcPr>
            <w:tcW w:w="6345" w:type="dxa"/>
            <w:shd w:val="clear" w:color="auto" w:fill="auto"/>
            <w:vAlign w:val="center"/>
          </w:tcPr>
          <w:p w14:paraId="1E4E3BC5" w14:textId="6D0B3A27" w:rsidR="00083837" w:rsidRDefault="00DF2F6F">
            <w:pPr>
              <w:widowControl w:val="0"/>
              <w:textAlignment w:val="baseline"/>
              <w:rPr>
                <w:b/>
                <w:szCs w:val="24"/>
              </w:rPr>
            </w:pPr>
            <w:r>
              <w:rPr>
                <w:b/>
                <w:szCs w:val="24"/>
              </w:rPr>
              <w:lastRenderedPageBreak/>
              <w:t>Atitiktis Europos Sąjungos pagrindinių teisių chartijai (toliau – Chartija)</w:t>
            </w:r>
          </w:p>
        </w:tc>
        <w:tc>
          <w:tcPr>
            <w:tcW w:w="9008" w:type="dxa"/>
            <w:shd w:val="clear" w:color="auto" w:fill="auto"/>
            <w:vAlign w:val="center"/>
          </w:tcPr>
          <w:p w14:paraId="3A57C6C3" w14:textId="1CB1B241" w:rsidR="00083837" w:rsidRPr="001D589D" w:rsidRDefault="002175B0" w:rsidP="000C7BF7">
            <w:pPr>
              <w:overflowPunct w:val="0"/>
              <w:ind w:firstLine="851"/>
              <w:jc w:val="both"/>
              <w:textAlignment w:val="baseline"/>
              <w:rPr>
                <w:bCs/>
                <w:i/>
                <w:szCs w:val="24"/>
                <w:lang w:eastAsia="lt-LT"/>
              </w:rPr>
            </w:pPr>
            <w:r w:rsidRPr="000C7BF7">
              <w:rPr>
                <w:szCs w:val="24"/>
                <w:lang w:eastAsia="lt-LT"/>
              </w:rPr>
              <w:t>Tiesiogiai prisidedama prie galimybių žmonėms,</w:t>
            </w:r>
            <w:r w:rsidR="00E50740" w:rsidRPr="000C7BF7">
              <w:rPr>
                <w:szCs w:val="24"/>
                <w:lang w:eastAsia="lt-LT"/>
              </w:rPr>
              <w:t xml:space="preserve"> susidurian</w:t>
            </w:r>
            <w:r w:rsidRPr="000C7BF7">
              <w:rPr>
                <w:szCs w:val="24"/>
                <w:lang w:eastAsia="lt-LT"/>
              </w:rPr>
              <w:t>tiems</w:t>
            </w:r>
            <w:r w:rsidR="00E50740" w:rsidRPr="000C7BF7">
              <w:rPr>
                <w:szCs w:val="24"/>
                <w:lang w:eastAsia="lt-LT"/>
              </w:rPr>
              <w:t xml:space="preserve"> su negalia</w:t>
            </w:r>
            <w:r w:rsidR="003750A8">
              <w:rPr>
                <w:szCs w:val="24"/>
                <w:lang w:eastAsia="lt-LT"/>
              </w:rPr>
              <w:t xml:space="preserve"> ir (ar) </w:t>
            </w:r>
            <w:r w:rsidR="00E50740" w:rsidRPr="000C7BF7">
              <w:rPr>
                <w:szCs w:val="24"/>
                <w:lang w:eastAsia="lt-LT"/>
              </w:rPr>
              <w:t>negalios situacijomis, nepriklausomai judėti pastato teritorijoje, patekti į pastatą, bei pagal galimybes savarankiškai judėti pastato viduje</w:t>
            </w:r>
            <w:r w:rsidR="003750A8">
              <w:rPr>
                <w:szCs w:val="24"/>
                <w:lang w:eastAsia="lt-LT"/>
              </w:rPr>
              <w:t>, užtikrinimo</w:t>
            </w:r>
            <w:r w:rsidR="00E50740" w:rsidRPr="000C7BF7">
              <w:rPr>
                <w:szCs w:val="24"/>
                <w:lang w:eastAsia="lt-LT"/>
              </w:rPr>
              <w:t>.</w:t>
            </w:r>
          </w:p>
        </w:tc>
      </w:tr>
    </w:tbl>
    <w:p w14:paraId="2A20A757" w14:textId="77777777" w:rsidR="00083837" w:rsidRDefault="00083837">
      <w:pPr>
        <w:widowControl w:val="0"/>
        <w:jc w:val="both"/>
        <w:textAlignment w:val="baseline"/>
        <w:rPr>
          <w:bCs/>
          <w:i/>
          <w:szCs w:val="24"/>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008"/>
      </w:tblGrid>
      <w:tr w:rsidR="002614E6" w14:paraId="51B3363E" w14:textId="77777777">
        <w:tc>
          <w:tcPr>
            <w:tcW w:w="6345" w:type="dxa"/>
            <w:shd w:val="clear" w:color="auto" w:fill="auto"/>
          </w:tcPr>
          <w:p w14:paraId="41C0751E" w14:textId="6AE42FDC" w:rsidR="00083837" w:rsidRDefault="00DF2F6F">
            <w:pPr>
              <w:widowControl w:val="0"/>
              <w:jc w:val="both"/>
              <w:textAlignment w:val="baseline"/>
              <w:rPr>
                <w:b/>
                <w:bCs/>
                <w:sz w:val="22"/>
                <w:szCs w:val="22"/>
                <w:lang w:eastAsia="lt-LT"/>
              </w:rPr>
            </w:pPr>
            <w:r>
              <w:rPr>
                <w:szCs w:val="24"/>
              </w:rPr>
              <w:br w:type="page"/>
            </w:r>
            <w:r>
              <w:rPr>
                <w:b/>
                <w:bCs/>
                <w:sz w:val="22"/>
                <w:szCs w:val="22"/>
                <w:lang w:eastAsia="lt-LT"/>
              </w:rPr>
              <w:sym w:font="Times New Roman" w:char="F07F"/>
            </w:r>
            <w:r>
              <w:rPr>
                <w:b/>
                <w:bCs/>
                <w:sz w:val="22"/>
                <w:szCs w:val="22"/>
                <w:lang w:eastAsia="lt-LT"/>
              </w:rPr>
              <w:t xml:space="preserve"> SPECIALUSIS PROJEKTŲ ATRANKOS KRITERIJUS</w:t>
            </w:r>
          </w:p>
          <w:p w14:paraId="0F59E8CD" w14:textId="1E6F1BAA" w:rsidR="00083837" w:rsidRDefault="00DF2F6F">
            <w:pPr>
              <w:widowControl w:val="0"/>
              <w:jc w:val="both"/>
              <w:textAlignment w:val="baseline"/>
              <w:rPr>
                <w:b/>
                <w:bCs/>
                <w:sz w:val="22"/>
                <w:szCs w:val="22"/>
                <w:lang w:eastAsia="lt-LT"/>
              </w:rPr>
            </w:pPr>
            <w:r>
              <w:rPr>
                <w:b/>
                <w:bCs/>
                <w:sz w:val="22"/>
                <w:szCs w:val="22"/>
                <w:lang w:eastAsia="lt-LT"/>
              </w:rPr>
              <w:t>x PRIORITETINIS PROJEKTŲ ATRANKOS KRITERIJUS</w:t>
            </w:r>
          </w:p>
          <w:p w14:paraId="0744BF57" w14:textId="77777777" w:rsidR="00083837" w:rsidRDefault="00DF2F6F">
            <w:pPr>
              <w:widowControl w:val="0"/>
              <w:jc w:val="both"/>
              <w:textAlignment w:val="baseline"/>
              <w:rPr>
                <w:b/>
                <w:bCs/>
                <w:szCs w:val="24"/>
                <w:lang w:eastAsia="lt-LT"/>
              </w:rPr>
            </w:pPr>
            <w:r>
              <w:rPr>
                <w:i/>
                <w:szCs w:val="24"/>
              </w:rPr>
              <w:t>(Pažymimas vienas iš galimų projektų atrankos kriterijų tipų.)</w:t>
            </w:r>
          </w:p>
        </w:tc>
        <w:tc>
          <w:tcPr>
            <w:tcW w:w="9008" w:type="dxa"/>
            <w:shd w:val="clear" w:color="auto" w:fill="auto"/>
          </w:tcPr>
          <w:p w14:paraId="736D2F4A" w14:textId="35E6E349" w:rsidR="00083837" w:rsidRDefault="00DF2F6F">
            <w:pPr>
              <w:widowControl w:val="0"/>
              <w:jc w:val="both"/>
              <w:textAlignment w:val="baseline"/>
              <w:rPr>
                <w:b/>
                <w:bCs/>
                <w:szCs w:val="24"/>
                <w:lang w:eastAsia="lt-LT"/>
              </w:rPr>
            </w:pPr>
            <w:r>
              <w:rPr>
                <w:b/>
                <w:bCs/>
                <w:szCs w:val="24"/>
                <w:lang w:eastAsia="lt-LT"/>
              </w:rPr>
              <w:t>x Nustatymas</w:t>
            </w:r>
          </w:p>
          <w:p w14:paraId="3EBC1D0C" w14:textId="4F0CFC23" w:rsidR="00083837" w:rsidRDefault="00DF2F6F">
            <w:pPr>
              <w:widowControl w:val="0"/>
              <w:jc w:val="both"/>
              <w:textAlignment w:val="baseline"/>
              <w:rPr>
                <w:szCs w:val="24"/>
              </w:rPr>
            </w:pPr>
            <w:r>
              <w:rPr>
                <w:b/>
                <w:bCs/>
                <w:szCs w:val="24"/>
                <w:lang w:eastAsia="lt-LT"/>
              </w:rPr>
              <w:sym w:font="Times New Roman" w:char="F07F"/>
            </w:r>
            <w:r>
              <w:rPr>
                <w:b/>
                <w:bCs/>
                <w:szCs w:val="24"/>
                <w:lang w:eastAsia="lt-LT"/>
              </w:rPr>
              <w:t xml:space="preserve"> Keitimas</w:t>
            </w:r>
          </w:p>
        </w:tc>
      </w:tr>
      <w:tr w:rsidR="002614E6" w14:paraId="6C9B72A7" w14:textId="77777777">
        <w:tc>
          <w:tcPr>
            <w:tcW w:w="6345" w:type="dxa"/>
            <w:shd w:val="clear" w:color="auto" w:fill="auto"/>
            <w:vAlign w:val="center"/>
          </w:tcPr>
          <w:p w14:paraId="6334BD0A" w14:textId="6FE24095" w:rsidR="00083837" w:rsidRDefault="00DF2F6F">
            <w:pPr>
              <w:widowControl w:val="0"/>
              <w:textAlignment w:val="baseline"/>
              <w:rPr>
                <w:b/>
                <w:bCs/>
                <w:szCs w:val="24"/>
                <w:lang w:eastAsia="lt-LT"/>
              </w:rPr>
            </w:pPr>
            <w:r>
              <w:rPr>
                <w:b/>
                <w:bCs/>
                <w:szCs w:val="24"/>
                <w:lang w:eastAsia="lt-LT"/>
              </w:rPr>
              <w:t>Projektų atrankos kriterijaus numeris ir pavadinimas</w:t>
            </w:r>
          </w:p>
        </w:tc>
        <w:tc>
          <w:tcPr>
            <w:tcW w:w="9008" w:type="dxa"/>
            <w:shd w:val="clear" w:color="auto" w:fill="auto"/>
          </w:tcPr>
          <w:p w14:paraId="794524A3" w14:textId="2131DEAA" w:rsidR="00083837" w:rsidRDefault="002375B1">
            <w:pPr>
              <w:widowControl w:val="0"/>
              <w:jc w:val="both"/>
              <w:textAlignment w:val="baseline"/>
              <w:rPr>
                <w:b/>
                <w:bCs/>
                <w:i/>
                <w:szCs w:val="24"/>
                <w:lang w:eastAsia="lt-LT"/>
              </w:rPr>
            </w:pPr>
            <w:r>
              <w:rPr>
                <w:szCs w:val="24"/>
                <w:lang w:eastAsia="lt-LT"/>
              </w:rPr>
              <w:t>1. P</w:t>
            </w:r>
            <w:r w:rsidRPr="00493694">
              <w:rPr>
                <w:szCs w:val="24"/>
                <w:lang w:eastAsia="lt-LT"/>
              </w:rPr>
              <w:t>rojektui skiriamo finansavimo efektyvumas kultūros paveldo objekte.</w:t>
            </w:r>
          </w:p>
        </w:tc>
      </w:tr>
      <w:tr w:rsidR="002614E6" w14:paraId="225452A9" w14:textId="77777777">
        <w:tc>
          <w:tcPr>
            <w:tcW w:w="6345" w:type="dxa"/>
            <w:shd w:val="clear" w:color="auto" w:fill="auto"/>
            <w:vAlign w:val="center"/>
          </w:tcPr>
          <w:p w14:paraId="228A712C" w14:textId="56261FD1" w:rsidR="00083837" w:rsidRDefault="00DF2F6F">
            <w:pPr>
              <w:widowControl w:val="0"/>
              <w:textAlignment w:val="baseline"/>
              <w:rPr>
                <w:b/>
                <w:bCs/>
                <w:szCs w:val="24"/>
                <w:lang w:eastAsia="lt-LT"/>
              </w:rPr>
            </w:pPr>
            <w:r>
              <w:rPr>
                <w:b/>
                <w:bCs/>
                <w:szCs w:val="24"/>
                <w:lang w:eastAsia="lt-LT"/>
              </w:rPr>
              <w:t>Projektų atrankos kriterijaus vertinimo metodas ir taikymas</w:t>
            </w:r>
          </w:p>
        </w:tc>
        <w:tc>
          <w:tcPr>
            <w:tcW w:w="9008" w:type="dxa"/>
            <w:shd w:val="clear" w:color="auto" w:fill="auto"/>
          </w:tcPr>
          <w:p w14:paraId="1A56662E" w14:textId="77777777" w:rsidR="00A10191" w:rsidRPr="000F2C7C" w:rsidRDefault="00A10191" w:rsidP="00A10191">
            <w:pPr>
              <w:widowControl w:val="0"/>
              <w:jc w:val="both"/>
              <w:textAlignment w:val="baseline"/>
              <w:rPr>
                <w:bCs/>
                <w:iCs/>
                <w:szCs w:val="24"/>
                <w:lang w:eastAsia="lt-LT"/>
              </w:rPr>
            </w:pPr>
            <w:r w:rsidRPr="000F2C7C">
              <w:rPr>
                <w:bCs/>
                <w:iCs/>
                <w:szCs w:val="24"/>
                <w:lang w:eastAsia="lt-LT"/>
              </w:rPr>
              <w:t xml:space="preserve">Prioritetiškai vertinamas projektui skiriamo finansavimo efektyvumas. </w:t>
            </w:r>
          </w:p>
          <w:p w14:paraId="7F9ABEC2" w14:textId="77777777" w:rsidR="00A10191" w:rsidRPr="000F2C7C" w:rsidRDefault="00A10191" w:rsidP="00A10191">
            <w:pPr>
              <w:widowControl w:val="0"/>
              <w:jc w:val="both"/>
              <w:textAlignment w:val="baseline"/>
              <w:rPr>
                <w:bCs/>
                <w:iCs/>
                <w:szCs w:val="24"/>
                <w:lang w:eastAsia="lt-LT"/>
              </w:rPr>
            </w:pPr>
            <w:r w:rsidRPr="000F2C7C">
              <w:rPr>
                <w:bCs/>
                <w:iCs/>
                <w:szCs w:val="24"/>
                <w:lang w:eastAsia="lt-LT"/>
              </w:rPr>
              <w:t>Projektui skiriamo finansavimo efektyvumas apskaičiuojamas taip:</w:t>
            </w:r>
          </w:p>
          <w:p w14:paraId="6E9526B0" w14:textId="77777777" w:rsidR="00A10191" w:rsidRPr="000F2C7C" w:rsidRDefault="00A10191" w:rsidP="00A10191">
            <w:pPr>
              <w:widowControl w:val="0"/>
              <w:jc w:val="both"/>
              <w:textAlignment w:val="baseline"/>
              <w:rPr>
                <w:bCs/>
                <w:iCs/>
                <w:szCs w:val="24"/>
                <w:lang w:eastAsia="lt-LT"/>
              </w:rPr>
            </w:pPr>
            <w:r w:rsidRPr="000F2C7C">
              <w:rPr>
                <w:bCs/>
                <w:iCs/>
                <w:szCs w:val="24"/>
                <w:lang w:eastAsia="lt-LT"/>
              </w:rPr>
              <w:t xml:space="preserve">          I</w:t>
            </w:r>
          </w:p>
          <w:p w14:paraId="6AFA24D9" w14:textId="77777777" w:rsidR="00A10191" w:rsidRPr="000F2C7C" w:rsidRDefault="00A10191" w:rsidP="00A10191">
            <w:pPr>
              <w:widowControl w:val="0"/>
              <w:jc w:val="both"/>
              <w:textAlignment w:val="baseline"/>
              <w:rPr>
                <w:bCs/>
                <w:iCs/>
                <w:szCs w:val="24"/>
                <w:lang w:eastAsia="lt-LT"/>
              </w:rPr>
            </w:pPr>
            <w:r w:rsidRPr="000F2C7C">
              <w:rPr>
                <w:bCs/>
                <w:iCs/>
                <w:szCs w:val="24"/>
                <w:lang w:eastAsia="lt-LT"/>
              </w:rPr>
              <w:t>IE = -----</w:t>
            </w:r>
          </w:p>
          <w:p w14:paraId="19647CDD" w14:textId="77777777" w:rsidR="00A10191" w:rsidRPr="000F2C7C" w:rsidRDefault="00A10191" w:rsidP="00A10191">
            <w:pPr>
              <w:widowControl w:val="0"/>
              <w:jc w:val="both"/>
              <w:textAlignment w:val="baseline"/>
              <w:rPr>
                <w:bCs/>
                <w:iCs/>
                <w:szCs w:val="24"/>
                <w:lang w:eastAsia="lt-LT"/>
              </w:rPr>
            </w:pPr>
            <w:r w:rsidRPr="000F2C7C">
              <w:rPr>
                <w:bCs/>
                <w:iCs/>
                <w:szCs w:val="24"/>
                <w:lang w:eastAsia="lt-LT"/>
              </w:rPr>
              <w:t xml:space="preserve">         LP</w:t>
            </w:r>
          </w:p>
          <w:p w14:paraId="3F16F0A5" w14:textId="77777777" w:rsidR="00A10191" w:rsidRPr="000F2C7C" w:rsidRDefault="00A10191" w:rsidP="00A10191">
            <w:pPr>
              <w:widowControl w:val="0"/>
              <w:jc w:val="both"/>
              <w:textAlignment w:val="baseline"/>
              <w:rPr>
                <w:bCs/>
                <w:iCs/>
                <w:szCs w:val="24"/>
                <w:lang w:eastAsia="lt-LT"/>
              </w:rPr>
            </w:pPr>
          </w:p>
          <w:p w14:paraId="6E1AB2EB" w14:textId="56E5DAE3" w:rsidR="00A10191" w:rsidRDefault="00A10191" w:rsidP="00A10191">
            <w:pPr>
              <w:widowControl w:val="0"/>
              <w:jc w:val="both"/>
              <w:textAlignment w:val="baseline"/>
              <w:rPr>
                <w:bCs/>
                <w:iCs/>
                <w:szCs w:val="24"/>
                <w:lang w:eastAsia="lt-LT"/>
              </w:rPr>
            </w:pPr>
            <w:r w:rsidRPr="000F2C7C">
              <w:rPr>
                <w:bCs/>
                <w:iCs/>
                <w:szCs w:val="24"/>
                <w:lang w:eastAsia="lt-LT"/>
              </w:rPr>
              <w:t>Kur:</w:t>
            </w:r>
          </w:p>
          <w:p w14:paraId="4B0B21E9" w14:textId="77777777" w:rsidR="000F2C7C" w:rsidRPr="000F2C7C" w:rsidRDefault="000F2C7C" w:rsidP="00A10191">
            <w:pPr>
              <w:widowControl w:val="0"/>
              <w:jc w:val="both"/>
              <w:textAlignment w:val="baseline"/>
              <w:rPr>
                <w:bCs/>
                <w:iCs/>
                <w:szCs w:val="24"/>
                <w:lang w:eastAsia="lt-LT"/>
              </w:rPr>
            </w:pPr>
          </w:p>
          <w:p w14:paraId="100A8CDD" w14:textId="60DD4CE7" w:rsidR="00CE3781" w:rsidRPr="000C7BF7" w:rsidRDefault="00A10191" w:rsidP="00CE3781">
            <w:pPr>
              <w:overflowPunct w:val="0"/>
              <w:ind w:firstLine="851"/>
              <w:jc w:val="both"/>
              <w:textAlignment w:val="baseline"/>
              <w:rPr>
                <w:szCs w:val="24"/>
                <w:lang w:eastAsia="lt-LT"/>
              </w:rPr>
            </w:pPr>
            <w:r w:rsidRPr="000C7BF7">
              <w:rPr>
                <w:szCs w:val="24"/>
                <w:lang w:eastAsia="lt-LT"/>
              </w:rPr>
              <w:t>LP – lankomumo pokytis kultūros paveldo objekte, matuojamas apsilankymų skaičiumi.</w:t>
            </w:r>
            <w:r w:rsidR="0025321A" w:rsidRPr="000C7BF7">
              <w:rPr>
                <w:szCs w:val="24"/>
                <w:lang w:eastAsia="lt-LT"/>
              </w:rPr>
              <w:t xml:space="preserve"> </w:t>
            </w:r>
            <w:r w:rsidR="00D41E4E" w:rsidRPr="000C7BF7">
              <w:rPr>
                <w:szCs w:val="24"/>
                <w:lang w:eastAsia="lt-LT"/>
              </w:rPr>
              <w:t xml:space="preserve">Pokyčiui vertinti </w:t>
            </w:r>
            <w:r w:rsidR="0030452E" w:rsidRPr="000C7BF7">
              <w:rPr>
                <w:szCs w:val="24"/>
                <w:lang w:eastAsia="lt-LT"/>
              </w:rPr>
              <w:t xml:space="preserve">taikomas </w:t>
            </w:r>
            <w:r w:rsidR="00DB49C5" w:rsidRPr="000C7BF7">
              <w:rPr>
                <w:szCs w:val="24"/>
                <w:lang w:eastAsia="lt-LT"/>
              </w:rPr>
              <w:t xml:space="preserve">pradinis </w:t>
            </w:r>
            <w:r w:rsidR="0030452E" w:rsidRPr="000C7BF7">
              <w:rPr>
                <w:szCs w:val="24"/>
                <w:lang w:eastAsia="lt-LT"/>
              </w:rPr>
              <w:t>2022 metų</w:t>
            </w:r>
            <w:r w:rsidR="00D41E4E" w:rsidRPr="000C7BF7">
              <w:rPr>
                <w:szCs w:val="24"/>
                <w:lang w:eastAsia="lt-LT"/>
              </w:rPr>
              <w:t xml:space="preserve"> kultūros paveldo objekto lankytojų skaičius</w:t>
            </w:r>
            <w:r w:rsidR="00DB49C5" w:rsidRPr="000C7BF7">
              <w:rPr>
                <w:szCs w:val="24"/>
                <w:lang w:eastAsia="lt-LT"/>
              </w:rPr>
              <w:t xml:space="preserve"> ir planuojamas kultūros paveldo objekto lankytojų skaičius 2029 m.</w:t>
            </w:r>
            <w:r w:rsidR="00D41E4E" w:rsidRPr="000C7BF7">
              <w:rPr>
                <w:szCs w:val="24"/>
                <w:lang w:eastAsia="lt-LT"/>
              </w:rPr>
              <w:t xml:space="preserve"> </w:t>
            </w:r>
            <w:r w:rsidRPr="000C7BF7">
              <w:rPr>
                <w:szCs w:val="24"/>
                <w:lang w:eastAsia="lt-LT"/>
              </w:rPr>
              <w:t xml:space="preserve"> </w:t>
            </w:r>
            <w:r w:rsidR="00CA48F9">
              <w:rPr>
                <w:szCs w:val="24"/>
                <w:lang w:eastAsia="lt-LT"/>
              </w:rPr>
              <w:t>(</w:t>
            </w:r>
            <w:r w:rsidR="00CE3781" w:rsidRPr="000C7BF7">
              <w:rPr>
                <w:szCs w:val="24"/>
                <w:lang w:eastAsia="lt-LT"/>
              </w:rPr>
              <w:t>Pvz., iki investicijų per metus (imami 2022 metai) lankytojai objekte apsilankė 1000 kartų. Projekte numatoma ir pagrindžiama, kad po investicijų (imami 2029 metai) lankytojai objekte per metus apsilankys 1200 kartų. Atitinkamai, numatomas lankomumo objekte pokytis po investicijų lygus 200 apsilankymų (1200 – 1000 = 200)</w:t>
            </w:r>
            <w:r w:rsidR="00CA48F9">
              <w:rPr>
                <w:szCs w:val="24"/>
                <w:lang w:eastAsia="lt-LT"/>
              </w:rPr>
              <w:t>)</w:t>
            </w:r>
            <w:r w:rsidR="00CE3781" w:rsidRPr="000C7BF7">
              <w:rPr>
                <w:szCs w:val="24"/>
                <w:lang w:eastAsia="lt-LT"/>
              </w:rPr>
              <w:t>;</w:t>
            </w:r>
          </w:p>
          <w:p w14:paraId="26ED02B0" w14:textId="7EB20376" w:rsidR="0030452E" w:rsidRPr="000C7BF7" w:rsidRDefault="00CA48F9" w:rsidP="000C7BF7">
            <w:pPr>
              <w:overflowPunct w:val="0"/>
              <w:ind w:firstLine="851"/>
              <w:jc w:val="both"/>
              <w:textAlignment w:val="baseline"/>
              <w:rPr>
                <w:szCs w:val="24"/>
                <w:lang w:eastAsia="lt-LT"/>
              </w:rPr>
            </w:pPr>
            <w:r>
              <w:rPr>
                <w:szCs w:val="24"/>
                <w:lang w:eastAsia="lt-LT"/>
              </w:rPr>
              <w:t>Lankomumo pokytis (</w:t>
            </w:r>
            <w:r w:rsidR="00DB49C5" w:rsidRPr="000C7BF7">
              <w:rPr>
                <w:szCs w:val="24"/>
                <w:lang w:eastAsia="lt-LT"/>
              </w:rPr>
              <w:t>2029 m. lankytojų skaičiaus pokytis</w:t>
            </w:r>
            <w:r>
              <w:rPr>
                <w:szCs w:val="24"/>
                <w:lang w:eastAsia="lt-LT"/>
              </w:rPr>
              <w:t xml:space="preserve"> lyginat su 2022 m. lankytojų skaičiumi</w:t>
            </w:r>
            <w:r w:rsidR="00330C57">
              <w:rPr>
                <w:szCs w:val="24"/>
                <w:lang w:eastAsia="lt-LT"/>
              </w:rPr>
              <w:t>)</w:t>
            </w:r>
            <w:r w:rsidR="00DB49C5" w:rsidRPr="000C7BF7">
              <w:rPr>
                <w:szCs w:val="24"/>
                <w:lang w:eastAsia="lt-LT"/>
              </w:rPr>
              <w:t xml:space="preserve"> yra stebėsenos rodiklis, kuris numatomas projekto sutartyje</w:t>
            </w:r>
            <w:r w:rsidR="00330C57">
              <w:rPr>
                <w:szCs w:val="24"/>
                <w:lang w:eastAsia="lt-LT"/>
              </w:rPr>
              <w:t>,</w:t>
            </w:r>
            <w:r w:rsidR="00DB49C5" w:rsidRPr="000C7BF7">
              <w:rPr>
                <w:szCs w:val="24"/>
                <w:lang w:eastAsia="lt-LT"/>
              </w:rPr>
              <w:t xml:space="preserve"> vertinamas</w:t>
            </w:r>
            <w:r w:rsidR="00CE3781">
              <w:rPr>
                <w:szCs w:val="24"/>
                <w:lang w:eastAsia="lt-LT"/>
              </w:rPr>
              <w:t xml:space="preserve"> </w:t>
            </w:r>
            <w:r w:rsidR="00CE3781" w:rsidRPr="00683E37">
              <w:rPr>
                <w:szCs w:val="24"/>
                <w:lang w:eastAsia="lt-LT"/>
              </w:rPr>
              <w:t>taip</w:t>
            </w:r>
            <w:r w:rsidR="00330C57" w:rsidRPr="00683E37">
              <w:rPr>
                <w:szCs w:val="24"/>
                <w:lang w:eastAsia="lt-LT"/>
              </w:rPr>
              <w:t>,</w:t>
            </w:r>
            <w:r w:rsidR="00CE3781" w:rsidRPr="00683E37">
              <w:rPr>
                <w:szCs w:val="24"/>
                <w:lang w:eastAsia="lt-LT"/>
              </w:rPr>
              <w:t xml:space="preserve"> kaip numatyta</w:t>
            </w:r>
            <w:r w:rsidR="00DB49C5" w:rsidRPr="00683E37">
              <w:rPr>
                <w:szCs w:val="24"/>
                <w:lang w:eastAsia="lt-LT"/>
              </w:rPr>
              <w:t xml:space="preserve"> Stebėsenos rodiklių nustatymo ir skaičiavimo aprašo nuostato</w:t>
            </w:r>
            <w:r w:rsidR="00CE3781" w:rsidRPr="00683E37">
              <w:rPr>
                <w:szCs w:val="24"/>
                <w:lang w:eastAsia="lt-LT"/>
              </w:rPr>
              <w:t>se</w:t>
            </w:r>
            <w:r w:rsidR="00DB49C5" w:rsidRPr="00683E37">
              <w:rPr>
                <w:szCs w:val="24"/>
                <w:lang w:eastAsia="lt-LT"/>
              </w:rPr>
              <w:t xml:space="preserve"> bei </w:t>
            </w:r>
            <w:r w:rsidR="00AE3678" w:rsidRPr="00683E37">
              <w:rPr>
                <w:szCs w:val="24"/>
                <w:lang w:eastAsia="lt-LT"/>
              </w:rPr>
              <w:t xml:space="preserve">stebėsenos </w:t>
            </w:r>
            <w:r w:rsidR="00DB49C5" w:rsidRPr="00683E37">
              <w:rPr>
                <w:szCs w:val="24"/>
                <w:lang w:eastAsia="lt-LT"/>
              </w:rPr>
              <w:t>rodiklio</w:t>
            </w:r>
            <w:r w:rsidR="00AE3678" w:rsidRPr="00683E37">
              <w:rPr>
                <w:szCs w:val="24"/>
                <w:lang w:eastAsia="lt-LT"/>
              </w:rPr>
              <w:t xml:space="preserve"> aprašymo</w:t>
            </w:r>
            <w:r w:rsidR="00DB49C5" w:rsidRPr="00683E37">
              <w:rPr>
                <w:szCs w:val="24"/>
                <w:lang w:eastAsia="lt-LT"/>
              </w:rPr>
              <w:t xml:space="preserve"> kortelėje</w:t>
            </w:r>
            <w:r w:rsidR="00330C57" w:rsidRPr="00683E37">
              <w:rPr>
                <w:szCs w:val="24"/>
                <w:lang w:eastAsia="lt-LT"/>
              </w:rPr>
              <w:t xml:space="preserve"> </w:t>
            </w:r>
            <w:r w:rsidR="007B251B" w:rsidRPr="00683E37">
              <w:rPr>
                <w:szCs w:val="24"/>
                <w:lang w:eastAsia="lt-LT"/>
              </w:rPr>
              <w:t>(projekto vykdytoj</w:t>
            </w:r>
            <w:r w:rsidR="00CE3781" w:rsidRPr="00683E37">
              <w:rPr>
                <w:szCs w:val="24"/>
                <w:lang w:eastAsia="lt-LT"/>
              </w:rPr>
              <w:t>ui</w:t>
            </w:r>
            <w:r w:rsidR="00330C57" w:rsidRPr="00683E37">
              <w:rPr>
                <w:szCs w:val="24"/>
                <w:lang w:eastAsia="lt-LT"/>
              </w:rPr>
              <w:t xml:space="preserve"> po investicijų pabaigos </w:t>
            </w:r>
            <w:r w:rsidR="007B251B" w:rsidRPr="00683E37">
              <w:rPr>
                <w:szCs w:val="24"/>
                <w:lang w:eastAsia="lt-LT"/>
              </w:rPr>
              <w:t>t</w:t>
            </w:r>
            <w:r w:rsidR="00E50B60" w:rsidRPr="00683E37">
              <w:rPr>
                <w:szCs w:val="24"/>
                <w:lang w:eastAsia="lt-LT"/>
              </w:rPr>
              <w:t>eikia</w:t>
            </w:r>
            <w:r w:rsidR="00CE3781" w:rsidRPr="00683E37">
              <w:rPr>
                <w:szCs w:val="24"/>
                <w:lang w:eastAsia="lt-LT"/>
              </w:rPr>
              <w:t>nt</w:t>
            </w:r>
            <w:r w:rsidR="007B251B" w:rsidRPr="00683E37">
              <w:rPr>
                <w:szCs w:val="24"/>
                <w:lang w:eastAsia="lt-LT"/>
              </w:rPr>
              <w:t xml:space="preserve"> </w:t>
            </w:r>
            <w:r w:rsidR="00CE3781" w:rsidRPr="00683E37">
              <w:rPr>
                <w:szCs w:val="24"/>
                <w:lang w:eastAsia="lt-LT"/>
              </w:rPr>
              <w:t xml:space="preserve">metines </w:t>
            </w:r>
            <w:r w:rsidR="007B251B" w:rsidRPr="00683E37">
              <w:rPr>
                <w:szCs w:val="24"/>
                <w:lang w:eastAsia="lt-LT"/>
              </w:rPr>
              <w:t>ataskaitas</w:t>
            </w:r>
            <w:r w:rsidR="00CE3781" w:rsidRPr="00683E37">
              <w:rPr>
                <w:szCs w:val="24"/>
                <w:lang w:eastAsia="lt-LT"/>
              </w:rPr>
              <w:t xml:space="preserve"> </w:t>
            </w:r>
            <w:r w:rsidR="00330C57" w:rsidRPr="00683E37">
              <w:rPr>
                <w:szCs w:val="24"/>
                <w:lang w:eastAsia="lt-LT"/>
              </w:rPr>
              <w:t xml:space="preserve">iki 2029 m. imtinai </w:t>
            </w:r>
            <w:r w:rsidR="00CE3781" w:rsidRPr="00683E37">
              <w:rPr>
                <w:szCs w:val="24"/>
                <w:lang w:eastAsia="lt-LT"/>
              </w:rPr>
              <w:t>dėl pasiektos stebėsenos rodiklio reikšmės</w:t>
            </w:r>
            <w:r w:rsidR="007B251B" w:rsidRPr="00683E37">
              <w:rPr>
                <w:szCs w:val="24"/>
                <w:lang w:eastAsia="lt-LT"/>
              </w:rPr>
              <w:t>).</w:t>
            </w:r>
            <w:r w:rsidR="00AE3678" w:rsidRPr="00683E37">
              <w:rPr>
                <w:szCs w:val="24"/>
                <w:lang w:eastAsia="lt-LT"/>
              </w:rPr>
              <w:t xml:space="preserve"> Apraše numatoma, jog nepasiekus numatyto kultūros objekto lankytojų</w:t>
            </w:r>
            <w:r w:rsidR="00AE3678" w:rsidRPr="000C7BF7">
              <w:rPr>
                <w:szCs w:val="24"/>
                <w:lang w:eastAsia="lt-LT"/>
              </w:rPr>
              <w:t xml:space="preserve"> pokyčio, bus taikomos finansinės korekcijos numatytos Projektų </w:t>
            </w:r>
            <w:r w:rsidR="00D27B81">
              <w:rPr>
                <w:szCs w:val="24"/>
                <w:lang w:eastAsia="lt-LT"/>
              </w:rPr>
              <w:t>administravimo</w:t>
            </w:r>
            <w:r w:rsidR="00AE3678" w:rsidRPr="000C7BF7">
              <w:rPr>
                <w:szCs w:val="24"/>
                <w:lang w:eastAsia="lt-LT"/>
              </w:rPr>
              <w:t xml:space="preserve"> ir </w:t>
            </w:r>
            <w:r w:rsidR="00D27B81">
              <w:rPr>
                <w:szCs w:val="24"/>
                <w:lang w:eastAsia="lt-LT"/>
              </w:rPr>
              <w:t xml:space="preserve">finansavimo </w:t>
            </w:r>
            <w:r w:rsidR="00AE3678" w:rsidRPr="000C7BF7">
              <w:rPr>
                <w:szCs w:val="24"/>
                <w:lang w:eastAsia="lt-LT"/>
              </w:rPr>
              <w:t>taisyklių 171 punkte.</w:t>
            </w:r>
          </w:p>
          <w:p w14:paraId="6E51B417" w14:textId="77777777" w:rsidR="000F2C7C" w:rsidRPr="000C7BF7" w:rsidRDefault="000F2C7C" w:rsidP="000C7BF7">
            <w:pPr>
              <w:overflowPunct w:val="0"/>
              <w:ind w:firstLine="851"/>
              <w:jc w:val="both"/>
              <w:textAlignment w:val="baseline"/>
              <w:rPr>
                <w:szCs w:val="24"/>
                <w:lang w:eastAsia="lt-LT"/>
              </w:rPr>
            </w:pPr>
          </w:p>
          <w:p w14:paraId="19B7DB95" w14:textId="4F76C03B" w:rsidR="00A10191" w:rsidRPr="000C7BF7" w:rsidRDefault="00A10191" w:rsidP="000C7BF7">
            <w:pPr>
              <w:overflowPunct w:val="0"/>
              <w:ind w:firstLine="851"/>
              <w:jc w:val="both"/>
              <w:textAlignment w:val="baseline"/>
              <w:rPr>
                <w:szCs w:val="24"/>
                <w:lang w:eastAsia="lt-LT"/>
              </w:rPr>
            </w:pPr>
            <w:r w:rsidRPr="000C7BF7">
              <w:rPr>
                <w:szCs w:val="24"/>
                <w:lang w:eastAsia="lt-LT"/>
              </w:rPr>
              <w:lastRenderedPageBreak/>
              <w:t xml:space="preserve">I – Projektui skiriamo finansavimo dydis Eur, reikalingas numatomam ir pagrindžiamam lankomumo pokyčiui; </w:t>
            </w:r>
          </w:p>
          <w:p w14:paraId="19B9643D" w14:textId="77777777" w:rsidR="000F2C7C" w:rsidRPr="000C7BF7" w:rsidRDefault="000F2C7C" w:rsidP="000C7BF7">
            <w:pPr>
              <w:overflowPunct w:val="0"/>
              <w:ind w:firstLine="851"/>
              <w:jc w:val="both"/>
              <w:textAlignment w:val="baseline"/>
              <w:rPr>
                <w:szCs w:val="24"/>
                <w:lang w:eastAsia="lt-LT"/>
              </w:rPr>
            </w:pPr>
          </w:p>
          <w:p w14:paraId="071833BD" w14:textId="60A7637F" w:rsidR="002614E6" w:rsidRPr="000C7BF7" w:rsidRDefault="00A10191" w:rsidP="000C7BF7">
            <w:pPr>
              <w:overflowPunct w:val="0"/>
              <w:ind w:firstLine="851"/>
              <w:jc w:val="both"/>
              <w:textAlignment w:val="baseline"/>
              <w:rPr>
                <w:szCs w:val="24"/>
                <w:lang w:eastAsia="lt-LT"/>
              </w:rPr>
            </w:pPr>
            <w:r w:rsidRPr="000C7BF7">
              <w:rPr>
                <w:szCs w:val="24"/>
                <w:lang w:eastAsia="lt-LT"/>
              </w:rPr>
              <w:t xml:space="preserve">IE – </w:t>
            </w:r>
            <w:r w:rsidR="00330C57">
              <w:rPr>
                <w:szCs w:val="24"/>
                <w:lang w:eastAsia="lt-LT"/>
              </w:rPr>
              <w:t xml:space="preserve">finansavimo </w:t>
            </w:r>
            <w:r w:rsidRPr="000C7BF7">
              <w:rPr>
                <w:szCs w:val="24"/>
                <w:lang w:eastAsia="lt-LT"/>
              </w:rPr>
              <w:t xml:space="preserve">efektyvumas, matuojamas Eur/lankytojui, t.y. </w:t>
            </w:r>
            <w:r w:rsidR="00EF0070">
              <w:rPr>
                <w:szCs w:val="24"/>
                <w:lang w:eastAsia="lt-LT"/>
              </w:rPr>
              <w:t xml:space="preserve">nurodomas finansavimo poreikis reikalingas </w:t>
            </w:r>
            <w:r w:rsidRPr="000C7BF7">
              <w:rPr>
                <w:szCs w:val="24"/>
                <w:lang w:eastAsia="lt-LT"/>
              </w:rPr>
              <w:t>vienam papildomam apsilankymui</w:t>
            </w:r>
            <w:r w:rsidR="00EF0070">
              <w:rPr>
                <w:szCs w:val="24"/>
                <w:lang w:eastAsia="lt-LT"/>
              </w:rPr>
              <w:t xml:space="preserve"> objekte</w:t>
            </w:r>
            <w:r w:rsidRPr="000C7BF7">
              <w:rPr>
                <w:szCs w:val="24"/>
                <w:lang w:eastAsia="lt-LT"/>
              </w:rPr>
              <w:t>.</w:t>
            </w:r>
            <w:r w:rsidR="002614E6" w:rsidRPr="000C7BF7">
              <w:rPr>
                <w:szCs w:val="24"/>
                <w:lang w:eastAsia="lt-LT"/>
              </w:rPr>
              <w:t xml:space="preserve"> Kuo mažesn</w:t>
            </w:r>
            <w:r w:rsidR="00EF0070">
              <w:rPr>
                <w:szCs w:val="24"/>
                <w:lang w:eastAsia="lt-LT"/>
              </w:rPr>
              <w:t>is</w:t>
            </w:r>
            <w:r w:rsidR="002614E6" w:rsidRPr="000C7BF7">
              <w:rPr>
                <w:szCs w:val="24"/>
                <w:lang w:eastAsia="lt-LT"/>
              </w:rPr>
              <w:t xml:space="preserve"> finansavim</w:t>
            </w:r>
            <w:r w:rsidR="00EF0070">
              <w:rPr>
                <w:szCs w:val="24"/>
                <w:lang w:eastAsia="lt-LT"/>
              </w:rPr>
              <w:t xml:space="preserve">o poreikis </w:t>
            </w:r>
            <w:r w:rsidR="00E50B60" w:rsidRPr="000C7BF7">
              <w:rPr>
                <w:szCs w:val="24"/>
                <w:lang w:eastAsia="lt-LT"/>
              </w:rPr>
              <w:t>yra reikalinga</w:t>
            </w:r>
            <w:r w:rsidR="00EF0070">
              <w:rPr>
                <w:szCs w:val="24"/>
                <w:lang w:eastAsia="lt-LT"/>
              </w:rPr>
              <w:t>s</w:t>
            </w:r>
            <w:r w:rsidR="00E50B60" w:rsidRPr="000C7BF7">
              <w:rPr>
                <w:szCs w:val="24"/>
                <w:lang w:eastAsia="lt-LT"/>
              </w:rPr>
              <w:t xml:space="preserve"> </w:t>
            </w:r>
            <w:r w:rsidR="002614E6" w:rsidRPr="000C7BF7">
              <w:rPr>
                <w:szCs w:val="24"/>
                <w:lang w:eastAsia="lt-LT"/>
              </w:rPr>
              <w:t>vienam papildomam lankytojui pritraukti, tuo didesnis finansavimo efektyvumas.</w:t>
            </w:r>
          </w:p>
          <w:p w14:paraId="3D6FB0C1" w14:textId="4685A0FE" w:rsidR="00A10191" w:rsidRPr="000C7BF7" w:rsidRDefault="00A10191" w:rsidP="000C7BF7">
            <w:pPr>
              <w:overflowPunct w:val="0"/>
              <w:ind w:firstLine="851"/>
              <w:jc w:val="both"/>
              <w:textAlignment w:val="baseline"/>
              <w:rPr>
                <w:szCs w:val="24"/>
                <w:lang w:eastAsia="lt-LT"/>
              </w:rPr>
            </w:pPr>
          </w:p>
          <w:p w14:paraId="793EB31F" w14:textId="40BF3128" w:rsidR="002614E6" w:rsidRDefault="00A10191" w:rsidP="000C7BF7">
            <w:pPr>
              <w:overflowPunct w:val="0"/>
              <w:ind w:firstLine="851"/>
              <w:jc w:val="both"/>
              <w:textAlignment w:val="baseline"/>
              <w:rPr>
                <w:szCs w:val="24"/>
                <w:lang w:eastAsia="lt-LT"/>
              </w:rPr>
            </w:pPr>
            <w:r w:rsidRPr="000C7BF7">
              <w:rPr>
                <w:szCs w:val="24"/>
                <w:lang w:eastAsia="lt-LT"/>
              </w:rPr>
              <w:t>Didesnis balas skiriamas pareiškėjams, kurių projektui skiriamo finansavimo efektyvumas bus didesnis</w:t>
            </w:r>
            <w:r w:rsidR="002614E6" w:rsidRPr="000C7BF7">
              <w:rPr>
                <w:szCs w:val="24"/>
                <w:lang w:eastAsia="lt-LT"/>
              </w:rPr>
              <w:t xml:space="preserve">, t.y. </w:t>
            </w:r>
            <w:r w:rsidR="00B8777C" w:rsidRPr="000C7BF7">
              <w:rPr>
                <w:szCs w:val="24"/>
                <w:lang w:eastAsia="lt-LT"/>
              </w:rPr>
              <w:t xml:space="preserve">finansavimo </w:t>
            </w:r>
            <w:r w:rsidR="00EF0070">
              <w:rPr>
                <w:szCs w:val="24"/>
                <w:lang w:eastAsia="lt-LT"/>
              </w:rPr>
              <w:t>poreikis</w:t>
            </w:r>
            <w:r w:rsidR="00B8777C" w:rsidRPr="000C7BF7">
              <w:rPr>
                <w:szCs w:val="24"/>
                <w:lang w:eastAsia="lt-LT"/>
              </w:rPr>
              <w:t xml:space="preserve"> reikalinga</w:t>
            </w:r>
            <w:r w:rsidR="00EF0070">
              <w:rPr>
                <w:szCs w:val="24"/>
                <w:lang w:eastAsia="lt-LT"/>
              </w:rPr>
              <w:t>s</w:t>
            </w:r>
            <w:r w:rsidR="002614E6" w:rsidRPr="000C7BF7">
              <w:rPr>
                <w:szCs w:val="24"/>
                <w:lang w:eastAsia="lt-LT"/>
              </w:rPr>
              <w:t xml:space="preserve"> vienam papildom</w:t>
            </w:r>
            <w:r w:rsidR="00B8777C" w:rsidRPr="000C7BF7">
              <w:rPr>
                <w:szCs w:val="24"/>
                <w:lang w:eastAsia="lt-LT"/>
              </w:rPr>
              <w:t>am</w:t>
            </w:r>
            <w:r w:rsidR="002614E6" w:rsidRPr="000C7BF7">
              <w:rPr>
                <w:szCs w:val="24"/>
                <w:lang w:eastAsia="lt-LT"/>
              </w:rPr>
              <w:t xml:space="preserve"> lankytojui pritraukti</w:t>
            </w:r>
            <w:r w:rsidR="00E50B60" w:rsidRPr="000C7BF7">
              <w:rPr>
                <w:szCs w:val="24"/>
                <w:lang w:eastAsia="lt-LT"/>
              </w:rPr>
              <w:t xml:space="preserve">  yra mažesn</w:t>
            </w:r>
            <w:r w:rsidR="00EF0070">
              <w:rPr>
                <w:szCs w:val="24"/>
                <w:lang w:eastAsia="lt-LT"/>
              </w:rPr>
              <w:t>is</w:t>
            </w:r>
            <w:r w:rsidRPr="000C7BF7">
              <w:rPr>
                <w:szCs w:val="24"/>
                <w:lang w:eastAsia="lt-LT"/>
              </w:rPr>
              <w:t>.</w:t>
            </w:r>
          </w:p>
          <w:p w14:paraId="1B077933" w14:textId="099BA264" w:rsidR="002614E6" w:rsidRDefault="002005F5" w:rsidP="002005F5">
            <w:pPr>
              <w:overflowPunct w:val="0"/>
              <w:ind w:firstLine="851"/>
              <w:jc w:val="both"/>
              <w:textAlignment w:val="baseline"/>
              <w:rPr>
                <w:bCs/>
                <w:iCs/>
                <w:szCs w:val="24"/>
                <w:lang w:eastAsia="lt-LT"/>
              </w:rPr>
            </w:pPr>
            <w:r>
              <w:rPr>
                <w:szCs w:val="24"/>
                <w:lang w:eastAsia="lt-LT"/>
              </w:rPr>
              <w:t>P</w:t>
            </w:r>
            <w:r w:rsidRPr="002005F5">
              <w:rPr>
                <w:szCs w:val="24"/>
                <w:lang w:eastAsia="lt-LT"/>
              </w:rPr>
              <w:t>irmajam ir antrajam prioritetiniams kriterijams bus skiriamas didžiausias svoris, vertinant projekto naudą ir kokybę</w:t>
            </w:r>
            <w:r>
              <w:rPr>
                <w:szCs w:val="24"/>
                <w:lang w:eastAsia="lt-LT"/>
              </w:rPr>
              <w:t>.</w:t>
            </w:r>
          </w:p>
          <w:p w14:paraId="74595665" w14:textId="5A31C316" w:rsidR="00083837" w:rsidRPr="002614E6" w:rsidRDefault="00083837" w:rsidP="002614E6">
            <w:pPr>
              <w:widowControl w:val="0"/>
              <w:jc w:val="both"/>
              <w:textAlignment w:val="baseline"/>
              <w:rPr>
                <w:bCs/>
                <w:iCs/>
                <w:szCs w:val="24"/>
                <w:lang w:eastAsia="lt-LT"/>
              </w:rPr>
            </w:pPr>
          </w:p>
        </w:tc>
      </w:tr>
      <w:tr w:rsidR="002614E6" w14:paraId="394004C0" w14:textId="77777777">
        <w:tc>
          <w:tcPr>
            <w:tcW w:w="6345" w:type="dxa"/>
            <w:shd w:val="clear" w:color="auto" w:fill="auto"/>
            <w:vAlign w:val="center"/>
          </w:tcPr>
          <w:p w14:paraId="17F3DB83" w14:textId="4623DD08" w:rsidR="00083837" w:rsidRDefault="00DF2F6F">
            <w:pPr>
              <w:widowControl w:val="0"/>
              <w:textAlignment w:val="baseline"/>
              <w:rPr>
                <w:b/>
                <w:bCs/>
                <w:szCs w:val="24"/>
                <w:lang w:eastAsia="lt-LT"/>
              </w:rPr>
            </w:pPr>
            <w:r>
              <w:rPr>
                <w:b/>
                <w:bCs/>
                <w:szCs w:val="24"/>
                <w:lang w:eastAsia="lt-LT"/>
              </w:rPr>
              <w:lastRenderedPageBreak/>
              <w:t>Projektų atrankos kriterijaus pasirinkimo pagrindimas</w:t>
            </w:r>
          </w:p>
        </w:tc>
        <w:tc>
          <w:tcPr>
            <w:tcW w:w="9008" w:type="dxa"/>
            <w:shd w:val="clear" w:color="auto" w:fill="auto"/>
          </w:tcPr>
          <w:p w14:paraId="3DC9563C" w14:textId="46DB2386" w:rsidR="001610A1" w:rsidRPr="000C7BF7" w:rsidRDefault="008C7109" w:rsidP="000C7BF7">
            <w:pPr>
              <w:overflowPunct w:val="0"/>
              <w:ind w:firstLine="851"/>
              <w:jc w:val="both"/>
              <w:textAlignment w:val="baseline"/>
              <w:rPr>
                <w:szCs w:val="24"/>
                <w:lang w:eastAsia="lt-LT"/>
              </w:rPr>
            </w:pPr>
            <w:r w:rsidRPr="000C7BF7">
              <w:rPr>
                <w:szCs w:val="24"/>
                <w:lang w:eastAsia="lt-LT"/>
              </w:rPr>
              <w:t xml:space="preserve">Šiuo kriterijumi </w:t>
            </w:r>
            <w:r w:rsidR="0015517E" w:rsidRPr="000C7BF7">
              <w:rPr>
                <w:szCs w:val="24"/>
                <w:lang w:eastAsia="lt-LT"/>
              </w:rPr>
              <w:t>skatinama</w:t>
            </w:r>
            <w:r w:rsidRPr="000C7BF7">
              <w:rPr>
                <w:szCs w:val="24"/>
                <w:lang w:eastAsia="lt-LT"/>
              </w:rPr>
              <w:t xml:space="preserve"> ne tik sutvarkyti kultūros objekto infrastuktūrą, tačiau kultūros objektą aktualizuoti ir įveiklinti pritraukiant didesnį lankytojų skaičių</w:t>
            </w:r>
            <w:r w:rsidR="0015517E" w:rsidRPr="000C7BF7">
              <w:rPr>
                <w:szCs w:val="24"/>
                <w:lang w:eastAsia="lt-LT"/>
              </w:rPr>
              <w:t xml:space="preserve"> tokiu būdu atliepiant </w:t>
            </w:r>
            <w:r w:rsidR="0069198D">
              <w:rPr>
                <w:szCs w:val="24"/>
                <w:lang w:eastAsia="lt-LT"/>
              </w:rPr>
              <w:t>priemonės</w:t>
            </w:r>
            <w:r w:rsidR="0015517E" w:rsidRPr="000C7BF7">
              <w:rPr>
                <w:szCs w:val="24"/>
                <w:lang w:eastAsia="lt-LT"/>
              </w:rPr>
              <w:t xml:space="preserve"> tikslus</w:t>
            </w:r>
            <w:r w:rsidR="00B55588" w:rsidRPr="000C7BF7">
              <w:rPr>
                <w:szCs w:val="24"/>
                <w:lang w:eastAsia="lt-LT"/>
              </w:rPr>
              <w:t xml:space="preserve"> ir siekiant kuo efektyvesnio finansavimo panaudojimo.</w:t>
            </w:r>
          </w:p>
          <w:p w14:paraId="01E7EB71" w14:textId="742CBBE4" w:rsidR="00083837" w:rsidRDefault="00083837">
            <w:pPr>
              <w:widowControl w:val="0"/>
              <w:jc w:val="both"/>
              <w:textAlignment w:val="baseline"/>
              <w:rPr>
                <w:bCs/>
                <w:i/>
                <w:szCs w:val="24"/>
                <w:lang w:eastAsia="lt-LT"/>
              </w:rPr>
            </w:pPr>
          </w:p>
        </w:tc>
      </w:tr>
    </w:tbl>
    <w:p w14:paraId="68030FA7" w14:textId="6D2CCC50" w:rsidR="00083837" w:rsidRDefault="00083837">
      <w:pPr>
        <w:widowControl w:val="0"/>
        <w:spacing w:line="240" w:lineRule="exact"/>
        <w:jc w:val="both"/>
        <w:textAlignment w:val="baseline"/>
        <w:rPr>
          <w:szCs w:val="24"/>
        </w:rPr>
      </w:pPr>
    </w:p>
    <w:p w14:paraId="6AA7028F" w14:textId="241A1E90" w:rsidR="00DF2F6F" w:rsidRDefault="00DF2F6F">
      <w:pPr>
        <w:widowControl w:val="0"/>
        <w:spacing w:line="240" w:lineRule="exact"/>
        <w:jc w:val="both"/>
        <w:textAlignment w:val="baselin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9"/>
        <w:gridCol w:w="8868"/>
      </w:tblGrid>
      <w:tr w:rsidR="00DF2F6F" w14:paraId="12B144C0" w14:textId="77777777" w:rsidTr="00EB70EE">
        <w:tc>
          <w:tcPr>
            <w:tcW w:w="6259" w:type="dxa"/>
            <w:shd w:val="clear" w:color="auto" w:fill="auto"/>
          </w:tcPr>
          <w:p w14:paraId="58E39048" w14:textId="77777777" w:rsidR="00DF2F6F" w:rsidRDefault="00DF2F6F" w:rsidP="00C07BC8">
            <w:pPr>
              <w:widowControl w:val="0"/>
              <w:jc w:val="both"/>
              <w:textAlignment w:val="baseline"/>
              <w:rPr>
                <w:b/>
                <w:bCs/>
                <w:sz w:val="22"/>
                <w:szCs w:val="22"/>
                <w:lang w:eastAsia="lt-LT"/>
              </w:rPr>
            </w:pPr>
            <w:r>
              <w:rPr>
                <w:szCs w:val="24"/>
              </w:rPr>
              <w:br w:type="page"/>
            </w:r>
            <w:r>
              <w:rPr>
                <w:b/>
                <w:bCs/>
                <w:sz w:val="22"/>
                <w:szCs w:val="22"/>
                <w:lang w:eastAsia="lt-LT"/>
              </w:rPr>
              <w:sym w:font="Times New Roman" w:char="F07F"/>
            </w:r>
            <w:r>
              <w:rPr>
                <w:b/>
                <w:bCs/>
                <w:sz w:val="22"/>
                <w:szCs w:val="22"/>
                <w:lang w:eastAsia="lt-LT"/>
              </w:rPr>
              <w:t xml:space="preserve"> SPECIALUSIS PROJEKTŲ ATRANKOS KRITERIJUS</w:t>
            </w:r>
          </w:p>
          <w:p w14:paraId="2D230B86" w14:textId="55DC0243" w:rsidR="00DF2F6F" w:rsidRDefault="006B3420" w:rsidP="00C07BC8">
            <w:pPr>
              <w:widowControl w:val="0"/>
              <w:jc w:val="both"/>
              <w:textAlignment w:val="baseline"/>
              <w:rPr>
                <w:b/>
                <w:bCs/>
                <w:sz w:val="22"/>
                <w:szCs w:val="22"/>
                <w:lang w:eastAsia="lt-LT"/>
              </w:rPr>
            </w:pPr>
            <w:r>
              <w:rPr>
                <w:b/>
                <w:bCs/>
                <w:sz w:val="22"/>
                <w:szCs w:val="22"/>
                <w:lang w:eastAsia="lt-LT"/>
              </w:rPr>
              <w:t>x</w:t>
            </w:r>
            <w:r w:rsidR="00DF2F6F">
              <w:rPr>
                <w:b/>
                <w:bCs/>
                <w:sz w:val="22"/>
                <w:szCs w:val="22"/>
                <w:lang w:eastAsia="lt-LT"/>
              </w:rPr>
              <w:t xml:space="preserve"> PRIORITETINIS PROJEKTŲ ATRANKOS KRITERIJUS</w:t>
            </w:r>
          </w:p>
          <w:p w14:paraId="347DE6B4" w14:textId="77777777" w:rsidR="00DF2F6F" w:rsidRDefault="00DF2F6F" w:rsidP="00C07BC8">
            <w:pPr>
              <w:widowControl w:val="0"/>
              <w:jc w:val="both"/>
              <w:textAlignment w:val="baseline"/>
              <w:rPr>
                <w:b/>
                <w:bCs/>
                <w:szCs w:val="24"/>
                <w:lang w:eastAsia="lt-LT"/>
              </w:rPr>
            </w:pPr>
            <w:r>
              <w:rPr>
                <w:i/>
                <w:szCs w:val="24"/>
              </w:rPr>
              <w:t>(Pažymimas vienas iš galimų projektų atrankos kriterijų tipų.)</w:t>
            </w:r>
          </w:p>
        </w:tc>
        <w:tc>
          <w:tcPr>
            <w:tcW w:w="8868" w:type="dxa"/>
            <w:shd w:val="clear" w:color="auto" w:fill="auto"/>
          </w:tcPr>
          <w:p w14:paraId="5D0844C1" w14:textId="3215CB7E" w:rsidR="00DF2F6F" w:rsidRDefault="00BC42B8" w:rsidP="00C07BC8">
            <w:pPr>
              <w:widowControl w:val="0"/>
              <w:jc w:val="both"/>
              <w:textAlignment w:val="baseline"/>
              <w:rPr>
                <w:b/>
                <w:bCs/>
                <w:szCs w:val="24"/>
                <w:lang w:eastAsia="lt-LT"/>
              </w:rPr>
            </w:pPr>
            <w:r>
              <w:rPr>
                <w:b/>
                <w:bCs/>
                <w:szCs w:val="24"/>
                <w:lang w:eastAsia="lt-LT"/>
              </w:rPr>
              <w:t>x</w:t>
            </w:r>
            <w:r w:rsidR="00DF2F6F">
              <w:rPr>
                <w:b/>
                <w:bCs/>
                <w:szCs w:val="24"/>
                <w:lang w:eastAsia="lt-LT"/>
              </w:rPr>
              <w:t xml:space="preserve"> Nustatymas</w:t>
            </w:r>
          </w:p>
          <w:p w14:paraId="21429740" w14:textId="77777777" w:rsidR="00DF2F6F" w:rsidRDefault="00DF2F6F" w:rsidP="00C07BC8">
            <w:pPr>
              <w:widowControl w:val="0"/>
              <w:jc w:val="both"/>
              <w:textAlignment w:val="baseline"/>
              <w:rPr>
                <w:szCs w:val="24"/>
              </w:rPr>
            </w:pPr>
            <w:r>
              <w:rPr>
                <w:b/>
                <w:bCs/>
                <w:szCs w:val="24"/>
                <w:lang w:eastAsia="lt-LT"/>
              </w:rPr>
              <w:sym w:font="Times New Roman" w:char="F07F"/>
            </w:r>
            <w:r>
              <w:rPr>
                <w:b/>
                <w:bCs/>
                <w:szCs w:val="24"/>
                <w:lang w:eastAsia="lt-LT"/>
              </w:rPr>
              <w:t xml:space="preserve"> Keitimas</w:t>
            </w:r>
          </w:p>
        </w:tc>
      </w:tr>
      <w:tr w:rsidR="00DF2F6F" w14:paraId="3ED3FC2E" w14:textId="77777777" w:rsidTr="00EB70EE">
        <w:tc>
          <w:tcPr>
            <w:tcW w:w="6259" w:type="dxa"/>
            <w:shd w:val="clear" w:color="auto" w:fill="auto"/>
            <w:vAlign w:val="center"/>
          </w:tcPr>
          <w:p w14:paraId="35A72CB4" w14:textId="77777777" w:rsidR="00DF2F6F" w:rsidRDefault="00DF2F6F" w:rsidP="00C07BC8">
            <w:pPr>
              <w:widowControl w:val="0"/>
              <w:textAlignment w:val="baseline"/>
              <w:rPr>
                <w:b/>
                <w:bCs/>
                <w:szCs w:val="24"/>
                <w:lang w:eastAsia="lt-LT"/>
              </w:rPr>
            </w:pPr>
            <w:r>
              <w:rPr>
                <w:b/>
                <w:bCs/>
                <w:szCs w:val="24"/>
                <w:lang w:eastAsia="lt-LT"/>
              </w:rPr>
              <w:t>Projektų atrankos kriterijaus numeris ir pavadinimas</w:t>
            </w:r>
          </w:p>
        </w:tc>
        <w:tc>
          <w:tcPr>
            <w:tcW w:w="8868" w:type="dxa"/>
            <w:shd w:val="clear" w:color="auto" w:fill="auto"/>
          </w:tcPr>
          <w:p w14:paraId="696ABCA5" w14:textId="1FA90764" w:rsidR="00DF2F6F" w:rsidRPr="00E2160F" w:rsidRDefault="006B3420" w:rsidP="00C07BC8">
            <w:pPr>
              <w:widowControl w:val="0"/>
              <w:jc w:val="both"/>
              <w:textAlignment w:val="baseline"/>
              <w:rPr>
                <w:b/>
                <w:bCs/>
                <w:iCs/>
                <w:szCs w:val="24"/>
                <w:lang w:eastAsia="lt-LT"/>
              </w:rPr>
            </w:pPr>
            <w:r w:rsidRPr="00E2160F">
              <w:rPr>
                <w:bCs/>
                <w:iCs/>
                <w:szCs w:val="24"/>
                <w:lang w:eastAsia="lt-LT"/>
              </w:rPr>
              <w:t>2. Pareiškėjo prisidėjimas didesniu nuosavu indėliu.</w:t>
            </w:r>
          </w:p>
        </w:tc>
      </w:tr>
      <w:tr w:rsidR="00DF2F6F" w14:paraId="177651D5" w14:textId="77777777" w:rsidTr="00EB70EE">
        <w:tc>
          <w:tcPr>
            <w:tcW w:w="6259" w:type="dxa"/>
            <w:shd w:val="clear" w:color="auto" w:fill="auto"/>
            <w:vAlign w:val="center"/>
          </w:tcPr>
          <w:p w14:paraId="657E3C50" w14:textId="77777777" w:rsidR="00DF2F6F" w:rsidRDefault="00DF2F6F" w:rsidP="00C07BC8">
            <w:pPr>
              <w:widowControl w:val="0"/>
              <w:textAlignment w:val="baseline"/>
              <w:rPr>
                <w:b/>
                <w:bCs/>
                <w:szCs w:val="24"/>
                <w:lang w:eastAsia="lt-LT"/>
              </w:rPr>
            </w:pPr>
            <w:r>
              <w:rPr>
                <w:b/>
                <w:bCs/>
                <w:szCs w:val="24"/>
                <w:lang w:eastAsia="lt-LT"/>
              </w:rPr>
              <w:t>Projektų atrankos kriterijaus vertinimo metodas ir taikymas</w:t>
            </w:r>
          </w:p>
        </w:tc>
        <w:tc>
          <w:tcPr>
            <w:tcW w:w="8868" w:type="dxa"/>
            <w:shd w:val="clear" w:color="auto" w:fill="auto"/>
          </w:tcPr>
          <w:p w14:paraId="6C6B4475" w14:textId="1E5FAFCF" w:rsidR="008D6F58" w:rsidRDefault="003750A8" w:rsidP="000C7BF7">
            <w:pPr>
              <w:overflowPunct w:val="0"/>
              <w:ind w:firstLine="851"/>
              <w:jc w:val="both"/>
              <w:textAlignment w:val="baseline"/>
              <w:rPr>
                <w:szCs w:val="24"/>
                <w:lang w:eastAsia="lt-LT"/>
              </w:rPr>
            </w:pPr>
            <w:r>
              <w:rPr>
                <w:szCs w:val="24"/>
                <w:lang w:eastAsia="lt-LT"/>
              </w:rPr>
              <w:t>Aukštesnis balas</w:t>
            </w:r>
            <w:r w:rsidR="008D6F58">
              <w:rPr>
                <w:szCs w:val="24"/>
                <w:lang w:eastAsia="lt-LT"/>
              </w:rPr>
              <w:t xml:space="preserve"> bus teikiamas pareiškėjams, prisidedantiems prie projektui skiriamo finansavimo didesne nei nurodyta projektų finansavimo apraše nuosavo indėlio dalimi, kadangi projektui skiriamas finansavimas neapima nuosavo įnašo.</w:t>
            </w:r>
          </w:p>
          <w:p w14:paraId="500D35DD" w14:textId="618A5AC8" w:rsidR="00B55588" w:rsidRDefault="008D6F58" w:rsidP="000C7BF7">
            <w:pPr>
              <w:overflowPunct w:val="0"/>
              <w:ind w:firstLine="851"/>
              <w:jc w:val="both"/>
              <w:textAlignment w:val="baseline"/>
              <w:rPr>
                <w:szCs w:val="24"/>
                <w:lang w:eastAsia="lt-LT"/>
              </w:rPr>
            </w:pPr>
            <w:r>
              <w:rPr>
                <w:szCs w:val="24"/>
                <w:lang w:eastAsia="lt-LT"/>
              </w:rPr>
              <w:t xml:space="preserve">Aukštesnis įvertinimas suteikiamas pareiškėjams </w:t>
            </w:r>
            <w:r w:rsidR="006B3420" w:rsidRPr="00493694">
              <w:rPr>
                <w:szCs w:val="24"/>
                <w:lang w:eastAsia="lt-LT"/>
              </w:rPr>
              <w:t>prisidedantiems prie projekt</w:t>
            </w:r>
            <w:r>
              <w:rPr>
                <w:szCs w:val="24"/>
                <w:lang w:eastAsia="lt-LT"/>
              </w:rPr>
              <w:t>o tinkamų finansuoti išlaidų finansavimo didesne procentine nuosavo indėlio dalimi negu tai prašoma pagal finansavimo sąlygas.</w:t>
            </w:r>
            <w:r w:rsidR="006B3420" w:rsidRPr="00493694">
              <w:rPr>
                <w:szCs w:val="24"/>
                <w:lang w:eastAsia="lt-LT"/>
              </w:rPr>
              <w:t xml:space="preserve"> </w:t>
            </w:r>
          </w:p>
          <w:p w14:paraId="3897538C" w14:textId="77777777" w:rsidR="002005F5" w:rsidRDefault="002005F5" w:rsidP="002005F5">
            <w:pPr>
              <w:overflowPunct w:val="0"/>
              <w:ind w:firstLine="851"/>
              <w:jc w:val="both"/>
              <w:textAlignment w:val="baseline"/>
              <w:rPr>
                <w:bCs/>
                <w:iCs/>
                <w:szCs w:val="24"/>
                <w:lang w:eastAsia="lt-LT"/>
              </w:rPr>
            </w:pPr>
            <w:r>
              <w:rPr>
                <w:szCs w:val="24"/>
                <w:lang w:eastAsia="lt-LT"/>
              </w:rPr>
              <w:t>P</w:t>
            </w:r>
            <w:r w:rsidRPr="002005F5">
              <w:rPr>
                <w:szCs w:val="24"/>
                <w:lang w:eastAsia="lt-LT"/>
              </w:rPr>
              <w:t>irmajam ir antrajam prioritetiniams kriterijams bus skiriamas didžiausias svoris, vertinant projekto naudą ir kokybę</w:t>
            </w:r>
            <w:r>
              <w:rPr>
                <w:szCs w:val="24"/>
                <w:lang w:eastAsia="lt-LT"/>
              </w:rPr>
              <w:t>.</w:t>
            </w:r>
          </w:p>
          <w:p w14:paraId="4AF7975B" w14:textId="57EA41A8" w:rsidR="00DF2F6F" w:rsidRDefault="00DF2F6F" w:rsidP="00C07BC8">
            <w:pPr>
              <w:widowControl w:val="0"/>
              <w:jc w:val="both"/>
              <w:textAlignment w:val="baseline"/>
              <w:rPr>
                <w:bCs/>
                <w:szCs w:val="24"/>
                <w:lang w:eastAsia="lt-LT"/>
              </w:rPr>
            </w:pPr>
          </w:p>
        </w:tc>
      </w:tr>
      <w:tr w:rsidR="00EB70EE" w14:paraId="6F9542AA" w14:textId="77777777" w:rsidTr="00EB70EE">
        <w:tc>
          <w:tcPr>
            <w:tcW w:w="6259" w:type="dxa"/>
            <w:shd w:val="clear" w:color="auto" w:fill="auto"/>
            <w:vAlign w:val="center"/>
          </w:tcPr>
          <w:p w14:paraId="312E0EB4" w14:textId="77777777" w:rsidR="00EB70EE" w:rsidRDefault="00EB70EE" w:rsidP="00EB70EE">
            <w:pPr>
              <w:widowControl w:val="0"/>
              <w:textAlignment w:val="baseline"/>
              <w:rPr>
                <w:b/>
                <w:bCs/>
                <w:szCs w:val="24"/>
                <w:lang w:eastAsia="lt-LT"/>
              </w:rPr>
            </w:pPr>
            <w:r>
              <w:rPr>
                <w:b/>
                <w:bCs/>
                <w:szCs w:val="24"/>
                <w:lang w:eastAsia="lt-LT"/>
              </w:rPr>
              <w:t>Projektų atrankos kriterijaus pasirinkimo pagrindimas</w:t>
            </w:r>
          </w:p>
        </w:tc>
        <w:tc>
          <w:tcPr>
            <w:tcW w:w="8868" w:type="dxa"/>
            <w:shd w:val="clear" w:color="auto" w:fill="auto"/>
          </w:tcPr>
          <w:p w14:paraId="4EF6DD51" w14:textId="419D4040" w:rsidR="00EB70EE" w:rsidRPr="008D6F58" w:rsidRDefault="00B55588" w:rsidP="000C7BF7">
            <w:pPr>
              <w:overflowPunct w:val="0"/>
              <w:ind w:firstLine="851"/>
              <w:jc w:val="both"/>
              <w:textAlignment w:val="baseline"/>
            </w:pPr>
            <w:r w:rsidRPr="000C7BF7">
              <w:rPr>
                <w:szCs w:val="24"/>
                <w:lang w:eastAsia="lt-LT"/>
              </w:rPr>
              <w:t>Šis kriterijus pasirinktas atsižvelgiant į tai, kad priemonė įgyvendinama konkurso būdu, todėl didesnį prioritetinį balą gaus geriau finansiškai pasiruošę įgyvendinti projekto veiklas pareiškėjai, kurie mato didesnį poreikį investuoti į kultūros paveldo objektų</w:t>
            </w:r>
            <w:r w:rsidR="008D6F58" w:rsidRPr="000C7BF7">
              <w:rPr>
                <w:szCs w:val="24"/>
                <w:lang w:eastAsia="lt-LT"/>
              </w:rPr>
              <w:t xml:space="preserve"> aktualizavimą ir įveiklinimą. Taip prisidedama </w:t>
            </w:r>
            <w:r w:rsidRPr="000C7BF7">
              <w:rPr>
                <w:szCs w:val="24"/>
                <w:lang w:eastAsia="lt-LT"/>
              </w:rPr>
              <w:t>prie siekiamų priemonės tikslų</w:t>
            </w:r>
            <w:r w:rsidR="00CA12AA" w:rsidRPr="000C7BF7">
              <w:rPr>
                <w:szCs w:val="24"/>
                <w:lang w:eastAsia="lt-LT"/>
              </w:rPr>
              <w:t>,</w:t>
            </w:r>
            <w:r w:rsidRPr="000C7BF7">
              <w:rPr>
                <w:szCs w:val="24"/>
                <w:lang w:eastAsia="lt-LT"/>
              </w:rPr>
              <w:t xml:space="preserve"> rezultatų bei skatin</w:t>
            </w:r>
            <w:r w:rsidR="00CA12AA" w:rsidRPr="000C7BF7">
              <w:rPr>
                <w:szCs w:val="24"/>
                <w:lang w:eastAsia="lt-LT"/>
              </w:rPr>
              <w:t>imo</w:t>
            </w:r>
            <w:r w:rsidRPr="000C7BF7">
              <w:rPr>
                <w:szCs w:val="24"/>
                <w:lang w:eastAsia="lt-LT"/>
              </w:rPr>
              <w:t xml:space="preserve"> investicijas naudoti tikslingiau, veiksmingiau.</w:t>
            </w:r>
          </w:p>
        </w:tc>
      </w:tr>
    </w:tbl>
    <w:p w14:paraId="19134265" w14:textId="12E6EC7E" w:rsidR="00DF2F6F" w:rsidRDefault="00DF2F6F">
      <w:pPr>
        <w:widowControl w:val="0"/>
        <w:spacing w:line="240" w:lineRule="exact"/>
        <w:jc w:val="both"/>
        <w:textAlignment w:val="baseline"/>
        <w:rPr>
          <w:szCs w:val="24"/>
        </w:rPr>
      </w:pPr>
    </w:p>
    <w:p w14:paraId="400B6268" w14:textId="0FCB184F" w:rsidR="00DF2F6F" w:rsidRDefault="00DF2F6F">
      <w:pPr>
        <w:widowControl w:val="0"/>
        <w:spacing w:line="240" w:lineRule="exact"/>
        <w:jc w:val="both"/>
        <w:textAlignment w:val="baselin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0"/>
        <w:gridCol w:w="8867"/>
      </w:tblGrid>
      <w:tr w:rsidR="00DF2F6F" w14:paraId="052FCC37" w14:textId="77777777" w:rsidTr="00543FB7">
        <w:trPr>
          <w:trHeight w:val="1435"/>
        </w:trPr>
        <w:tc>
          <w:tcPr>
            <w:tcW w:w="6260" w:type="dxa"/>
            <w:shd w:val="clear" w:color="auto" w:fill="auto"/>
          </w:tcPr>
          <w:p w14:paraId="4C2B7695" w14:textId="77777777" w:rsidR="00DF2F6F" w:rsidRDefault="00DF2F6F" w:rsidP="00C07BC8">
            <w:pPr>
              <w:widowControl w:val="0"/>
              <w:jc w:val="both"/>
              <w:textAlignment w:val="baseline"/>
              <w:rPr>
                <w:b/>
                <w:bCs/>
                <w:sz w:val="22"/>
                <w:szCs w:val="22"/>
                <w:lang w:eastAsia="lt-LT"/>
              </w:rPr>
            </w:pPr>
            <w:r>
              <w:rPr>
                <w:szCs w:val="24"/>
              </w:rPr>
              <w:br w:type="page"/>
            </w:r>
            <w:r>
              <w:rPr>
                <w:b/>
                <w:bCs/>
                <w:sz w:val="22"/>
                <w:szCs w:val="22"/>
                <w:lang w:eastAsia="lt-LT"/>
              </w:rPr>
              <w:sym w:font="Times New Roman" w:char="F07F"/>
            </w:r>
            <w:r>
              <w:rPr>
                <w:b/>
                <w:bCs/>
                <w:sz w:val="22"/>
                <w:szCs w:val="22"/>
                <w:lang w:eastAsia="lt-LT"/>
              </w:rPr>
              <w:t xml:space="preserve"> SPECIALUSIS PROJEKTŲ ATRANKOS KRITERIJUS</w:t>
            </w:r>
          </w:p>
          <w:p w14:paraId="3A7111AA" w14:textId="2603AE12" w:rsidR="00DF2F6F" w:rsidRDefault="00EB70EE" w:rsidP="00C07BC8">
            <w:pPr>
              <w:widowControl w:val="0"/>
              <w:jc w:val="both"/>
              <w:textAlignment w:val="baseline"/>
              <w:rPr>
                <w:b/>
                <w:bCs/>
                <w:sz w:val="22"/>
                <w:szCs w:val="22"/>
                <w:lang w:eastAsia="lt-LT"/>
              </w:rPr>
            </w:pPr>
            <w:r>
              <w:rPr>
                <w:b/>
                <w:bCs/>
                <w:sz w:val="22"/>
                <w:szCs w:val="22"/>
                <w:lang w:eastAsia="lt-LT"/>
              </w:rPr>
              <w:t>x</w:t>
            </w:r>
            <w:r w:rsidR="00DF2F6F">
              <w:rPr>
                <w:b/>
                <w:bCs/>
                <w:sz w:val="22"/>
                <w:szCs w:val="22"/>
                <w:lang w:eastAsia="lt-LT"/>
              </w:rPr>
              <w:t xml:space="preserve"> PRIORITETINIS PROJEKTŲ ATRANKOS KRITERIJUS</w:t>
            </w:r>
          </w:p>
          <w:p w14:paraId="1EBF70F0" w14:textId="77777777" w:rsidR="00DF2F6F" w:rsidRDefault="00DF2F6F" w:rsidP="00C07BC8">
            <w:pPr>
              <w:widowControl w:val="0"/>
              <w:jc w:val="both"/>
              <w:textAlignment w:val="baseline"/>
              <w:rPr>
                <w:b/>
                <w:bCs/>
                <w:szCs w:val="24"/>
                <w:lang w:eastAsia="lt-LT"/>
              </w:rPr>
            </w:pPr>
            <w:r>
              <w:rPr>
                <w:i/>
                <w:szCs w:val="24"/>
              </w:rPr>
              <w:t>(Pažymimas vienas iš galimų projektų atrankos kriterijų tipų.)</w:t>
            </w:r>
          </w:p>
        </w:tc>
        <w:tc>
          <w:tcPr>
            <w:tcW w:w="8867" w:type="dxa"/>
            <w:shd w:val="clear" w:color="auto" w:fill="auto"/>
          </w:tcPr>
          <w:p w14:paraId="315C7A49" w14:textId="2CD8E5CE" w:rsidR="00DF2F6F" w:rsidRDefault="00EB70EE" w:rsidP="00C07BC8">
            <w:pPr>
              <w:widowControl w:val="0"/>
              <w:jc w:val="both"/>
              <w:textAlignment w:val="baseline"/>
              <w:rPr>
                <w:b/>
                <w:bCs/>
                <w:szCs w:val="24"/>
                <w:lang w:eastAsia="lt-LT"/>
              </w:rPr>
            </w:pPr>
            <w:r>
              <w:rPr>
                <w:b/>
                <w:bCs/>
                <w:szCs w:val="24"/>
                <w:lang w:eastAsia="lt-LT"/>
              </w:rPr>
              <w:t>x</w:t>
            </w:r>
            <w:r w:rsidR="00DF2F6F">
              <w:rPr>
                <w:b/>
                <w:bCs/>
                <w:szCs w:val="24"/>
                <w:lang w:eastAsia="lt-LT"/>
              </w:rPr>
              <w:t xml:space="preserve"> Nustatymas</w:t>
            </w:r>
          </w:p>
          <w:p w14:paraId="43CC06DB" w14:textId="77777777" w:rsidR="00DF2F6F" w:rsidRDefault="00DF2F6F" w:rsidP="00C07BC8">
            <w:pPr>
              <w:widowControl w:val="0"/>
              <w:jc w:val="both"/>
              <w:textAlignment w:val="baseline"/>
              <w:rPr>
                <w:szCs w:val="24"/>
              </w:rPr>
            </w:pPr>
            <w:r>
              <w:rPr>
                <w:b/>
                <w:bCs/>
                <w:szCs w:val="24"/>
                <w:lang w:eastAsia="lt-LT"/>
              </w:rPr>
              <w:sym w:font="Times New Roman" w:char="F07F"/>
            </w:r>
            <w:r>
              <w:rPr>
                <w:b/>
                <w:bCs/>
                <w:szCs w:val="24"/>
                <w:lang w:eastAsia="lt-LT"/>
              </w:rPr>
              <w:t xml:space="preserve"> Keitimas</w:t>
            </w:r>
          </w:p>
        </w:tc>
      </w:tr>
      <w:tr w:rsidR="00DF2F6F" w14:paraId="048F06E9" w14:textId="77777777" w:rsidTr="00EB70EE">
        <w:tc>
          <w:tcPr>
            <w:tcW w:w="6260" w:type="dxa"/>
            <w:shd w:val="clear" w:color="auto" w:fill="auto"/>
            <w:vAlign w:val="center"/>
          </w:tcPr>
          <w:p w14:paraId="15BA067E" w14:textId="77777777" w:rsidR="00DF2F6F" w:rsidRDefault="00DF2F6F" w:rsidP="00C07BC8">
            <w:pPr>
              <w:widowControl w:val="0"/>
              <w:textAlignment w:val="baseline"/>
              <w:rPr>
                <w:b/>
                <w:bCs/>
                <w:szCs w:val="24"/>
                <w:lang w:eastAsia="lt-LT"/>
              </w:rPr>
            </w:pPr>
            <w:r>
              <w:rPr>
                <w:b/>
                <w:bCs/>
                <w:szCs w:val="24"/>
                <w:lang w:eastAsia="lt-LT"/>
              </w:rPr>
              <w:t>Projektų atrankos kriterijaus numeris ir pavadinimas</w:t>
            </w:r>
          </w:p>
        </w:tc>
        <w:tc>
          <w:tcPr>
            <w:tcW w:w="8867" w:type="dxa"/>
            <w:shd w:val="clear" w:color="auto" w:fill="auto"/>
          </w:tcPr>
          <w:p w14:paraId="1C97BF35" w14:textId="0D0BFC67" w:rsidR="00DF2F6F" w:rsidRDefault="00543FB7" w:rsidP="00C07BC8">
            <w:pPr>
              <w:widowControl w:val="0"/>
              <w:jc w:val="both"/>
              <w:textAlignment w:val="baseline"/>
              <w:rPr>
                <w:b/>
                <w:bCs/>
                <w:i/>
                <w:szCs w:val="24"/>
                <w:lang w:eastAsia="lt-LT"/>
              </w:rPr>
            </w:pPr>
            <w:r w:rsidRPr="001D589D">
              <w:rPr>
                <w:bCs/>
                <w:iCs/>
                <w:szCs w:val="24"/>
                <w:lang w:eastAsia="lt-LT"/>
              </w:rPr>
              <w:t xml:space="preserve">3. </w:t>
            </w:r>
            <w:r w:rsidRPr="001D589D">
              <w:rPr>
                <w:iCs/>
                <w:szCs w:val="24"/>
                <w:lang w:eastAsia="lt-LT"/>
              </w:rPr>
              <w:t>Kultūros</w:t>
            </w:r>
            <w:r w:rsidRPr="005B2D16">
              <w:rPr>
                <w:szCs w:val="24"/>
                <w:lang w:eastAsia="lt-LT"/>
              </w:rPr>
              <w:t xml:space="preserve"> paveldo objekto reikšmė.</w:t>
            </w:r>
          </w:p>
        </w:tc>
      </w:tr>
      <w:tr w:rsidR="00DF2F6F" w14:paraId="79325A0C" w14:textId="77777777" w:rsidTr="00EB70EE">
        <w:tc>
          <w:tcPr>
            <w:tcW w:w="6260" w:type="dxa"/>
            <w:shd w:val="clear" w:color="auto" w:fill="auto"/>
            <w:vAlign w:val="center"/>
          </w:tcPr>
          <w:p w14:paraId="7E08C406" w14:textId="77777777" w:rsidR="00DF2F6F" w:rsidRDefault="00DF2F6F" w:rsidP="00C07BC8">
            <w:pPr>
              <w:widowControl w:val="0"/>
              <w:textAlignment w:val="baseline"/>
              <w:rPr>
                <w:b/>
                <w:bCs/>
                <w:szCs w:val="24"/>
                <w:lang w:eastAsia="lt-LT"/>
              </w:rPr>
            </w:pPr>
            <w:r>
              <w:rPr>
                <w:b/>
                <w:bCs/>
                <w:szCs w:val="24"/>
                <w:lang w:eastAsia="lt-LT"/>
              </w:rPr>
              <w:t>Projektų atrankos kriterijaus vertinimo metodas ir taikymas</w:t>
            </w:r>
          </w:p>
        </w:tc>
        <w:tc>
          <w:tcPr>
            <w:tcW w:w="8867" w:type="dxa"/>
            <w:shd w:val="clear" w:color="auto" w:fill="auto"/>
          </w:tcPr>
          <w:p w14:paraId="7A3D82CF" w14:textId="12ACC71E" w:rsidR="001D589D" w:rsidRDefault="00543FB7" w:rsidP="000C7BF7">
            <w:pPr>
              <w:overflowPunct w:val="0"/>
              <w:ind w:firstLine="851"/>
              <w:jc w:val="both"/>
              <w:textAlignment w:val="baseline"/>
              <w:rPr>
                <w:szCs w:val="24"/>
                <w:lang w:eastAsia="lt-LT"/>
              </w:rPr>
            </w:pPr>
            <w:r w:rsidRPr="005B2D16">
              <w:rPr>
                <w:szCs w:val="24"/>
                <w:lang w:eastAsia="lt-LT"/>
              </w:rPr>
              <w:t>Kultūros paveldo objekto reikšmė vertinama pagal Nekilnojamojo kultūros paveldo apsaugos įstatymo</w:t>
            </w:r>
            <w:r>
              <w:rPr>
                <w:rStyle w:val="FootnoteReference"/>
                <w:szCs w:val="24"/>
                <w:lang w:eastAsia="lt-LT"/>
              </w:rPr>
              <w:footnoteReference w:id="1"/>
            </w:r>
            <w:r w:rsidRPr="005B2D16">
              <w:rPr>
                <w:szCs w:val="24"/>
                <w:lang w:eastAsia="lt-LT"/>
              </w:rPr>
              <w:t xml:space="preserve"> 10 straipsnyje numatytą ir kultūros paveldo objektui suteiktą statusą, kuris yra nurodytas Kultūros vertybių registre</w:t>
            </w:r>
            <w:r w:rsidR="00877B12">
              <w:rPr>
                <w:szCs w:val="24"/>
                <w:lang w:eastAsia="lt-LT"/>
              </w:rPr>
              <w:t>: kultūros paminklas</w:t>
            </w:r>
            <w:r w:rsidR="00E50B60">
              <w:rPr>
                <w:szCs w:val="24"/>
                <w:lang w:eastAsia="lt-LT"/>
              </w:rPr>
              <w:t xml:space="preserve"> (nacionalinis reikšmingumo lygmuo)</w:t>
            </w:r>
            <w:r w:rsidR="00877B12">
              <w:rPr>
                <w:szCs w:val="24"/>
                <w:lang w:eastAsia="lt-LT"/>
              </w:rPr>
              <w:t>, valstybės saugomas objektas</w:t>
            </w:r>
            <w:r w:rsidR="00E50B60">
              <w:rPr>
                <w:szCs w:val="24"/>
                <w:lang w:eastAsia="lt-LT"/>
              </w:rPr>
              <w:t xml:space="preserve"> (regioninio reikšmingumo lygmuo)</w:t>
            </w:r>
            <w:r w:rsidR="00877B12">
              <w:rPr>
                <w:szCs w:val="24"/>
                <w:lang w:eastAsia="lt-LT"/>
              </w:rPr>
              <w:t>, savivaldybės saugomas objektas</w:t>
            </w:r>
            <w:r w:rsidR="00E50B60">
              <w:rPr>
                <w:szCs w:val="24"/>
                <w:lang w:eastAsia="lt-LT"/>
              </w:rPr>
              <w:t xml:space="preserve"> (vietinio reikšmingumo lygmuo)</w:t>
            </w:r>
            <w:r w:rsidRPr="005B2D16">
              <w:rPr>
                <w:szCs w:val="24"/>
                <w:lang w:eastAsia="lt-LT"/>
              </w:rPr>
              <w:t>.</w:t>
            </w:r>
          </w:p>
          <w:p w14:paraId="29DC082C" w14:textId="1366E6AD" w:rsidR="00DF2F6F" w:rsidRDefault="00E50B60" w:rsidP="003750A8">
            <w:pPr>
              <w:overflowPunct w:val="0"/>
              <w:ind w:firstLine="851"/>
              <w:jc w:val="both"/>
              <w:textAlignment w:val="baseline"/>
              <w:rPr>
                <w:bCs/>
                <w:szCs w:val="24"/>
                <w:lang w:eastAsia="lt-LT"/>
              </w:rPr>
            </w:pPr>
            <w:r>
              <w:rPr>
                <w:szCs w:val="24"/>
                <w:lang w:eastAsia="lt-LT"/>
              </w:rPr>
              <w:t>Kriterijaus did</w:t>
            </w:r>
            <w:r w:rsidR="003750A8">
              <w:rPr>
                <w:szCs w:val="24"/>
                <w:lang w:eastAsia="lt-LT"/>
              </w:rPr>
              <w:t>esnis</w:t>
            </w:r>
            <w:r>
              <w:rPr>
                <w:szCs w:val="24"/>
                <w:lang w:eastAsia="lt-LT"/>
              </w:rPr>
              <w:t xml:space="preserve"> balas suteikiamas </w:t>
            </w:r>
            <w:r w:rsidR="000C7BF7">
              <w:rPr>
                <w:szCs w:val="24"/>
                <w:lang w:eastAsia="lt-LT"/>
              </w:rPr>
              <w:t>na</w:t>
            </w:r>
            <w:r w:rsidR="00877B12">
              <w:rPr>
                <w:szCs w:val="24"/>
                <w:lang w:eastAsia="lt-LT"/>
              </w:rPr>
              <w:t>cionali</w:t>
            </w:r>
            <w:r w:rsidR="000C7BF7">
              <w:rPr>
                <w:szCs w:val="24"/>
                <w:lang w:eastAsia="lt-LT"/>
              </w:rPr>
              <w:t xml:space="preserve">nio reikšmingumo lygmens kultūros paveldo objektui </w:t>
            </w:r>
            <w:r w:rsidR="001D589D">
              <w:rPr>
                <w:szCs w:val="24"/>
                <w:lang w:eastAsia="lt-LT"/>
              </w:rPr>
              <w:t>(kultūros paminklui)</w:t>
            </w:r>
            <w:r w:rsidR="003750A8">
              <w:rPr>
                <w:szCs w:val="24"/>
                <w:lang w:eastAsia="lt-LT"/>
              </w:rPr>
              <w:t>.</w:t>
            </w:r>
          </w:p>
        </w:tc>
      </w:tr>
      <w:tr w:rsidR="00EB70EE" w14:paraId="0126A534" w14:textId="77777777" w:rsidTr="00EB70EE">
        <w:tc>
          <w:tcPr>
            <w:tcW w:w="6260" w:type="dxa"/>
            <w:shd w:val="clear" w:color="auto" w:fill="auto"/>
            <w:vAlign w:val="center"/>
          </w:tcPr>
          <w:p w14:paraId="1BB564F0" w14:textId="77777777" w:rsidR="00EB70EE" w:rsidRDefault="00EB70EE" w:rsidP="00EB70EE">
            <w:pPr>
              <w:widowControl w:val="0"/>
              <w:textAlignment w:val="baseline"/>
              <w:rPr>
                <w:b/>
                <w:bCs/>
                <w:szCs w:val="24"/>
                <w:lang w:eastAsia="lt-LT"/>
              </w:rPr>
            </w:pPr>
            <w:r>
              <w:rPr>
                <w:b/>
                <w:bCs/>
                <w:szCs w:val="24"/>
                <w:lang w:eastAsia="lt-LT"/>
              </w:rPr>
              <w:t>Projektų atrankos kriterijaus pasirinkimo pagrindimas</w:t>
            </w:r>
          </w:p>
        </w:tc>
        <w:tc>
          <w:tcPr>
            <w:tcW w:w="8867" w:type="dxa"/>
            <w:shd w:val="clear" w:color="auto" w:fill="auto"/>
          </w:tcPr>
          <w:p w14:paraId="18EE184B" w14:textId="7BC1B152" w:rsidR="00EB70EE" w:rsidRPr="001D589D" w:rsidRDefault="001D589D" w:rsidP="000C7BF7">
            <w:pPr>
              <w:tabs>
                <w:tab w:val="left" w:pos="598"/>
              </w:tabs>
              <w:ind w:firstLine="851"/>
              <w:jc w:val="both"/>
              <w:rPr>
                <w:bCs/>
                <w:iCs/>
                <w:szCs w:val="24"/>
                <w:lang w:eastAsia="lt-LT"/>
              </w:rPr>
            </w:pPr>
            <w:r w:rsidRPr="001D589D">
              <w:rPr>
                <w:bCs/>
                <w:iCs/>
                <w:szCs w:val="24"/>
                <w:lang w:eastAsia="lt-LT"/>
              </w:rPr>
              <w:t>Ši</w:t>
            </w:r>
            <w:r>
              <w:rPr>
                <w:bCs/>
                <w:iCs/>
                <w:szCs w:val="24"/>
                <w:lang w:eastAsia="lt-LT"/>
              </w:rPr>
              <w:t>s kriterijus pasirinktas atsižvelgiant į tai, kad siekiama</w:t>
            </w:r>
            <w:r w:rsidR="00437611">
              <w:rPr>
                <w:bCs/>
                <w:iCs/>
                <w:szCs w:val="24"/>
                <w:lang w:eastAsia="lt-LT"/>
              </w:rPr>
              <w:t xml:space="preserve"> </w:t>
            </w:r>
            <w:r>
              <w:rPr>
                <w:bCs/>
                <w:iCs/>
                <w:szCs w:val="24"/>
                <w:lang w:eastAsia="lt-LT"/>
              </w:rPr>
              <w:t>įveiklinti</w:t>
            </w:r>
            <w:r w:rsidR="00B321D1">
              <w:rPr>
                <w:bCs/>
                <w:iCs/>
                <w:szCs w:val="24"/>
                <w:lang w:eastAsia="lt-LT"/>
              </w:rPr>
              <w:t>,</w:t>
            </w:r>
            <w:r>
              <w:rPr>
                <w:bCs/>
                <w:iCs/>
                <w:szCs w:val="24"/>
                <w:lang w:eastAsia="lt-LT"/>
              </w:rPr>
              <w:t xml:space="preserve"> aktualizuoti</w:t>
            </w:r>
            <w:r w:rsidR="000C7BF7">
              <w:rPr>
                <w:bCs/>
                <w:iCs/>
                <w:szCs w:val="24"/>
                <w:lang w:eastAsia="lt-LT"/>
              </w:rPr>
              <w:t xml:space="preserve"> </w:t>
            </w:r>
            <w:r>
              <w:rPr>
                <w:bCs/>
                <w:iCs/>
                <w:szCs w:val="24"/>
                <w:lang w:eastAsia="lt-LT"/>
              </w:rPr>
              <w:t xml:space="preserve"> </w:t>
            </w:r>
            <w:r w:rsidR="000C7BF7">
              <w:rPr>
                <w:bCs/>
                <w:iCs/>
                <w:szCs w:val="24"/>
                <w:lang w:eastAsia="lt-LT"/>
              </w:rPr>
              <w:t>pritrauk</w:t>
            </w:r>
            <w:r w:rsidR="00B321D1">
              <w:rPr>
                <w:bCs/>
                <w:iCs/>
                <w:szCs w:val="24"/>
                <w:lang w:eastAsia="lt-LT"/>
              </w:rPr>
              <w:t xml:space="preserve">iant </w:t>
            </w:r>
            <w:r w:rsidR="000C7BF7">
              <w:rPr>
                <w:bCs/>
                <w:iCs/>
                <w:szCs w:val="24"/>
                <w:lang w:eastAsia="lt-LT"/>
              </w:rPr>
              <w:t xml:space="preserve">papildomus lankytojus į tuos kultūros paveldo objektus, </w:t>
            </w:r>
            <w:r>
              <w:rPr>
                <w:bCs/>
                <w:iCs/>
                <w:szCs w:val="24"/>
                <w:lang w:eastAsia="lt-LT"/>
              </w:rPr>
              <w:t>kurių vertingosios savybės yra didesnio reikšmingumo lygmens</w:t>
            </w:r>
            <w:r w:rsidR="000C7BF7">
              <w:rPr>
                <w:bCs/>
                <w:iCs/>
                <w:szCs w:val="24"/>
                <w:lang w:eastAsia="lt-LT"/>
              </w:rPr>
              <w:t>.</w:t>
            </w:r>
          </w:p>
        </w:tc>
      </w:tr>
    </w:tbl>
    <w:p w14:paraId="7D705115" w14:textId="77777777" w:rsidR="00DF2F6F" w:rsidRDefault="00DF2F6F">
      <w:pPr>
        <w:widowControl w:val="0"/>
        <w:spacing w:line="240" w:lineRule="exact"/>
        <w:jc w:val="both"/>
        <w:textAlignment w:val="baseline"/>
        <w:rPr>
          <w:szCs w:val="24"/>
        </w:rPr>
      </w:pPr>
    </w:p>
    <w:p w14:paraId="2AF070DE" w14:textId="429C78F5" w:rsidR="00083837" w:rsidRDefault="00083837">
      <w:pPr>
        <w:widowControl w:val="0"/>
        <w:spacing w:line="240" w:lineRule="exact"/>
        <w:jc w:val="both"/>
        <w:textAlignment w:val="baseline"/>
        <w:rPr>
          <w:szCs w:val="24"/>
        </w:rPr>
      </w:pPr>
    </w:p>
    <w:p w14:paraId="07D92A46" w14:textId="31376126" w:rsidR="00DF2F6F" w:rsidRDefault="00DF2F6F">
      <w:pPr>
        <w:widowControl w:val="0"/>
        <w:spacing w:line="240" w:lineRule="exact"/>
        <w:jc w:val="both"/>
        <w:textAlignment w:val="baseline"/>
        <w:rPr>
          <w:szCs w:val="24"/>
        </w:rPr>
      </w:pPr>
    </w:p>
    <w:p w14:paraId="3496BE9B" w14:textId="161B04F2" w:rsidR="00DF2F6F" w:rsidRDefault="00DF2F6F">
      <w:pPr>
        <w:widowControl w:val="0"/>
        <w:spacing w:line="240" w:lineRule="exact"/>
        <w:jc w:val="both"/>
        <w:textAlignment w:val="baseline"/>
        <w:rPr>
          <w:szCs w:val="24"/>
        </w:rPr>
      </w:pPr>
    </w:p>
    <w:p w14:paraId="25997A14" w14:textId="0BED13A8" w:rsidR="00DF2F6F" w:rsidRDefault="00DF2F6F">
      <w:pPr>
        <w:widowControl w:val="0"/>
        <w:spacing w:line="240" w:lineRule="exact"/>
        <w:jc w:val="both"/>
        <w:textAlignment w:val="baseline"/>
        <w:rPr>
          <w:szCs w:val="24"/>
        </w:rPr>
      </w:pPr>
    </w:p>
    <w:p w14:paraId="2117C4F6" w14:textId="77777777" w:rsidR="00DF2F6F" w:rsidRDefault="00DF2F6F">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95"/>
        <w:gridCol w:w="1559"/>
        <w:gridCol w:w="3544"/>
        <w:gridCol w:w="1684"/>
        <w:gridCol w:w="3071"/>
      </w:tblGrid>
      <w:tr w:rsidR="00083837" w14:paraId="148A9663" w14:textId="77777777">
        <w:tc>
          <w:tcPr>
            <w:tcW w:w="5495" w:type="dxa"/>
          </w:tcPr>
          <w:p w14:paraId="3A7E92A0" w14:textId="51A292E2" w:rsidR="002D0700" w:rsidRDefault="002D0700" w:rsidP="002D0700">
            <w:pPr>
              <w:tabs>
                <w:tab w:val="left" w:pos="7371"/>
                <w:tab w:val="left" w:pos="7513"/>
              </w:tabs>
              <w:spacing w:line="312" w:lineRule="auto"/>
              <w:jc w:val="both"/>
            </w:pPr>
            <w:r>
              <w:t>Viceministras</w:t>
            </w:r>
            <w:r>
              <w:rPr>
                <w:noProof/>
              </w:rPr>
              <w:t xml:space="preserve">                                                                                                      </w:t>
            </w:r>
          </w:p>
          <w:p w14:paraId="76C2560D" w14:textId="77777777" w:rsidR="00083837" w:rsidRDefault="00083837">
            <w:pPr>
              <w:widowControl w:val="0"/>
              <w:spacing w:line="240" w:lineRule="exact"/>
              <w:jc w:val="both"/>
              <w:textAlignment w:val="baseline"/>
              <w:rPr>
                <w:szCs w:val="24"/>
              </w:rPr>
            </w:pPr>
          </w:p>
        </w:tc>
        <w:tc>
          <w:tcPr>
            <w:tcW w:w="1559" w:type="dxa"/>
            <w:tcBorders>
              <w:bottom w:val="nil"/>
            </w:tcBorders>
          </w:tcPr>
          <w:p w14:paraId="186C3739" w14:textId="77777777" w:rsidR="00083837" w:rsidRDefault="00083837">
            <w:pPr>
              <w:widowControl w:val="0"/>
              <w:spacing w:line="240" w:lineRule="exact"/>
              <w:jc w:val="both"/>
              <w:textAlignment w:val="baseline"/>
              <w:rPr>
                <w:szCs w:val="24"/>
              </w:rPr>
            </w:pPr>
          </w:p>
        </w:tc>
        <w:tc>
          <w:tcPr>
            <w:tcW w:w="3544" w:type="dxa"/>
          </w:tcPr>
          <w:p w14:paraId="0A8F3AFC" w14:textId="77777777" w:rsidR="00083837" w:rsidRDefault="00083837">
            <w:pPr>
              <w:widowControl w:val="0"/>
              <w:spacing w:line="240" w:lineRule="exact"/>
              <w:jc w:val="both"/>
              <w:textAlignment w:val="baseline"/>
              <w:rPr>
                <w:szCs w:val="24"/>
              </w:rPr>
            </w:pPr>
          </w:p>
        </w:tc>
        <w:tc>
          <w:tcPr>
            <w:tcW w:w="1684" w:type="dxa"/>
            <w:tcBorders>
              <w:bottom w:val="nil"/>
            </w:tcBorders>
          </w:tcPr>
          <w:p w14:paraId="33D68EA5" w14:textId="77777777" w:rsidR="00083837" w:rsidRDefault="00083837">
            <w:pPr>
              <w:widowControl w:val="0"/>
              <w:spacing w:line="240" w:lineRule="exact"/>
              <w:jc w:val="both"/>
              <w:textAlignment w:val="baseline"/>
              <w:rPr>
                <w:szCs w:val="24"/>
              </w:rPr>
            </w:pPr>
          </w:p>
        </w:tc>
        <w:tc>
          <w:tcPr>
            <w:tcW w:w="3071" w:type="dxa"/>
          </w:tcPr>
          <w:p w14:paraId="492B1327" w14:textId="64E9D040" w:rsidR="00083837" w:rsidRDefault="002D0700">
            <w:pPr>
              <w:widowControl w:val="0"/>
              <w:spacing w:line="240" w:lineRule="exact"/>
              <w:jc w:val="both"/>
              <w:textAlignment w:val="baseline"/>
              <w:rPr>
                <w:szCs w:val="24"/>
              </w:rPr>
            </w:pPr>
            <w:r>
              <w:rPr>
                <w:noProof/>
              </w:rPr>
              <w:t>Vygintas Gasparavičius</w:t>
            </w:r>
          </w:p>
        </w:tc>
      </w:tr>
      <w:tr w:rsidR="00083837" w14:paraId="0BE1540A" w14:textId="77777777">
        <w:tc>
          <w:tcPr>
            <w:tcW w:w="5495" w:type="dxa"/>
          </w:tcPr>
          <w:p w14:paraId="23B817ED" w14:textId="654D43C2" w:rsidR="00083837" w:rsidRDefault="00DF2F6F">
            <w:pPr>
              <w:widowControl w:val="0"/>
              <w:spacing w:line="240" w:lineRule="exact"/>
              <w:jc w:val="center"/>
              <w:textAlignment w:val="baseline"/>
              <w:rPr>
                <w:szCs w:val="24"/>
              </w:rPr>
            </w:pPr>
            <w:r>
              <w:rPr>
                <w:sz w:val="22"/>
                <w:szCs w:val="22"/>
              </w:rPr>
              <w:t>(ministerijos atsakingo asmens pareigų pavadinimas)</w:t>
            </w:r>
          </w:p>
        </w:tc>
        <w:tc>
          <w:tcPr>
            <w:tcW w:w="1559" w:type="dxa"/>
            <w:tcBorders>
              <w:top w:val="nil"/>
              <w:bottom w:val="nil"/>
            </w:tcBorders>
          </w:tcPr>
          <w:p w14:paraId="687AAF45" w14:textId="77777777" w:rsidR="00083837" w:rsidRDefault="00083837">
            <w:pPr>
              <w:widowControl w:val="0"/>
              <w:spacing w:line="240" w:lineRule="exact"/>
              <w:jc w:val="center"/>
              <w:textAlignment w:val="baseline"/>
              <w:rPr>
                <w:szCs w:val="24"/>
              </w:rPr>
            </w:pPr>
          </w:p>
        </w:tc>
        <w:tc>
          <w:tcPr>
            <w:tcW w:w="3544" w:type="dxa"/>
          </w:tcPr>
          <w:p w14:paraId="45A2D18B" w14:textId="1467188A" w:rsidR="00083837" w:rsidRDefault="00DF2F6F">
            <w:pPr>
              <w:widowControl w:val="0"/>
              <w:spacing w:line="240" w:lineRule="exact"/>
              <w:jc w:val="center"/>
              <w:textAlignment w:val="baseline"/>
              <w:rPr>
                <w:szCs w:val="24"/>
              </w:rPr>
            </w:pPr>
            <w:r>
              <w:rPr>
                <w:sz w:val="22"/>
                <w:szCs w:val="22"/>
              </w:rPr>
              <w:t>(parašas)</w:t>
            </w:r>
          </w:p>
        </w:tc>
        <w:tc>
          <w:tcPr>
            <w:tcW w:w="1684" w:type="dxa"/>
            <w:tcBorders>
              <w:top w:val="nil"/>
              <w:bottom w:val="nil"/>
            </w:tcBorders>
          </w:tcPr>
          <w:p w14:paraId="124D956B" w14:textId="77777777" w:rsidR="00083837" w:rsidRDefault="00083837">
            <w:pPr>
              <w:widowControl w:val="0"/>
              <w:spacing w:line="240" w:lineRule="exact"/>
              <w:jc w:val="center"/>
              <w:textAlignment w:val="baseline"/>
              <w:rPr>
                <w:szCs w:val="24"/>
              </w:rPr>
            </w:pPr>
          </w:p>
        </w:tc>
        <w:tc>
          <w:tcPr>
            <w:tcW w:w="3071" w:type="dxa"/>
          </w:tcPr>
          <w:p w14:paraId="4569EE21" w14:textId="25222BA0" w:rsidR="00083837" w:rsidRDefault="00DF2F6F">
            <w:pPr>
              <w:widowControl w:val="0"/>
              <w:spacing w:line="240" w:lineRule="exact"/>
              <w:jc w:val="center"/>
              <w:textAlignment w:val="baseline"/>
              <w:rPr>
                <w:szCs w:val="24"/>
              </w:rPr>
            </w:pPr>
            <w:r>
              <w:rPr>
                <w:sz w:val="22"/>
                <w:szCs w:val="22"/>
              </w:rPr>
              <w:t>(vardas ir pavardė)</w:t>
            </w:r>
          </w:p>
        </w:tc>
      </w:tr>
    </w:tbl>
    <w:p w14:paraId="694D1F0E" w14:textId="7E9AA760" w:rsidR="00083837" w:rsidRDefault="00083837">
      <w:pPr>
        <w:widowControl w:val="0"/>
        <w:spacing w:line="240" w:lineRule="exact"/>
        <w:ind w:firstLine="720"/>
        <w:jc w:val="center"/>
        <w:textAlignment w:val="baseline"/>
        <w:rPr>
          <w:sz w:val="22"/>
          <w:szCs w:val="24"/>
        </w:rPr>
      </w:pPr>
    </w:p>
    <w:p w14:paraId="1221B249" w14:textId="7EE12723" w:rsidR="00083837" w:rsidRDefault="00DF2F6F">
      <w:pPr>
        <w:widowControl w:val="0"/>
        <w:spacing w:line="240" w:lineRule="exact"/>
        <w:jc w:val="center"/>
        <w:textAlignment w:val="baseline"/>
        <w:rPr>
          <w:sz w:val="22"/>
          <w:szCs w:val="24"/>
        </w:rPr>
      </w:pPr>
      <w:r>
        <w:rPr>
          <w:sz w:val="22"/>
          <w:szCs w:val="24"/>
        </w:rPr>
        <w:t>___________________________________________________________________</w:t>
      </w:r>
    </w:p>
    <w:sectPr w:rsidR="00083837" w:rsidSect="00BB6D79">
      <w:pgSz w:w="16838" w:h="11906" w:orient="landscape" w:code="9"/>
      <w:pgMar w:top="709" w:right="567" w:bottom="568"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CA931" w14:textId="77777777" w:rsidR="0069091F" w:rsidRDefault="0069091F" w:rsidP="006B3420">
      <w:r>
        <w:separator/>
      </w:r>
    </w:p>
  </w:endnote>
  <w:endnote w:type="continuationSeparator" w:id="0">
    <w:p w14:paraId="375C9270" w14:textId="77777777" w:rsidR="0069091F" w:rsidRDefault="0069091F" w:rsidP="006B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4BA92" w14:textId="77777777" w:rsidR="0069091F" w:rsidRDefault="0069091F" w:rsidP="006B3420">
      <w:r>
        <w:separator/>
      </w:r>
    </w:p>
  </w:footnote>
  <w:footnote w:type="continuationSeparator" w:id="0">
    <w:p w14:paraId="0D1E8AEB" w14:textId="77777777" w:rsidR="0069091F" w:rsidRDefault="0069091F" w:rsidP="006B3420">
      <w:r>
        <w:continuationSeparator/>
      </w:r>
    </w:p>
  </w:footnote>
  <w:footnote w:id="1">
    <w:p w14:paraId="40DAFED1" w14:textId="0A3AA408" w:rsidR="00543FB7" w:rsidRDefault="00543FB7">
      <w:pPr>
        <w:pStyle w:val="FootnoteText"/>
      </w:pPr>
      <w:r>
        <w:rPr>
          <w:rStyle w:val="FootnoteReference"/>
        </w:rPr>
        <w:footnoteRef/>
      </w:r>
      <w:r>
        <w:t xml:space="preserve"> </w:t>
      </w:r>
      <w:hyperlink r:id="rId1" w:history="1">
        <w:r>
          <w:rPr>
            <w:rStyle w:val="Hyperlink"/>
            <w:rFonts w:eastAsiaTheme="minorHAnsi"/>
          </w:rPr>
          <w:t>I-733 Lietuvos Respublikos nekilnojamojo kultūros paveldo apsaugos įstatymas (e-tar.lt)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53582A"/>
    <w:multiLevelType w:val="hybridMultilevel"/>
    <w:tmpl w:val="CCF69AFE"/>
    <w:lvl w:ilvl="0" w:tplc="04090001">
      <w:start w:val="1"/>
      <w:numFmt w:val="bullet"/>
      <w:lvlText w:val=""/>
      <w:lvlJc w:val="left"/>
      <w:pPr>
        <w:ind w:left="958" w:hanging="360"/>
      </w:pPr>
      <w:rPr>
        <w:rFonts w:ascii="Symbol" w:hAnsi="Symbol"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 w15:restartNumberingAfterBreak="0">
    <w:nsid w:val="50307898"/>
    <w:multiLevelType w:val="multilevel"/>
    <w:tmpl w:val="5242233E"/>
    <w:lvl w:ilvl="0">
      <w:start w:val="3"/>
      <w:numFmt w:val="decimal"/>
      <w:lvlText w:val="%1."/>
      <w:lvlJc w:val="left"/>
      <w:pPr>
        <w:ind w:left="540" w:hanging="540"/>
      </w:pPr>
      <w:rPr>
        <w:rFonts w:hint="default"/>
      </w:rPr>
    </w:lvl>
    <w:lvl w:ilvl="1">
      <w:start w:val="1"/>
      <w:numFmt w:val="decimal"/>
      <w:lvlText w:val="%1.%2."/>
      <w:lvlJc w:val="left"/>
      <w:pPr>
        <w:ind w:left="551" w:hanging="540"/>
      </w:pPr>
      <w:rPr>
        <w:rFonts w:hint="default"/>
      </w:rPr>
    </w:lvl>
    <w:lvl w:ilvl="2">
      <w:start w:val="1"/>
      <w:numFmt w:val="decimal"/>
      <w:lvlText w:val="%1.%2.%3."/>
      <w:lvlJc w:val="left"/>
      <w:pPr>
        <w:ind w:left="742" w:hanging="720"/>
      </w:pPr>
      <w:rPr>
        <w:rFonts w:hint="default"/>
        <w:strike w:val="0"/>
        <w:color w:val="auto"/>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num w:numId="1" w16cid:durableId="697705836">
    <w:abstractNumId w:val="1"/>
  </w:num>
  <w:num w:numId="2" w16cid:durableId="632640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7ECA"/>
    <w:rsid w:val="000107F4"/>
    <w:rsid w:val="00060F9D"/>
    <w:rsid w:val="00083837"/>
    <w:rsid w:val="000B1D46"/>
    <w:rsid w:val="000B7BB6"/>
    <w:rsid w:val="000C7BF7"/>
    <w:rsid w:val="000E4A3B"/>
    <w:rsid w:val="000F2C7C"/>
    <w:rsid w:val="00123923"/>
    <w:rsid w:val="0015517E"/>
    <w:rsid w:val="001610A1"/>
    <w:rsid w:val="00177FD7"/>
    <w:rsid w:val="001C09FA"/>
    <w:rsid w:val="001D589D"/>
    <w:rsid w:val="001E17BD"/>
    <w:rsid w:val="002005F5"/>
    <w:rsid w:val="002175B0"/>
    <w:rsid w:val="0023518A"/>
    <w:rsid w:val="002375B1"/>
    <w:rsid w:val="0025321A"/>
    <w:rsid w:val="002614E6"/>
    <w:rsid w:val="002B158D"/>
    <w:rsid w:val="002D0700"/>
    <w:rsid w:val="0030452E"/>
    <w:rsid w:val="00330C57"/>
    <w:rsid w:val="00356851"/>
    <w:rsid w:val="00371BB7"/>
    <w:rsid w:val="003750A8"/>
    <w:rsid w:val="003A4EC6"/>
    <w:rsid w:val="003D2EEF"/>
    <w:rsid w:val="003E307F"/>
    <w:rsid w:val="00412CFB"/>
    <w:rsid w:val="004259F5"/>
    <w:rsid w:val="00437611"/>
    <w:rsid w:val="00461E79"/>
    <w:rsid w:val="00464D90"/>
    <w:rsid w:val="00492D0F"/>
    <w:rsid w:val="005048EE"/>
    <w:rsid w:val="00510CF2"/>
    <w:rsid w:val="00524DB8"/>
    <w:rsid w:val="00535C36"/>
    <w:rsid w:val="00543FB7"/>
    <w:rsid w:val="00567BDA"/>
    <w:rsid w:val="005761EC"/>
    <w:rsid w:val="00590086"/>
    <w:rsid w:val="005A08F8"/>
    <w:rsid w:val="005B11E3"/>
    <w:rsid w:val="005B1817"/>
    <w:rsid w:val="005E2165"/>
    <w:rsid w:val="0064157E"/>
    <w:rsid w:val="00682917"/>
    <w:rsid w:val="00683E37"/>
    <w:rsid w:val="0069091F"/>
    <w:rsid w:val="0069198D"/>
    <w:rsid w:val="006A42A1"/>
    <w:rsid w:val="006B3420"/>
    <w:rsid w:val="006E154F"/>
    <w:rsid w:val="0073446B"/>
    <w:rsid w:val="007A462E"/>
    <w:rsid w:val="007B251B"/>
    <w:rsid w:val="007E7D3A"/>
    <w:rsid w:val="007F027A"/>
    <w:rsid w:val="00831EF7"/>
    <w:rsid w:val="00877B12"/>
    <w:rsid w:val="00880F45"/>
    <w:rsid w:val="00893994"/>
    <w:rsid w:val="008A5FF9"/>
    <w:rsid w:val="008C7109"/>
    <w:rsid w:val="008C7BB1"/>
    <w:rsid w:val="008D6F58"/>
    <w:rsid w:val="008E7E18"/>
    <w:rsid w:val="00952B12"/>
    <w:rsid w:val="00973EBC"/>
    <w:rsid w:val="009A0A3E"/>
    <w:rsid w:val="009F7FB2"/>
    <w:rsid w:val="00A01381"/>
    <w:rsid w:val="00A04E00"/>
    <w:rsid w:val="00A10191"/>
    <w:rsid w:val="00A84F13"/>
    <w:rsid w:val="00AE3678"/>
    <w:rsid w:val="00AE3700"/>
    <w:rsid w:val="00AF552D"/>
    <w:rsid w:val="00B167DD"/>
    <w:rsid w:val="00B321D1"/>
    <w:rsid w:val="00B415E1"/>
    <w:rsid w:val="00B55588"/>
    <w:rsid w:val="00B871F9"/>
    <w:rsid w:val="00B8777C"/>
    <w:rsid w:val="00BB6D79"/>
    <w:rsid w:val="00BC42B8"/>
    <w:rsid w:val="00BF61F2"/>
    <w:rsid w:val="00C724FA"/>
    <w:rsid w:val="00CA12AA"/>
    <w:rsid w:val="00CA48F9"/>
    <w:rsid w:val="00CE3781"/>
    <w:rsid w:val="00CE3815"/>
    <w:rsid w:val="00CE4245"/>
    <w:rsid w:val="00CE496F"/>
    <w:rsid w:val="00D2015F"/>
    <w:rsid w:val="00D27B81"/>
    <w:rsid w:val="00D41E4E"/>
    <w:rsid w:val="00D56283"/>
    <w:rsid w:val="00DB49C5"/>
    <w:rsid w:val="00DC26D4"/>
    <w:rsid w:val="00DE1A6A"/>
    <w:rsid w:val="00DF2F6F"/>
    <w:rsid w:val="00E17ECA"/>
    <w:rsid w:val="00E2036A"/>
    <w:rsid w:val="00E2160F"/>
    <w:rsid w:val="00E373A4"/>
    <w:rsid w:val="00E404A9"/>
    <w:rsid w:val="00E43D65"/>
    <w:rsid w:val="00E50740"/>
    <w:rsid w:val="00E50B60"/>
    <w:rsid w:val="00E67395"/>
    <w:rsid w:val="00E8060D"/>
    <w:rsid w:val="00E87648"/>
    <w:rsid w:val="00EB1D35"/>
    <w:rsid w:val="00EB70EE"/>
    <w:rsid w:val="00EC6935"/>
    <w:rsid w:val="00EE6872"/>
    <w:rsid w:val="00EF0070"/>
    <w:rsid w:val="00F458A5"/>
    <w:rsid w:val="00F61ECD"/>
    <w:rsid w:val="00F73767"/>
    <w:rsid w:val="00FA1F9A"/>
    <w:rsid w:val="00FB4957"/>
    <w:rsid w:val="00FD4342"/>
    <w:rsid w:val="00FE34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38B55C32-F7B9-4EC5-9E05-0ECB52D67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371BB7"/>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371BB7"/>
    <w:rPr>
      <w:rFonts w:asciiTheme="minorHAnsi" w:eastAsiaTheme="minorHAnsi" w:hAnsiTheme="minorHAnsi" w:cstheme="minorBidi"/>
      <w:sz w:val="22"/>
      <w:szCs w:val="22"/>
    </w:rPr>
  </w:style>
  <w:style w:type="paragraph" w:customStyle="1" w:styleId="Turtovaldytojas">
    <w:name w:val="Turto valdytojas"/>
    <w:basedOn w:val="Normal"/>
    <w:rsid w:val="000E4A3B"/>
    <w:pPr>
      <w:spacing w:before="240" w:after="240"/>
    </w:pPr>
    <w:rPr>
      <w:b/>
      <w:szCs w:val="24"/>
      <w:lang w:eastAsia="lt-LT"/>
    </w:rPr>
  </w:style>
  <w:style w:type="paragraph" w:styleId="FootnoteText">
    <w:name w:val="footnote text"/>
    <w:basedOn w:val="Normal"/>
    <w:link w:val="FootnoteTextChar"/>
    <w:semiHidden/>
    <w:unhideWhenUsed/>
    <w:rsid w:val="006B3420"/>
    <w:rPr>
      <w:sz w:val="20"/>
    </w:rPr>
  </w:style>
  <w:style w:type="character" w:customStyle="1" w:styleId="FootnoteTextChar">
    <w:name w:val="Footnote Text Char"/>
    <w:basedOn w:val="DefaultParagraphFont"/>
    <w:link w:val="FootnoteText"/>
    <w:semiHidden/>
    <w:rsid w:val="006B3420"/>
    <w:rPr>
      <w:sz w:val="20"/>
    </w:rPr>
  </w:style>
  <w:style w:type="character" w:styleId="FootnoteReference">
    <w:name w:val="footnote reference"/>
    <w:basedOn w:val="DefaultParagraphFont"/>
    <w:semiHidden/>
    <w:unhideWhenUsed/>
    <w:rsid w:val="006B3420"/>
    <w:rPr>
      <w:vertAlign w:val="superscript"/>
    </w:rPr>
  </w:style>
  <w:style w:type="character" w:styleId="Hyperlink">
    <w:name w:val="Hyperlink"/>
    <w:basedOn w:val="DefaultParagraphFont"/>
    <w:uiPriority w:val="99"/>
    <w:semiHidden/>
    <w:unhideWhenUsed/>
    <w:rsid w:val="006B3420"/>
    <w:rPr>
      <w:color w:val="0000FF"/>
      <w:u w:val="single"/>
    </w:rPr>
  </w:style>
  <w:style w:type="character" w:styleId="CommentReference">
    <w:name w:val="annotation reference"/>
    <w:basedOn w:val="DefaultParagraphFont"/>
    <w:semiHidden/>
    <w:unhideWhenUsed/>
    <w:rsid w:val="008C7BB1"/>
    <w:rPr>
      <w:sz w:val="16"/>
      <w:szCs w:val="16"/>
    </w:rPr>
  </w:style>
  <w:style w:type="paragraph" w:styleId="CommentText">
    <w:name w:val="annotation text"/>
    <w:basedOn w:val="Normal"/>
    <w:link w:val="CommentTextChar"/>
    <w:unhideWhenUsed/>
    <w:rsid w:val="008C7BB1"/>
    <w:rPr>
      <w:sz w:val="20"/>
    </w:rPr>
  </w:style>
  <w:style w:type="character" w:customStyle="1" w:styleId="CommentTextChar">
    <w:name w:val="Comment Text Char"/>
    <w:basedOn w:val="DefaultParagraphFont"/>
    <w:link w:val="CommentText"/>
    <w:rsid w:val="008C7BB1"/>
    <w:rPr>
      <w:sz w:val="20"/>
    </w:rPr>
  </w:style>
  <w:style w:type="paragraph" w:styleId="CommentSubject">
    <w:name w:val="annotation subject"/>
    <w:basedOn w:val="CommentText"/>
    <w:next w:val="CommentText"/>
    <w:link w:val="CommentSubjectChar"/>
    <w:semiHidden/>
    <w:unhideWhenUsed/>
    <w:rsid w:val="008C7BB1"/>
    <w:rPr>
      <w:b/>
      <w:bCs/>
    </w:rPr>
  </w:style>
  <w:style w:type="character" w:customStyle="1" w:styleId="CommentSubjectChar">
    <w:name w:val="Comment Subject Char"/>
    <w:basedOn w:val="CommentTextChar"/>
    <w:link w:val="CommentSubject"/>
    <w:semiHidden/>
    <w:rsid w:val="008C7BB1"/>
    <w:rPr>
      <w:b/>
      <w:bCs/>
      <w:sz w:val="20"/>
    </w:rPr>
  </w:style>
  <w:style w:type="paragraph" w:styleId="BalloonText">
    <w:name w:val="Balloon Text"/>
    <w:basedOn w:val="Normal"/>
    <w:link w:val="BalloonTextChar"/>
    <w:semiHidden/>
    <w:unhideWhenUsed/>
    <w:rsid w:val="008C7BB1"/>
    <w:rPr>
      <w:rFonts w:ascii="Tahoma" w:hAnsi="Tahoma" w:cs="Tahoma"/>
      <w:sz w:val="16"/>
      <w:szCs w:val="16"/>
    </w:rPr>
  </w:style>
  <w:style w:type="character" w:customStyle="1" w:styleId="BalloonTextChar">
    <w:name w:val="Balloon Text Char"/>
    <w:basedOn w:val="DefaultParagraphFont"/>
    <w:link w:val="BalloonText"/>
    <w:semiHidden/>
    <w:rsid w:val="008C7BB1"/>
    <w:rPr>
      <w:rFonts w:ascii="Tahoma" w:hAnsi="Tahoma" w:cs="Tahoma"/>
      <w:sz w:val="16"/>
      <w:szCs w:val="16"/>
    </w:rPr>
  </w:style>
  <w:style w:type="character" w:styleId="FollowedHyperlink">
    <w:name w:val="FollowedHyperlink"/>
    <w:basedOn w:val="DefaultParagraphFont"/>
    <w:semiHidden/>
    <w:unhideWhenUsed/>
    <w:rsid w:val="002351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557405">
      <w:bodyDiv w:val="1"/>
      <w:marLeft w:val="0"/>
      <w:marRight w:val="0"/>
      <w:marTop w:val="0"/>
      <w:marBottom w:val="0"/>
      <w:divBdr>
        <w:top w:val="none" w:sz="0" w:space="0" w:color="auto"/>
        <w:left w:val="none" w:sz="0" w:space="0" w:color="auto"/>
        <w:bottom w:val="none" w:sz="0" w:space="0" w:color="auto"/>
        <w:right w:val="none" w:sz="0" w:space="0" w:color="auto"/>
      </w:divBdr>
    </w:div>
    <w:div w:id="1319262589">
      <w:bodyDiv w:val="1"/>
      <w:marLeft w:val="0"/>
      <w:marRight w:val="0"/>
      <w:marTop w:val="0"/>
      <w:marBottom w:val="0"/>
      <w:divBdr>
        <w:top w:val="none" w:sz="0" w:space="0" w:color="auto"/>
        <w:left w:val="none" w:sz="0" w:space="0" w:color="auto"/>
        <w:bottom w:val="none" w:sz="0" w:space="0" w:color="auto"/>
        <w:right w:val="none" w:sz="0" w:space="0" w:color="auto"/>
      </w:divBdr>
    </w:div>
    <w:div w:id="169746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TAR.9BC8AEE9D9F8/UGfucuGz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98FEA-DD21-4BB6-8073-8B92622A9B0A}">
  <ds:schemaRefs>
    <ds:schemaRef ds:uri="http://schemas.openxmlformats.org/officeDocument/2006/bibliography"/>
  </ds:schemaRefs>
</ds:datastoreItem>
</file>

<file path=customXml/itemProps2.xml><?xml version="1.0" encoding="utf-8"?>
<ds:datastoreItem xmlns:ds="http://schemas.openxmlformats.org/officeDocument/2006/customXml" ds:itemID="{2B0FF794-F087-4A54-80B4-AB2283B9B6A2}">
  <ds:schemaRefs>
    <ds:schemaRef ds:uri="http://schemas.openxmlformats.org/officeDocument/2006/bibliography"/>
  </ds:schemaRefs>
</ds:datastoreItem>
</file>

<file path=customXml/itemProps3.xml><?xml version="1.0" encoding="utf-8"?>
<ds:datastoreItem xmlns:ds="http://schemas.openxmlformats.org/officeDocument/2006/customXml" ds:itemID="{40B02BD1-D1F8-498E-B5D2-C5738A61BEE3}">
  <ds:schemaRefs>
    <ds:schemaRef ds:uri="http://schemas.openxmlformats.org/officeDocument/2006/bibliography"/>
  </ds:schemaRefs>
</ds:datastoreItem>
</file>

<file path=customXml/itemProps4.xml><?xml version="1.0" encoding="utf-8"?>
<ds:datastoreItem xmlns:ds="http://schemas.openxmlformats.org/officeDocument/2006/customXml" ds:itemID="{5ED52A8B-FEEC-4721-89C6-BEAFA84C2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1216</Words>
  <Characters>6934</Characters>
  <Application>Microsoft Office Word</Application>
  <DocSecurity>0</DocSecurity>
  <Lines>57</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8134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Evelina Matutienė</cp:lastModifiedBy>
  <cp:revision>4</cp:revision>
  <cp:lastPrinted>2017-02-13T08:49:00Z</cp:lastPrinted>
  <dcterms:created xsi:type="dcterms:W3CDTF">2022-10-25T07:54:00Z</dcterms:created>
  <dcterms:modified xsi:type="dcterms:W3CDTF">2022-11-09T06:28:00Z</dcterms:modified>
</cp:coreProperties>
</file>