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257DFCD" w:rsidR="00482FB2" w:rsidRDefault="00FE7D2F">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77777777" w:rsidR="00482FB2" w:rsidRDefault="00FE7D2F">
      <w:pPr>
        <w:widowControl w:val="0"/>
        <w:ind w:left="9639"/>
        <w:jc w:val="both"/>
        <w:textAlignment w:val="baseline"/>
        <w:rPr>
          <w:szCs w:val="24"/>
        </w:rPr>
      </w:pPr>
      <w:r>
        <w:rPr>
          <w:szCs w:val="24"/>
        </w:rPr>
        <w:t>6 priedas</w:t>
      </w:r>
    </w:p>
    <w:p w14:paraId="6F31F7B5" w14:textId="77777777" w:rsidR="00482FB2" w:rsidRDefault="00482FB2">
      <w:pPr>
        <w:widowControl w:val="0"/>
        <w:jc w:val="right"/>
        <w:textAlignment w:val="baseline"/>
        <w:rPr>
          <w:szCs w:val="24"/>
        </w:rPr>
      </w:pPr>
    </w:p>
    <w:p w14:paraId="664E2DAF" w14:textId="61D3E5F3" w:rsidR="00482FB2" w:rsidRDefault="00482FB2">
      <w:pPr>
        <w:widowControl w:val="0"/>
        <w:textAlignment w:val="baseline"/>
        <w:rPr>
          <w:szCs w:val="24"/>
        </w:rPr>
      </w:pPr>
    </w:p>
    <w:p w14:paraId="5B9AC0C8" w14:textId="29DA0726" w:rsidR="00482FB2" w:rsidRPr="00833609" w:rsidRDefault="00ED1DD4">
      <w:pPr>
        <w:widowControl w:val="0"/>
        <w:jc w:val="center"/>
        <w:textAlignment w:val="baseline"/>
        <w:rPr>
          <w:szCs w:val="24"/>
        </w:rPr>
      </w:pPr>
      <w:r w:rsidRPr="00833609">
        <w:rPr>
          <w:szCs w:val="24"/>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77777777" w:rsidR="00482FB2" w:rsidRDefault="00482FB2">
      <w:pPr>
        <w:widowControl w:val="0"/>
        <w:textAlignment w:val="baseline"/>
        <w:rPr>
          <w:szCs w:val="24"/>
        </w:rPr>
      </w:pPr>
    </w:p>
    <w:p w14:paraId="1EA47AC8" w14:textId="28A6FE4C" w:rsidR="00482FB2" w:rsidRPr="00F036CD" w:rsidRDefault="00FE7D2F">
      <w:pPr>
        <w:widowControl w:val="0"/>
        <w:textAlignment w:val="baseline"/>
        <w:rPr>
          <w:szCs w:val="24"/>
        </w:rPr>
      </w:pPr>
      <w:r w:rsidRPr="00F036CD">
        <w:rPr>
          <w:szCs w:val="24"/>
        </w:rPr>
        <w:t>______________________________</w:t>
      </w:r>
    </w:p>
    <w:p w14:paraId="2706FAD6" w14:textId="77777777" w:rsidR="00482FB2" w:rsidRPr="00F036CD" w:rsidRDefault="00FE7D2F">
      <w:pPr>
        <w:widowControl w:val="0"/>
        <w:ind w:left="1276"/>
        <w:textAlignment w:val="baseline"/>
        <w:rPr>
          <w:szCs w:val="24"/>
        </w:rPr>
      </w:pPr>
      <w:r w:rsidRPr="00F036CD">
        <w:rPr>
          <w:szCs w:val="24"/>
        </w:rPr>
        <w:t>(gavėjas)</w:t>
      </w:r>
    </w:p>
    <w:p w14:paraId="51D1B5B7" w14:textId="77777777" w:rsidR="00482FB2" w:rsidRDefault="00482FB2">
      <w:pPr>
        <w:widowControl w:val="0"/>
        <w:textAlignment w:val="baseline"/>
        <w:rPr>
          <w:szCs w:val="24"/>
        </w:rPr>
      </w:pPr>
    </w:p>
    <w:p w14:paraId="7534FC61" w14:textId="4C2F64DB" w:rsidR="00482FB2" w:rsidRDefault="00FE7D2F" w:rsidP="00ED7451">
      <w:pPr>
        <w:widowControl w:val="0"/>
        <w:ind w:right="395"/>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2EE47239" w14:textId="4B5AD551" w:rsidR="00482FB2" w:rsidRDefault="00FE7D2F" w:rsidP="00ED7451">
      <w:pPr>
        <w:widowControl w:val="0"/>
        <w:ind w:right="253"/>
        <w:jc w:val="center"/>
        <w:textAlignment w:val="baseline"/>
        <w:rPr>
          <w:szCs w:val="24"/>
        </w:rPr>
      </w:pPr>
      <w:r w:rsidRPr="00E52479">
        <w:rPr>
          <w:szCs w:val="24"/>
        </w:rPr>
        <w:t>20</w:t>
      </w:r>
      <w:r w:rsidR="00ED1DD4" w:rsidRPr="00E52479">
        <w:rPr>
          <w:szCs w:val="24"/>
        </w:rPr>
        <w:t>22</w:t>
      </w:r>
      <w:r w:rsidRPr="00E52479">
        <w:rPr>
          <w:szCs w:val="24"/>
        </w:rPr>
        <w:t xml:space="preserve"> m. </w:t>
      </w:r>
      <w:r w:rsidR="008954FC">
        <w:rPr>
          <w:szCs w:val="24"/>
        </w:rPr>
        <w:t>lapkričio</w:t>
      </w:r>
      <w:r w:rsidR="00ED1DD4" w:rsidRPr="00E52479">
        <w:rPr>
          <w:szCs w:val="24"/>
        </w:rPr>
        <w:t xml:space="preserve"> </w:t>
      </w:r>
      <w:r w:rsidR="00FE2CF7">
        <w:rPr>
          <w:szCs w:val="24"/>
        </w:rPr>
        <w:t>1</w:t>
      </w:r>
      <w:r w:rsidR="008954FC">
        <w:rPr>
          <w:szCs w:val="24"/>
        </w:rPr>
        <w:t>7</w:t>
      </w:r>
      <w:r w:rsidR="00ED1DD4" w:rsidRPr="00E52479">
        <w:rPr>
          <w:szCs w:val="24"/>
        </w:rPr>
        <w:t xml:space="preserve"> </w:t>
      </w:r>
      <w:r w:rsidRPr="00E52479">
        <w:rPr>
          <w:szCs w:val="24"/>
        </w:rP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8536"/>
      </w:tblGrid>
      <w:tr w:rsidR="00482FB2" w14:paraId="77188082" w14:textId="77777777" w:rsidTr="00ED7451">
        <w:tc>
          <w:tcPr>
            <w:tcW w:w="6254"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8625" w:type="dxa"/>
            <w:shd w:val="clear" w:color="auto" w:fill="auto"/>
            <w:vAlign w:val="center"/>
          </w:tcPr>
          <w:p w14:paraId="5691C50A" w14:textId="77777777" w:rsidR="00ED1DD4" w:rsidRPr="00A54906" w:rsidRDefault="00ED1DD4" w:rsidP="00ED1DD4">
            <w:pPr>
              <w:widowControl w:val="0"/>
              <w:textAlignment w:val="baseline"/>
              <w:rPr>
                <w:i/>
                <w:iCs/>
                <w:szCs w:val="24"/>
              </w:rPr>
            </w:pPr>
            <w:r w:rsidRPr="00A54906">
              <w:rPr>
                <w:i/>
                <w:iCs/>
                <w:szCs w:val="24"/>
              </w:rPr>
              <w:t>Lietuvos Respublikos ekonomikos ir inovacijų ministerija</w:t>
            </w:r>
          </w:p>
          <w:p w14:paraId="509B765C" w14:textId="3140E261" w:rsidR="00482FB2" w:rsidRPr="00A54906" w:rsidRDefault="00482FB2">
            <w:pPr>
              <w:widowControl w:val="0"/>
              <w:textAlignment w:val="baseline"/>
              <w:rPr>
                <w:i/>
                <w:iCs/>
                <w:szCs w:val="24"/>
              </w:rPr>
            </w:pPr>
          </w:p>
        </w:tc>
      </w:tr>
      <w:tr w:rsidR="00482FB2" w14:paraId="5BE1F7E2" w14:textId="77777777" w:rsidTr="00ED7451">
        <w:tc>
          <w:tcPr>
            <w:tcW w:w="6254"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(poveiklės) pavadinimas</w:t>
            </w:r>
          </w:p>
        </w:tc>
        <w:tc>
          <w:tcPr>
            <w:tcW w:w="8625" w:type="dxa"/>
            <w:shd w:val="clear" w:color="auto" w:fill="auto"/>
            <w:vAlign w:val="center"/>
          </w:tcPr>
          <w:p w14:paraId="60BD5E92" w14:textId="26D05593" w:rsidR="00482FB2" w:rsidRPr="00673BB4" w:rsidRDefault="002B7E62" w:rsidP="00673BB4">
            <w:pPr>
              <w:widowControl w:val="0"/>
              <w:jc w:val="both"/>
              <w:textAlignment w:val="baseline"/>
              <w:rPr>
                <w:i/>
                <w:iCs/>
                <w:szCs w:val="24"/>
                <w:lang w:eastAsia="lt-LT"/>
              </w:rPr>
            </w:pPr>
            <w:r w:rsidRPr="00CD64C5">
              <w:rPr>
                <w:bCs/>
                <w:i/>
                <w:iCs/>
                <w:szCs w:val="24"/>
              </w:rPr>
              <w:t xml:space="preserve">2022–2030 metų </w:t>
            </w:r>
            <w:r w:rsidRPr="00CD64C5">
              <w:rPr>
                <w:i/>
                <w:iCs/>
                <w:szCs w:val="24"/>
              </w:rPr>
              <w:t xml:space="preserve">plėtros programos valdytojos </w:t>
            </w:r>
            <w:r w:rsidRPr="00CD64C5">
              <w:rPr>
                <w:bCs/>
                <w:i/>
                <w:iCs/>
                <w:szCs w:val="24"/>
              </w:rPr>
              <w:t xml:space="preserve">Lietuvos Respublikos ekonomikos ir inovacijų ministerijos </w:t>
            </w:r>
            <w:r w:rsidRPr="00CD64C5">
              <w:rPr>
                <w:i/>
                <w:iCs/>
                <w:szCs w:val="24"/>
              </w:rPr>
              <w:t xml:space="preserve">ekonomikos transformacijos ir konkurencingumo </w:t>
            </w:r>
            <w:r w:rsidRPr="00CD64C5">
              <w:rPr>
                <w:bCs/>
                <w:i/>
                <w:iCs/>
                <w:szCs w:val="24"/>
              </w:rPr>
              <w:t xml:space="preserve">plėtros programos pažangos priemonės </w:t>
            </w:r>
            <w:r w:rsidR="00A6519C">
              <w:rPr>
                <w:i/>
                <w:szCs w:val="24"/>
              </w:rPr>
              <w:t xml:space="preserve">Nr. 05-001-01-05-07 „Sukurti nuoseklią inovacinės veiklos skatinimo sistemą“ </w:t>
            </w:r>
            <w:r w:rsidR="00876623" w:rsidRPr="00CD64C5">
              <w:rPr>
                <w:i/>
                <w:iCs/>
                <w:szCs w:val="24"/>
                <w:lang w:eastAsia="lt-LT"/>
              </w:rPr>
              <w:t>veikl</w:t>
            </w:r>
            <w:r w:rsidR="0030199B">
              <w:rPr>
                <w:i/>
                <w:iCs/>
                <w:szCs w:val="24"/>
                <w:lang w:eastAsia="lt-LT"/>
              </w:rPr>
              <w:t>os</w:t>
            </w:r>
            <w:r w:rsidR="00876623" w:rsidRPr="00CD64C5">
              <w:rPr>
                <w:i/>
                <w:iCs/>
                <w:szCs w:val="24"/>
                <w:lang w:eastAsia="lt-LT"/>
              </w:rPr>
              <w:t xml:space="preserve"> </w:t>
            </w:r>
            <w:r w:rsidR="0030199B" w:rsidRPr="0030199B">
              <w:rPr>
                <w:i/>
                <w:szCs w:val="24"/>
              </w:rPr>
              <w:t>„</w:t>
            </w:r>
            <w:r w:rsidR="0030199B" w:rsidRPr="0030199B">
              <w:rPr>
                <w:i/>
                <w:szCs w:val="24"/>
              </w:rPr>
              <w:t>Ugdyti MVĮ ir kitų VGPP dalyvaujančių subjektų darbuotojų gebėjimus</w:t>
            </w:r>
            <w:r w:rsidR="0030199B" w:rsidRPr="0030199B">
              <w:rPr>
                <w:i/>
                <w:szCs w:val="24"/>
              </w:rPr>
              <w:t>“</w:t>
            </w:r>
          </w:p>
        </w:tc>
      </w:tr>
      <w:tr w:rsidR="00482FB2" w14:paraId="31AE92AE" w14:textId="77777777" w:rsidTr="00ED7451">
        <w:tc>
          <w:tcPr>
            <w:tcW w:w="6254" w:type="dxa"/>
            <w:shd w:val="clear" w:color="auto" w:fill="auto"/>
            <w:vAlign w:val="center"/>
          </w:tcPr>
          <w:p w14:paraId="06EF78B7" w14:textId="77C8EE32" w:rsidR="00482FB2" w:rsidRDefault="00FE7D2F">
            <w:pPr>
              <w:widowControl w:val="0"/>
              <w:textAlignment w:val="baseline"/>
              <w:rPr>
                <w:b/>
                <w:szCs w:val="24"/>
              </w:rPr>
            </w:pPr>
            <w:r>
              <w:rPr>
                <w:b/>
                <w:szCs w:val="24"/>
              </w:rPr>
              <w:t>Pažangos priemonės veiklai (poveiklei) skirta finansavimo suma (mln. eurų)</w:t>
            </w:r>
          </w:p>
        </w:tc>
        <w:tc>
          <w:tcPr>
            <w:tcW w:w="8625" w:type="dxa"/>
            <w:shd w:val="clear" w:color="auto" w:fill="auto"/>
            <w:vAlign w:val="center"/>
          </w:tcPr>
          <w:p w14:paraId="2BF6AF44" w14:textId="56C0FC51" w:rsidR="00482FB2" w:rsidRDefault="00B507CF">
            <w:pPr>
              <w:widowControl w:val="0"/>
              <w:textAlignment w:val="baseline"/>
              <w:rPr>
                <w:szCs w:val="24"/>
              </w:rPr>
            </w:pPr>
            <w:r>
              <w:rPr>
                <w:i/>
                <w:szCs w:val="24"/>
              </w:rPr>
              <w:t>7,5</w:t>
            </w:r>
            <w:r w:rsidR="00D21836">
              <w:rPr>
                <w:i/>
                <w:szCs w:val="24"/>
              </w:rPr>
              <w:t xml:space="preserve"> mln. eurų</w:t>
            </w:r>
          </w:p>
        </w:tc>
      </w:tr>
      <w:tr w:rsidR="00482FB2" w14:paraId="390279EA" w14:textId="77777777" w:rsidTr="00ED7451">
        <w:tc>
          <w:tcPr>
            <w:tcW w:w="6254"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(-iai)</w:t>
            </w:r>
          </w:p>
        </w:tc>
        <w:tc>
          <w:tcPr>
            <w:tcW w:w="8625" w:type="dxa"/>
            <w:shd w:val="clear" w:color="auto" w:fill="auto"/>
            <w:vAlign w:val="center"/>
          </w:tcPr>
          <w:p w14:paraId="0E10E3DE" w14:textId="64AA2CED" w:rsidR="00482FB2" w:rsidRDefault="00FE7D2F" w:rsidP="00ED7451">
            <w:pPr>
              <w:jc w:val="both"/>
              <w:rPr>
                <w:i/>
                <w:sz w:val="20"/>
              </w:rPr>
            </w:pPr>
            <w:r>
              <w:rPr>
                <w:i/>
                <w:iCs/>
                <w:szCs w:val="24"/>
              </w:rPr>
              <w:t>2021–2027 metų Europos Sąjungos fondų investicijų program</w:t>
            </w:r>
            <w:r w:rsidR="0079623B">
              <w:rPr>
                <w:i/>
                <w:iCs/>
                <w:szCs w:val="24"/>
              </w:rPr>
              <w:t>a</w:t>
            </w:r>
            <w:r>
              <w:rPr>
                <w:i/>
                <w:iCs/>
                <w:szCs w:val="24"/>
              </w:rPr>
              <w:t xml:space="preserve"> (toliau – Investicijų programa)</w:t>
            </w:r>
          </w:p>
        </w:tc>
      </w:tr>
      <w:tr w:rsidR="00482FB2" w14:paraId="4C57846C" w14:textId="77777777" w:rsidTr="00ED7451">
        <w:tc>
          <w:tcPr>
            <w:tcW w:w="6254" w:type="dxa"/>
            <w:shd w:val="clear" w:color="auto" w:fill="auto"/>
            <w:vAlign w:val="center"/>
          </w:tcPr>
          <w:p w14:paraId="2F0BDDAD" w14:textId="1AD41399" w:rsidR="00482FB2" w:rsidRDefault="00FE7D2F">
            <w:pPr>
              <w:widowControl w:val="0"/>
              <w:textAlignment w:val="baseline"/>
              <w:rPr>
                <w:b/>
                <w:szCs w:val="24"/>
              </w:rPr>
            </w:pPr>
            <w:r>
              <w:rPr>
                <w:b/>
                <w:bCs/>
                <w:szCs w:val="24"/>
              </w:rPr>
              <w:t>Prioritetas ar komponentas</w:t>
            </w:r>
          </w:p>
        </w:tc>
        <w:tc>
          <w:tcPr>
            <w:tcW w:w="8625" w:type="dxa"/>
            <w:shd w:val="clear" w:color="auto" w:fill="auto"/>
            <w:vAlign w:val="center"/>
          </w:tcPr>
          <w:p w14:paraId="7543FD40" w14:textId="786CB79D" w:rsidR="00A6519C" w:rsidRDefault="00A6519C">
            <w:pPr>
              <w:widowControl w:val="0"/>
              <w:textAlignment w:val="baseline"/>
              <w:rPr>
                <w:i/>
                <w:szCs w:val="24"/>
              </w:rPr>
            </w:pPr>
            <w:r w:rsidRPr="00A6519C">
              <w:rPr>
                <w:i/>
                <w:sz w:val="22"/>
                <w:lang w:bidi="lt-LT"/>
              </w:rPr>
              <w:t xml:space="preserve">Investicijų programos </w:t>
            </w:r>
            <w:r w:rsidRPr="00A6519C">
              <w:rPr>
                <w:i/>
                <w:sz w:val="22"/>
                <w:lang w:val="en-US" w:bidi="lt-LT"/>
              </w:rPr>
              <w:t>1</w:t>
            </w:r>
            <w:r w:rsidRPr="00A6519C">
              <w:rPr>
                <w:i/>
                <w:sz w:val="22"/>
                <w:lang w:bidi="lt-LT"/>
              </w:rPr>
              <w:t xml:space="preserve"> prioritetas „Pažangesnė Lietuva“</w:t>
            </w:r>
          </w:p>
        </w:tc>
      </w:tr>
      <w:tr w:rsidR="00482FB2" w14:paraId="336BAD4A" w14:textId="77777777" w:rsidTr="00ED7451">
        <w:tc>
          <w:tcPr>
            <w:tcW w:w="6254"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8625" w:type="dxa"/>
            <w:shd w:val="clear" w:color="auto" w:fill="auto"/>
            <w:vAlign w:val="center"/>
          </w:tcPr>
          <w:p w14:paraId="1BFB854A" w14:textId="48450719" w:rsidR="00482FB2" w:rsidRDefault="00B507CF">
            <w:pPr>
              <w:widowControl w:val="0"/>
              <w:textAlignment w:val="baseline"/>
              <w:rPr>
                <w:szCs w:val="24"/>
              </w:rPr>
            </w:pPr>
            <w:r w:rsidRPr="00B507CF">
              <w:rPr>
                <w:b/>
                <w:bCs/>
                <w:szCs w:val="24"/>
                <w:lang w:eastAsia="lt-LT"/>
              </w:rPr>
              <w:fldChar w:fldCharType="begin">
                <w:ffData>
                  <w:name w:val=""/>
                  <w:enabled/>
                  <w:calcOnExit w:val="0"/>
                  <w:checkBox>
                    <w:sizeAuto/>
                    <w:default w:val="1"/>
                  </w:checkBox>
                </w:ffData>
              </w:fldChar>
            </w:r>
            <w:r w:rsidRPr="00B507CF">
              <w:rPr>
                <w:b/>
                <w:bCs/>
                <w:szCs w:val="24"/>
                <w:lang w:eastAsia="lt-LT"/>
              </w:rPr>
              <w:instrText xml:space="preserve"> FORMCHECKBOX </w:instrText>
            </w:r>
            <w:r w:rsidR="0030199B">
              <w:rPr>
                <w:b/>
                <w:bCs/>
                <w:szCs w:val="24"/>
                <w:lang w:eastAsia="lt-LT"/>
              </w:rPr>
            </w:r>
            <w:r w:rsidR="0030199B">
              <w:rPr>
                <w:b/>
                <w:bCs/>
                <w:szCs w:val="24"/>
                <w:lang w:eastAsia="lt-LT"/>
              </w:rPr>
              <w:fldChar w:fldCharType="separate"/>
            </w:r>
            <w:r w:rsidRPr="00B507CF">
              <w:rPr>
                <w:b/>
                <w:bCs/>
                <w:szCs w:val="24"/>
                <w:lang w:eastAsia="lt-LT"/>
              </w:rPr>
              <w:fldChar w:fldCharType="end"/>
            </w:r>
            <w:r w:rsidR="00FE7D2F">
              <w:rPr>
                <w:szCs w:val="24"/>
              </w:rPr>
              <w:t xml:space="preserve"> Planavimo</w:t>
            </w:r>
          </w:p>
          <w:p w14:paraId="1B352361" w14:textId="5752601D" w:rsidR="00482FB2" w:rsidRDefault="00B507CF">
            <w:pPr>
              <w:widowControl w:val="0"/>
              <w:textAlignment w:val="baseline"/>
              <w:rPr>
                <w:szCs w:val="24"/>
              </w:rPr>
            </w:pPr>
            <w:r w:rsidRPr="00B507CF">
              <w:rPr>
                <w:b/>
                <w:bCs/>
                <w:szCs w:val="24"/>
              </w:rPr>
              <w:t>□</w:t>
            </w:r>
            <w:r w:rsidR="00FE7D2F">
              <w:rPr>
                <w:szCs w:val="24"/>
              </w:rPr>
              <w:t>Konkurso</w:t>
            </w:r>
          </w:p>
          <w:p w14:paraId="609AFC41" w14:textId="77777777" w:rsidR="00482FB2" w:rsidRDefault="00FE7D2F">
            <w:pPr>
              <w:widowControl w:val="0"/>
              <w:textAlignment w:val="baseline"/>
              <w:rPr>
                <w:szCs w:val="24"/>
              </w:rPr>
            </w:pPr>
            <w:r>
              <w:rPr>
                <w:b/>
                <w:bCs/>
                <w:szCs w:val="24"/>
                <w:lang w:eastAsia="lt-LT"/>
              </w:rPr>
              <w:lastRenderedPageBreak/>
              <w:t>□</w:t>
            </w:r>
            <w:r>
              <w:rPr>
                <w:szCs w:val="24"/>
              </w:rPr>
              <w:t xml:space="preserve"> Tęstinės projektų atrankos</w:t>
            </w:r>
          </w:p>
          <w:p w14:paraId="19502A19" w14:textId="20BDBB0B" w:rsidR="00482FB2" w:rsidRPr="00A6519C" w:rsidRDefault="00FE7D2F" w:rsidP="00A6519C">
            <w:pPr>
              <w:widowControl w:val="0"/>
              <w:textAlignment w:val="baseline"/>
              <w:rPr>
                <w:szCs w:val="24"/>
              </w:rPr>
            </w:pPr>
            <w:r>
              <w:rPr>
                <w:b/>
                <w:bCs/>
                <w:szCs w:val="24"/>
                <w:lang w:eastAsia="lt-LT"/>
              </w:rPr>
              <w:t xml:space="preserve">□ </w:t>
            </w:r>
            <w:r>
              <w:rPr>
                <w:bCs/>
                <w:szCs w:val="24"/>
                <w:lang w:eastAsia="lt-LT"/>
              </w:rPr>
              <w:t>Finansinė priemonė</w:t>
            </w:r>
          </w:p>
        </w:tc>
      </w:tr>
      <w:tr w:rsidR="00482FB2" w14:paraId="424A16BA" w14:textId="77777777" w:rsidTr="00ED7451">
        <w:tc>
          <w:tcPr>
            <w:tcW w:w="6254" w:type="dxa"/>
            <w:shd w:val="clear" w:color="auto" w:fill="auto"/>
            <w:vAlign w:val="center"/>
          </w:tcPr>
          <w:p w14:paraId="44E3D02A" w14:textId="102550CE" w:rsidR="00482FB2" w:rsidRDefault="00FE7D2F">
            <w:pPr>
              <w:widowControl w:val="0"/>
              <w:textAlignment w:val="baseline"/>
              <w:rPr>
                <w:b/>
                <w:szCs w:val="24"/>
              </w:rPr>
            </w:pPr>
            <w:r>
              <w:rPr>
                <w:b/>
                <w:szCs w:val="24"/>
              </w:rPr>
              <w:lastRenderedPageBreak/>
              <w:t xml:space="preserve">Atitiktis horizontaliesiems principams  </w:t>
            </w:r>
          </w:p>
        </w:tc>
        <w:tc>
          <w:tcPr>
            <w:tcW w:w="8625" w:type="dxa"/>
            <w:shd w:val="clear" w:color="auto" w:fill="auto"/>
            <w:vAlign w:val="center"/>
          </w:tcPr>
          <w:p w14:paraId="36F2DBDC" w14:textId="77777777" w:rsidR="00964016" w:rsidRPr="00964016" w:rsidRDefault="00964016" w:rsidP="00964016">
            <w:pPr>
              <w:widowControl w:val="0"/>
              <w:jc w:val="both"/>
              <w:textAlignment w:val="baseline"/>
              <w:rPr>
                <w:rFonts w:eastAsia="Calibri"/>
                <w:bCs/>
                <w:i/>
                <w:iCs/>
                <w:szCs w:val="24"/>
                <w:lang w:bidi="lt-LT"/>
              </w:rPr>
            </w:pPr>
            <w:r w:rsidRPr="00964016">
              <w:rPr>
                <w:rFonts w:eastAsia="Calibri"/>
                <w:bCs/>
                <w:i/>
                <w:iCs/>
                <w:szCs w:val="24"/>
                <w:lang w:bidi="lt-LT"/>
              </w:rPr>
              <w:t xml:space="preserve">Veikla tiesiogiai prisideda prie inovatyvumo (kūrybingumo) horizontaliojo principo, kuris įgyvendinamas per projektų veiklas: bus ugdomi MVĮ ir kitų verslumo galimybių paieškos procese dalyvaujančių subjektų darbuotojų gebėjimai. Siekiant ugdyti ir kitų verslo galimybių paieškos procese dalyvaujančių subjektų darbuotojų gebėjimus rengti ir įgyvendinti Sumaniosios specializacijos koncepciją, planuojama investuoti į įgūdžių ugdymą, apimantį visą inovacijų vadybos ciklą reikalingą Sumaniosios specializacijos ir ekonomikos technologinių pokyčių padiktuotiems uždaviniams atliepti. Taip MVĮ galėtų tapti konkurencingesnės, išnaudodamos savo specializaciją ir valdymo gebėjimus, padedančius greitai prisitaikyti prie kintančių rinkos poreikių. </w:t>
            </w:r>
          </w:p>
          <w:p w14:paraId="2336DFEA" w14:textId="1DE95693" w:rsidR="00964016" w:rsidRDefault="00964016" w:rsidP="00964016">
            <w:pPr>
              <w:widowControl w:val="0"/>
              <w:jc w:val="both"/>
              <w:textAlignment w:val="baseline"/>
              <w:rPr>
                <w:rFonts w:eastAsia="Calibri"/>
                <w:bCs/>
                <w:i/>
                <w:iCs/>
                <w:szCs w:val="24"/>
                <w:lang w:bidi="lt-LT"/>
              </w:rPr>
            </w:pPr>
            <w:r w:rsidRPr="00964016">
              <w:rPr>
                <w:rFonts w:eastAsia="Calibri"/>
                <w:bCs/>
                <w:i/>
                <w:iCs/>
                <w:szCs w:val="24"/>
                <w:lang w:bidi="lt-LT"/>
              </w:rPr>
              <w:t>Veikla tiesiogiai neprisideda prie darnaus vystymosi principo. 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Taip pat neturi būti numatyti projekto veiksmai, kurie turėtų neigiamą poveikį darnaus vystymosi principo įgyvendinimui.</w:t>
            </w:r>
          </w:p>
          <w:p w14:paraId="72B5C4C1" w14:textId="58CE68D0" w:rsidR="00ED3BAA" w:rsidRPr="006E0B69" w:rsidRDefault="00ED3BAA" w:rsidP="00EA20BF">
            <w:pPr>
              <w:widowControl w:val="0"/>
              <w:jc w:val="both"/>
              <w:textAlignment w:val="baseline"/>
              <w:rPr>
                <w:b/>
                <w:bCs/>
                <w:i/>
                <w:iCs/>
                <w:szCs w:val="24"/>
                <w:highlight w:val="yellow"/>
                <w:lang w:eastAsia="lt-LT"/>
              </w:rPr>
            </w:pPr>
            <w:r w:rsidRPr="00ED3BAA">
              <w:rPr>
                <w:rStyle w:val="cf01"/>
                <w:rFonts w:ascii="Times New Roman" w:hAnsi="Times New Roman" w:cs="Times New Roman"/>
                <w:i/>
                <w:iCs/>
                <w:sz w:val="24"/>
                <w:szCs w:val="24"/>
              </w:rPr>
              <w:t xml:space="preserve">Veikla, vadovaujantis </w:t>
            </w:r>
            <w:hyperlink r:id="rId14" w:history="1">
              <w:r w:rsidRPr="00ED3BAA">
                <w:rPr>
                  <w:rStyle w:val="cf11"/>
                  <w:rFonts w:ascii="Times New Roman" w:hAnsi="Times New Roman" w:cs="Times New Roman"/>
                  <w:i/>
                  <w:iCs/>
                  <w:sz w:val="24"/>
                  <w:szCs w:val="24"/>
                </w:rPr>
                <w:t>Europos Komisijos 2021</w:t>
              </w:r>
              <w:r w:rsidR="00F5440A">
                <w:rPr>
                  <w:rStyle w:val="cf11"/>
                  <w:rFonts w:ascii="Times New Roman" w:hAnsi="Times New Roman" w:cs="Times New Roman"/>
                  <w:i/>
                  <w:iCs/>
                  <w:sz w:val="24"/>
                  <w:szCs w:val="24"/>
                </w:rPr>
                <w:t> m.</w:t>
              </w:r>
              <w:r w:rsidRPr="00ED3BAA">
                <w:rPr>
                  <w:rStyle w:val="cf11"/>
                  <w:rFonts w:ascii="Times New Roman" w:hAnsi="Times New Roman" w:cs="Times New Roman"/>
                  <w:i/>
                  <w:iCs/>
                  <w:sz w:val="24"/>
                  <w:szCs w:val="24"/>
                </w:rPr>
                <w:t xml:space="preserve"> vasario 12</w:t>
              </w:r>
              <w:r w:rsidR="00F5440A">
                <w:rPr>
                  <w:rStyle w:val="cf11"/>
                  <w:rFonts w:ascii="Times New Roman" w:hAnsi="Times New Roman" w:cs="Times New Roman"/>
                  <w:i/>
                  <w:iCs/>
                  <w:sz w:val="24"/>
                  <w:szCs w:val="24"/>
                </w:rPr>
                <w:t> </w:t>
              </w:r>
              <w:r w:rsidRPr="00ED3BAA">
                <w:rPr>
                  <w:rStyle w:val="cf11"/>
                  <w:rFonts w:ascii="Times New Roman" w:hAnsi="Times New Roman" w:cs="Times New Roman"/>
                  <w:i/>
                  <w:iCs/>
                  <w:sz w:val="24"/>
                  <w:szCs w:val="24"/>
                </w:rPr>
                <w:t>d. patvirtintomis Reikšmingos žalos nedarymo principo taikymo pagal Ekonomikos atsparumo ir didinimo priemonės reglamentą techninėmis gairėmis</w:t>
              </w:r>
            </w:hyperlink>
            <w:r w:rsidRPr="00ED3BAA">
              <w:rPr>
                <w:rStyle w:val="cf01"/>
                <w:rFonts w:ascii="Times New Roman" w:hAnsi="Times New Roman" w:cs="Times New Roman"/>
                <w:i/>
                <w:iCs/>
                <w:sz w:val="24"/>
                <w:szCs w:val="24"/>
              </w:rPr>
              <w:t xml:space="preserve">, atitinka reikšmingos žalos nedarymo principą, nes neturi neigiamo numatomo poveikio 6 aplinkos tikslams, nurodytiems </w:t>
            </w:r>
            <w:hyperlink r:id="rId15" w:history="1">
              <w:r w:rsidRPr="00ED3BAA">
                <w:rPr>
                  <w:rStyle w:val="cf11"/>
                  <w:rFonts w:ascii="Times New Roman" w:hAnsi="Times New Roman" w:cs="Times New Roman"/>
                  <w:i/>
                  <w:iCs/>
                  <w:sz w:val="24"/>
                  <w:szCs w:val="24"/>
                </w:rPr>
                <w:t>2020</w:t>
              </w:r>
              <w:r w:rsidR="00F5440A">
                <w:rPr>
                  <w:rStyle w:val="cf11"/>
                  <w:rFonts w:ascii="Times New Roman" w:hAnsi="Times New Roman" w:cs="Times New Roman"/>
                  <w:i/>
                  <w:iCs/>
                  <w:sz w:val="24"/>
                  <w:szCs w:val="24"/>
                </w:rPr>
                <w:t> </w:t>
              </w:r>
              <w:r w:rsidRPr="00ED3BAA">
                <w:rPr>
                  <w:rStyle w:val="cf11"/>
                  <w:rFonts w:ascii="Times New Roman" w:hAnsi="Times New Roman" w:cs="Times New Roman"/>
                  <w:i/>
                  <w:iCs/>
                  <w:sz w:val="24"/>
                  <w:szCs w:val="24"/>
                </w:rPr>
                <w:t>m. birželio 18</w:t>
              </w:r>
              <w:r w:rsidR="00F5440A">
                <w:rPr>
                  <w:rStyle w:val="cf11"/>
                  <w:rFonts w:ascii="Times New Roman" w:hAnsi="Times New Roman" w:cs="Times New Roman"/>
                  <w:i/>
                  <w:iCs/>
                  <w:sz w:val="24"/>
                  <w:szCs w:val="24"/>
                </w:rPr>
                <w:t> </w:t>
              </w:r>
              <w:r w:rsidRPr="00ED3BAA">
                <w:rPr>
                  <w:rStyle w:val="cf11"/>
                  <w:rFonts w:ascii="Times New Roman" w:hAnsi="Times New Roman" w:cs="Times New Roman"/>
                  <w:i/>
                  <w:iCs/>
                  <w:sz w:val="24"/>
                  <w:szCs w:val="24"/>
                </w:rPr>
                <w:t>d. Europos Parlamento ir Tarybos reglamento (ES) Nr. 2020/852 dėl sistemos tvariam investavimui palengvinti sukūrimo, kuriuo iš dalies keičiamas Reglamentas (ES) 2019/2088</w:t>
              </w:r>
            </w:hyperlink>
            <w:r w:rsidRPr="00ED3BAA">
              <w:rPr>
                <w:rStyle w:val="cf01"/>
                <w:rFonts w:ascii="Times New Roman" w:hAnsi="Times New Roman" w:cs="Times New Roman"/>
                <w:i/>
                <w:iCs/>
                <w:sz w:val="24"/>
                <w:szCs w:val="24"/>
              </w:rPr>
              <w:t>, 17</w:t>
            </w:r>
            <w:r w:rsidR="00F5440A">
              <w:rPr>
                <w:rStyle w:val="cf01"/>
                <w:rFonts w:ascii="Times New Roman" w:hAnsi="Times New Roman" w:cs="Times New Roman"/>
                <w:i/>
                <w:iCs/>
                <w:sz w:val="24"/>
                <w:szCs w:val="24"/>
              </w:rPr>
              <w:t> </w:t>
            </w:r>
            <w:r w:rsidRPr="00ED3BAA">
              <w:rPr>
                <w:rStyle w:val="cf01"/>
                <w:rFonts w:ascii="Times New Roman" w:hAnsi="Times New Roman" w:cs="Times New Roman"/>
                <w:i/>
                <w:iCs/>
                <w:sz w:val="24"/>
                <w:szCs w:val="24"/>
              </w:rPr>
              <w:t>straipsnyje, arba numatomas jų poveikis yra nereikšmingas, t. y. nedaro tiesioginio ir pirminio netiesioginio poveikio per visą gyvavimo ciklą.</w:t>
            </w:r>
          </w:p>
        </w:tc>
      </w:tr>
      <w:tr w:rsidR="00482FB2" w14:paraId="54710AA5" w14:textId="77777777" w:rsidTr="00ED7451">
        <w:tc>
          <w:tcPr>
            <w:tcW w:w="6254" w:type="dxa"/>
            <w:shd w:val="clear" w:color="auto" w:fill="auto"/>
            <w:vAlign w:val="center"/>
          </w:tcPr>
          <w:p w14:paraId="1E4E3BC5" w14:textId="6D0B3A27" w:rsidR="00482FB2" w:rsidRDefault="00FE7D2F">
            <w:pPr>
              <w:widowControl w:val="0"/>
              <w:textAlignment w:val="baseline"/>
              <w:rPr>
                <w:b/>
                <w:szCs w:val="24"/>
              </w:rPr>
            </w:pPr>
            <w:r>
              <w:rPr>
                <w:b/>
                <w:szCs w:val="24"/>
              </w:rPr>
              <w:t>Atitiktis Europos Sąjungos pagrindinių teisių chartijai (toliau – Chartija)</w:t>
            </w:r>
          </w:p>
        </w:tc>
        <w:tc>
          <w:tcPr>
            <w:tcW w:w="8625" w:type="dxa"/>
            <w:shd w:val="clear" w:color="auto" w:fill="auto"/>
            <w:vAlign w:val="center"/>
          </w:tcPr>
          <w:p w14:paraId="3A57C6C3" w14:textId="3F6C2C1B" w:rsidR="00482FB2" w:rsidRDefault="0074567F" w:rsidP="009A3E43">
            <w:pPr>
              <w:widowControl w:val="0"/>
              <w:jc w:val="both"/>
              <w:textAlignment w:val="baseline"/>
              <w:rPr>
                <w:bCs/>
                <w:i/>
                <w:szCs w:val="24"/>
                <w:lang w:eastAsia="lt-LT"/>
              </w:rPr>
            </w:pPr>
            <w:r>
              <w:rPr>
                <w:bCs/>
                <w:i/>
              </w:rPr>
              <w:t xml:space="preserve">Veikla </w:t>
            </w:r>
            <w:r w:rsidR="00564B8D" w:rsidRPr="001306F3">
              <w:rPr>
                <w:i/>
                <w:szCs w:val="24"/>
              </w:rPr>
              <w:t>nepažeidžia</w:t>
            </w:r>
            <w:r w:rsidR="00564B8D" w:rsidRPr="00B55624">
              <w:rPr>
                <w:i/>
                <w:sz w:val="20"/>
              </w:rPr>
              <w:t xml:space="preserve"> </w:t>
            </w:r>
            <w:r w:rsidR="009A3E43">
              <w:rPr>
                <w:bCs/>
                <w:i/>
                <w:iCs/>
              </w:rPr>
              <w:t>C</w:t>
            </w:r>
            <w:r w:rsidR="00E008FE" w:rsidRPr="001306F3">
              <w:rPr>
                <w:bCs/>
                <w:i/>
                <w:iCs/>
              </w:rPr>
              <w:t>hartijo</w:t>
            </w:r>
            <w:r w:rsidR="00E008FE">
              <w:rPr>
                <w:bCs/>
                <w:i/>
                <w:iCs/>
              </w:rPr>
              <w:t>je nustatytų</w:t>
            </w:r>
            <w:r w:rsidR="00E008FE" w:rsidRPr="001306F3">
              <w:rPr>
                <w:bCs/>
                <w:i/>
                <w:iCs/>
              </w:rPr>
              <w:t xml:space="preserve"> </w:t>
            </w:r>
            <w:r w:rsidR="00956903" w:rsidRPr="001306F3">
              <w:rPr>
                <w:bCs/>
                <w:i/>
                <w:iCs/>
              </w:rPr>
              <w:t>pagrindin</w:t>
            </w:r>
            <w:r w:rsidR="00564B8D">
              <w:rPr>
                <w:bCs/>
                <w:i/>
                <w:iCs/>
              </w:rPr>
              <w:t>ių</w:t>
            </w:r>
            <w:r w:rsidR="00956903" w:rsidRPr="001306F3">
              <w:rPr>
                <w:bCs/>
                <w:i/>
                <w:iCs/>
              </w:rPr>
              <w:t xml:space="preserve"> teis</w:t>
            </w:r>
            <w:r w:rsidR="00564B8D">
              <w:rPr>
                <w:bCs/>
                <w:i/>
                <w:iCs/>
              </w:rPr>
              <w:t>ių</w:t>
            </w:r>
            <w:r w:rsidR="00236CE3" w:rsidRPr="001306F3">
              <w:rPr>
                <w:bCs/>
                <w:i/>
                <w:iCs/>
              </w:rPr>
              <w:t>:</w:t>
            </w:r>
            <w:r w:rsidR="00956903" w:rsidRPr="001306F3">
              <w:rPr>
                <w:bCs/>
                <w:i/>
                <w:iCs/>
              </w:rPr>
              <w:t xml:space="preserve"> orum</w:t>
            </w:r>
            <w:r w:rsidR="00564B8D">
              <w:rPr>
                <w:bCs/>
                <w:i/>
                <w:iCs/>
              </w:rPr>
              <w:t>o</w:t>
            </w:r>
            <w:r w:rsidR="00236CE3" w:rsidRPr="001306F3">
              <w:rPr>
                <w:bCs/>
                <w:i/>
                <w:iCs/>
              </w:rPr>
              <w:t>;</w:t>
            </w:r>
            <w:r w:rsidR="00956903" w:rsidRPr="001306F3">
              <w:rPr>
                <w:bCs/>
                <w:i/>
                <w:iCs/>
              </w:rPr>
              <w:t xml:space="preserve"> asmen</w:t>
            </w:r>
            <w:r w:rsidR="00236CE3" w:rsidRPr="001306F3">
              <w:rPr>
                <w:bCs/>
                <w:i/>
                <w:iCs/>
              </w:rPr>
              <w:t>ų</w:t>
            </w:r>
            <w:r w:rsidR="00956903" w:rsidRPr="001306F3">
              <w:rPr>
                <w:bCs/>
                <w:i/>
                <w:iCs/>
              </w:rPr>
              <w:t>, privat</w:t>
            </w:r>
            <w:r w:rsidR="00236CE3" w:rsidRPr="001306F3">
              <w:rPr>
                <w:bCs/>
                <w:i/>
                <w:iCs/>
              </w:rPr>
              <w:t>a</w:t>
            </w:r>
            <w:r w:rsidR="00956903" w:rsidRPr="001306F3">
              <w:rPr>
                <w:bCs/>
                <w:i/>
                <w:iCs/>
              </w:rPr>
              <w:t>us ir šeimos gyvenim</w:t>
            </w:r>
            <w:r w:rsidR="00564B8D">
              <w:rPr>
                <w:bCs/>
                <w:i/>
                <w:iCs/>
              </w:rPr>
              <w:t>o</w:t>
            </w:r>
            <w:r w:rsidR="00956903" w:rsidRPr="001306F3">
              <w:rPr>
                <w:bCs/>
                <w:i/>
                <w:iCs/>
              </w:rPr>
              <w:t>, sąžinės ir saviraiškos laisvės</w:t>
            </w:r>
            <w:r w:rsidR="00236CE3" w:rsidRPr="001306F3">
              <w:rPr>
                <w:bCs/>
                <w:i/>
                <w:iCs/>
              </w:rPr>
              <w:t>; asmens duomen</w:t>
            </w:r>
            <w:r w:rsidR="00564B8D">
              <w:rPr>
                <w:bCs/>
                <w:i/>
                <w:iCs/>
              </w:rPr>
              <w:t>ų</w:t>
            </w:r>
            <w:r w:rsidR="00236CE3" w:rsidRPr="001306F3">
              <w:rPr>
                <w:bCs/>
                <w:i/>
                <w:iCs/>
              </w:rPr>
              <w:t>; prieglobsči</w:t>
            </w:r>
            <w:r w:rsidR="00564B8D">
              <w:rPr>
                <w:bCs/>
                <w:i/>
                <w:iCs/>
              </w:rPr>
              <w:t>o</w:t>
            </w:r>
            <w:r w:rsidR="00236CE3" w:rsidRPr="001306F3">
              <w:rPr>
                <w:bCs/>
                <w:i/>
                <w:iCs/>
              </w:rPr>
              <w:t xml:space="preserve"> ir apsaugos </w:t>
            </w:r>
            <w:r w:rsidR="00760C33" w:rsidRPr="001306F3">
              <w:rPr>
                <w:bCs/>
                <w:i/>
                <w:iCs/>
              </w:rPr>
              <w:t>perkėlim</w:t>
            </w:r>
            <w:r w:rsidR="00564B8D">
              <w:rPr>
                <w:bCs/>
                <w:i/>
                <w:iCs/>
              </w:rPr>
              <w:t>o</w:t>
            </w:r>
            <w:r w:rsidR="00760C33" w:rsidRPr="001306F3">
              <w:rPr>
                <w:bCs/>
                <w:i/>
                <w:iCs/>
              </w:rPr>
              <w:t>, išsiuntimo ar išdavimo atvej</w:t>
            </w:r>
            <w:r w:rsidR="00564B8D">
              <w:rPr>
                <w:bCs/>
                <w:i/>
                <w:iCs/>
              </w:rPr>
              <w:t>ų</w:t>
            </w:r>
            <w:r w:rsidR="00760C33" w:rsidRPr="001306F3">
              <w:rPr>
                <w:bCs/>
                <w:i/>
                <w:iCs/>
              </w:rPr>
              <w:t>; teis</w:t>
            </w:r>
            <w:r w:rsidR="00564B8D">
              <w:rPr>
                <w:bCs/>
                <w:i/>
                <w:iCs/>
              </w:rPr>
              <w:t>ių</w:t>
            </w:r>
            <w:r w:rsidR="00760C33" w:rsidRPr="001306F3">
              <w:rPr>
                <w:bCs/>
                <w:i/>
                <w:iCs/>
              </w:rPr>
              <w:t xml:space="preserve"> į nuosavybę ir teis</w:t>
            </w:r>
            <w:r w:rsidR="00564B8D">
              <w:rPr>
                <w:bCs/>
                <w:i/>
                <w:iCs/>
              </w:rPr>
              <w:t>ių</w:t>
            </w:r>
            <w:r w:rsidR="00760C33" w:rsidRPr="001306F3">
              <w:rPr>
                <w:bCs/>
                <w:i/>
                <w:iCs/>
              </w:rPr>
              <w:t xml:space="preserve"> užsiimti verslu; lyčių lygy</w:t>
            </w:r>
            <w:r w:rsidR="00564B8D">
              <w:rPr>
                <w:bCs/>
                <w:i/>
                <w:iCs/>
              </w:rPr>
              <w:t>bės</w:t>
            </w:r>
            <w:r w:rsidR="00760C33" w:rsidRPr="001306F3">
              <w:rPr>
                <w:bCs/>
                <w:i/>
                <w:iCs/>
              </w:rPr>
              <w:t>, vienod</w:t>
            </w:r>
            <w:r w:rsidR="00B17F37">
              <w:rPr>
                <w:bCs/>
                <w:i/>
                <w:iCs/>
              </w:rPr>
              <w:t>o</w:t>
            </w:r>
            <w:r w:rsidR="00760C33" w:rsidRPr="001306F3">
              <w:rPr>
                <w:bCs/>
                <w:i/>
                <w:iCs/>
              </w:rPr>
              <w:t xml:space="preserve"> požiūri</w:t>
            </w:r>
            <w:r w:rsidR="00B17F37">
              <w:rPr>
                <w:bCs/>
                <w:i/>
                <w:iCs/>
              </w:rPr>
              <w:t>o</w:t>
            </w:r>
            <w:r w:rsidR="009D03D8" w:rsidRPr="001306F3">
              <w:rPr>
                <w:bCs/>
                <w:i/>
                <w:iCs/>
              </w:rPr>
              <w:t xml:space="preserve"> ir lyg</w:t>
            </w:r>
            <w:r w:rsidR="00446C14" w:rsidRPr="001306F3">
              <w:rPr>
                <w:bCs/>
                <w:i/>
                <w:iCs/>
              </w:rPr>
              <w:t>i</w:t>
            </w:r>
            <w:r w:rsidR="00B17F37">
              <w:rPr>
                <w:bCs/>
                <w:i/>
                <w:iCs/>
              </w:rPr>
              <w:t>ų</w:t>
            </w:r>
            <w:r w:rsidR="009D03D8" w:rsidRPr="001306F3">
              <w:rPr>
                <w:bCs/>
                <w:i/>
                <w:iCs/>
              </w:rPr>
              <w:t xml:space="preserve"> galimyb</w:t>
            </w:r>
            <w:r w:rsidR="00B17F37">
              <w:rPr>
                <w:bCs/>
                <w:i/>
                <w:iCs/>
              </w:rPr>
              <w:t>ių</w:t>
            </w:r>
            <w:r w:rsidR="009D03D8" w:rsidRPr="001306F3">
              <w:rPr>
                <w:bCs/>
                <w:i/>
                <w:iCs/>
              </w:rPr>
              <w:t>, nediskriminavim</w:t>
            </w:r>
            <w:r w:rsidR="00B17F37">
              <w:rPr>
                <w:bCs/>
                <w:i/>
                <w:iCs/>
              </w:rPr>
              <w:t>o</w:t>
            </w:r>
            <w:r w:rsidR="009D03D8" w:rsidRPr="001306F3">
              <w:rPr>
                <w:bCs/>
                <w:i/>
                <w:iCs/>
              </w:rPr>
              <w:t xml:space="preserve"> ir neįgaliųjų teis</w:t>
            </w:r>
            <w:r w:rsidR="00B17F37">
              <w:rPr>
                <w:bCs/>
                <w:i/>
                <w:iCs/>
              </w:rPr>
              <w:t>ių</w:t>
            </w:r>
            <w:r w:rsidR="009D03D8" w:rsidRPr="001306F3">
              <w:rPr>
                <w:bCs/>
                <w:i/>
                <w:iCs/>
              </w:rPr>
              <w:t>;</w:t>
            </w:r>
            <w:r w:rsidR="00AB4CCD" w:rsidRPr="001306F3">
              <w:rPr>
                <w:bCs/>
                <w:i/>
                <w:iCs/>
              </w:rPr>
              <w:t xml:space="preserve"> vaiko teis</w:t>
            </w:r>
            <w:r w:rsidR="00B17F37">
              <w:rPr>
                <w:bCs/>
                <w:i/>
                <w:iCs/>
              </w:rPr>
              <w:t>ių</w:t>
            </w:r>
            <w:r w:rsidR="00AB4CCD" w:rsidRPr="001306F3">
              <w:rPr>
                <w:bCs/>
                <w:i/>
                <w:iCs/>
              </w:rPr>
              <w:t>;</w:t>
            </w:r>
            <w:r w:rsidR="003A21ED" w:rsidRPr="001306F3">
              <w:rPr>
                <w:bCs/>
                <w:i/>
                <w:iCs/>
              </w:rPr>
              <w:t xml:space="preserve"> ger</w:t>
            </w:r>
            <w:r w:rsidR="00B17F37">
              <w:rPr>
                <w:bCs/>
                <w:i/>
                <w:iCs/>
              </w:rPr>
              <w:t>o</w:t>
            </w:r>
            <w:r w:rsidR="003A21ED" w:rsidRPr="001306F3">
              <w:rPr>
                <w:bCs/>
                <w:i/>
                <w:iCs/>
              </w:rPr>
              <w:t xml:space="preserve"> administravim</w:t>
            </w:r>
            <w:r w:rsidR="00B17F37">
              <w:rPr>
                <w:bCs/>
                <w:i/>
                <w:iCs/>
              </w:rPr>
              <w:t>o</w:t>
            </w:r>
            <w:r w:rsidR="003A21ED" w:rsidRPr="001306F3">
              <w:rPr>
                <w:bCs/>
                <w:i/>
                <w:iCs/>
              </w:rPr>
              <w:t>, veiksming</w:t>
            </w:r>
            <w:r w:rsidR="00B17F37">
              <w:rPr>
                <w:bCs/>
                <w:i/>
                <w:iCs/>
              </w:rPr>
              <w:t>o</w:t>
            </w:r>
            <w:r w:rsidR="003A21ED" w:rsidRPr="001306F3">
              <w:rPr>
                <w:bCs/>
                <w:i/>
                <w:iCs/>
              </w:rPr>
              <w:t xml:space="preserve"> teisin</w:t>
            </w:r>
            <w:r w:rsidR="00B17F37">
              <w:rPr>
                <w:bCs/>
                <w:i/>
                <w:iCs/>
              </w:rPr>
              <w:t>ės</w:t>
            </w:r>
            <w:r w:rsidR="003A21ED" w:rsidRPr="001306F3">
              <w:rPr>
                <w:bCs/>
                <w:i/>
                <w:iCs/>
              </w:rPr>
              <w:t xml:space="preserve"> gynyb</w:t>
            </w:r>
            <w:r w:rsidR="00B17F37">
              <w:rPr>
                <w:bCs/>
                <w:i/>
                <w:iCs/>
              </w:rPr>
              <w:t>os</w:t>
            </w:r>
            <w:r w:rsidR="003A21ED" w:rsidRPr="001306F3">
              <w:rPr>
                <w:bCs/>
                <w:i/>
                <w:iCs/>
              </w:rPr>
              <w:t>, teisingum</w:t>
            </w:r>
            <w:r w:rsidR="00B17F37">
              <w:rPr>
                <w:bCs/>
                <w:i/>
                <w:iCs/>
              </w:rPr>
              <w:t>o</w:t>
            </w:r>
            <w:r w:rsidR="003A21ED" w:rsidRPr="001306F3">
              <w:rPr>
                <w:bCs/>
                <w:i/>
                <w:iCs/>
              </w:rPr>
              <w:t>; solidarumo ir darbuotojų teis</w:t>
            </w:r>
            <w:r w:rsidR="00B17F37">
              <w:rPr>
                <w:bCs/>
                <w:i/>
                <w:iCs/>
              </w:rPr>
              <w:t>ių</w:t>
            </w:r>
            <w:r w:rsidR="003A21ED" w:rsidRPr="001306F3">
              <w:rPr>
                <w:bCs/>
                <w:i/>
                <w:iCs/>
              </w:rPr>
              <w:t>; aplinkos apsaug</w:t>
            </w:r>
            <w:r w:rsidR="00B17F37">
              <w:rPr>
                <w:bCs/>
                <w:i/>
                <w:iCs/>
              </w:rPr>
              <w:t>os</w:t>
            </w:r>
            <w:r w:rsidR="002D0418" w:rsidRPr="001306F3">
              <w:rPr>
                <w:bCs/>
                <w:i/>
                <w:iCs/>
              </w:rPr>
              <w:t>.</w:t>
            </w:r>
            <w:r w:rsidR="00760C33" w:rsidRPr="001306F3">
              <w:rPr>
                <w:bCs/>
                <w:i/>
                <w:iCs/>
              </w:rPr>
              <w:t xml:space="preserve"> </w:t>
            </w:r>
            <w:r w:rsidR="00956903">
              <w:rPr>
                <w:bCs/>
                <w:i/>
                <w:iCs/>
                <w:szCs w:val="24"/>
              </w:rPr>
              <w:t xml:space="preserve">  </w:t>
            </w:r>
          </w:p>
        </w:tc>
      </w:tr>
    </w:tbl>
    <w:p w14:paraId="2A20A757" w14:textId="77777777" w:rsidR="00482FB2"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3"/>
        <w:gridCol w:w="8529"/>
      </w:tblGrid>
      <w:tr w:rsidR="00482FB2" w14:paraId="51B3363E" w14:textId="77777777" w:rsidTr="38EBFEBC">
        <w:tc>
          <w:tcPr>
            <w:tcW w:w="6203" w:type="dxa"/>
            <w:shd w:val="clear" w:color="auto" w:fill="auto"/>
          </w:tcPr>
          <w:p w14:paraId="41C0751E" w14:textId="0162D317" w:rsidR="00482FB2" w:rsidRDefault="00FE7D2F">
            <w:pPr>
              <w:widowControl w:val="0"/>
              <w:jc w:val="both"/>
              <w:textAlignment w:val="baseline"/>
              <w:rPr>
                <w:b/>
                <w:bCs/>
                <w:sz w:val="22"/>
                <w:szCs w:val="22"/>
                <w:lang w:eastAsia="lt-LT"/>
              </w:rPr>
            </w:pPr>
            <w:r>
              <w:rPr>
                <w:szCs w:val="24"/>
              </w:rPr>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30199B">
              <w:rPr>
                <w:bCs/>
                <w:lang w:eastAsia="lt-LT"/>
              </w:rPr>
            </w:r>
            <w:r w:rsidR="0030199B">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t>□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529" w:type="dxa"/>
            <w:shd w:val="clear" w:color="auto" w:fill="auto"/>
          </w:tcPr>
          <w:p w14:paraId="736D2F4A" w14:textId="4748CBA2" w:rsidR="00482FB2" w:rsidRDefault="009B46E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0199B">
              <w:rPr>
                <w:bCs/>
                <w:lang w:eastAsia="lt-LT"/>
              </w:rPr>
            </w:r>
            <w:r w:rsidR="0030199B">
              <w:rPr>
                <w:bCs/>
                <w:lang w:eastAsia="lt-LT"/>
              </w:rPr>
              <w:fldChar w:fldCharType="separate"/>
            </w:r>
            <w:r w:rsidRPr="0025387A">
              <w:rPr>
                <w:bCs/>
                <w:lang w:eastAsia="lt-LT"/>
              </w:rPr>
              <w:fldChar w:fldCharType="end"/>
            </w:r>
            <w:r w:rsidR="00FE7D2F">
              <w:rPr>
                <w:b/>
                <w:bCs/>
                <w:szCs w:val="24"/>
                <w:lang w:eastAsia="lt-LT"/>
              </w:rPr>
              <w:t xml:space="preserve"> Nustatymas</w:t>
            </w:r>
          </w:p>
          <w:p w14:paraId="3EBC1D0C" w14:textId="4F0CFC23" w:rsidR="00482FB2" w:rsidRDefault="00FE7D2F">
            <w:pPr>
              <w:widowControl w:val="0"/>
              <w:jc w:val="both"/>
              <w:textAlignment w:val="baseline"/>
              <w:rPr>
                <w:szCs w:val="24"/>
              </w:rPr>
            </w:pPr>
            <w:r>
              <w:rPr>
                <w:b/>
                <w:bCs/>
                <w:szCs w:val="24"/>
                <w:lang w:eastAsia="lt-LT"/>
              </w:rPr>
              <w:t>□ Keitimas</w:t>
            </w:r>
          </w:p>
        </w:tc>
      </w:tr>
      <w:tr w:rsidR="00C34D73" w14:paraId="6C9B72A7" w14:textId="77777777" w:rsidTr="38EBFEBC">
        <w:tc>
          <w:tcPr>
            <w:tcW w:w="6203" w:type="dxa"/>
            <w:shd w:val="clear" w:color="auto" w:fill="auto"/>
            <w:vAlign w:val="center"/>
          </w:tcPr>
          <w:p w14:paraId="6334BD0A" w14:textId="6FE24095" w:rsidR="00C34D73" w:rsidRDefault="00C34D73" w:rsidP="00C34D73">
            <w:pPr>
              <w:widowControl w:val="0"/>
              <w:textAlignment w:val="baseline"/>
              <w:rPr>
                <w:b/>
                <w:bCs/>
                <w:szCs w:val="24"/>
                <w:lang w:eastAsia="lt-LT"/>
              </w:rPr>
            </w:pPr>
            <w:r>
              <w:rPr>
                <w:b/>
                <w:bCs/>
                <w:szCs w:val="24"/>
                <w:lang w:eastAsia="lt-LT"/>
              </w:rPr>
              <w:t>Projektų atrankos kriterijaus numeris ir pavadinimas</w:t>
            </w:r>
          </w:p>
        </w:tc>
        <w:tc>
          <w:tcPr>
            <w:tcW w:w="8529" w:type="dxa"/>
            <w:shd w:val="clear" w:color="auto" w:fill="auto"/>
          </w:tcPr>
          <w:p w14:paraId="794524A3" w14:textId="7ABC3F74" w:rsidR="00C34D73" w:rsidRPr="00CD64C5" w:rsidRDefault="00C34D73" w:rsidP="5A0FFD7D">
            <w:pPr>
              <w:pStyle w:val="Sraopastraipa"/>
              <w:widowControl w:val="0"/>
              <w:numPr>
                <w:ilvl w:val="0"/>
                <w:numId w:val="1"/>
              </w:numPr>
              <w:tabs>
                <w:tab w:val="left" w:pos="289"/>
              </w:tabs>
              <w:ind w:left="0" w:firstLine="0"/>
              <w:jc w:val="both"/>
              <w:textAlignment w:val="baseline"/>
              <w:rPr>
                <w:b/>
                <w:bCs/>
                <w:i/>
                <w:iCs/>
                <w:lang w:eastAsia="lt-LT"/>
              </w:rPr>
            </w:pPr>
            <w:r w:rsidRPr="132CB49E">
              <w:rPr>
                <w:b/>
                <w:bCs/>
                <w:i/>
                <w:iCs/>
                <w:lang w:eastAsia="lt-LT"/>
              </w:rPr>
              <w:t xml:space="preserve">Projekte suplanuotos veiklos atitinka </w:t>
            </w:r>
            <w:hyperlink r:id="rId16">
              <w:r w:rsidRPr="132CB49E">
                <w:rPr>
                  <w:rStyle w:val="Hipersaitas"/>
                  <w:b/>
                  <w:bCs/>
                  <w:i/>
                  <w:iCs/>
                  <w:lang w:eastAsia="lt-LT"/>
                </w:rPr>
                <w:t>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w:t>
              </w:r>
            </w:hyperlink>
            <w:r w:rsidRPr="132CB49E">
              <w:rPr>
                <w:b/>
                <w:bCs/>
                <w:i/>
                <w:iCs/>
                <w:lang w:eastAsia="lt-LT"/>
              </w:rPr>
              <w:t xml:space="preserve">, nuostatas (toliau </w:t>
            </w:r>
            <w:r w:rsidRPr="132CB49E">
              <w:rPr>
                <w:b/>
                <w:bCs/>
                <w:i/>
                <w:iCs/>
              </w:rPr>
              <w:t>– Koncepcija)</w:t>
            </w:r>
            <w:r w:rsidRPr="132CB49E">
              <w:rPr>
                <w:b/>
                <w:bCs/>
                <w:i/>
                <w:iCs/>
                <w:lang w:eastAsia="lt-LT"/>
              </w:rPr>
              <w:t xml:space="preserve"> ir bent vieno šios Koncepcijos prioriteto įgyvendinimo tematiką.</w:t>
            </w:r>
          </w:p>
        </w:tc>
      </w:tr>
      <w:tr w:rsidR="00C34D73" w14:paraId="225452A9" w14:textId="77777777" w:rsidTr="38EBFEBC">
        <w:tc>
          <w:tcPr>
            <w:tcW w:w="6203" w:type="dxa"/>
            <w:shd w:val="clear" w:color="auto" w:fill="auto"/>
            <w:vAlign w:val="center"/>
          </w:tcPr>
          <w:p w14:paraId="228A712C" w14:textId="56261FD1" w:rsidR="00C34D73" w:rsidRDefault="00C34D73" w:rsidP="00C34D73">
            <w:pPr>
              <w:widowControl w:val="0"/>
              <w:textAlignment w:val="baseline"/>
              <w:rPr>
                <w:b/>
                <w:bCs/>
                <w:szCs w:val="24"/>
                <w:lang w:eastAsia="lt-LT"/>
              </w:rPr>
            </w:pPr>
            <w:r>
              <w:rPr>
                <w:b/>
                <w:bCs/>
                <w:szCs w:val="24"/>
                <w:lang w:eastAsia="lt-LT"/>
              </w:rPr>
              <w:t>Projektų atrankos kriterijaus vertinimo metodas ir taikymas</w:t>
            </w:r>
          </w:p>
        </w:tc>
        <w:tc>
          <w:tcPr>
            <w:tcW w:w="8529" w:type="dxa"/>
            <w:shd w:val="clear" w:color="auto" w:fill="auto"/>
          </w:tcPr>
          <w:p w14:paraId="74595665" w14:textId="3B835E8E" w:rsidR="00C34D73" w:rsidRPr="000E7075" w:rsidRDefault="00C34D73" w:rsidP="00C34D73">
            <w:pPr>
              <w:widowControl w:val="0"/>
              <w:jc w:val="both"/>
              <w:textAlignment w:val="baseline"/>
              <w:rPr>
                <w:bCs/>
                <w:i/>
                <w:iCs/>
                <w:szCs w:val="24"/>
                <w:lang w:eastAsia="lt-LT"/>
              </w:rPr>
            </w:pPr>
            <w:r>
              <w:rPr>
                <w:bCs/>
                <w:i/>
                <w:szCs w:val="24"/>
                <w:lang w:eastAsia="lt-LT"/>
              </w:rPr>
              <w:t xml:space="preserve">Vertinama, </w:t>
            </w:r>
            <w:r w:rsidRPr="000F6B6F">
              <w:rPr>
                <w:bCs/>
                <w:i/>
                <w:szCs w:val="24"/>
                <w:lang w:eastAsia="lt-LT"/>
              </w:rPr>
              <w:t xml:space="preserve">ar projektas prisideda prie </w:t>
            </w:r>
            <w:r>
              <w:rPr>
                <w:bCs/>
                <w:i/>
                <w:szCs w:val="24"/>
                <w:lang w:eastAsia="lt-LT"/>
              </w:rPr>
              <w:t xml:space="preserve">Koncepcijos </w:t>
            </w:r>
            <w:r w:rsidRPr="000F6B6F">
              <w:rPr>
                <w:bCs/>
                <w:i/>
                <w:szCs w:val="24"/>
                <w:lang w:eastAsia="lt-LT"/>
              </w:rPr>
              <w:t>ir atitinka bent vieno</w:t>
            </w:r>
            <w:r>
              <w:rPr>
                <w:bCs/>
                <w:i/>
                <w:szCs w:val="24"/>
                <w:lang w:eastAsia="lt-LT"/>
              </w:rPr>
              <w:t xml:space="preserve"> šios Koncepcijos</w:t>
            </w:r>
            <w:r w:rsidRPr="000F6B6F">
              <w:rPr>
                <w:bCs/>
                <w:i/>
                <w:szCs w:val="24"/>
                <w:lang w:eastAsia="lt-LT"/>
              </w:rPr>
              <w:t xml:space="preserve"> prioriteto įgyvendinimo tematiką</w:t>
            </w:r>
            <w:r>
              <w:rPr>
                <w:bCs/>
                <w:i/>
                <w:szCs w:val="24"/>
                <w:lang w:eastAsia="lt-LT"/>
              </w:rPr>
              <w:t>.</w:t>
            </w:r>
          </w:p>
        </w:tc>
      </w:tr>
      <w:tr w:rsidR="00C34D73" w14:paraId="394004C0" w14:textId="77777777" w:rsidTr="38EBFEBC">
        <w:tc>
          <w:tcPr>
            <w:tcW w:w="6203" w:type="dxa"/>
            <w:shd w:val="clear" w:color="auto" w:fill="auto"/>
            <w:vAlign w:val="center"/>
          </w:tcPr>
          <w:p w14:paraId="17F3DB83" w14:textId="4623DD08" w:rsidR="00C34D73" w:rsidRDefault="00C34D73" w:rsidP="00C34D73">
            <w:pPr>
              <w:widowControl w:val="0"/>
              <w:textAlignment w:val="baseline"/>
              <w:rPr>
                <w:b/>
                <w:bCs/>
                <w:szCs w:val="24"/>
                <w:lang w:eastAsia="lt-LT"/>
              </w:rPr>
            </w:pPr>
            <w:r>
              <w:rPr>
                <w:b/>
                <w:bCs/>
                <w:szCs w:val="24"/>
                <w:lang w:eastAsia="lt-LT"/>
              </w:rPr>
              <w:t>Projektų atrankos kriterijaus pasirinkimo pagrindimas</w:t>
            </w:r>
          </w:p>
        </w:tc>
        <w:tc>
          <w:tcPr>
            <w:tcW w:w="8529" w:type="dxa"/>
            <w:shd w:val="clear" w:color="auto" w:fill="auto"/>
          </w:tcPr>
          <w:p w14:paraId="36062158" w14:textId="5189FEA0" w:rsidR="00E3266F" w:rsidRDefault="00C34D73" w:rsidP="5A0FFD7D">
            <w:pPr>
              <w:jc w:val="both"/>
              <w:rPr>
                <w:i/>
                <w:iCs/>
                <w:lang w:eastAsia="lt-LT"/>
              </w:rPr>
            </w:pPr>
            <w:r w:rsidRPr="5A0FFD7D">
              <w:rPr>
                <w:i/>
                <w:iCs/>
                <w:lang w:eastAsia="lt-LT"/>
              </w:rPr>
              <w:t>Nustatytas kriterijus</w:t>
            </w:r>
            <w:r w:rsidRPr="5A0FFD7D">
              <w:rPr>
                <w:i/>
                <w:iCs/>
              </w:rPr>
              <w:t xml:space="preserve"> </w:t>
            </w:r>
            <w:r w:rsidRPr="5A0FFD7D">
              <w:rPr>
                <w:i/>
                <w:iCs/>
                <w:lang w:eastAsia="lt-LT"/>
              </w:rPr>
              <w:t>padės atrinkti tuos projektus, kurie atitinka Investicijų programos 1 prioriteto „Pažangesnė Lietuva“ 1.</w:t>
            </w:r>
            <w:r w:rsidR="003742AF" w:rsidRPr="00E74C09">
              <w:rPr>
                <w:i/>
                <w:iCs/>
                <w:lang w:eastAsia="lt-LT"/>
              </w:rPr>
              <w:t>4</w:t>
            </w:r>
            <w:r w:rsidRPr="5A0FFD7D">
              <w:rPr>
                <w:i/>
                <w:iCs/>
                <w:lang w:eastAsia="lt-LT"/>
              </w:rPr>
              <w:t xml:space="preserve"> konkretaus uždavinio „</w:t>
            </w:r>
            <w:r w:rsidR="003742AF" w:rsidRPr="5A0FFD7D">
              <w:rPr>
                <w:i/>
                <w:iCs/>
                <w:lang w:eastAsia="lt-LT"/>
              </w:rPr>
              <w:t>Ugdyti pažangiajai specializacijai, pramonės pertvarkai ir verslumui reikalingus įgūdžius“</w:t>
            </w:r>
            <w:r w:rsidRPr="5A0FFD7D">
              <w:rPr>
                <w:i/>
                <w:iCs/>
                <w:lang w:eastAsia="lt-LT"/>
              </w:rPr>
              <w:t xml:space="preserve"> tikslus </w:t>
            </w:r>
            <w:r w:rsidR="00E3266F" w:rsidRPr="5A0FFD7D">
              <w:rPr>
                <w:i/>
                <w:iCs/>
                <w:lang w:eastAsia="lt-LT"/>
              </w:rPr>
              <w:t xml:space="preserve">siekiant paskatinti </w:t>
            </w:r>
            <w:r w:rsidR="00CE6626" w:rsidRPr="5A0FFD7D">
              <w:rPr>
                <w:i/>
                <w:iCs/>
                <w:lang w:eastAsia="lt-LT"/>
              </w:rPr>
              <w:t xml:space="preserve">labai mažų, mažų ir vidutinių įmonių (toliau – MVĮ) </w:t>
            </w:r>
            <w:r w:rsidR="00E3266F" w:rsidRPr="5A0FFD7D">
              <w:rPr>
                <w:i/>
                <w:iCs/>
                <w:lang w:eastAsia="lt-LT"/>
              </w:rPr>
              <w:t>konkurencingumo augimą, išnaudojant MVĮ specializaciją</w:t>
            </w:r>
            <w:r w:rsidR="005A7CD1">
              <w:rPr>
                <w:i/>
                <w:iCs/>
                <w:lang w:eastAsia="lt-LT"/>
              </w:rPr>
              <w:t>, vadybos ir</w:t>
            </w:r>
            <w:r w:rsidR="00E3266F" w:rsidRPr="5A0FFD7D">
              <w:rPr>
                <w:i/>
                <w:iCs/>
                <w:lang w:eastAsia="lt-LT"/>
              </w:rPr>
              <w:t xml:space="preserve"> valdymo gebėjimus.</w:t>
            </w:r>
          </w:p>
          <w:p w14:paraId="01E7EB71" w14:textId="30EF3ED3" w:rsidR="00C34D73" w:rsidRPr="00B034A0" w:rsidRDefault="00C34D73" w:rsidP="00C34D73">
            <w:pPr>
              <w:widowControl w:val="0"/>
              <w:jc w:val="both"/>
              <w:textAlignment w:val="baseline"/>
              <w:rPr>
                <w:bCs/>
                <w:i/>
                <w:iCs/>
                <w:szCs w:val="24"/>
                <w:lang w:eastAsia="lt-LT"/>
              </w:rPr>
            </w:pPr>
            <w:r>
              <w:rPr>
                <w:bCs/>
                <w:i/>
                <w:iCs/>
                <w:lang w:eastAsia="lt-LT"/>
              </w:rPr>
              <w:t xml:space="preserve">Šis kriterijus reikalingas siekiant įgyvendinti būtiną Investicijų programos </w:t>
            </w:r>
            <w:r w:rsidRPr="00E74C09">
              <w:rPr>
                <w:bCs/>
                <w:i/>
                <w:iCs/>
                <w:lang w:eastAsia="lt-LT"/>
              </w:rPr>
              <w:t xml:space="preserve">1 </w:t>
            </w:r>
            <w:r w:rsidRPr="000E182F">
              <w:rPr>
                <w:bCs/>
                <w:i/>
                <w:iCs/>
                <w:lang w:eastAsia="lt-LT"/>
              </w:rPr>
              <w:t>prioriteto „Pažangesnė Lietuva“</w:t>
            </w:r>
            <w:r>
              <w:rPr>
                <w:bCs/>
                <w:i/>
                <w:iCs/>
                <w:lang w:eastAsia="lt-LT"/>
              </w:rPr>
              <w:t xml:space="preserve"> </w:t>
            </w:r>
            <w:r w:rsidRPr="000E182F">
              <w:rPr>
                <w:bCs/>
                <w:i/>
                <w:iCs/>
                <w:lang w:eastAsia="lt-LT"/>
              </w:rPr>
              <w:t>1.</w:t>
            </w:r>
            <w:r w:rsidR="003742AF">
              <w:rPr>
                <w:bCs/>
                <w:i/>
                <w:iCs/>
                <w:lang w:eastAsia="lt-LT"/>
              </w:rPr>
              <w:t>4</w:t>
            </w:r>
            <w:r w:rsidRPr="000E182F">
              <w:rPr>
                <w:bCs/>
                <w:i/>
                <w:iCs/>
                <w:lang w:eastAsia="lt-LT"/>
              </w:rPr>
              <w:t xml:space="preserve"> konkretaus uždavinio „</w:t>
            </w:r>
            <w:r w:rsidR="003742AF" w:rsidRPr="003742AF">
              <w:rPr>
                <w:bCs/>
                <w:i/>
                <w:iCs/>
                <w:lang w:eastAsia="lt-LT"/>
              </w:rPr>
              <w:t>Ugdyti pažangiajai specializacijai, pramonės pertvarkai ir verslumui reikalingus įgūdžius“</w:t>
            </w:r>
            <w:r w:rsidRPr="000E182F">
              <w:rPr>
                <w:bCs/>
                <w:i/>
                <w:iCs/>
                <w:lang w:eastAsia="lt-LT"/>
              </w:rPr>
              <w:t xml:space="preserve"> </w:t>
            </w:r>
            <w:r>
              <w:rPr>
                <w:bCs/>
                <w:i/>
                <w:iCs/>
                <w:lang w:eastAsia="lt-LT"/>
              </w:rPr>
              <w:t>išankstinę sąlygą.</w:t>
            </w:r>
          </w:p>
        </w:tc>
      </w:tr>
      <w:tr w:rsidR="00C34D73" w14:paraId="776F8450" w14:textId="77777777" w:rsidTr="38EBFEBC">
        <w:tc>
          <w:tcPr>
            <w:tcW w:w="6203" w:type="dxa"/>
            <w:shd w:val="clear" w:color="auto" w:fill="auto"/>
          </w:tcPr>
          <w:p w14:paraId="42AD0CAA" w14:textId="122BC2B8" w:rsidR="00C34D73" w:rsidRDefault="00C34D73" w:rsidP="00C34D73">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0199B">
              <w:rPr>
                <w:bCs/>
                <w:lang w:eastAsia="lt-LT"/>
              </w:rPr>
            </w:r>
            <w:r w:rsidR="0030199B">
              <w:rPr>
                <w:bCs/>
                <w:lang w:eastAsia="lt-LT"/>
              </w:rPr>
              <w:fldChar w:fldCharType="separate"/>
            </w:r>
            <w:r w:rsidRPr="0025387A">
              <w:rPr>
                <w:bCs/>
                <w:lang w:eastAsia="lt-LT"/>
              </w:rPr>
              <w:fldChar w:fldCharType="end"/>
            </w:r>
            <w:r>
              <w:rPr>
                <w:b/>
                <w:bCs/>
                <w:sz w:val="22"/>
                <w:szCs w:val="22"/>
                <w:lang w:eastAsia="lt-LT"/>
              </w:rPr>
              <w:t xml:space="preserve"> SPECIALUSIS PROJEKTŲ ATRANKOS KRITERIJUS</w:t>
            </w:r>
          </w:p>
          <w:p w14:paraId="03CBACC1" w14:textId="77777777" w:rsidR="00C34D73" w:rsidRDefault="00C34D73" w:rsidP="00C34D73">
            <w:pPr>
              <w:widowControl w:val="0"/>
              <w:jc w:val="both"/>
              <w:textAlignment w:val="baseline"/>
              <w:rPr>
                <w:b/>
                <w:bCs/>
                <w:sz w:val="22"/>
                <w:szCs w:val="22"/>
                <w:lang w:eastAsia="lt-LT"/>
              </w:rPr>
            </w:pPr>
            <w:r>
              <w:rPr>
                <w:b/>
                <w:bCs/>
                <w:sz w:val="22"/>
                <w:szCs w:val="22"/>
                <w:lang w:eastAsia="lt-LT"/>
              </w:rPr>
              <w:t>□ PRIORITETINIS PROJEKTŲ ATRANKOS KRITERIJUS</w:t>
            </w:r>
          </w:p>
          <w:p w14:paraId="0B473CAF" w14:textId="37AF172B" w:rsidR="00C34D73" w:rsidRDefault="00C34D73" w:rsidP="00C34D73">
            <w:pPr>
              <w:widowControl w:val="0"/>
              <w:textAlignment w:val="baseline"/>
              <w:rPr>
                <w:b/>
                <w:bCs/>
                <w:szCs w:val="24"/>
                <w:lang w:eastAsia="lt-LT"/>
              </w:rPr>
            </w:pPr>
            <w:r>
              <w:rPr>
                <w:i/>
                <w:szCs w:val="24"/>
              </w:rPr>
              <w:t>(Pažymimas vienas iš galimų projektų atrankos kriterijų tipų.)</w:t>
            </w:r>
          </w:p>
        </w:tc>
        <w:tc>
          <w:tcPr>
            <w:tcW w:w="8529" w:type="dxa"/>
            <w:shd w:val="clear" w:color="auto" w:fill="auto"/>
          </w:tcPr>
          <w:p w14:paraId="5318A928" w14:textId="33D9CE08" w:rsidR="00C34D73" w:rsidRDefault="00C34D73" w:rsidP="00C34D73">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0199B">
              <w:rPr>
                <w:bCs/>
                <w:lang w:eastAsia="lt-LT"/>
              </w:rPr>
            </w:r>
            <w:r w:rsidR="0030199B">
              <w:rPr>
                <w:bCs/>
                <w:lang w:eastAsia="lt-LT"/>
              </w:rPr>
              <w:fldChar w:fldCharType="separate"/>
            </w:r>
            <w:r w:rsidRPr="0025387A">
              <w:rPr>
                <w:bCs/>
                <w:lang w:eastAsia="lt-LT"/>
              </w:rPr>
              <w:fldChar w:fldCharType="end"/>
            </w:r>
            <w:r>
              <w:rPr>
                <w:b/>
                <w:bCs/>
                <w:szCs w:val="24"/>
                <w:lang w:eastAsia="lt-LT"/>
              </w:rPr>
              <w:t xml:space="preserve"> Nustatymas</w:t>
            </w:r>
          </w:p>
          <w:p w14:paraId="46EFC543" w14:textId="741E49E1" w:rsidR="00C34D73" w:rsidRDefault="00C34D73" w:rsidP="00C34D73">
            <w:pPr>
              <w:widowControl w:val="0"/>
              <w:jc w:val="both"/>
              <w:textAlignment w:val="baseline"/>
              <w:rPr>
                <w:bCs/>
                <w:i/>
                <w:szCs w:val="24"/>
                <w:lang w:eastAsia="lt-LT"/>
              </w:rPr>
            </w:pPr>
            <w:r>
              <w:rPr>
                <w:b/>
                <w:bCs/>
                <w:szCs w:val="24"/>
                <w:lang w:eastAsia="lt-LT"/>
              </w:rPr>
              <w:t>□ Keitimas</w:t>
            </w:r>
          </w:p>
        </w:tc>
      </w:tr>
      <w:tr w:rsidR="00C34D73" w14:paraId="3D8E03B1" w14:textId="77777777" w:rsidTr="38EBFEBC">
        <w:trPr>
          <w:trHeight w:val="584"/>
        </w:trPr>
        <w:tc>
          <w:tcPr>
            <w:tcW w:w="6203" w:type="dxa"/>
            <w:shd w:val="clear" w:color="auto" w:fill="auto"/>
            <w:vAlign w:val="center"/>
          </w:tcPr>
          <w:p w14:paraId="1607BE76" w14:textId="49054196" w:rsidR="00C34D73" w:rsidRDefault="00C34D73" w:rsidP="009C6249">
            <w:pPr>
              <w:widowControl w:val="0"/>
              <w:contextualSpacing/>
              <w:textAlignment w:val="baseline"/>
              <w:rPr>
                <w:b/>
                <w:bCs/>
                <w:szCs w:val="24"/>
                <w:lang w:eastAsia="lt-LT"/>
              </w:rPr>
            </w:pPr>
            <w:r>
              <w:rPr>
                <w:b/>
                <w:bCs/>
                <w:szCs w:val="24"/>
                <w:lang w:eastAsia="lt-LT"/>
              </w:rPr>
              <w:t>Projektų atrankos kriterijaus numeris ir pavadinimas</w:t>
            </w:r>
          </w:p>
        </w:tc>
        <w:tc>
          <w:tcPr>
            <w:tcW w:w="8529" w:type="dxa"/>
            <w:shd w:val="clear" w:color="auto" w:fill="auto"/>
          </w:tcPr>
          <w:p w14:paraId="42226BCA" w14:textId="593E9747" w:rsidR="00DA231C" w:rsidRPr="00EA3FEF" w:rsidRDefault="00932D60" w:rsidP="009C6249">
            <w:pPr>
              <w:pStyle w:val="Sraopastraipa"/>
              <w:widowControl w:val="0"/>
              <w:numPr>
                <w:ilvl w:val="0"/>
                <w:numId w:val="1"/>
              </w:numPr>
              <w:tabs>
                <w:tab w:val="left" w:pos="289"/>
              </w:tabs>
              <w:ind w:left="0" w:firstLine="0"/>
              <w:jc w:val="both"/>
              <w:textAlignment w:val="baseline"/>
              <w:rPr>
                <w:b/>
                <w:i/>
                <w:szCs w:val="24"/>
                <w:lang w:eastAsia="lt-LT"/>
              </w:rPr>
            </w:pPr>
            <w:r w:rsidRPr="00EA3FEF">
              <w:rPr>
                <w:b/>
                <w:i/>
                <w:szCs w:val="24"/>
                <w:lang w:eastAsia="lt-LT"/>
              </w:rPr>
              <w:t xml:space="preserve">Pareiškėjo ir partnerio (-ių) patirtis teikiant </w:t>
            </w:r>
            <w:r w:rsidR="003F0963" w:rsidRPr="00EA3FEF">
              <w:rPr>
                <w:b/>
                <w:i/>
                <w:szCs w:val="24"/>
                <w:lang w:eastAsia="lt-LT"/>
              </w:rPr>
              <w:t xml:space="preserve">mokymų paslaugas </w:t>
            </w:r>
            <w:r w:rsidRPr="00EA3FEF">
              <w:rPr>
                <w:b/>
                <w:i/>
                <w:szCs w:val="24"/>
                <w:lang w:eastAsia="lt-LT"/>
              </w:rPr>
              <w:t>galutiniam naudos gavėjui.</w:t>
            </w:r>
          </w:p>
        </w:tc>
      </w:tr>
      <w:tr w:rsidR="002C31EC" w14:paraId="6E841AF3" w14:textId="77777777" w:rsidTr="38EBFEBC">
        <w:tc>
          <w:tcPr>
            <w:tcW w:w="6203" w:type="dxa"/>
            <w:shd w:val="clear" w:color="auto" w:fill="auto"/>
            <w:vAlign w:val="center"/>
          </w:tcPr>
          <w:p w14:paraId="3D445D75" w14:textId="4200A330" w:rsidR="002C31EC" w:rsidRDefault="001C14EF" w:rsidP="00C34D73">
            <w:pPr>
              <w:widowControl w:val="0"/>
              <w:textAlignment w:val="baseline"/>
              <w:rPr>
                <w:b/>
                <w:bCs/>
                <w:szCs w:val="24"/>
                <w:lang w:eastAsia="lt-LT"/>
              </w:rPr>
            </w:pPr>
            <w:r w:rsidRPr="001C14EF">
              <w:rPr>
                <w:b/>
                <w:bCs/>
                <w:szCs w:val="24"/>
                <w:lang w:eastAsia="lt-LT"/>
              </w:rPr>
              <w:t>Projektų atrankos kriterijaus vertinimo metodas ir taikymas</w:t>
            </w:r>
          </w:p>
        </w:tc>
        <w:tc>
          <w:tcPr>
            <w:tcW w:w="8529" w:type="dxa"/>
            <w:shd w:val="clear" w:color="auto" w:fill="auto"/>
          </w:tcPr>
          <w:p w14:paraId="3EC64C14" w14:textId="58616F8F" w:rsidR="00E131BB" w:rsidRDefault="002C31EC" w:rsidP="002C31EC">
            <w:pPr>
              <w:jc w:val="both"/>
              <w:rPr>
                <w:bCs/>
                <w:i/>
                <w:iCs/>
                <w:lang w:eastAsia="lt-LT"/>
              </w:rPr>
            </w:pPr>
            <w:r w:rsidRPr="002C31EC">
              <w:rPr>
                <w:bCs/>
                <w:i/>
                <w:iCs/>
                <w:lang w:eastAsia="lt-LT"/>
              </w:rPr>
              <w:t>Vertinant būtina įsitikinti, kad pareiškėjas ir partneris (-iai) turi pakankamai patirties teikti mokymų paslaugas galutiniam naudos gavėjui. Mokymų paslaugas teikiančių asmenų kompetencija turi tenkinti šiuos reikalavimus</w:t>
            </w:r>
            <w:r w:rsidR="0016070C">
              <w:rPr>
                <w:bCs/>
                <w:i/>
                <w:iCs/>
                <w:lang w:eastAsia="lt-LT"/>
              </w:rPr>
              <w:t xml:space="preserve">. </w:t>
            </w:r>
            <w:r w:rsidRPr="002C31EC">
              <w:rPr>
                <w:bCs/>
                <w:i/>
                <w:iCs/>
                <w:lang w:eastAsia="lt-LT"/>
              </w:rPr>
              <w:t xml:space="preserve"> </w:t>
            </w:r>
          </w:p>
          <w:p w14:paraId="008A6E90" w14:textId="7F5EF8F3" w:rsidR="002C31EC" w:rsidRPr="001C14EF" w:rsidRDefault="0016070C" w:rsidP="002C31EC">
            <w:pPr>
              <w:jc w:val="both"/>
              <w:rPr>
                <w:i/>
                <w:iCs/>
                <w:lang w:eastAsia="lt-LT"/>
              </w:rPr>
            </w:pPr>
            <w:r w:rsidRPr="001C14EF">
              <w:rPr>
                <w:i/>
                <w:iCs/>
                <w:lang w:eastAsia="lt-LT"/>
              </w:rPr>
              <w:t xml:space="preserve">Reikalavimai, taikomi </w:t>
            </w:r>
            <w:r w:rsidR="0096157D" w:rsidRPr="001C14EF">
              <w:rPr>
                <w:i/>
                <w:iCs/>
                <w:lang w:eastAsia="lt-LT"/>
              </w:rPr>
              <w:t>pareiškėjo ir partnerio(-ių) suformuotos projektą vykdančių asmenų komandos vadovui:</w:t>
            </w:r>
          </w:p>
          <w:p w14:paraId="59C04BF3" w14:textId="77777777" w:rsidR="002C31EC" w:rsidRPr="002C31EC" w:rsidRDefault="002C31EC" w:rsidP="002C31EC">
            <w:pPr>
              <w:jc w:val="both"/>
              <w:rPr>
                <w:bCs/>
                <w:i/>
                <w:iCs/>
                <w:lang w:eastAsia="lt-LT"/>
              </w:rPr>
            </w:pPr>
            <w:r w:rsidRPr="002C31EC">
              <w:rPr>
                <w:bCs/>
                <w:i/>
                <w:iCs/>
                <w:lang w:eastAsia="lt-LT"/>
              </w:rPr>
              <w:t>1. asmuo turi turėti aukštąjį universitetinį arba jam prilygintą išsilavinimą;</w:t>
            </w:r>
          </w:p>
          <w:p w14:paraId="412E879D" w14:textId="19178A46" w:rsidR="002C31EC" w:rsidRPr="002C31EC" w:rsidRDefault="38EBFEBC" w:rsidP="38EBFEBC">
            <w:pPr>
              <w:jc w:val="both"/>
              <w:rPr>
                <w:i/>
                <w:iCs/>
                <w:lang w:eastAsia="lt-LT"/>
              </w:rPr>
            </w:pPr>
            <w:r w:rsidRPr="38EBFEBC">
              <w:rPr>
                <w:i/>
                <w:iCs/>
                <w:lang w:eastAsia="lt-LT"/>
              </w:rPr>
              <w:lastRenderedPageBreak/>
              <w:t>2. asmuo turi turėti ne mažiau kaip 2 metų darbo patirtį, per paskutinius trejus metus,  inovacijų skatinimo,</w:t>
            </w:r>
            <w:r w:rsidR="003D30AA" w:rsidRPr="003D30AA">
              <w:rPr>
                <w:sz w:val="22"/>
                <w:szCs w:val="22"/>
                <w:lang w:eastAsia="lt-LT"/>
              </w:rPr>
              <w:t xml:space="preserve"> </w:t>
            </w:r>
            <w:r w:rsidR="00DF7F41" w:rsidRPr="00DF7F41">
              <w:rPr>
                <w:i/>
                <w:iCs/>
                <w:lang w:eastAsia="lt-LT"/>
              </w:rPr>
              <w:t>m</w:t>
            </w:r>
            <w:r w:rsidR="003D30AA" w:rsidRPr="00DF7F41">
              <w:rPr>
                <w:i/>
                <w:iCs/>
                <w:lang w:eastAsia="lt-LT"/>
              </w:rPr>
              <w:t>ok</w:t>
            </w:r>
            <w:r w:rsidR="003D30AA" w:rsidRPr="003D30AA">
              <w:rPr>
                <w:i/>
                <w:iCs/>
                <w:lang w:eastAsia="lt-LT"/>
              </w:rPr>
              <w:t>slinių tyrimų, eksperimentinės plėtros ir inovacijų</w:t>
            </w:r>
            <w:r w:rsidR="003D30AA">
              <w:rPr>
                <w:i/>
                <w:iCs/>
                <w:lang w:eastAsia="lt-LT"/>
              </w:rPr>
              <w:t xml:space="preserve"> (toliau </w:t>
            </w:r>
            <w:r w:rsidR="003D30AA" w:rsidRPr="003D30AA">
              <w:rPr>
                <w:b/>
                <w:bCs/>
                <w:i/>
                <w:iCs/>
                <w:lang w:eastAsia="lt-LT"/>
              </w:rPr>
              <w:t xml:space="preserve">– </w:t>
            </w:r>
            <w:r w:rsidRPr="38EBFEBC">
              <w:rPr>
                <w:i/>
                <w:iCs/>
                <w:lang w:eastAsia="lt-LT"/>
              </w:rPr>
              <w:t>MTEPI</w:t>
            </w:r>
            <w:r w:rsidR="003D30AA">
              <w:rPr>
                <w:i/>
                <w:iCs/>
                <w:lang w:eastAsia="lt-LT"/>
              </w:rPr>
              <w:t>)</w:t>
            </w:r>
            <w:r w:rsidRPr="38EBFEBC">
              <w:rPr>
                <w:i/>
                <w:iCs/>
                <w:lang w:eastAsia="lt-LT"/>
              </w:rPr>
              <w:t xml:space="preserve"> rezultatų komercinimo ir/ar žinių ir technologijų perdavimo srityje;</w:t>
            </w:r>
          </w:p>
          <w:p w14:paraId="31156B47" w14:textId="04D30124" w:rsidR="002C31EC" w:rsidRPr="002C31EC" w:rsidRDefault="38EBFEBC" w:rsidP="38EBFEBC">
            <w:pPr>
              <w:jc w:val="both"/>
              <w:rPr>
                <w:i/>
                <w:iCs/>
                <w:lang w:eastAsia="lt-LT"/>
              </w:rPr>
            </w:pPr>
            <w:r w:rsidRPr="38EBFEBC">
              <w:rPr>
                <w:i/>
                <w:iCs/>
                <w:lang w:eastAsia="lt-LT"/>
              </w:rPr>
              <w:t xml:space="preserve">3. asmuo turi būti teikęs konsultacijas, susijusias su atitinkamo </w:t>
            </w:r>
            <w:r w:rsidR="002806CF">
              <w:rPr>
                <w:i/>
                <w:iCs/>
                <w:lang w:eastAsia="lt-LT"/>
              </w:rPr>
              <w:t>S</w:t>
            </w:r>
            <w:r w:rsidR="002806CF" w:rsidRPr="002806CF">
              <w:rPr>
                <w:i/>
                <w:iCs/>
                <w:lang w:eastAsia="lt-LT"/>
              </w:rPr>
              <w:t>umaniosios specializacijos</w:t>
            </w:r>
            <w:r w:rsidR="002806CF">
              <w:rPr>
                <w:i/>
                <w:iCs/>
                <w:lang w:eastAsia="lt-LT"/>
              </w:rPr>
              <w:t xml:space="preserve"> </w:t>
            </w:r>
            <w:r w:rsidRPr="38EBFEBC">
              <w:rPr>
                <w:i/>
                <w:iCs/>
                <w:lang w:eastAsia="lt-LT"/>
              </w:rPr>
              <w:t>MTEPI prioriteto ekosistema: skirtingų sričių institucijomis ir atstovais (mokslininkais, MSI, verslu, ministerijomis ir t. t.) bei išmanyti verslo poreikius ir mokslo galimybes atitinkamose srityse;</w:t>
            </w:r>
          </w:p>
          <w:p w14:paraId="37B74C9C" w14:textId="2D01A80D" w:rsidR="0096157D" w:rsidRDefault="002C31EC" w:rsidP="002C31EC">
            <w:pPr>
              <w:jc w:val="both"/>
              <w:rPr>
                <w:bCs/>
                <w:i/>
                <w:iCs/>
                <w:lang w:eastAsia="lt-LT"/>
              </w:rPr>
            </w:pPr>
            <w:r w:rsidRPr="002C31EC">
              <w:rPr>
                <w:bCs/>
                <w:i/>
                <w:iCs/>
                <w:lang w:eastAsia="lt-LT"/>
              </w:rPr>
              <w:t>4. Turėti patirties teikiant konsultacijas dėl tarptautinių MTEPI programų arba būti dalyvavus tarptautinėse MTEPI programose.</w:t>
            </w:r>
          </w:p>
          <w:p w14:paraId="13C9ECAE" w14:textId="7B9F571F" w:rsidR="0096157D" w:rsidRPr="001C14EF" w:rsidRDefault="38EBFEBC" w:rsidP="38EBFEBC">
            <w:pPr>
              <w:jc w:val="both"/>
              <w:rPr>
                <w:i/>
                <w:iCs/>
                <w:lang w:eastAsia="lt-LT"/>
              </w:rPr>
            </w:pPr>
            <w:r w:rsidRPr="38EBFEBC">
              <w:rPr>
                <w:i/>
                <w:iCs/>
                <w:lang w:eastAsia="lt-LT"/>
              </w:rPr>
              <w:t>Reikalavimai, taikomi pareiškėjo ir partnerio(-ių) suformuotos projektą vykdančių asmenų komandos bent dviem nariams:</w:t>
            </w:r>
          </w:p>
          <w:p w14:paraId="6575DA19" w14:textId="77777777" w:rsidR="0096157D" w:rsidRPr="0096157D" w:rsidRDefault="0096157D" w:rsidP="0096157D">
            <w:pPr>
              <w:jc w:val="both"/>
              <w:rPr>
                <w:bCs/>
                <w:i/>
                <w:iCs/>
                <w:lang w:eastAsia="lt-LT"/>
              </w:rPr>
            </w:pPr>
            <w:r w:rsidRPr="0096157D">
              <w:rPr>
                <w:bCs/>
                <w:i/>
                <w:iCs/>
                <w:lang w:eastAsia="lt-LT"/>
              </w:rPr>
              <w:t>1. asmuo turi turėti aukštąjį universitetinį arba jam prilygintą išsilavinimą;</w:t>
            </w:r>
          </w:p>
          <w:p w14:paraId="753CEA77" w14:textId="77777777" w:rsidR="0096157D" w:rsidRPr="0096157D" w:rsidRDefault="0096157D" w:rsidP="0096157D">
            <w:pPr>
              <w:jc w:val="both"/>
              <w:rPr>
                <w:bCs/>
                <w:i/>
                <w:iCs/>
                <w:lang w:eastAsia="lt-LT"/>
              </w:rPr>
            </w:pPr>
            <w:r w:rsidRPr="0096157D">
              <w:rPr>
                <w:bCs/>
                <w:i/>
                <w:iCs/>
                <w:lang w:eastAsia="lt-LT"/>
              </w:rPr>
              <w:t>2. asmuo turi turėti ne mažiau kaip 2 metų darbo patirtį, per paskutinius trejus metus,  inovacijų skatinimo, MTEPI rezultatų komercinimo ir/ar žinių ir technologijų perdavimo srityje;</w:t>
            </w:r>
          </w:p>
          <w:p w14:paraId="3CFBBAF6" w14:textId="1E212999" w:rsidR="0096157D" w:rsidRPr="0096157D" w:rsidRDefault="0096157D" w:rsidP="0096157D">
            <w:pPr>
              <w:jc w:val="both"/>
              <w:rPr>
                <w:bCs/>
                <w:i/>
                <w:iCs/>
                <w:lang w:eastAsia="lt-LT"/>
              </w:rPr>
            </w:pPr>
            <w:r w:rsidRPr="0096157D">
              <w:rPr>
                <w:bCs/>
                <w:i/>
                <w:iCs/>
                <w:lang w:eastAsia="lt-LT"/>
              </w:rPr>
              <w:t xml:space="preserve">3. asmuo turi būti teikęs konsultacijas, susijusias su atitinkamo </w:t>
            </w:r>
            <w:r w:rsidR="002806CF" w:rsidRPr="002806CF">
              <w:rPr>
                <w:bCs/>
                <w:i/>
                <w:iCs/>
                <w:lang w:eastAsia="lt-LT"/>
              </w:rPr>
              <w:t xml:space="preserve">Sumaniosios specializacijos </w:t>
            </w:r>
            <w:r w:rsidRPr="0096157D">
              <w:rPr>
                <w:bCs/>
                <w:i/>
                <w:iCs/>
                <w:lang w:eastAsia="lt-LT"/>
              </w:rPr>
              <w:t>MTEPI prioriteto ekosistema: skirtingų sričių institucijomis ir atstovais (mokslininkais, MSI, verslu, ministerijomis ir t. t.) bei išmanyti verslo poreikius ir mokslo galimybes atitinkamose srityse;</w:t>
            </w:r>
          </w:p>
          <w:p w14:paraId="1A3750A0" w14:textId="2E425459" w:rsidR="002C31EC" w:rsidRPr="002C31EC" w:rsidRDefault="002C31EC" w:rsidP="002C31EC">
            <w:pPr>
              <w:jc w:val="both"/>
              <w:rPr>
                <w:bCs/>
                <w:i/>
                <w:iCs/>
                <w:lang w:eastAsia="lt-LT"/>
              </w:rPr>
            </w:pPr>
          </w:p>
          <w:p w14:paraId="02C22EA5" w14:textId="39E3D23C" w:rsidR="002C31EC" w:rsidRPr="00B7183E" w:rsidRDefault="002C31EC" w:rsidP="00C34D73">
            <w:pPr>
              <w:jc w:val="both"/>
              <w:rPr>
                <w:bCs/>
                <w:i/>
                <w:iCs/>
                <w:lang w:eastAsia="lt-LT"/>
              </w:rPr>
            </w:pPr>
            <w:r w:rsidRPr="002C31EC">
              <w:rPr>
                <w:bCs/>
                <w:i/>
                <w:iCs/>
                <w:lang w:eastAsia="lt-LT"/>
              </w:rPr>
              <w:t>Kriterijus taikomas PĮP vertinimo metu ir projekto įgyvendinimo metu pasitelkiant naujus projekto komandos narius</w:t>
            </w:r>
          </w:p>
        </w:tc>
      </w:tr>
      <w:tr w:rsidR="00C34D73" w14:paraId="47F07B7B" w14:textId="77777777" w:rsidTr="38EBFEBC">
        <w:tc>
          <w:tcPr>
            <w:tcW w:w="6203" w:type="dxa"/>
            <w:shd w:val="clear" w:color="auto" w:fill="auto"/>
            <w:vAlign w:val="center"/>
          </w:tcPr>
          <w:p w14:paraId="2C848740" w14:textId="664C1BA9" w:rsidR="00C34D73" w:rsidRDefault="00C34D73" w:rsidP="00C34D73">
            <w:pPr>
              <w:widowControl w:val="0"/>
              <w:textAlignment w:val="baseline"/>
              <w:rPr>
                <w:b/>
                <w:bCs/>
                <w:szCs w:val="24"/>
                <w:lang w:eastAsia="lt-LT"/>
              </w:rPr>
            </w:pPr>
            <w:r>
              <w:rPr>
                <w:b/>
                <w:bCs/>
                <w:szCs w:val="24"/>
                <w:lang w:eastAsia="lt-LT"/>
              </w:rPr>
              <w:lastRenderedPageBreak/>
              <w:t>Projektų atrankos kriterijaus pasirinkimo pagrindimas</w:t>
            </w:r>
          </w:p>
        </w:tc>
        <w:tc>
          <w:tcPr>
            <w:tcW w:w="8529" w:type="dxa"/>
            <w:shd w:val="clear" w:color="auto" w:fill="auto"/>
          </w:tcPr>
          <w:p w14:paraId="3CEAA6F5" w14:textId="443AAC87" w:rsidR="00B64C8C" w:rsidRDefault="00B7183E" w:rsidP="00C34D73">
            <w:pPr>
              <w:jc w:val="both"/>
              <w:rPr>
                <w:bCs/>
                <w:i/>
                <w:iCs/>
                <w:lang w:eastAsia="lt-LT"/>
              </w:rPr>
            </w:pPr>
            <w:r w:rsidRPr="00B7183E">
              <w:rPr>
                <w:bCs/>
                <w:i/>
                <w:iCs/>
                <w:lang w:eastAsia="lt-LT"/>
              </w:rPr>
              <w:t xml:space="preserve">Nustatomu atrankos kriterijumi tam tikra tikslinė grupė nepagrįstai neišskiriama iš kitų – pasirinktas selektyvumas yra pagrįstas siekiant </w:t>
            </w:r>
            <w:r w:rsidR="00B64C8C" w:rsidRPr="00B64C8C">
              <w:rPr>
                <w:bCs/>
                <w:i/>
                <w:iCs/>
                <w:lang w:eastAsia="lt-LT"/>
              </w:rPr>
              <w:t>Investicijų programos 1 prioriteto „Pažangesnė Lietuva“ 1.4 konkretaus uždavinio „Ugdyti pažangiajai specializacijai, pramonės pertvarkai ir verslumui reikalingus įgūdžius“</w:t>
            </w:r>
            <w:r w:rsidR="00B64C8C">
              <w:rPr>
                <w:bCs/>
                <w:i/>
                <w:iCs/>
                <w:lang w:eastAsia="lt-LT"/>
              </w:rPr>
              <w:t xml:space="preserve"> </w:t>
            </w:r>
            <w:r w:rsidRPr="00B7183E">
              <w:rPr>
                <w:bCs/>
                <w:i/>
                <w:iCs/>
                <w:lang w:eastAsia="lt-LT"/>
              </w:rPr>
              <w:t xml:space="preserve">nustatytų tikslų, t. y. </w:t>
            </w:r>
            <w:r w:rsidR="00B64C8C" w:rsidRPr="00B64C8C">
              <w:rPr>
                <w:bCs/>
                <w:i/>
                <w:iCs/>
                <w:lang w:eastAsia="lt-LT"/>
              </w:rPr>
              <w:t>siekiant paskatinti MVĮ konkurencingumo augimą, išnaudojant MVĮ specializaciją ir valdymo gebėjimus</w:t>
            </w:r>
            <w:r w:rsidR="00B64C8C">
              <w:rPr>
                <w:bCs/>
                <w:i/>
                <w:iCs/>
                <w:lang w:eastAsia="lt-LT"/>
              </w:rPr>
              <w:t>.</w:t>
            </w:r>
          </w:p>
          <w:p w14:paraId="734562E9" w14:textId="0EF2BEF1" w:rsidR="0063354E" w:rsidRPr="00213068" w:rsidRDefault="00B7183E" w:rsidP="00C34D73">
            <w:pPr>
              <w:jc w:val="both"/>
              <w:rPr>
                <w:bCs/>
                <w:i/>
                <w:iCs/>
                <w:lang w:eastAsia="lt-LT"/>
              </w:rPr>
            </w:pPr>
            <w:r w:rsidRPr="00B7183E">
              <w:rPr>
                <w:bCs/>
                <w:i/>
                <w:iCs/>
                <w:lang w:eastAsia="lt-LT"/>
              </w:rPr>
              <w:t xml:space="preserve">Reikalavimai nustatyti siekiant užtikrinti pakankamą </w:t>
            </w:r>
            <w:r w:rsidR="00835CE1">
              <w:rPr>
                <w:bCs/>
                <w:i/>
                <w:iCs/>
                <w:lang w:eastAsia="lt-LT"/>
              </w:rPr>
              <w:t xml:space="preserve">komandos </w:t>
            </w:r>
            <w:r w:rsidRPr="00B7183E">
              <w:rPr>
                <w:bCs/>
                <w:i/>
                <w:iCs/>
                <w:lang w:eastAsia="lt-LT"/>
              </w:rPr>
              <w:t xml:space="preserve">patirtį </w:t>
            </w:r>
            <w:r w:rsidR="00C87C26" w:rsidRPr="00C87C26">
              <w:rPr>
                <w:bCs/>
                <w:i/>
                <w:iCs/>
                <w:lang w:eastAsia="lt-LT"/>
              </w:rPr>
              <w:t>ugd</w:t>
            </w:r>
            <w:r w:rsidR="00835CE1">
              <w:rPr>
                <w:bCs/>
                <w:i/>
                <w:iCs/>
                <w:lang w:eastAsia="lt-LT"/>
              </w:rPr>
              <w:t>yti</w:t>
            </w:r>
            <w:r w:rsidR="00C87C26" w:rsidRPr="00C87C26">
              <w:rPr>
                <w:bCs/>
                <w:i/>
                <w:iCs/>
                <w:lang w:eastAsia="lt-LT"/>
              </w:rPr>
              <w:t xml:space="preserve"> MVĮ ir kitų </w:t>
            </w:r>
            <w:r w:rsidR="00C87C26" w:rsidRPr="00B42260">
              <w:rPr>
                <w:i/>
                <w:iCs/>
                <w:lang w:eastAsia="lt-LT"/>
              </w:rPr>
              <w:t>Verslininkystės galimybių paieškos procese</w:t>
            </w:r>
            <w:r w:rsidR="00C87C26" w:rsidRPr="00C87C26">
              <w:rPr>
                <w:bCs/>
                <w:i/>
                <w:iCs/>
                <w:lang w:eastAsia="lt-LT"/>
              </w:rPr>
              <w:t xml:space="preserve"> dalyvaujančių subjektų darbuotojų </w:t>
            </w:r>
            <w:r w:rsidR="00835CE1">
              <w:rPr>
                <w:bCs/>
                <w:i/>
                <w:iCs/>
                <w:lang w:eastAsia="lt-LT"/>
              </w:rPr>
              <w:t>kompetencijas</w:t>
            </w:r>
            <w:r w:rsidR="00C87C26" w:rsidRPr="00C87C26">
              <w:rPr>
                <w:bCs/>
                <w:i/>
                <w:iCs/>
                <w:lang w:eastAsia="lt-LT"/>
              </w:rPr>
              <w:t xml:space="preserve"> </w:t>
            </w:r>
            <w:r w:rsidRPr="00B7183E">
              <w:rPr>
                <w:bCs/>
                <w:i/>
                <w:iCs/>
                <w:lang w:eastAsia="lt-LT"/>
              </w:rPr>
              <w:t>teik</w:t>
            </w:r>
            <w:r w:rsidR="00835CE1">
              <w:rPr>
                <w:bCs/>
                <w:i/>
                <w:iCs/>
                <w:lang w:eastAsia="lt-LT"/>
              </w:rPr>
              <w:t>iant</w:t>
            </w:r>
            <w:r w:rsidRPr="00B7183E">
              <w:rPr>
                <w:bCs/>
                <w:i/>
                <w:iCs/>
                <w:lang w:eastAsia="lt-LT"/>
              </w:rPr>
              <w:t xml:space="preserve"> </w:t>
            </w:r>
            <w:r w:rsidR="00835CE1">
              <w:rPr>
                <w:bCs/>
                <w:i/>
                <w:iCs/>
                <w:lang w:eastAsia="lt-LT"/>
              </w:rPr>
              <w:t>įgūdžių</w:t>
            </w:r>
            <w:r w:rsidR="00B42260">
              <w:rPr>
                <w:bCs/>
                <w:i/>
                <w:iCs/>
                <w:lang w:eastAsia="lt-LT"/>
              </w:rPr>
              <w:t xml:space="preserve"> ugdymo paslaugas.</w:t>
            </w:r>
            <w:r w:rsidRPr="00B7183E">
              <w:rPr>
                <w:bCs/>
                <w:i/>
                <w:iCs/>
                <w:lang w:eastAsia="lt-LT"/>
              </w:rPr>
              <w:t xml:space="preserve"> </w:t>
            </w:r>
            <w:r w:rsidR="006A162E">
              <w:rPr>
                <w:bCs/>
                <w:i/>
                <w:iCs/>
                <w:lang w:eastAsia="lt-LT"/>
              </w:rPr>
              <w:t xml:space="preserve">Tokiu būdu bus </w:t>
            </w:r>
            <w:r w:rsidR="006A162E" w:rsidRPr="006A162E">
              <w:rPr>
                <w:bCs/>
                <w:i/>
                <w:iCs/>
                <w:lang w:eastAsia="lt-LT"/>
              </w:rPr>
              <w:t>prisid</w:t>
            </w:r>
            <w:r w:rsidR="006A162E">
              <w:rPr>
                <w:bCs/>
                <w:i/>
                <w:iCs/>
                <w:lang w:eastAsia="lt-LT"/>
              </w:rPr>
              <w:t>edama</w:t>
            </w:r>
            <w:r w:rsidR="006A162E" w:rsidRPr="006A162E">
              <w:rPr>
                <w:bCs/>
                <w:i/>
                <w:iCs/>
                <w:lang w:eastAsia="lt-LT"/>
              </w:rPr>
              <w:t xml:space="preserve"> prie Investicijų programos </w:t>
            </w:r>
            <w:r w:rsidR="00A40390" w:rsidRPr="00A40390">
              <w:rPr>
                <w:bCs/>
                <w:i/>
                <w:iCs/>
                <w:lang w:eastAsia="lt-LT"/>
              </w:rPr>
              <w:t xml:space="preserve">1 prioriteto „Pažangesnė Lietuva“ 1.4 konkretaus uždavinio „Ugdyti pažangiajai specializacijai, pramonės pertvarkai ir verslumui reikalingus </w:t>
            </w:r>
            <w:r w:rsidR="00A40390" w:rsidRPr="00A40390">
              <w:rPr>
                <w:bCs/>
                <w:i/>
                <w:iCs/>
                <w:lang w:eastAsia="lt-LT"/>
              </w:rPr>
              <w:lastRenderedPageBreak/>
              <w:t>įgūdžius“</w:t>
            </w:r>
            <w:r w:rsidR="00A40390">
              <w:rPr>
                <w:bCs/>
                <w:i/>
                <w:iCs/>
                <w:lang w:eastAsia="lt-LT"/>
              </w:rPr>
              <w:t xml:space="preserve"> </w:t>
            </w:r>
            <w:r w:rsidR="006A162E" w:rsidRPr="006A162E">
              <w:rPr>
                <w:bCs/>
                <w:i/>
                <w:iCs/>
                <w:lang w:eastAsia="lt-LT"/>
              </w:rPr>
              <w:t xml:space="preserve">rezultato RCR </w:t>
            </w:r>
            <w:r w:rsidR="00A40390">
              <w:rPr>
                <w:bCs/>
                <w:i/>
                <w:iCs/>
                <w:lang w:eastAsia="lt-LT"/>
              </w:rPr>
              <w:t>9</w:t>
            </w:r>
            <w:r w:rsidR="00A40390" w:rsidRPr="00E74C09">
              <w:rPr>
                <w:bCs/>
                <w:i/>
                <w:iCs/>
                <w:lang w:eastAsia="lt-LT"/>
              </w:rPr>
              <w:t>8</w:t>
            </w:r>
            <w:r w:rsidR="006A162E" w:rsidRPr="006A162E">
              <w:rPr>
                <w:bCs/>
                <w:i/>
                <w:iCs/>
                <w:lang w:eastAsia="lt-LT"/>
              </w:rPr>
              <w:t xml:space="preserve"> stebėsenos rodiklio „</w:t>
            </w:r>
            <w:r w:rsidR="00A40390" w:rsidRPr="00A40390">
              <w:rPr>
                <w:bCs/>
                <w:i/>
                <w:iCs/>
                <w:lang w:eastAsia="lt-LT"/>
              </w:rPr>
              <w:t>MVĮ darbuotojai, baigę mokymą, skirtą pažangiajai specializacijai, pramonės pertvarkai ir verslumui reikalingiems įgūdžiams ugdyti (pagal įgūdžių rūšį: techniniai, valdymo, verslumo, ekologijos, kiti)</w:t>
            </w:r>
            <w:r w:rsidR="00A1030F">
              <w:rPr>
                <w:bCs/>
                <w:i/>
                <w:iCs/>
                <w:lang w:eastAsia="lt-LT"/>
              </w:rPr>
              <w:t>“</w:t>
            </w:r>
            <w:r w:rsidR="00A40390">
              <w:rPr>
                <w:bCs/>
                <w:i/>
                <w:iCs/>
                <w:lang w:eastAsia="lt-LT"/>
              </w:rPr>
              <w:t xml:space="preserve"> pasiekimo.</w:t>
            </w:r>
          </w:p>
        </w:tc>
      </w:tr>
    </w:tbl>
    <w:p w14:paraId="2AF070DE" w14:textId="77777777" w:rsidR="00482FB2" w:rsidRDefault="00482FB2">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368"/>
        <w:gridCol w:w="1517"/>
        <w:gridCol w:w="3464"/>
        <w:gridCol w:w="1637"/>
        <w:gridCol w:w="2756"/>
      </w:tblGrid>
      <w:tr w:rsidR="00482FB2" w14:paraId="148A9663" w14:textId="77777777" w:rsidTr="00314652">
        <w:tc>
          <w:tcPr>
            <w:tcW w:w="5419" w:type="dxa"/>
          </w:tcPr>
          <w:p w14:paraId="76C2560D" w14:textId="66CE4064" w:rsidR="00482FB2" w:rsidRDefault="00BC5B0E">
            <w:pPr>
              <w:widowControl w:val="0"/>
              <w:spacing w:line="240" w:lineRule="exact"/>
              <w:jc w:val="both"/>
              <w:textAlignment w:val="baseline"/>
              <w:rPr>
                <w:szCs w:val="24"/>
              </w:rPr>
            </w:pPr>
            <w:r>
              <w:rPr>
                <w:szCs w:val="24"/>
              </w:rPr>
              <w:t xml:space="preserve">              </w:t>
            </w:r>
            <w:r w:rsidR="00A37F06" w:rsidRPr="00A37F06">
              <w:rPr>
                <w:szCs w:val="24"/>
              </w:rPr>
              <w:t xml:space="preserve">Ekonomikos ir inovacijų </w:t>
            </w:r>
            <w:r w:rsidR="00A37F06">
              <w:rPr>
                <w:szCs w:val="24"/>
              </w:rPr>
              <w:t>v</w:t>
            </w:r>
            <w:r w:rsidR="006B0953">
              <w:rPr>
                <w:szCs w:val="24"/>
              </w:rPr>
              <w:t>iceministr</w:t>
            </w:r>
            <w:r>
              <w:rPr>
                <w:szCs w:val="24"/>
              </w:rPr>
              <w:t>as</w:t>
            </w:r>
          </w:p>
        </w:tc>
        <w:tc>
          <w:tcPr>
            <w:tcW w:w="1534"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496" w:type="dxa"/>
          </w:tcPr>
          <w:p w14:paraId="0A8F3AFC" w14:textId="77777777" w:rsidR="00482FB2" w:rsidRDefault="00482FB2">
            <w:pPr>
              <w:widowControl w:val="0"/>
              <w:spacing w:line="240" w:lineRule="exact"/>
              <w:jc w:val="both"/>
              <w:textAlignment w:val="baseline"/>
              <w:rPr>
                <w:szCs w:val="24"/>
              </w:rPr>
            </w:pPr>
          </w:p>
        </w:tc>
        <w:tc>
          <w:tcPr>
            <w:tcW w:w="1656"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2779" w:type="dxa"/>
          </w:tcPr>
          <w:p w14:paraId="492B1327" w14:textId="54383988"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r w:rsidR="00BC5B0E">
              <w:rPr>
                <w:szCs w:val="24"/>
              </w:rPr>
              <w:t xml:space="preserve"> Vincas Jurgutis</w:t>
            </w:r>
          </w:p>
        </w:tc>
      </w:tr>
      <w:tr w:rsidR="00482FB2" w14:paraId="0BE1540A" w14:textId="77777777" w:rsidTr="00314652">
        <w:tc>
          <w:tcPr>
            <w:tcW w:w="5419"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534"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496"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656"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2779"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694D1F0E" w14:textId="7E9AA760" w:rsidR="00482FB2" w:rsidRDefault="00482FB2">
      <w:pPr>
        <w:widowControl w:val="0"/>
        <w:spacing w:line="240" w:lineRule="exact"/>
        <w:ind w:firstLine="720"/>
        <w:jc w:val="center"/>
        <w:textAlignment w:val="baseline"/>
        <w:rPr>
          <w:sz w:val="22"/>
          <w:szCs w:val="24"/>
        </w:rPr>
      </w:pPr>
    </w:p>
    <w:p w14:paraId="1221B249" w14:textId="7EE12723" w:rsidR="00482FB2" w:rsidRDefault="00FE7D2F">
      <w:pPr>
        <w:widowControl w:val="0"/>
        <w:spacing w:line="240" w:lineRule="exact"/>
        <w:jc w:val="center"/>
        <w:textAlignment w:val="baseline"/>
        <w:rPr>
          <w:sz w:val="22"/>
          <w:szCs w:val="24"/>
        </w:rPr>
      </w:pPr>
      <w:r>
        <w:rPr>
          <w:sz w:val="22"/>
          <w:szCs w:val="24"/>
        </w:rPr>
        <w:t>___________________________________________________________________</w:t>
      </w:r>
    </w:p>
    <w:sectPr w:rsidR="00482FB2" w:rsidSect="00ED7451">
      <w:headerReference w:type="default" r:id="rId17"/>
      <w:pgSz w:w="16838" w:h="11906" w:orient="landscape" w:code="9"/>
      <w:pgMar w:top="1702" w:right="96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A7824" w14:textId="77777777" w:rsidR="00A82843" w:rsidRDefault="00A82843" w:rsidP="00566961">
      <w:r>
        <w:separator/>
      </w:r>
    </w:p>
  </w:endnote>
  <w:endnote w:type="continuationSeparator" w:id="0">
    <w:p w14:paraId="5369F59A" w14:textId="77777777" w:rsidR="00A82843" w:rsidRDefault="00A82843" w:rsidP="00566961">
      <w:r>
        <w:continuationSeparator/>
      </w:r>
    </w:p>
  </w:endnote>
  <w:endnote w:type="continuationNotice" w:id="1">
    <w:p w14:paraId="50F6597A" w14:textId="77777777" w:rsidR="00A82843" w:rsidRDefault="00A82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6CBA3" w14:textId="77777777" w:rsidR="00A82843" w:rsidRDefault="00A82843" w:rsidP="00566961">
      <w:r>
        <w:separator/>
      </w:r>
    </w:p>
  </w:footnote>
  <w:footnote w:type="continuationSeparator" w:id="0">
    <w:p w14:paraId="26150D61" w14:textId="77777777" w:rsidR="00A82843" w:rsidRDefault="00A82843" w:rsidP="00566961">
      <w:r>
        <w:continuationSeparator/>
      </w:r>
    </w:p>
  </w:footnote>
  <w:footnote w:type="continuationNotice" w:id="1">
    <w:p w14:paraId="262E9B76" w14:textId="77777777" w:rsidR="00A82843" w:rsidRDefault="00A828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178894"/>
      <w:docPartObj>
        <w:docPartGallery w:val="Page Numbers (Top of Page)"/>
        <w:docPartUnique/>
      </w:docPartObj>
    </w:sdtPr>
    <w:sdtEndPr/>
    <w:sdtContent>
      <w:p w14:paraId="5B33357B" w14:textId="2D9B379B" w:rsidR="000A2FBF" w:rsidRDefault="000A2FBF">
        <w:pPr>
          <w:pStyle w:val="Antrats"/>
          <w:jc w:val="center"/>
        </w:pPr>
        <w:r>
          <w:fldChar w:fldCharType="begin"/>
        </w:r>
        <w:r>
          <w:instrText>PAGE   \* MERGEFORMAT</w:instrText>
        </w:r>
        <w:r>
          <w:fldChar w:fldCharType="separate"/>
        </w:r>
        <w:r w:rsidR="00D35A9E">
          <w:rPr>
            <w:noProof/>
          </w:rPr>
          <w:t>5</w:t>
        </w:r>
        <w:r>
          <w:fldChar w:fldCharType="end"/>
        </w:r>
      </w:p>
    </w:sdtContent>
  </w:sdt>
  <w:p w14:paraId="76741DC5" w14:textId="77777777" w:rsidR="000A2FBF" w:rsidRDefault="000A2F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C75AA"/>
    <w:multiLevelType w:val="hybridMultilevel"/>
    <w:tmpl w:val="7B8AE6AE"/>
    <w:lvl w:ilvl="0" w:tplc="04270001">
      <w:start w:val="1"/>
      <w:numFmt w:val="bullet"/>
      <w:lvlText w:val=""/>
      <w:lvlJc w:val="left"/>
      <w:pPr>
        <w:ind w:left="825" w:hanging="360"/>
      </w:pPr>
      <w:rPr>
        <w:rFonts w:ascii="Symbol" w:hAnsi="Symbol" w:hint="default"/>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1" w15:restartNumberingAfterBreak="0">
    <w:nsid w:val="3C7A4D53"/>
    <w:multiLevelType w:val="hybridMultilevel"/>
    <w:tmpl w:val="AE16EF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F9336C"/>
    <w:multiLevelType w:val="hybridMultilevel"/>
    <w:tmpl w:val="371C8218"/>
    <w:lvl w:ilvl="0" w:tplc="648E27D0">
      <w:start w:val="1"/>
      <w:numFmt w:val="decimal"/>
      <w:lvlText w:val="%1)"/>
      <w:lvlJc w:val="left"/>
      <w:pPr>
        <w:ind w:left="3196" w:hanging="360"/>
      </w:pPr>
      <w:rPr>
        <w:rFonts w:eastAsiaTheme="minorEastAsia"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467007"/>
    <w:multiLevelType w:val="hybridMultilevel"/>
    <w:tmpl w:val="04A214E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4F1B98"/>
    <w:multiLevelType w:val="hybridMultilevel"/>
    <w:tmpl w:val="4DC84F56"/>
    <w:lvl w:ilvl="0" w:tplc="0AD285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919057">
    <w:abstractNumId w:val="3"/>
  </w:num>
  <w:num w:numId="2" w16cid:durableId="1846240891">
    <w:abstractNumId w:val="2"/>
  </w:num>
  <w:num w:numId="3" w16cid:durableId="1242568559">
    <w:abstractNumId w:val="5"/>
  </w:num>
  <w:num w:numId="4" w16cid:durableId="758916266">
    <w:abstractNumId w:val="4"/>
  </w:num>
  <w:num w:numId="5" w16cid:durableId="1388189610">
    <w:abstractNumId w:val="0"/>
  </w:num>
  <w:num w:numId="6" w16cid:durableId="733822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1100"/>
    <w:rsid w:val="00010A78"/>
    <w:rsid w:val="00010ED5"/>
    <w:rsid w:val="00020A31"/>
    <w:rsid w:val="0003294C"/>
    <w:rsid w:val="00041887"/>
    <w:rsid w:val="00043E07"/>
    <w:rsid w:val="00045053"/>
    <w:rsid w:val="000525A2"/>
    <w:rsid w:val="0005738F"/>
    <w:rsid w:val="00063343"/>
    <w:rsid w:val="0006724C"/>
    <w:rsid w:val="0008638B"/>
    <w:rsid w:val="0009061F"/>
    <w:rsid w:val="000A164C"/>
    <w:rsid w:val="000A2F89"/>
    <w:rsid w:val="000A2FBF"/>
    <w:rsid w:val="000B0C97"/>
    <w:rsid w:val="000D041F"/>
    <w:rsid w:val="000D2C50"/>
    <w:rsid w:val="000E5571"/>
    <w:rsid w:val="000E7075"/>
    <w:rsid w:val="000F028B"/>
    <w:rsid w:val="000F6C18"/>
    <w:rsid w:val="000F76E7"/>
    <w:rsid w:val="00111A36"/>
    <w:rsid w:val="001154FE"/>
    <w:rsid w:val="0012659D"/>
    <w:rsid w:val="001306F3"/>
    <w:rsid w:val="00137BC3"/>
    <w:rsid w:val="0014762F"/>
    <w:rsid w:val="001553B4"/>
    <w:rsid w:val="0016070C"/>
    <w:rsid w:val="0016212D"/>
    <w:rsid w:val="00162878"/>
    <w:rsid w:val="00173131"/>
    <w:rsid w:val="00187778"/>
    <w:rsid w:val="00191864"/>
    <w:rsid w:val="0019768D"/>
    <w:rsid w:val="001A04B8"/>
    <w:rsid w:val="001A35C7"/>
    <w:rsid w:val="001B3C27"/>
    <w:rsid w:val="001C14EF"/>
    <w:rsid w:val="001C68B5"/>
    <w:rsid w:val="001C78D5"/>
    <w:rsid w:val="001D2C43"/>
    <w:rsid w:val="001E2952"/>
    <w:rsid w:val="001E35B8"/>
    <w:rsid w:val="001F0676"/>
    <w:rsid w:val="0020095D"/>
    <w:rsid w:val="00206063"/>
    <w:rsid w:val="00213068"/>
    <w:rsid w:val="00214FF1"/>
    <w:rsid w:val="00223649"/>
    <w:rsid w:val="002266C0"/>
    <w:rsid w:val="00227E83"/>
    <w:rsid w:val="002315B2"/>
    <w:rsid w:val="00236CE3"/>
    <w:rsid w:val="002401AB"/>
    <w:rsid w:val="002444BB"/>
    <w:rsid w:val="00253ECA"/>
    <w:rsid w:val="002601C4"/>
    <w:rsid w:val="002621D6"/>
    <w:rsid w:val="00263CAC"/>
    <w:rsid w:val="002642DB"/>
    <w:rsid w:val="00277898"/>
    <w:rsid w:val="002806CF"/>
    <w:rsid w:val="00282E72"/>
    <w:rsid w:val="00285AC1"/>
    <w:rsid w:val="002A1272"/>
    <w:rsid w:val="002B0A95"/>
    <w:rsid w:val="002B7E62"/>
    <w:rsid w:val="002C31EC"/>
    <w:rsid w:val="002D0418"/>
    <w:rsid w:val="002D2D4C"/>
    <w:rsid w:val="002E4D50"/>
    <w:rsid w:val="002E5640"/>
    <w:rsid w:val="002F59C3"/>
    <w:rsid w:val="002F7A8F"/>
    <w:rsid w:val="0030199B"/>
    <w:rsid w:val="0030356D"/>
    <w:rsid w:val="00314652"/>
    <w:rsid w:val="00323A88"/>
    <w:rsid w:val="00325112"/>
    <w:rsid w:val="00327A78"/>
    <w:rsid w:val="00340FF2"/>
    <w:rsid w:val="0034266D"/>
    <w:rsid w:val="0034277A"/>
    <w:rsid w:val="00355129"/>
    <w:rsid w:val="00357FEC"/>
    <w:rsid w:val="0036324E"/>
    <w:rsid w:val="00367B43"/>
    <w:rsid w:val="0037045B"/>
    <w:rsid w:val="003742AF"/>
    <w:rsid w:val="003744F0"/>
    <w:rsid w:val="00390D6D"/>
    <w:rsid w:val="00392AED"/>
    <w:rsid w:val="0039360D"/>
    <w:rsid w:val="003A0CC1"/>
    <w:rsid w:val="003A21ED"/>
    <w:rsid w:val="003A31C8"/>
    <w:rsid w:val="003B163A"/>
    <w:rsid w:val="003B1C7B"/>
    <w:rsid w:val="003B3567"/>
    <w:rsid w:val="003B46D6"/>
    <w:rsid w:val="003B7641"/>
    <w:rsid w:val="003D158A"/>
    <w:rsid w:val="003D30AA"/>
    <w:rsid w:val="003D4708"/>
    <w:rsid w:val="003D4DCB"/>
    <w:rsid w:val="003E2EA3"/>
    <w:rsid w:val="003E6BD3"/>
    <w:rsid w:val="003F0963"/>
    <w:rsid w:val="003F4CDB"/>
    <w:rsid w:val="004008B4"/>
    <w:rsid w:val="004044AD"/>
    <w:rsid w:val="00404730"/>
    <w:rsid w:val="004069EA"/>
    <w:rsid w:val="00423FDB"/>
    <w:rsid w:val="004310CA"/>
    <w:rsid w:val="00432D4E"/>
    <w:rsid w:val="00440F13"/>
    <w:rsid w:val="00446C14"/>
    <w:rsid w:val="00463183"/>
    <w:rsid w:val="004640F7"/>
    <w:rsid w:val="0046558A"/>
    <w:rsid w:val="004766CF"/>
    <w:rsid w:val="00482FB2"/>
    <w:rsid w:val="004925A1"/>
    <w:rsid w:val="00495BAF"/>
    <w:rsid w:val="004A0EE9"/>
    <w:rsid w:val="004A0FBC"/>
    <w:rsid w:val="004A16E3"/>
    <w:rsid w:val="004A3657"/>
    <w:rsid w:val="004A3658"/>
    <w:rsid w:val="004C0B1A"/>
    <w:rsid w:val="004E0D3D"/>
    <w:rsid w:val="004E69D4"/>
    <w:rsid w:val="004F1825"/>
    <w:rsid w:val="005121AB"/>
    <w:rsid w:val="005136A7"/>
    <w:rsid w:val="00513CC9"/>
    <w:rsid w:val="00527A84"/>
    <w:rsid w:val="00561EC9"/>
    <w:rsid w:val="00564B8D"/>
    <w:rsid w:val="0056587C"/>
    <w:rsid w:val="00566961"/>
    <w:rsid w:val="00570BB3"/>
    <w:rsid w:val="005771C2"/>
    <w:rsid w:val="00581D0D"/>
    <w:rsid w:val="00585EE8"/>
    <w:rsid w:val="00586BDF"/>
    <w:rsid w:val="005872AA"/>
    <w:rsid w:val="005967D7"/>
    <w:rsid w:val="005A7CD1"/>
    <w:rsid w:val="005B149F"/>
    <w:rsid w:val="005B54E4"/>
    <w:rsid w:val="005C1A12"/>
    <w:rsid w:val="005C4476"/>
    <w:rsid w:val="005D5184"/>
    <w:rsid w:val="005E5202"/>
    <w:rsid w:val="005E69DC"/>
    <w:rsid w:val="005E6D49"/>
    <w:rsid w:val="0061289B"/>
    <w:rsid w:val="0061396B"/>
    <w:rsid w:val="00614D58"/>
    <w:rsid w:val="00620E83"/>
    <w:rsid w:val="0062125C"/>
    <w:rsid w:val="0062307E"/>
    <w:rsid w:val="0063354E"/>
    <w:rsid w:val="00633CDD"/>
    <w:rsid w:val="0063490D"/>
    <w:rsid w:val="006547AA"/>
    <w:rsid w:val="00655768"/>
    <w:rsid w:val="00662F22"/>
    <w:rsid w:val="00673BB4"/>
    <w:rsid w:val="00674134"/>
    <w:rsid w:val="00684209"/>
    <w:rsid w:val="006876D1"/>
    <w:rsid w:val="00690DFF"/>
    <w:rsid w:val="00697612"/>
    <w:rsid w:val="006A162E"/>
    <w:rsid w:val="006B0953"/>
    <w:rsid w:val="006C3296"/>
    <w:rsid w:val="006C47BF"/>
    <w:rsid w:val="006D3812"/>
    <w:rsid w:val="006D449D"/>
    <w:rsid w:val="006D6ADE"/>
    <w:rsid w:val="006E0B69"/>
    <w:rsid w:val="006E37B7"/>
    <w:rsid w:val="006E514A"/>
    <w:rsid w:val="006E6FC7"/>
    <w:rsid w:val="006E7FDE"/>
    <w:rsid w:val="006F03AF"/>
    <w:rsid w:val="006F1661"/>
    <w:rsid w:val="00700B54"/>
    <w:rsid w:val="00713097"/>
    <w:rsid w:val="00717301"/>
    <w:rsid w:val="0071783D"/>
    <w:rsid w:val="007339B9"/>
    <w:rsid w:val="00736C46"/>
    <w:rsid w:val="00737908"/>
    <w:rsid w:val="0074567F"/>
    <w:rsid w:val="0074612D"/>
    <w:rsid w:val="00746358"/>
    <w:rsid w:val="00747113"/>
    <w:rsid w:val="00747AFD"/>
    <w:rsid w:val="00754F67"/>
    <w:rsid w:val="00756F7C"/>
    <w:rsid w:val="00760C33"/>
    <w:rsid w:val="00761A09"/>
    <w:rsid w:val="00766A70"/>
    <w:rsid w:val="00772EAA"/>
    <w:rsid w:val="00774147"/>
    <w:rsid w:val="00776873"/>
    <w:rsid w:val="0077769D"/>
    <w:rsid w:val="00785A46"/>
    <w:rsid w:val="0078603F"/>
    <w:rsid w:val="00786CF9"/>
    <w:rsid w:val="00792AA6"/>
    <w:rsid w:val="0079562D"/>
    <w:rsid w:val="0079623B"/>
    <w:rsid w:val="007B272A"/>
    <w:rsid w:val="007B2890"/>
    <w:rsid w:val="007B7BC1"/>
    <w:rsid w:val="007C7191"/>
    <w:rsid w:val="007D0AFF"/>
    <w:rsid w:val="007E1897"/>
    <w:rsid w:val="007E19E9"/>
    <w:rsid w:val="007E5090"/>
    <w:rsid w:val="007F11B3"/>
    <w:rsid w:val="007F1C3E"/>
    <w:rsid w:val="007F20BC"/>
    <w:rsid w:val="007F4BA4"/>
    <w:rsid w:val="007F732F"/>
    <w:rsid w:val="008049D7"/>
    <w:rsid w:val="00804E7C"/>
    <w:rsid w:val="00807F43"/>
    <w:rsid w:val="00822FB8"/>
    <w:rsid w:val="00830FBC"/>
    <w:rsid w:val="0083161E"/>
    <w:rsid w:val="00833609"/>
    <w:rsid w:val="00835CE1"/>
    <w:rsid w:val="0084282A"/>
    <w:rsid w:val="00845FA9"/>
    <w:rsid w:val="008465E9"/>
    <w:rsid w:val="008508CB"/>
    <w:rsid w:val="00852083"/>
    <w:rsid w:val="0085556B"/>
    <w:rsid w:val="00864A75"/>
    <w:rsid w:val="0086658B"/>
    <w:rsid w:val="00870CD5"/>
    <w:rsid w:val="00870EAE"/>
    <w:rsid w:val="00875946"/>
    <w:rsid w:val="00876623"/>
    <w:rsid w:val="00877A93"/>
    <w:rsid w:val="008909B1"/>
    <w:rsid w:val="00890A17"/>
    <w:rsid w:val="008945B0"/>
    <w:rsid w:val="008952CD"/>
    <w:rsid w:val="008954FC"/>
    <w:rsid w:val="008A3882"/>
    <w:rsid w:val="008A405D"/>
    <w:rsid w:val="008A5293"/>
    <w:rsid w:val="008B39C2"/>
    <w:rsid w:val="008B5786"/>
    <w:rsid w:val="008C3C57"/>
    <w:rsid w:val="008C3ED4"/>
    <w:rsid w:val="008D6A25"/>
    <w:rsid w:val="008E78A2"/>
    <w:rsid w:val="008F1E1F"/>
    <w:rsid w:val="008F4423"/>
    <w:rsid w:val="00925DDC"/>
    <w:rsid w:val="00932D60"/>
    <w:rsid w:val="00944E80"/>
    <w:rsid w:val="00956903"/>
    <w:rsid w:val="0096157D"/>
    <w:rsid w:val="0096270C"/>
    <w:rsid w:val="00964016"/>
    <w:rsid w:val="0096521C"/>
    <w:rsid w:val="0097377F"/>
    <w:rsid w:val="00986613"/>
    <w:rsid w:val="009868DE"/>
    <w:rsid w:val="0099792B"/>
    <w:rsid w:val="009A3E43"/>
    <w:rsid w:val="009B04EA"/>
    <w:rsid w:val="009B2AB8"/>
    <w:rsid w:val="009B46EC"/>
    <w:rsid w:val="009B4C0A"/>
    <w:rsid w:val="009B6AA6"/>
    <w:rsid w:val="009C34D3"/>
    <w:rsid w:val="009C6249"/>
    <w:rsid w:val="009C6F11"/>
    <w:rsid w:val="009D03D8"/>
    <w:rsid w:val="009D0551"/>
    <w:rsid w:val="009D44A9"/>
    <w:rsid w:val="009E3149"/>
    <w:rsid w:val="009E67E3"/>
    <w:rsid w:val="009E73FB"/>
    <w:rsid w:val="009F2B98"/>
    <w:rsid w:val="009F44C2"/>
    <w:rsid w:val="009F6AD3"/>
    <w:rsid w:val="00A1030F"/>
    <w:rsid w:val="00A11FC4"/>
    <w:rsid w:val="00A1702E"/>
    <w:rsid w:val="00A25237"/>
    <w:rsid w:val="00A37F06"/>
    <w:rsid w:val="00A40390"/>
    <w:rsid w:val="00A44072"/>
    <w:rsid w:val="00A502FA"/>
    <w:rsid w:val="00A54906"/>
    <w:rsid w:val="00A63C14"/>
    <w:rsid w:val="00A6519C"/>
    <w:rsid w:val="00A6566C"/>
    <w:rsid w:val="00A672F1"/>
    <w:rsid w:val="00A74A23"/>
    <w:rsid w:val="00A82843"/>
    <w:rsid w:val="00A86135"/>
    <w:rsid w:val="00A86421"/>
    <w:rsid w:val="00A87C22"/>
    <w:rsid w:val="00A87D46"/>
    <w:rsid w:val="00AA0F40"/>
    <w:rsid w:val="00AA12AA"/>
    <w:rsid w:val="00AA3FE3"/>
    <w:rsid w:val="00AA4C82"/>
    <w:rsid w:val="00AB1F19"/>
    <w:rsid w:val="00AB3275"/>
    <w:rsid w:val="00AB3E86"/>
    <w:rsid w:val="00AB4CCD"/>
    <w:rsid w:val="00AC1A1D"/>
    <w:rsid w:val="00AC2D56"/>
    <w:rsid w:val="00AC4B1B"/>
    <w:rsid w:val="00AD6100"/>
    <w:rsid w:val="00AD718B"/>
    <w:rsid w:val="00AD7602"/>
    <w:rsid w:val="00AE117A"/>
    <w:rsid w:val="00AF1097"/>
    <w:rsid w:val="00AF4F99"/>
    <w:rsid w:val="00B00255"/>
    <w:rsid w:val="00B034A0"/>
    <w:rsid w:val="00B079A4"/>
    <w:rsid w:val="00B15B14"/>
    <w:rsid w:val="00B16452"/>
    <w:rsid w:val="00B1793B"/>
    <w:rsid w:val="00B17F37"/>
    <w:rsid w:val="00B206B9"/>
    <w:rsid w:val="00B218AA"/>
    <w:rsid w:val="00B218D7"/>
    <w:rsid w:val="00B3452B"/>
    <w:rsid w:val="00B34E31"/>
    <w:rsid w:val="00B357D7"/>
    <w:rsid w:val="00B42260"/>
    <w:rsid w:val="00B507CF"/>
    <w:rsid w:val="00B5544F"/>
    <w:rsid w:val="00B601E8"/>
    <w:rsid w:val="00B6333F"/>
    <w:rsid w:val="00B64C8C"/>
    <w:rsid w:val="00B7183E"/>
    <w:rsid w:val="00B76079"/>
    <w:rsid w:val="00B77DA9"/>
    <w:rsid w:val="00BA7775"/>
    <w:rsid w:val="00BB61E4"/>
    <w:rsid w:val="00BB73C4"/>
    <w:rsid w:val="00BC5B0E"/>
    <w:rsid w:val="00BC6284"/>
    <w:rsid w:val="00BD1502"/>
    <w:rsid w:val="00BD3CC5"/>
    <w:rsid w:val="00BE1A2C"/>
    <w:rsid w:val="00BE2D7D"/>
    <w:rsid w:val="00C03476"/>
    <w:rsid w:val="00C159FB"/>
    <w:rsid w:val="00C22E0C"/>
    <w:rsid w:val="00C3483D"/>
    <w:rsid w:val="00C34D73"/>
    <w:rsid w:val="00C35978"/>
    <w:rsid w:val="00C40F26"/>
    <w:rsid w:val="00C612EA"/>
    <w:rsid w:val="00C64765"/>
    <w:rsid w:val="00C65845"/>
    <w:rsid w:val="00C71290"/>
    <w:rsid w:val="00C80117"/>
    <w:rsid w:val="00C87C26"/>
    <w:rsid w:val="00CA4D8A"/>
    <w:rsid w:val="00CB356D"/>
    <w:rsid w:val="00CC1400"/>
    <w:rsid w:val="00CC2309"/>
    <w:rsid w:val="00CC3CDA"/>
    <w:rsid w:val="00CC5A0F"/>
    <w:rsid w:val="00CD4CC2"/>
    <w:rsid w:val="00CD64C5"/>
    <w:rsid w:val="00CE1B3C"/>
    <w:rsid w:val="00CE6626"/>
    <w:rsid w:val="00CF1D60"/>
    <w:rsid w:val="00D06830"/>
    <w:rsid w:val="00D21836"/>
    <w:rsid w:val="00D22875"/>
    <w:rsid w:val="00D30793"/>
    <w:rsid w:val="00D33A96"/>
    <w:rsid w:val="00D35915"/>
    <w:rsid w:val="00D35A9E"/>
    <w:rsid w:val="00D4687C"/>
    <w:rsid w:val="00D5535F"/>
    <w:rsid w:val="00D576B1"/>
    <w:rsid w:val="00D6565F"/>
    <w:rsid w:val="00D65818"/>
    <w:rsid w:val="00D72493"/>
    <w:rsid w:val="00D759B7"/>
    <w:rsid w:val="00D7783B"/>
    <w:rsid w:val="00D945DA"/>
    <w:rsid w:val="00DA231C"/>
    <w:rsid w:val="00DA450D"/>
    <w:rsid w:val="00DA629B"/>
    <w:rsid w:val="00DB5442"/>
    <w:rsid w:val="00DB5AC6"/>
    <w:rsid w:val="00DC3949"/>
    <w:rsid w:val="00DD346A"/>
    <w:rsid w:val="00DE5E68"/>
    <w:rsid w:val="00DF4461"/>
    <w:rsid w:val="00DF7F41"/>
    <w:rsid w:val="00DFFAE9"/>
    <w:rsid w:val="00E00537"/>
    <w:rsid w:val="00E008FE"/>
    <w:rsid w:val="00E0096D"/>
    <w:rsid w:val="00E131BB"/>
    <w:rsid w:val="00E17ECA"/>
    <w:rsid w:val="00E21067"/>
    <w:rsid w:val="00E3016C"/>
    <w:rsid w:val="00E3266F"/>
    <w:rsid w:val="00E358D2"/>
    <w:rsid w:val="00E41BC7"/>
    <w:rsid w:val="00E42A08"/>
    <w:rsid w:val="00E478DA"/>
    <w:rsid w:val="00E50C06"/>
    <w:rsid w:val="00E52479"/>
    <w:rsid w:val="00E52ECB"/>
    <w:rsid w:val="00E551D8"/>
    <w:rsid w:val="00E55222"/>
    <w:rsid w:val="00E74C09"/>
    <w:rsid w:val="00E74C3F"/>
    <w:rsid w:val="00E80F16"/>
    <w:rsid w:val="00E91E8C"/>
    <w:rsid w:val="00EA0F3A"/>
    <w:rsid w:val="00EA20BF"/>
    <w:rsid w:val="00EA26AF"/>
    <w:rsid w:val="00EA3568"/>
    <w:rsid w:val="00EA3840"/>
    <w:rsid w:val="00EA3FEF"/>
    <w:rsid w:val="00EB5F37"/>
    <w:rsid w:val="00EB7D77"/>
    <w:rsid w:val="00EC2A4B"/>
    <w:rsid w:val="00EC349B"/>
    <w:rsid w:val="00EC4693"/>
    <w:rsid w:val="00EC630E"/>
    <w:rsid w:val="00ED071C"/>
    <w:rsid w:val="00ED1DD4"/>
    <w:rsid w:val="00ED3BAA"/>
    <w:rsid w:val="00ED408A"/>
    <w:rsid w:val="00ED7451"/>
    <w:rsid w:val="00EE13C5"/>
    <w:rsid w:val="00EE389D"/>
    <w:rsid w:val="00EF1704"/>
    <w:rsid w:val="00F036CD"/>
    <w:rsid w:val="00F10320"/>
    <w:rsid w:val="00F179D2"/>
    <w:rsid w:val="00F275B7"/>
    <w:rsid w:val="00F4392A"/>
    <w:rsid w:val="00F50599"/>
    <w:rsid w:val="00F52526"/>
    <w:rsid w:val="00F5440A"/>
    <w:rsid w:val="00F56FE7"/>
    <w:rsid w:val="00F6468E"/>
    <w:rsid w:val="00F66E7D"/>
    <w:rsid w:val="00F82461"/>
    <w:rsid w:val="00F90D44"/>
    <w:rsid w:val="00F95A11"/>
    <w:rsid w:val="00FA59C2"/>
    <w:rsid w:val="00FB2FF7"/>
    <w:rsid w:val="00FB3FA8"/>
    <w:rsid w:val="00FB4122"/>
    <w:rsid w:val="00FB5936"/>
    <w:rsid w:val="00FD1A0F"/>
    <w:rsid w:val="00FD743C"/>
    <w:rsid w:val="00FD7996"/>
    <w:rsid w:val="00FE2CF7"/>
    <w:rsid w:val="00FE6CC4"/>
    <w:rsid w:val="00FE7BC4"/>
    <w:rsid w:val="00FE7D2F"/>
    <w:rsid w:val="00FF11A0"/>
    <w:rsid w:val="00FF4261"/>
    <w:rsid w:val="08483BCE"/>
    <w:rsid w:val="095E96BC"/>
    <w:rsid w:val="132CB49E"/>
    <w:rsid w:val="1F02E4DC"/>
    <w:rsid w:val="2C913A9F"/>
    <w:rsid w:val="322222E7"/>
    <w:rsid w:val="38EBFEBC"/>
    <w:rsid w:val="39BB6799"/>
    <w:rsid w:val="42556A22"/>
    <w:rsid w:val="5A0FFD7D"/>
    <w:rsid w:val="67A040E6"/>
    <w:rsid w:val="71DE8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DDC5179A-F1A1-4A5E-A6AA-0C186A1C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ußnote,Voetnoottekst Char,Voetnoottekst Char1 Char,Voetnoottekst Char Char1 Char,Voetnoottekst Char1 Char Char Char,Voetnoottekst Char Char1 Char Char Char,Voetnoottekst Char1 Char Char Char Char Char,• Isnasos,f,fn,ft"/>
    <w:basedOn w:val="prastasis"/>
    <w:link w:val="PuslapioinaostekstasDiagrama"/>
    <w:uiPriority w:val="99"/>
    <w:unhideWhenUsed/>
    <w:qFormat/>
    <w:rsid w:val="00566961"/>
    <w:rPr>
      <w:rFonts w:asciiTheme="minorHAnsi" w:eastAsiaTheme="minorHAnsi" w:hAnsiTheme="minorHAnsi" w:cstheme="minorBidi"/>
      <w:sz w:val="20"/>
    </w:rPr>
  </w:style>
  <w:style w:type="character" w:customStyle="1" w:styleId="PuslapioinaostekstasDiagrama">
    <w:name w:val="Puslapio išnašos tekstas Diagrama"/>
    <w:aliases w:val="Footnote Diagrama,Fußnote Diagrama,Voetnoottekst Char Diagrama,Voetnoottekst Char1 Char Diagrama,Voetnoottekst Char Char1 Char Diagrama,Voetnoottekst Char1 Char Char Char Diagrama,• Isnasos Diagrama,f Diagrama"/>
    <w:basedOn w:val="Numatytasispastraiposriftas"/>
    <w:link w:val="Puslapioinaostekstas"/>
    <w:uiPriority w:val="99"/>
    <w:rsid w:val="00566961"/>
    <w:rPr>
      <w:rFonts w:asciiTheme="minorHAnsi" w:eastAsiaTheme="minorHAnsi" w:hAnsiTheme="minorHAnsi" w:cstheme="minorBidi"/>
      <w:sz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FootnoteReferenceCharCarCharCharCarCharCarCharCarCharCarCharCharCarCarCharCharCharCharCharCarCharCarCharCharCarCharCar"/>
    <w:uiPriority w:val="99"/>
    <w:unhideWhenUsed/>
    <w:qFormat/>
    <w:rsid w:val="00566961"/>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566961"/>
    <w:pPr>
      <w:spacing w:after="160" w:line="240" w:lineRule="exact"/>
    </w:pPr>
    <w:rPr>
      <w:vertAlign w:val="superscript"/>
    </w:rPr>
  </w:style>
  <w:style w:type="paragraph" w:styleId="Sraopastraipa">
    <w:name w:val="List Paragraph"/>
    <w:aliases w:val="Table of contents numbered,List Paragraph Red,Bullet EY,lp1,Bullet 1,Use Case List Paragraph,Numbering,ERP-List Paragraph,List Paragraph11"/>
    <w:basedOn w:val="prastasis"/>
    <w:link w:val="SraopastraipaDiagrama"/>
    <w:uiPriority w:val="34"/>
    <w:qFormat/>
    <w:rsid w:val="00F90D44"/>
    <w:pPr>
      <w:ind w:left="720"/>
      <w:contextualSpacing/>
    </w:p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locked/>
    <w:rsid w:val="00870CD5"/>
  </w:style>
  <w:style w:type="character" w:styleId="Hipersaitas">
    <w:name w:val="Hyperlink"/>
    <w:unhideWhenUsed/>
    <w:rsid w:val="002B0A95"/>
    <w:rPr>
      <w:color w:val="0000FF"/>
      <w:u w:val="single"/>
    </w:rPr>
  </w:style>
  <w:style w:type="character" w:styleId="Komentaronuoroda">
    <w:name w:val="annotation reference"/>
    <w:basedOn w:val="Numatytasispastraiposriftas"/>
    <w:semiHidden/>
    <w:unhideWhenUsed/>
    <w:rsid w:val="00D945DA"/>
    <w:rPr>
      <w:sz w:val="16"/>
      <w:szCs w:val="16"/>
    </w:rPr>
  </w:style>
  <w:style w:type="paragraph" w:styleId="Komentarotekstas">
    <w:name w:val="annotation text"/>
    <w:basedOn w:val="prastasis"/>
    <w:link w:val="KomentarotekstasDiagrama"/>
    <w:unhideWhenUsed/>
    <w:rsid w:val="00D945DA"/>
    <w:rPr>
      <w:sz w:val="20"/>
    </w:rPr>
  </w:style>
  <w:style w:type="character" w:customStyle="1" w:styleId="KomentarotekstasDiagrama">
    <w:name w:val="Komentaro tekstas Diagrama"/>
    <w:basedOn w:val="Numatytasispastraiposriftas"/>
    <w:link w:val="Komentarotekstas"/>
    <w:rsid w:val="00D945DA"/>
    <w:rPr>
      <w:sz w:val="20"/>
    </w:rPr>
  </w:style>
  <w:style w:type="paragraph" w:styleId="Komentarotema">
    <w:name w:val="annotation subject"/>
    <w:basedOn w:val="Komentarotekstas"/>
    <w:next w:val="Komentarotekstas"/>
    <w:link w:val="KomentarotemaDiagrama"/>
    <w:semiHidden/>
    <w:unhideWhenUsed/>
    <w:rsid w:val="00D945DA"/>
    <w:rPr>
      <w:b/>
      <w:bCs/>
    </w:rPr>
  </w:style>
  <w:style w:type="character" w:customStyle="1" w:styleId="KomentarotemaDiagrama">
    <w:name w:val="Komentaro tema Diagrama"/>
    <w:basedOn w:val="KomentarotekstasDiagrama"/>
    <w:link w:val="Komentarotema"/>
    <w:semiHidden/>
    <w:rsid w:val="00D945DA"/>
    <w:rPr>
      <w:b/>
      <w:bCs/>
      <w:sz w:val="20"/>
    </w:rPr>
  </w:style>
  <w:style w:type="character" w:styleId="Perirtashipersaitas">
    <w:name w:val="FollowedHyperlink"/>
    <w:basedOn w:val="Numatytasispastraiposriftas"/>
    <w:semiHidden/>
    <w:unhideWhenUsed/>
    <w:rsid w:val="00CD64C5"/>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0A2F89"/>
    <w:rPr>
      <w:color w:val="605E5C"/>
      <w:shd w:val="clear" w:color="auto" w:fill="E1DFDD"/>
    </w:rPr>
  </w:style>
  <w:style w:type="paragraph" w:customStyle="1" w:styleId="Default">
    <w:name w:val="Default"/>
    <w:rsid w:val="00236CE3"/>
    <w:pPr>
      <w:autoSpaceDE w:val="0"/>
      <w:autoSpaceDN w:val="0"/>
      <w:adjustRightInd w:val="0"/>
    </w:pPr>
    <w:rPr>
      <w:rFonts w:ascii="EUAlbertina" w:hAnsi="EUAlbertina" w:cs="EUAlbertina"/>
      <w:color w:val="000000"/>
      <w:szCs w:val="24"/>
    </w:rPr>
  </w:style>
  <w:style w:type="paragraph" w:styleId="Pataisymai">
    <w:name w:val="Revision"/>
    <w:hidden/>
    <w:semiHidden/>
    <w:rsid w:val="007F20BC"/>
  </w:style>
  <w:style w:type="paragraph" w:styleId="Antrats">
    <w:name w:val="header"/>
    <w:basedOn w:val="prastasis"/>
    <w:link w:val="AntratsDiagrama"/>
    <w:uiPriority w:val="99"/>
    <w:unhideWhenUsed/>
    <w:rsid w:val="001154FE"/>
    <w:pPr>
      <w:tabs>
        <w:tab w:val="center" w:pos="4819"/>
        <w:tab w:val="right" w:pos="9638"/>
      </w:tabs>
    </w:pPr>
  </w:style>
  <w:style w:type="character" w:customStyle="1" w:styleId="AntratsDiagrama">
    <w:name w:val="Antraštės Diagrama"/>
    <w:basedOn w:val="Numatytasispastraiposriftas"/>
    <w:link w:val="Antrats"/>
    <w:uiPriority w:val="99"/>
    <w:rsid w:val="001154FE"/>
  </w:style>
  <w:style w:type="paragraph" w:styleId="Porat">
    <w:name w:val="footer"/>
    <w:basedOn w:val="prastasis"/>
    <w:link w:val="PoratDiagrama"/>
    <w:unhideWhenUsed/>
    <w:rsid w:val="001154FE"/>
    <w:pPr>
      <w:tabs>
        <w:tab w:val="center" w:pos="4819"/>
        <w:tab w:val="right" w:pos="9638"/>
      </w:tabs>
    </w:pPr>
  </w:style>
  <w:style w:type="character" w:customStyle="1" w:styleId="PoratDiagrama">
    <w:name w:val="Poraštė Diagrama"/>
    <w:basedOn w:val="Numatytasispastraiposriftas"/>
    <w:link w:val="Porat"/>
    <w:rsid w:val="001154FE"/>
  </w:style>
  <w:style w:type="paragraph" w:styleId="Debesliotekstas">
    <w:name w:val="Balloon Text"/>
    <w:basedOn w:val="prastasis"/>
    <w:link w:val="DebesliotekstasDiagrama"/>
    <w:semiHidden/>
    <w:unhideWhenUsed/>
    <w:rsid w:val="007E19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E19E9"/>
    <w:rPr>
      <w:rFonts w:ascii="Tahoma" w:hAnsi="Tahoma" w:cs="Tahoma"/>
      <w:sz w:val="16"/>
      <w:szCs w:val="16"/>
    </w:rPr>
  </w:style>
  <w:style w:type="character" w:customStyle="1" w:styleId="cf01">
    <w:name w:val="cf01"/>
    <w:basedOn w:val="Numatytasispastraiposriftas"/>
    <w:rsid w:val="00ED3BAA"/>
    <w:rPr>
      <w:rFonts w:ascii="Segoe UI" w:hAnsi="Segoe UI" w:cs="Segoe UI" w:hint="default"/>
      <w:sz w:val="18"/>
      <w:szCs w:val="18"/>
    </w:rPr>
  </w:style>
  <w:style w:type="character" w:customStyle="1" w:styleId="cf11">
    <w:name w:val="cf11"/>
    <w:basedOn w:val="Numatytasispastraiposriftas"/>
    <w:rsid w:val="00ED3BAA"/>
    <w:rPr>
      <w:rFonts w:ascii="Segoe UI" w:hAnsi="Segoe UI" w:cs="Segoe UI" w:hint="default"/>
      <w:sz w:val="18"/>
      <w:szCs w:val="18"/>
    </w:rPr>
  </w:style>
  <w:style w:type="character" w:customStyle="1" w:styleId="Neapdorotaspaminjimas2">
    <w:name w:val="Neapdorotas paminėjimas2"/>
    <w:basedOn w:val="Numatytasispastraiposriftas"/>
    <w:uiPriority w:val="99"/>
    <w:semiHidden/>
    <w:unhideWhenUsed/>
    <w:rsid w:val="007339B9"/>
    <w:rPr>
      <w:color w:val="605E5C"/>
      <w:shd w:val="clear" w:color="auto" w:fill="E1DFDD"/>
    </w:rPr>
  </w:style>
  <w:style w:type="character" w:customStyle="1" w:styleId="Neapdorotaspaminjimas3">
    <w:name w:val="Neapdorotas paminėjimas3"/>
    <w:basedOn w:val="Numatytasispastraiposriftas"/>
    <w:uiPriority w:val="99"/>
    <w:semiHidden/>
    <w:unhideWhenUsed/>
    <w:rsid w:val="00C34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71391">
      <w:bodyDiv w:val="1"/>
      <w:marLeft w:val="0"/>
      <w:marRight w:val="0"/>
      <w:marTop w:val="0"/>
      <w:marBottom w:val="0"/>
      <w:divBdr>
        <w:top w:val="none" w:sz="0" w:space="0" w:color="auto"/>
        <w:left w:val="none" w:sz="0" w:space="0" w:color="auto"/>
        <w:bottom w:val="none" w:sz="0" w:space="0" w:color="auto"/>
        <w:right w:val="none" w:sz="0" w:space="0" w:color="auto"/>
      </w:divBdr>
    </w:div>
    <w:div w:id="184609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9f349d40221011edb4cae1b158f98ea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ur-lex.europa.eu/legal-content/LT/TXT/?uri=CELEX%3A32020R0852"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ur-lex.europa.eu/legal-content/EN/TXT/PDF/?uri=CELEX:52021XC0218(01)&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289a781f987a81d057e8cf4f9502552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84889c36b9138e1c16edbe3bdd349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30ABCE3A-F3E5-4A34-96A3-326E28F340B0}">
  <ds:schemaRefs>
    <ds:schemaRef ds:uri="http://schemas.openxmlformats.org/officeDocument/2006/bibliography"/>
  </ds:schemaRefs>
</ds:datastoreItem>
</file>

<file path=customXml/itemProps2.xml><?xml version="1.0" encoding="utf-8"?>
<ds:datastoreItem xmlns:ds="http://schemas.openxmlformats.org/officeDocument/2006/customXml" ds:itemID="{9C1CA613-EBB0-450E-83DD-DBDEF1521DC7}">
  <ds:schemaRefs>
    <ds:schemaRef ds:uri="http://schemas.openxmlformats.org/officeDocument/2006/bibliography"/>
  </ds:schemaRefs>
</ds:datastoreItem>
</file>

<file path=customXml/itemProps3.xml><?xml version="1.0" encoding="utf-8"?>
<ds:datastoreItem xmlns:ds="http://schemas.openxmlformats.org/officeDocument/2006/customXml" ds:itemID="{25FD8551-CD73-4A81-A77E-208086C0426E}">
  <ds:schemaRefs>
    <ds:schemaRef ds:uri="http://schemas.openxmlformats.org/officeDocument/2006/bibliography"/>
  </ds:schemaRefs>
</ds:datastoreItem>
</file>

<file path=customXml/itemProps4.xml><?xml version="1.0" encoding="utf-8"?>
<ds:datastoreItem xmlns:ds="http://schemas.openxmlformats.org/officeDocument/2006/customXml" ds:itemID="{010A022D-32AE-45BA-BC88-492D37071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DAACC8-6231-4600-94EC-67682AF24467}">
  <ds:schemaRefs>
    <ds:schemaRef ds:uri="http://schemas.openxmlformats.org/officeDocument/2006/bibliography"/>
  </ds:schemaRefs>
</ds:datastoreItem>
</file>

<file path=customXml/itemProps6.xml><?xml version="1.0" encoding="utf-8"?>
<ds:datastoreItem xmlns:ds="http://schemas.openxmlformats.org/officeDocument/2006/customXml" ds:itemID="{BE05E7E3-BA37-48B8-8E0E-BFF575E5816A}">
  <ds:schemaRefs>
    <ds:schemaRef ds:uri="http://schemas.microsoft.com/sharepoint/v3/contenttype/forms"/>
  </ds:schemaRefs>
</ds:datastoreItem>
</file>

<file path=customXml/itemProps7.xml><?xml version="1.0" encoding="utf-8"?>
<ds:datastoreItem xmlns:ds="http://schemas.openxmlformats.org/officeDocument/2006/customXml" ds:itemID="{CF5DAFDD-B580-4477-9C06-B8150A539DF6}">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1074</Words>
  <Characters>8626</Characters>
  <Application>Microsoft Office Word</Application>
  <DocSecurity>0</DocSecurity>
  <Lines>71</Lines>
  <Paragraphs>19</Paragraphs>
  <ScaleCrop>false</ScaleCrop>
  <HeadingPairs>
    <vt:vector size="2" baseType="variant">
      <vt:variant>
        <vt:lpstr>Pavadinimas</vt:lpstr>
      </vt:variant>
      <vt:variant>
        <vt:i4>1</vt:i4>
      </vt:variant>
    </vt:vector>
  </HeadingPairs>
  <TitlesOfParts>
    <vt:vector size="1" baseType="lpstr">
      <vt:lpstr>Veiksmų programų administravimo</vt:lpstr>
    </vt:vector>
  </TitlesOfParts>
  <Company>LR finansų ministerija</Company>
  <LinksUpToDate>false</LinksUpToDate>
  <CharactersWithSpaces>9681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Renata Čitavičienė</cp:lastModifiedBy>
  <cp:revision>16</cp:revision>
  <cp:lastPrinted>2017-02-13T18:49:00Z</cp:lastPrinted>
  <dcterms:created xsi:type="dcterms:W3CDTF">2022-10-27T12:06:00Z</dcterms:created>
  <dcterms:modified xsi:type="dcterms:W3CDTF">2022-11-18T06:28:00Z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