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1D55F4" w:rsidRDefault="00F36303" w:rsidP="6CE1E7ED">
      <w:pPr>
        <w:spacing w:after="0" w:line="240" w:lineRule="auto"/>
        <w:jc w:val="center"/>
        <w:rPr>
          <w:rFonts w:ascii="Times New Roman" w:eastAsia="Times New Roman" w:hAnsi="Times New Roman" w:cs="Times New Roman"/>
          <w:b/>
          <w:bCs/>
          <w:sz w:val="24"/>
          <w:szCs w:val="24"/>
        </w:rPr>
      </w:pPr>
      <w:r w:rsidRPr="001D55F4">
        <w:rPr>
          <w:rFonts w:ascii="Times New Roman" w:eastAsia="Times New Roman" w:hAnsi="Times New Roman" w:cs="Times New Roman"/>
          <w:b/>
          <w:bCs/>
          <w:sz w:val="24"/>
          <w:szCs w:val="24"/>
        </w:rPr>
        <w:t>KVIETIMAS TEIKTI PROJEKT</w:t>
      </w:r>
      <w:r w:rsidR="00726572" w:rsidRPr="001D55F4">
        <w:rPr>
          <w:rFonts w:ascii="Times New Roman" w:eastAsia="Times New Roman" w:hAnsi="Times New Roman" w:cs="Times New Roman"/>
          <w:b/>
          <w:bCs/>
          <w:sz w:val="24"/>
          <w:szCs w:val="24"/>
        </w:rPr>
        <w:t>Ų</w:t>
      </w:r>
      <w:r w:rsidRPr="001D55F4">
        <w:rPr>
          <w:rFonts w:ascii="Times New Roman" w:eastAsia="Times New Roman" w:hAnsi="Times New Roman" w:cs="Times New Roman"/>
          <w:b/>
          <w:bCs/>
          <w:sz w:val="24"/>
          <w:szCs w:val="24"/>
        </w:rPr>
        <w:t xml:space="preserve"> ĮGYVENDINIMO PLAN</w:t>
      </w:r>
      <w:r w:rsidR="00726572" w:rsidRPr="001D55F4">
        <w:rPr>
          <w:rFonts w:ascii="Times New Roman" w:eastAsia="Times New Roman" w:hAnsi="Times New Roman" w:cs="Times New Roman"/>
          <w:b/>
          <w:bCs/>
          <w:sz w:val="24"/>
          <w:szCs w:val="24"/>
        </w:rPr>
        <w:t>US</w:t>
      </w:r>
    </w:p>
    <w:p w:rsidR="007A39F1" w:rsidRPr="001D55F4" w:rsidRDefault="00F42C77" w:rsidP="6CE1E7ED">
      <w:pPr>
        <w:spacing w:after="0" w:line="240" w:lineRule="auto"/>
        <w:jc w:val="center"/>
        <w:rPr>
          <w:rFonts w:ascii="Times New Roman" w:eastAsia="Times New Roman" w:hAnsi="Times New Roman" w:cs="Times New Roman"/>
          <w:b/>
          <w:bCs/>
          <w:sz w:val="24"/>
          <w:szCs w:val="24"/>
        </w:rPr>
      </w:pPr>
      <w:r w:rsidRPr="001D55F4">
        <w:rPr>
          <w:rFonts w:ascii="Times New Roman" w:eastAsia="Times New Roman" w:hAnsi="Times New Roman" w:cs="Times New Roman"/>
          <w:b/>
          <w:bCs/>
          <w:sz w:val="24"/>
          <w:szCs w:val="24"/>
        </w:rPr>
        <w:t>„</w:t>
      </w:r>
      <w:r w:rsidR="00622A80" w:rsidRPr="001D55F4">
        <w:rPr>
          <w:rFonts w:ascii="Times New Roman" w:hAnsi="Times New Roman" w:cs="Times New Roman"/>
          <w:b/>
          <w:sz w:val="24"/>
          <w:szCs w:val="24"/>
          <w:lang w:eastAsia="lt-LT"/>
        </w:rPr>
        <w:t>VAISTINIŲ PREPARATŲ RINKOS IR FARMACINĖS VEIKLOS KONTROLĖS EFEKTYVUMO IR KOKYBĖS DIDINIMAS</w:t>
      </w:r>
      <w:r w:rsidRPr="001D55F4">
        <w:rPr>
          <w:rFonts w:ascii="Times New Roman" w:eastAsia="Times New Roman" w:hAnsi="Times New Roman" w:cs="Times New Roman"/>
          <w:b/>
          <w:bCs/>
          <w:sz w:val="24"/>
          <w:szCs w:val="24"/>
        </w:rPr>
        <w:t>“</w:t>
      </w:r>
    </w:p>
    <w:p w:rsidR="00F32C69" w:rsidRPr="001D55F4" w:rsidRDefault="00F32C69" w:rsidP="00244F72">
      <w:pPr>
        <w:spacing w:after="0" w:line="240" w:lineRule="auto"/>
        <w:jc w:val="center"/>
        <w:rPr>
          <w:rFonts w:ascii="Times New Roman" w:hAnsi="Times New Roman" w:cs="Times New Roman"/>
          <w:b/>
          <w:sz w:val="24"/>
          <w:szCs w:val="24"/>
        </w:rPr>
      </w:pPr>
    </w:p>
    <w:p w:rsidR="00244F72" w:rsidRPr="001D55F4"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1D55F4">
        <w:rPr>
          <w:rFonts w:ascii="Times New Roman" w:hAnsi="Times New Roman" w:cs="Times New Roman"/>
          <w:bCs/>
          <w:sz w:val="24"/>
          <w:szCs w:val="24"/>
        </w:rPr>
        <w:t>Nr.</w:t>
      </w:r>
      <w:r w:rsidRPr="001D55F4">
        <w:rPr>
          <w:rFonts w:ascii="Times New Roman" w:hAnsi="Times New Roman" w:cs="Times New Roman"/>
          <w:sz w:val="24"/>
          <w:szCs w:val="24"/>
        </w:rPr>
        <w:t xml:space="preserve"> </w:t>
      </w:r>
      <w:r w:rsidR="00622A80" w:rsidRPr="001D55F4">
        <w:rPr>
          <w:rFonts w:ascii="Times New Roman" w:hAnsi="Times New Roman" w:cs="Times New Roman"/>
          <w:sz w:val="24"/>
          <w:szCs w:val="24"/>
        </w:rPr>
        <w:t>09-00</w:t>
      </w:r>
      <w:r w:rsidR="00D0144A">
        <w:rPr>
          <w:rFonts w:ascii="Times New Roman" w:hAnsi="Times New Roman" w:cs="Times New Roman"/>
          <w:sz w:val="24"/>
          <w:szCs w:val="24"/>
        </w:rPr>
        <w:t>4</w:t>
      </w:r>
      <w:r w:rsidR="00622A80" w:rsidRPr="001D55F4">
        <w:rPr>
          <w:rFonts w:ascii="Times New Roman" w:hAnsi="Times New Roman" w:cs="Times New Roman"/>
          <w:sz w:val="24"/>
          <w:szCs w:val="24"/>
        </w:rPr>
        <w:t>-P</w:t>
      </w:r>
    </w:p>
    <w:p w:rsidR="00244F72" w:rsidRPr="001D55F4" w:rsidRDefault="00244F72" w:rsidP="00AE07EC">
      <w:pPr>
        <w:spacing w:after="0" w:line="240" w:lineRule="auto"/>
        <w:jc w:val="center"/>
        <w:rPr>
          <w:rFonts w:ascii="Times New Roman" w:hAnsi="Times New Roman" w:cs="Times New Roman"/>
          <w:sz w:val="24"/>
          <w:szCs w:val="24"/>
        </w:rPr>
      </w:pPr>
    </w:p>
    <w:p w:rsidR="00622A80" w:rsidRPr="00622A80" w:rsidRDefault="006E33E6" w:rsidP="00DB65D8">
      <w:pPr>
        <w:spacing w:after="0" w:line="240" w:lineRule="auto"/>
        <w:ind w:firstLine="567"/>
        <w:jc w:val="both"/>
        <w:rPr>
          <w:rFonts w:ascii="Times New Roman" w:hAnsi="Times New Roman" w:cs="Times New Roman"/>
          <w:sz w:val="24"/>
          <w:szCs w:val="24"/>
        </w:rPr>
      </w:pPr>
      <w:r w:rsidRPr="001D55F4">
        <w:rPr>
          <w:rFonts w:ascii="Times New Roman" w:hAnsi="Times New Roman" w:cs="Times New Roman"/>
          <w:sz w:val="24"/>
          <w:szCs w:val="24"/>
        </w:rPr>
        <w:t xml:space="preserve">Kvietimas parengtas </w:t>
      </w:r>
      <w:r w:rsidR="003B7319" w:rsidRPr="001D55F4">
        <w:rPr>
          <w:rFonts w:ascii="Times New Roman" w:hAnsi="Times New Roman" w:cs="Times New Roman"/>
          <w:sz w:val="24"/>
          <w:szCs w:val="24"/>
        </w:rPr>
        <w:t>vadovaujantis</w:t>
      </w:r>
      <w:r w:rsidR="001D373D" w:rsidRPr="001D55F4">
        <w:rPr>
          <w:rFonts w:ascii="Times New Roman" w:hAnsi="Times New Roman" w:cs="Times New Roman"/>
          <w:sz w:val="24"/>
          <w:szCs w:val="24"/>
        </w:rPr>
        <w:t xml:space="preserve"> </w:t>
      </w:r>
      <w:r w:rsidR="00622A80" w:rsidRPr="001D55F4">
        <w:rPr>
          <w:rFonts w:ascii="Times New Roman" w:hAnsi="Times New Roman" w:cs="Times New Roman"/>
          <w:sz w:val="24"/>
          <w:szCs w:val="24"/>
        </w:rPr>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projektų finansavimo sąlygų aprašu (toliau – PFSA), patvirtintu Lietuvos Respublikos sveikatos apsaugos </w:t>
      </w:r>
      <w:r w:rsidR="00622A80" w:rsidRPr="001D55F4">
        <w:rPr>
          <w:rFonts w:ascii="Times New Roman" w:hAnsi="Times New Roman" w:cs="Times New Roman"/>
          <w:color w:val="000000"/>
          <w:sz w:val="24"/>
          <w:szCs w:val="24"/>
        </w:rPr>
        <w:t>2022 m. lapkričio 8 d. įsakymu Nr. V-1640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rsidR="00A60B9A" w:rsidRPr="002E1FBF" w:rsidRDefault="00A60B9A" w:rsidP="3A2C37A1">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rsidTr="002E1FBF">
        <w:trPr>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rsidR="00962A9D" w:rsidRPr="001D55F4" w:rsidRDefault="00622A80" w:rsidP="009E74D0">
            <w:pPr>
              <w:rPr>
                <w:rFonts w:ascii="Times New Roman" w:hAnsi="Times New Roman" w:cs="Times New Roman"/>
              </w:rPr>
            </w:pPr>
            <w:r w:rsidRPr="001D55F4">
              <w:rPr>
                <w:rFonts w:ascii="Times New Roman" w:hAnsi="Times New Roman" w:cs="Times New Roman"/>
                <w:color w:val="000000"/>
              </w:rPr>
              <w:t>11</w:t>
            </w:r>
            <w:r w:rsidRPr="001D55F4">
              <w:rPr>
                <w:rFonts w:ascii="Times New Roman" w:hAnsi="Times New Roman" w:cs="Times New Roman"/>
                <w:caps/>
                <w:color w:val="000000"/>
              </w:rPr>
              <w:t>-002-02-11-01</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rsidR="00962A9D" w:rsidRPr="001D55F4" w:rsidRDefault="00622A80" w:rsidP="009E74D0">
            <w:pPr>
              <w:rPr>
                <w:rFonts w:ascii="Times New Roman" w:hAnsi="Times New Roman" w:cs="Times New Roman"/>
              </w:rPr>
            </w:pPr>
            <w:r w:rsidRPr="001D55F4">
              <w:rPr>
                <w:rFonts w:ascii="Times New Roman" w:hAnsi="Times New Roman" w:cs="Times New Roman"/>
                <w:color w:val="000000"/>
              </w:rPr>
              <w:t>Gerinti sveikatos priežiūros paslaugų kokybę ir prieinamumą</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rsidR="00DB65D8" w:rsidRPr="001D55F4" w:rsidRDefault="00DC38CD" w:rsidP="00DC38CD">
            <w:pPr>
              <w:rPr>
                <w:rFonts w:ascii="Times New Roman" w:hAnsi="Times New Roman" w:cs="Times New Roman"/>
              </w:rPr>
            </w:pPr>
            <w:r w:rsidRPr="001D55F4">
              <w:rPr>
                <w:rFonts w:ascii="Times New Roman" w:hAnsi="Times New Roman" w:cs="Times New Roman"/>
              </w:rPr>
              <w:t>321.909.719,00</w:t>
            </w:r>
            <w:r w:rsidR="00DB65D8" w:rsidRPr="001D55F4">
              <w:rPr>
                <w:rFonts w:ascii="Times New Roman" w:hAnsi="Times New Roman" w:cs="Times New Roman"/>
              </w:rPr>
              <w:t xml:space="preserve"> Eur</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rsidR="00316854" w:rsidRPr="001D55F4"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316854" w:rsidRPr="001D55F4">
              <w:rPr>
                <w:rFonts w:ascii="Times New Roman" w:hAnsi="Times New Roman" w:cs="Times New Roman"/>
              </w:rPr>
              <w:t>valstybės valdymas, regioninė politika ir viešasis administravimas;</w:t>
            </w:r>
          </w:p>
          <w:p w:rsidR="00316854" w:rsidRPr="001D55F4"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613E25" w:rsidRPr="001D55F4">
                  <w:rPr>
                    <w:rFonts w:ascii="MS Gothic" w:eastAsia="MS Gothic" w:hAnsi="MS Gothic" w:cs="Times New Roman" w:hint="eastAsia"/>
                  </w:rPr>
                  <w:t>☐</w:t>
                </w:r>
              </w:sdtContent>
            </w:sdt>
            <w:r w:rsidR="00316854" w:rsidRPr="001D55F4">
              <w:rPr>
                <w:rFonts w:ascii="Times New Roman" w:hAnsi="Times New Roman" w:cs="Times New Roman"/>
              </w:rPr>
              <w:t> aplinka, miškai ir klimato kaita;</w:t>
            </w:r>
          </w:p>
          <w:p w:rsidR="00316854" w:rsidRPr="001D55F4"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8C2F6A" w:rsidRPr="001D55F4">
              <w:rPr>
                <w:rFonts w:ascii="Times New Roman" w:hAnsi="Times New Roman" w:cs="Times New Roman"/>
              </w:rPr>
              <w:t xml:space="preserve"> </w:t>
            </w:r>
            <w:r w:rsidR="00316854" w:rsidRPr="001D55F4">
              <w:rPr>
                <w:rFonts w:ascii="Times New Roman" w:hAnsi="Times New Roman" w:cs="Times New Roman"/>
              </w:rPr>
              <w:t>energetika;</w:t>
            </w:r>
          </w:p>
          <w:p w:rsidR="00316854" w:rsidRPr="001D55F4"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8C2F6A" w:rsidRPr="001D55F4">
              <w:rPr>
                <w:rFonts w:ascii="Times New Roman" w:hAnsi="Times New Roman" w:cs="Times New Roman"/>
              </w:rPr>
              <w:t xml:space="preserve"> </w:t>
            </w:r>
            <w:r w:rsidR="00316854" w:rsidRPr="001D55F4">
              <w:rPr>
                <w:rFonts w:ascii="Times New Roman" w:hAnsi="Times New Roman" w:cs="Times New Roman"/>
              </w:rPr>
              <w:t>viešieji finansai ir oficialioji statistika;</w:t>
            </w:r>
          </w:p>
          <w:p w:rsidR="00316854" w:rsidRPr="001D55F4"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316854" w:rsidRPr="001D55F4">
              <w:rPr>
                <w:rFonts w:ascii="Times New Roman" w:hAnsi="Times New Roman" w:cs="Times New Roman"/>
              </w:rPr>
              <w:t> ekonomikos konkurencingumas ir valstybės informaciniai ištekliai;</w:t>
            </w:r>
          </w:p>
          <w:p w:rsidR="00316854" w:rsidRPr="001D55F4"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8C2F6A" w:rsidRPr="001D55F4">
              <w:rPr>
                <w:rFonts w:ascii="Times New Roman" w:hAnsi="Times New Roman" w:cs="Times New Roman"/>
              </w:rPr>
              <w:t xml:space="preserve"> </w:t>
            </w:r>
            <w:r w:rsidR="00316854" w:rsidRPr="001D55F4">
              <w:rPr>
                <w:rFonts w:ascii="Times New Roman" w:hAnsi="Times New Roman" w:cs="Times New Roman"/>
              </w:rPr>
              <w:t>valstybės saugumas ir gynyba;</w:t>
            </w:r>
          </w:p>
          <w:p w:rsidR="00316854" w:rsidRPr="001D55F4"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8C2F6A" w:rsidRPr="001D55F4">
              <w:rPr>
                <w:rFonts w:ascii="Times New Roman" w:hAnsi="Times New Roman" w:cs="Times New Roman"/>
              </w:rPr>
              <w:t xml:space="preserve"> </w:t>
            </w:r>
            <w:r w:rsidR="00316854" w:rsidRPr="001D55F4">
              <w:rPr>
                <w:rFonts w:ascii="Times New Roman" w:hAnsi="Times New Roman" w:cs="Times New Roman"/>
              </w:rPr>
              <w:t>viešasis saugumas;</w:t>
            </w:r>
          </w:p>
          <w:p w:rsidR="00316854" w:rsidRPr="001D55F4"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8C2F6A" w:rsidRPr="001D55F4">
              <w:rPr>
                <w:rFonts w:ascii="Times New Roman" w:hAnsi="Times New Roman" w:cs="Times New Roman"/>
              </w:rPr>
              <w:t xml:space="preserve"> </w:t>
            </w:r>
            <w:r w:rsidR="00316854" w:rsidRPr="001D55F4">
              <w:rPr>
                <w:rFonts w:ascii="Times New Roman" w:hAnsi="Times New Roman" w:cs="Times New Roman"/>
              </w:rPr>
              <w:t>kultūra ir visuomenės informavimas;</w:t>
            </w:r>
          </w:p>
          <w:p w:rsidR="00316854" w:rsidRPr="001D55F4"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316854" w:rsidRPr="001D55F4">
              <w:rPr>
                <w:rFonts w:ascii="Times New Roman" w:hAnsi="Times New Roman" w:cs="Times New Roman"/>
              </w:rPr>
              <w:t> socialinė apsauga ir užimtumas;</w:t>
            </w:r>
          </w:p>
          <w:p w:rsidR="00316854" w:rsidRPr="001D55F4"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8C2F6A" w:rsidRPr="001D55F4">
              <w:rPr>
                <w:rFonts w:ascii="Times New Roman" w:hAnsi="Times New Roman" w:cs="Times New Roman"/>
              </w:rPr>
              <w:t xml:space="preserve"> </w:t>
            </w:r>
            <w:r w:rsidR="00316854" w:rsidRPr="001D55F4">
              <w:rPr>
                <w:rFonts w:ascii="Times New Roman" w:hAnsi="Times New Roman" w:cs="Times New Roman"/>
              </w:rPr>
              <w:t>transportas ir ryšiai;</w:t>
            </w:r>
          </w:p>
          <w:p w:rsidR="00316854" w:rsidRPr="001D55F4" w:rsidRDefault="00000000" w:rsidP="00316854">
            <w:pPr>
              <w:rPr>
                <w:rFonts w:ascii="Times New Roman" w:hAnsi="Times New Roman" w:cs="Times New Roman"/>
              </w:rPr>
            </w:pPr>
            <w:sdt>
              <w:sdtPr>
                <w:rPr>
                  <w:rFonts w:ascii="Times New Roman" w:hAnsi="Times New Roman" w:cs="Times New Roman"/>
                </w:rPr>
                <w:id w:val="1347209485"/>
                <w14:checkbox>
                  <w14:checked w14:val="1"/>
                  <w14:checkedState w14:val="2612" w14:font="MS Gothic"/>
                  <w14:uncheckedState w14:val="2610" w14:font="MS Gothic"/>
                </w14:checkbox>
              </w:sdtPr>
              <w:sdtContent>
                <w:r w:rsidR="00613E25" w:rsidRPr="001D55F4">
                  <w:rPr>
                    <w:rFonts w:ascii="MS Gothic" w:eastAsia="MS Gothic" w:hAnsi="MS Gothic" w:cs="Times New Roman" w:hint="eastAsia"/>
                  </w:rPr>
                  <w:t>☒</w:t>
                </w:r>
              </w:sdtContent>
            </w:sdt>
            <w:r w:rsidR="008C2F6A" w:rsidRPr="001D55F4">
              <w:rPr>
                <w:rFonts w:ascii="Times New Roman" w:hAnsi="Times New Roman" w:cs="Times New Roman"/>
              </w:rPr>
              <w:t xml:space="preserve"> </w:t>
            </w:r>
            <w:r w:rsidR="00316854" w:rsidRPr="001D55F4">
              <w:rPr>
                <w:rFonts w:ascii="Times New Roman" w:hAnsi="Times New Roman" w:cs="Times New Roman"/>
              </w:rPr>
              <w:t>sveikata;</w:t>
            </w:r>
          </w:p>
          <w:p w:rsidR="00316854" w:rsidRPr="001D55F4"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316854" w:rsidRPr="001D55F4">
              <w:rPr>
                <w:rFonts w:ascii="Times New Roman" w:hAnsi="Times New Roman" w:cs="Times New Roman"/>
              </w:rPr>
              <w:t> švietimas, mokslas ir sportas;</w:t>
            </w:r>
          </w:p>
          <w:p w:rsidR="00316854" w:rsidRPr="001D55F4"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316854" w:rsidRPr="001D55F4">
              <w:rPr>
                <w:rFonts w:ascii="Times New Roman" w:hAnsi="Times New Roman" w:cs="Times New Roman"/>
              </w:rPr>
              <w:t> teisingumas;</w:t>
            </w:r>
          </w:p>
          <w:p w:rsidR="00316854" w:rsidRPr="001D55F4"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316854" w:rsidRPr="001D55F4">
              <w:rPr>
                <w:rFonts w:ascii="Times New Roman" w:hAnsi="Times New Roman" w:cs="Times New Roman"/>
              </w:rPr>
              <w:t> užsienio politika;</w:t>
            </w:r>
          </w:p>
          <w:p w:rsidR="00962A9D" w:rsidRPr="001D55F4"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1D55F4">
                  <w:rPr>
                    <w:rFonts w:ascii="Segoe UI Symbol" w:eastAsia="MS Gothic" w:hAnsi="Segoe UI Symbol" w:cs="Segoe UI Symbol"/>
                  </w:rPr>
                  <w:t>☐</w:t>
                </w:r>
              </w:sdtContent>
            </w:sdt>
            <w:r w:rsidR="00316854" w:rsidRPr="001D55F4">
              <w:rPr>
                <w:rFonts w:ascii="Times New Roman" w:hAnsi="Times New Roman" w:cs="Times New Roman"/>
              </w:rPr>
              <w:t> žemės ir maisto ūkis, kaimo plėtra, žuvininkystė, veterinarija ir žemės tvarkymas</w:t>
            </w:r>
          </w:p>
          <w:p w:rsidR="002E1FBF" w:rsidRPr="001D55F4" w:rsidRDefault="002E1FBF" w:rsidP="009E74D0">
            <w:pPr>
              <w:rPr>
                <w:rFonts w:ascii="Times New Roman" w:hAnsi="Times New Roman" w:cs="Times New Roman"/>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rsidR="00962A9D" w:rsidRPr="001D55F4" w:rsidRDefault="00000000"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Content>
                <w:r w:rsidR="00C07E53" w:rsidRPr="001D55F4">
                  <w:rPr>
                    <w:rFonts w:ascii="MS Gothic" w:eastAsia="MS Gothic" w:hAnsi="MS Gothic" w:cs="Times New Roman" w:hint="eastAsia"/>
                  </w:rPr>
                  <w:t>☒</w:t>
                </w:r>
              </w:sdtContent>
            </w:sdt>
            <w:r w:rsidR="00962A9D" w:rsidRPr="001D55F4">
              <w:rPr>
                <w:rFonts w:ascii="Times New Roman" w:eastAsia="Times New Roman" w:hAnsi="Times New Roman" w:cs="Times New Roman"/>
                <w:iCs/>
              </w:rPr>
              <w:t xml:space="preserve"> </w:t>
            </w:r>
            <w:r w:rsidR="00D1011B" w:rsidRPr="001D55F4">
              <w:rPr>
                <w:rFonts w:ascii="Times New Roman" w:eastAsia="Times New Roman" w:hAnsi="Times New Roman" w:cs="Times New Roman"/>
                <w:iCs/>
              </w:rPr>
              <w:t>P</w:t>
            </w:r>
            <w:r w:rsidR="00962A9D" w:rsidRPr="001D55F4">
              <w:rPr>
                <w:rFonts w:ascii="Times New Roman" w:eastAsia="Times New Roman" w:hAnsi="Times New Roman" w:cs="Times New Roman"/>
                <w:iCs/>
              </w:rPr>
              <w:t>lanavimas</w:t>
            </w:r>
          </w:p>
          <w:p w:rsidR="00404403" w:rsidRPr="001D55F4" w:rsidRDefault="00000000" w:rsidP="00404403">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Content>
                <w:r w:rsidR="002D6263" w:rsidRPr="001D55F4">
                  <w:rPr>
                    <w:rFonts w:ascii="MS Gothic" w:eastAsia="MS Gothic" w:hAnsi="MS Gothic" w:cs="Times New Roman" w:hint="eastAsia"/>
                  </w:rPr>
                  <w:t>☐</w:t>
                </w:r>
              </w:sdtContent>
            </w:sdt>
            <w:r w:rsidR="00404403" w:rsidRPr="001D55F4">
              <w:rPr>
                <w:rFonts w:ascii="Times New Roman" w:eastAsia="Times New Roman" w:hAnsi="Times New Roman" w:cs="Times New Roman"/>
                <w:iCs/>
              </w:rPr>
              <w:t xml:space="preserve"> Konkursas</w:t>
            </w:r>
          </w:p>
          <w:p w:rsidR="00271B16" w:rsidRPr="001D55F4" w:rsidRDefault="00000000" w:rsidP="00271B16">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Content>
                <w:r w:rsidR="002D6263" w:rsidRPr="001D55F4">
                  <w:rPr>
                    <w:rFonts w:ascii="MS Gothic" w:eastAsia="MS Gothic" w:hAnsi="MS Gothic" w:cs="Times New Roman" w:hint="eastAsia"/>
                  </w:rPr>
                  <w:t>☐</w:t>
                </w:r>
              </w:sdtContent>
            </w:sdt>
            <w:r w:rsidR="00271B16" w:rsidRPr="001D55F4">
              <w:rPr>
                <w:rFonts w:ascii="Times New Roman" w:eastAsia="Times New Roman" w:hAnsi="Times New Roman" w:cs="Times New Roman"/>
                <w:iCs/>
              </w:rPr>
              <w:t xml:space="preserve"> Tęstinė atranka</w:t>
            </w:r>
          </w:p>
          <w:p w:rsidR="00962A9D" w:rsidRPr="001D55F4" w:rsidRDefault="00000000" w:rsidP="009E74D0">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Content>
                <w:r w:rsidR="002D6263" w:rsidRPr="001D55F4">
                  <w:rPr>
                    <w:rFonts w:ascii="MS Gothic" w:eastAsia="MS Gothic" w:hAnsi="MS Gothic" w:cs="Times New Roman" w:hint="eastAsia"/>
                  </w:rPr>
                  <w:t>☐</w:t>
                </w:r>
              </w:sdtContent>
            </w:sdt>
            <w:r w:rsidR="00525212" w:rsidRPr="001D55F4">
              <w:rPr>
                <w:rFonts w:ascii="Times New Roman" w:eastAsia="Times New Roman" w:hAnsi="Times New Roman" w:cs="Times New Roman"/>
                <w:iCs/>
              </w:rPr>
              <w:t xml:space="preserve"> </w:t>
            </w:r>
            <w:r w:rsidR="00962A9D" w:rsidRPr="001D55F4">
              <w:rPr>
                <w:rFonts w:ascii="Times New Roman" w:eastAsia="Times New Roman" w:hAnsi="Times New Roman" w:cs="Times New Roman"/>
                <w:iCs/>
              </w:rPr>
              <w:t>Jungtinis projektas</w:t>
            </w:r>
          </w:p>
          <w:p w:rsidR="00962A9D" w:rsidRPr="001D55F4" w:rsidRDefault="00962A9D" w:rsidP="009E74D0">
            <w:pPr>
              <w:rPr>
                <w:rFonts w:ascii="Times New Roman" w:eastAsia="Times New Roman" w:hAnsi="Times New Roman" w:cs="Times New Roman"/>
                <w:iCs/>
              </w:rPr>
            </w:pP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rsidR="00962A9D" w:rsidRPr="001D55F4" w:rsidRDefault="00000000"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Content>
                <w:r w:rsidR="00296857" w:rsidRPr="001D55F4">
                  <w:rPr>
                    <w:rFonts w:ascii="MS Gothic" w:eastAsia="MS Gothic" w:hAnsi="MS Gothic" w:cs="Times New Roman" w:hint="eastAsia"/>
                  </w:rPr>
                  <w:t>☒</w:t>
                </w:r>
              </w:sdtContent>
            </w:sdt>
            <w:r w:rsidR="00962A9D" w:rsidRPr="001D55F4">
              <w:rPr>
                <w:rFonts w:ascii="Times New Roman" w:eastAsia="Times New Roman" w:hAnsi="Times New Roman" w:cs="Times New Roman"/>
                <w:iCs/>
              </w:rPr>
              <w:t xml:space="preserve"> Netaikoma</w:t>
            </w:r>
          </w:p>
          <w:p w:rsidR="00962A9D" w:rsidRPr="001D55F4" w:rsidRDefault="00000000" w:rsidP="009E74D0">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Content>
                <w:r w:rsidR="002D6263" w:rsidRPr="001D55F4">
                  <w:rPr>
                    <w:rFonts w:ascii="MS Gothic" w:eastAsia="MS Gothic" w:hAnsi="MS Gothic" w:cs="Times New Roman" w:hint="eastAsia"/>
                  </w:rPr>
                  <w:t>☐</w:t>
                </w:r>
              </w:sdtContent>
            </w:sdt>
            <w:r w:rsidR="00296857" w:rsidRPr="001D55F4">
              <w:rPr>
                <w:rFonts w:ascii="Times New Roman" w:eastAsia="Times New Roman" w:hAnsi="Times New Roman" w:cs="Times New Roman"/>
                <w:iCs/>
              </w:rPr>
              <w:t xml:space="preserve"> </w:t>
            </w:r>
            <w:r w:rsidR="00962A9D" w:rsidRPr="001D55F4">
              <w:rPr>
                <w:rFonts w:ascii="Times New Roman" w:eastAsia="Times New Roman" w:hAnsi="Times New Roman" w:cs="Times New Roman"/>
                <w:iCs/>
              </w:rPr>
              <w:t>Vidurio ir vakarų Lietuvos regionas</w:t>
            </w:r>
          </w:p>
          <w:p w:rsidR="00962A9D" w:rsidRPr="001D55F4" w:rsidRDefault="00962A9D" w:rsidP="6EFCB721">
            <w:pPr>
              <w:rPr>
                <w:rFonts w:ascii="Times New Roman" w:eastAsia="Times New Roman" w:hAnsi="Times New Roman" w:cs="Times New Roman"/>
                <w:iCs/>
              </w:rPr>
            </w:pPr>
            <w:r w:rsidRPr="001D55F4">
              <w:rPr>
                <w:rFonts w:ascii="Segoe UI Symbol" w:eastAsia="Times New Roman" w:hAnsi="Segoe UI Symbol" w:cs="Segoe UI Symbol"/>
                <w:iCs/>
              </w:rPr>
              <w:t>☐</w:t>
            </w:r>
            <w:r w:rsidRPr="001D55F4">
              <w:rPr>
                <w:rFonts w:ascii="Times New Roman" w:eastAsia="Times New Roman" w:hAnsi="Times New Roman" w:cs="Times New Roman"/>
                <w:iCs/>
              </w:rPr>
              <w:t xml:space="preserve"> Sostinės regionas</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rsidR="00962A9D" w:rsidRPr="001D55F4" w:rsidRDefault="00000000" w:rsidP="009E74D0">
            <w:pPr>
              <w:rPr>
                <w:rFonts w:ascii="Times New Roman" w:eastAsia="Times New Roman" w:hAnsi="Times New Roman" w:cs="Times New Roman"/>
                <w:iCs/>
              </w:rPr>
            </w:pPr>
            <w:sdt>
              <w:sdtPr>
                <w:rPr>
                  <w:rFonts w:ascii="Times New Roman" w:hAnsi="Times New Roman" w:cs="Times New Roman"/>
                </w:rPr>
                <w:id w:val="86892085"/>
                <w14:checkbox>
                  <w14:checked w14:val="0"/>
                  <w14:checkedState w14:val="2612" w14:font="MS Gothic"/>
                  <w14:uncheckedState w14:val="2610" w14:font="MS Gothic"/>
                </w14:checkbox>
              </w:sdtPr>
              <w:sdtContent>
                <w:r w:rsidR="002D6263" w:rsidRPr="001D55F4">
                  <w:rPr>
                    <w:rFonts w:ascii="MS Gothic" w:eastAsia="MS Gothic" w:hAnsi="MS Gothic" w:cs="Times New Roman" w:hint="eastAsia"/>
                  </w:rPr>
                  <w:t>☐</w:t>
                </w:r>
              </w:sdtContent>
            </w:sdt>
            <w:r w:rsidR="00C07E53" w:rsidRPr="001D55F4">
              <w:rPr>
                <w:rFonts w:ascii="Times New Roman" w:eastAsia="Times New Roman" w:hAnsi="Times New Roman" w:cs="Times New Roman"/>
                <w:iCs/>
              </w:rPr>
              <w:t xml:space="preserve"> </w:t>
            </w:r>
            <w:r w:rsidR="00962A9D" w:rsidRPr="001D55F4">
              <w:rPr>
                <w:rFonts w:ascii="Times New Roman" w:eastAsia="Times New Roman" w:hAnsi="Times New Roman" w:cs="Times New Roman"/>
                <w:iCs/>
              </w:rPr>
              <w:t>ES fondų investicijų programa</w:t>
            </w:r>
          </w:p>
          <w:p w:rsidR="00962A9D" w:rsidRPr="001D55F4" w:rsidRDefault="00000000"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Content>
                <w:r w:rsidR="008F45C6" w:rsidRPr="001D55F4">
                  <w:rPr>
                    <w:rFonts w:ascii="MS Gothic" w:eastAsia="MS Gothic" w:hAnsi="MS Gothic" w:cs="Times New Roman" w:hint="eastAsia"/>
                  </w:rPr>
                  <w:t>☒</w:t>
                </w:r>
              </w:sdtContent>
            </w:sdt>
            <w:r w:rsidR="00962A9D" w:rsidRPr="001D55F4">
              <w:rPr>
                <w:rFonts w:ascii="Times New Roman" w:eastAsia="Times New Roman" w:hAnsi="Times New Roman" w:cs="Times New Roman"/>
                <w:iCs/>
              </w:rPr>
              <w:t xml:space="preserve"> </w:t>
            </w:r>
            <w:r w:rsidR="000F45D7" w:rsidRPr="001D55F4">
              <w:rPr>
                <w:rFonts w:ascii="Times New Roman" w:eastAsia="Times New Roman" w:hAnsi="Times New Roman" w:cs="Times New Roman"/>
                <w:iCs/>
              </w:rPr>
              <w:t>Planas „</w:t>
            </w:r>
            <w:r w:rsidR="00962A9D" w:rsidRPr="001D55F4">
              <w:rPr>
                <w:rFonts w:ascii="Times New Roman" w:eastAsia="Times New Roman" w:hAnsi="Times New Roman" w:cs="Times New Roman"/>
                <w:iCs/>
              </w:rPr>
              <w:t>Naujos kartos Lietuva</w:t>
            </w:r>
            <w:r w:rsidR="000F45D7" w:rsidRPr="001D55F4">
              <w:rPr>
                <w:rFonts w:ascii="Times New Roman" w:eastAsia="Times New Roman" w:hAnsi="Times New Roman" w:cs="Times New Roman"/>
                <w:iCs/>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rsidR="00962A9D" w:rsidRPr="001D55F4" w:rsidRDefault="00613E25" w:rsidP="00613E25">
            <w:pPr>
              <w:rPr>
                <w:rFonts w:ascii="Times New Roman" w:eastAsia="Times New Roman" w:hAnsi="Times New Roman" w:cs="Times New Roman"/>
                <w:b/>
                <w:i/>
                <w:iCs/>
              </w:rPr>
            </w:pPr>
            <w:r w:rsidRPr="001D55F4">
              <w:rPr>
                <w:rFonts w:ascii="Times New Roman" w:hAnsi="Times New Roman" w:cs="Times New Roman"/>
                <w:color w:val="000000"/>
              </w:rPr>
              <w:t>Lietuvos Respublikos sveikatos apsaugos ministerija</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rsidR="000B1CE2" w:rsidRPr="00296857" w:rsidRDefault="000B1CE2" w:rsidP="00296857">
            <w:pPr>
              <w:jc w:val="both"/>
              <w:rPr>
                <w:rFonts w:ascii="Times New Roman" w:hAnsi="Times New Roman" w:cs="Times New Roman"/>
              </w:rPr>
            </w:pPr>
            <w:r w:rsidRPr="00296857">
              <w:rPr>
                <w:rFonts w:ascii="Times New Roman" w:hAnsi="Times New Roman" w:cs="Times New Roman"/>
              </w:rPr>
              <w:t xml:space="preserve">Pažangos priemonė skirta įgyvendinti </w:t>
            </w:r>
            <w:r w:rsidR="00E55D49" w:rsidRPr="002D6263">
              <w:rPr>
                <w:rFonts w:ascii="Times New Roman" w:hAnsi="Times New Roman" w:cs="Times New Roman"/>
              </w:rPr>
              <w:t>Ekonomikos gaivinimo ir atsparumo didinimo priemonės lėšos (toliau – EGADP)</w:t>
            </w:r>
            <w:r w:rsidRPr="00296857">
              <w:rPr>
                <w:rFonts w:ascii="Times New Roman" w:hAnsi="Times New Roman" w:cs="Times New Roman"/>
              </w:rPr>
              <w:t xml:space="preserve"> </w:t>
            </w:r>
            <w:r w:rsidR="002D6263">
              <w:rPr>
                <w:rFonts w:ascii="Times New Roman" w:hAnsi="Times New Roman" w:cs="Times New Roman"/>
              </w:rPr>
              <w:t xml:space="preserve">1 </w:t>
            </w:r>
            <w:r w:rsidR="00431E7B" w:rsidRPr="00296857">
              <w:rPr>
                <w:rFonts w:ascii="Times New Roman" w:hAnsi="Times New Roman" w:cs="Times New Roman"/>
              </w:rPr>
              <w:t>Komponent</w:t>
            </w:r>
            <w:r w:rsidRPr="00296857">
              <w:rPr>
                <w:rFonts w:ascii="Times New Roman" w:hAnsi="Times New Roman" w:cs="Times New Roman"/>
              </w:rPr>
              <w:t>o</w:t>
            </w:r>
            <w:r w:rsidR="00431E7B" w:rsidRPr="00296857">
              <w:rPr>
                <w:rFonts w:ascii="Times New Roman" w:hAnsi="Times New Roman" w:cs="Times New Roman"/>
              </w:rPr>
              <w:t xml:space="preserve"> „</w:t>
            </w:r>
            <w:r w:rsidR="001D55F4">
              <w:rPr>
                <w:rFonts w:ascii="Times New Roman" w:hAnsi="Times New Roman" w:cs="Times New Roman"/>
              </w:rPr>
              <w:t>A</w:t>
            </w:r>
            <w:r w:rsidR="001D55F4" w:rsidRPr="002D6263">
              <w:rPr>
                <w:rFonts w:ascii="Times New Roman" w:hAnsi="Times New Roman" w:cs="Times New Roman"/>
              </w:rPr>
              <w:t>tspari grėsmėms ir pasirengusi ateities iššūkiams sveikatos priežiūros sistema</w:t>
            </w:r>
            <w:r w:rsidR="00431E7B" w:rsidRPr="00296857">
              <w:rPr>
                <w:rFonts w:ascii="Times New Roman" w:hAnsi="Times New Roman" w:cs="Times New Roman"/>
              </w:rPr>
              <w:t xml:space="preserve">“ </w:t>
            </w:r>
            <w:r w:rsidR="002D6263">
              <w:rPr>
                <w:rFonts w:ascii="Times New Roman" w:hAnsi="Times New Roman" w:cs="Times New Roman"/>
              </w:rPr>
              <w:t xml:space="preserve">A1.1 1 </w:t>
            </w:r>
            <w:r w:rsidRPr="00296857">
              <w:rPr>
                <w:rFonts w:ascii="Times New Roman" w:hAnsi="Times New Roman" w:cs="Times New Roman"/>
              </w:rPr>
              <w:t>reformai „</w:t>
            </w:r>
            <w:r w:rsidR="002D6263" w:rsidRPr="002D6263">
              <w:rPr>
                <w:rFonts w:ascii="Times New Roman" w:hAnsi="Times New Roman" w:cs="Times New Roman"/>
              </w:rPr>
              <w:t>Sveikatos priežiūros paslaugų kokybės ir prieinamumo gerinimas bei inovacijų skatinimas</w:t>
            </w:r>
            <w:r w:rsidRPr="00296857">
              <w:rPr>
                <w:rFonts w:ascii="Times New Roman" w:hAnsi="Times New Roman" w:cs="Times New Roman"/>
              </w:rPr>
              <w:t>“</w:t>
            </w:r>
            <w:r w:rsidR="00A10319">
              <w:rPr>
                <w:rFonts w:ascii="Times New Roman" w:hAnsi="Times New Roman" w:cs="Times New Roman"/>
              </w:rPr>
              <w:t>.</w:t>
            </w:r>
          </w:p>
          <w:p w:rsidR="00A10319" w:rsidRDefault="00A10319" w:rsidP="00296857">
            <w:pPr>
              <w:jc w:val="both"/>
              <w:rPr>
                <w:rFonts w:ascii="Times New Roman" w:hAnsi="Times New Roman" w:cs="Times New Roman"/>
              </w:rPr>
            </w:pPr>
          </w:p>
          <w:p w:rsidR="00E06325" w:rsidRPr="00296857" w:rsidRDefault="00A10319" w:rsidP="002D6263">
            <w:pPr>
              <w:ind w:right="-57"/>
              <w:jc w:val="both"/>
              <w:rPr>
                <w:rFonts w:ascii="Times New Roman" w:hAnsi="Times New Roman" w:cs="Times New Roman"/>
              </w:rPr>
            </w:pPr>
            <w:r>
              <w:rPr>
                <w:rFonts w:ascii="Times New Roman" w:hAnsi="Times New Roman" w:cs="Times New Roman"/>
              </w:rPr>
              <w:t xml:space="preserve">Pažangos priemonės įgyvendinimas finansuojamas: </w:t>
            </w:r>
            <w:r w:rsidR="002D6263" w:rsidRPr="002D6263">
              <w:rPr>
                <w:rFonts w:ascii="Times New Roman" w:hAnsi="Times New Roman" w:cs="Times New Roman"/>
              </w:rPr>
              <w:t>EGADP</w:t>
            </w:r>
            <w:r w:rsidRPr="00296857">
              <w:rPr>
                <w:rFonts w:ascii="Times New Roman" w:hAnsi="Times New Roman" w:cs="Times New Roman"/>
              </w:rPr>
              <w:t xml:space="preserve"> lėšomis.</w:t>
            </w:r>
          </w:p>
          <w:p w:rsidR="00085A23" w:rsidRPr="00421A95" w:rsidRDefault="00085A23" w:rsidP="000B1CE2">
            <w:pPr>
              <w:rPr>
                <w:rFonts w:ascii="Times New Roman" w:eastAsia="Times New Roman" w:hAnsi="Times New Roman" w:cs="Times New Roman"/>
                <w:bCs/>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rsidR="005D35CD" w:rsidRDefault="005D35CD" w:rsidP="005D35CD">
            <w:pPr>
              <w:rPr>
                <w:rFonts w:ascii="Times New Roman" w:hAnsi="Times New Roman" w:cs="Times New Roman"/>
                <w:bCs/>
                <w:i/>
                <w:iCs/>
              </w:rPr>
            </w:pPr>
          </w:p>
          <w:tbl>
            <w:tblPr>
              <w:tblW w:w="6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724"/>
              <w:gridCol w:w="1275"/>
              <w:gridCol w:w="1276"/>
            </w:tblGrid>
            <w:tr w:rsidR="00DC38CD" w:rsidRPr="001D55F4" w:rsidTr="00E55D49">
              <w:trPr>
                <w:trHeight w:val="1552"/>
              </w:trPr>
              <w:tc>
                <w:tcPr>
                  <w:tcW w:w="1417" w:type="dxa"/>
                  <w:shd w:val="clear" w:color="auto" w:fill="DEEAF6" w:themeFill="accent1" w:themeFillTint="33"/>
                  <w:vAlign w:val="center"/>
                </w:tcPr>
                <w:p w:rsidR="00DC38CD" w:rsidRPr="001D55F4" w:rsidRDefault="00DC38CD" w:rsidP="00DC38CD">
                  <w:pPr>
                    <w:jc w:val="center"/>
                    <w:rPr>
                      <w:rFonts w:ascii="Times New Roman" w:hAnsi="Times New Roman" w:cs="Times New Roman"/>
                      <w:b/>
                    </w:rPr>
                  </w:pPr>
                  <w:r w:rsidRPr="001D55F4">
                    <w:rPr>
                      <w:rFonts w:ascii="Times New Roman" w:hAnsi="Times New Roman" w:cs="Times New Roman"/>
                      <w:b/>
                    </w:rPr>
                    <w:t>Rodiklio kodas</w:t>
                  </w:r>
                </w:p>
              </w:tc>
              <w:tc>
                <w:tcPr>
                  <w:tcW w:w="2724" w:type="dxa"/>
                  <w:shd w:val="clear" w:color="auto" w:fill="DEEAF6" w:themeFill="accent1" w:themeFillTint="33"/>
                  <w:vAlign w:val="center"/>
                </w:tcPr>
                <w:p w:rsidR="00DC38CD" w:rsidRPr="001D55F4" w:rsidRDefault="00DC38CD" w:rsidP="00DC38CD">
                  <w:pPr>
                    <w:jc w:val="both"/>
                    <w:rPr>
                      <w:rFonts w:ascii="Times New Roman" w:hAnsi="Times New Roman" w:cs="Times New Roman"/>
                      <w:b/>
                    </w:rPr>
                  </w:pPr>
                  <w:r w:rsidRPr="001D55F4">
                    <w:rPr>
                      <w:rFonts w:ascii="Times New Roman" w:hAnsi="Times New Roman" w:cs="Times New Roman"/>
                      <w:b/>
                    </w:rPr>
                    <w:t>Rodiklio pavadinimas</w:t>
                  </w:r>
                </w:p>
              </w:tc>
              <w:tc>
                <w:tcPr>
                  <w:tcW w:w="1275" w:type="dxa"/>
                  <w:shd w:val="clear" w:color="auto" w:fill="DEEAF6" w:themeFill="accent1" w:themeFillTint="33"/>
                  <w:vAlign w:val="center"/>
                </w:tcPr>
                <w:p w:rsidR="00DC38CD" w:rsidRPr="001D55F4" w:rsidRDefault="00DC38CD" w:rsidP="00DC38CD">
                  <w:pPr>
                    <w:jc w:val="center"/>
                    <w:rPr>
                      <w:rFonts w:ascii="Times New Roman" w:hAnsi="Times New Roman" w:cs="Times New Roman"/>
                      <w:b/>
                    </w:rPr>
                  </w:pPr>
                  <w:r w:rsidRPr="001D55F4">
                    <w:rPr>
                      <w:rFonts w:ascii="Times New Roman" w:hAnsi="Times New Roman" w:cs="Times New Roman"/>
                      <w:b/>
                    </w:rPr>
                    <w:t>Matavimo vienetas</w:t>
                  </w:r>
                </w:p>
              </w:tc>
              <w:tc>
                <w:tcPr>
                  <w:tcW w:w="1276" w:type="dxa"/>
                  <w:shd w:val="clear" w:color="auto" w:fill="DEEAF6" w:themeFill="accent1" w:themeFillTint="33"/>
                </w:tcPr>
                <w:p w:rsidR="00DC38CD" w:rsidRPr="001D55F4" w:rsidRDefault="00DC38CD" w:rsidP="00DC38CD">
                  <w:pPr>
                    <w:jc w:val="center"/>
                    <w:rPr>
                      <w:rFonts w:ascii="Times New Roman" w:hAnsi="Times New Roman" w:cs="Times New Roman"/>
                      <w:b/>
                    </w:rPr>
                  </w:pPr>
                  <w:r w:rsidRPr="001D55F4">
                    <w:rPr>
                      <w:rFonts w:ascii="Times New Roman" w:hAnsi="Times New Roman" w:cs="Times New Roman"/>
                      <w:b/>
                    </w:rPr>
                    <w:t>Siektinos rodiklio reikšmės</w:t>
                  </w:r>
                </w:p>
              </w:tc>
            </w:tr>
            <w:tr w:rsidR="00DC38CD" w:rsidRPr="001D55F4" w:rsidTr="00E55D49">
              <w:trPr>
                <w:trHeight w:val="193"/>
              </w:trPr>
              <w:tc>
                <w:tcPr>
                  <w:tcW w:w="1417" w:type="dxa"/>
                  <w:shd w:val="clear" w:color="auto" w:fill="DEEAF6" w:themeFill="accent1" w:themeFillTint="33"/>
                  <w:vAlign w:val="center"/>
                </w:tcPr>
                <w:p w:rsidR="00DC38CD" w:rsidRPr="001D55F4" w:rsidRDefault="00DC38CD" w:rsidP="00DC38CD">
                  <w:pPr>
                    <w:spacing w:line="276" w:lineRule="auto"/>
                    <w:jc w:val="center"/>
                    <w:rPr>
                      <w:rFonts w:ascii="Times New Roman" w:hAnsi="Times New Roman" w:cs="Times New Roman"/>
                      <w:b/>
                    </w:rPr>
                  </w:pPr>
                  <w:r w:rsidRPr="001D55F4">
                    <w:rPr>
                      <w:rFonts w:ascii="Times New Roman" w:hAnsi="Times New Roman" w:cs="Times New Roman"/>
                      <w:b/>
                    </w:rPr>
                    <w:t>1</w:t>
                  </w:r>
                </w:p>
              </w:tc>
              <w:tc>
                <w:tcPr>
                  <w:tcW w:w="2724" w:type="dxa"/>
                  <w:shd w:val="clear" w:color="auto" w:fill="DEEAF6" w:themeFill="accent1" w:themeFillTint="33"/>
                  <w:vAlign w:val="center"/>
                </w:tcPr>
                <w:p w:rsidR="00DC38CD" w:rsidRPr="001D55F4" w:rsidRDefault="00DC38CD" w:rsidP="00DC38CD">
                  <w:pPr>
                    <w:spacing w:line="276" w:lineRule="auto"/>
                    <w:jc w:val="center"/>
                    <w:rPr>
                      <w:rFonts w:ascii="Times New Roman" w:hAnsi="Times New Roman" w:cs="Times New Roman"/>
                      <w:b/>
                    </w:rPr>
                  </w:pPr>
                  <w:r w:rsidRPr="001D55F4">
                    <w:rPr>
                      <w:rFonts w:ascii="Times New Roman" w:hAnsi="Times New Roman" w:cs="Times New Roman"/>
                      <w:b/>
                    </w:rPr>
                    <w:t>3</w:t>
                  </w:r>
                </w:p>
              </w:tc>
              <w:tc>
                <w:tcPr>
                  <w:tcW w:w="1275" w:type="dxa"/>
                  <w:shd w:val="clear" w:color="auto" w:fill="DEEAF6" w:themeFill="accent1" w:themeFillTint="33"/>
                  <w:vAlign w:val="center"/>
                </w:tcPr>
                <w:p w:rsidR="00DC38CD" w:rsidRPr="001D55F4" w:rsidRDefault="00DC38CD" w:rsidP="00DC38CD">
                  <w:pPr>
                    <w:spacing w:line="276" w:lineRule="auto"/>
                    <w:jc w:val="center"/>
                    <w:rPr>
                      <w:rFonts w:ascii="Times New Roman" w:hAnsi="Times New Roman" w:cs="Times New Roman"/>
                      <w:b/>
                    </w:rPr>
                  </w:pPr>
                  <w:r w:rsidRPr="001D55F4">
                    <w:rPr>
                      <w:rFonts w:ascii="Times New Roman" w:hAnsi="Times New Roman" w:cs="Times New Roman"/>
                      <w:b/>
                    </w:rPr>
                    <w:t>4</w:t>
                  </w:r>
                </w:p>
              </w:tc>
              <w:tc>
                <w:tcPr>
                  <w:tcW w:w="1276" w:type="dxa"/>
                  <w:shd w:val="clear" w:color="auto" w:fill="DEEAF6" w:themeFill="accent1" w:themeFillTint="33"/>
                </w:tcPr>
                <w:p w:rsidR="00DC38CD" w:rsidRPr="001D55F4" w:rsidRDefault="00DC38CD" w:rsidP="00DC38CD">
                  <w:pPr>
                    <w:jc w:val="center"/>
                    <w:rPr>
                      <w:rFonts w:ascii="Times New Roman" w:hAnsi="Times New Roman" w:cs="Times New Roman"/>
                      <w:b/>
                    </w:rPr>
                  </w:pPr>
                  <w:r w:rsidRPr="001D55F4">
                    <w:rPr>
                      <w:rFonts w:ascii="Times New Roman" w:hAnsi="Times New Roman" w:cs="Times New Roman"/>
                      <w:b/>
                    </w:rPr>
                    <w:t>7</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R-11-002-02-11-01-04</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Ambulatorines ilgalaikes priežiūros paslaugas gaunančių pacientų dalis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Proc.</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60</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(2026 m. I ketv.)</w:t>
                  </w:r>
                </w:p>
                <w:p w:rsidR="00DC38CD" w:rsidRPr="001D55F4" w:rsidRDefault="00DC38CD" w:rsidP="00DC38CD">
                  <w:pPr>
                    <w:spacing w:line="276" w:lineRule="auto"/>
                    <w:jc w:val="center"/>
                    <w:rPr>
                      <w:rFonts w:ascii="Times New Roman" w:hAnsi="Times New Roman" w:cs="Times New Roman"/>
                    </w:rPr>
                  </w:pP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P-11-002-02-11-01-35</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Socialiniams partneriams pristatytas ir viešai konsultacijai pateiktas ilgalaikės priežiūros  paslaugų teikimo ir finansavimo modelis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auto"/>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III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P-11-002-02-11-01-36</w:t>
                  </w:r>
                </w:p>
              </w:tc>
              <w:tc>
                <w:tcPr>
                  <w:tcW w:w="2724" w:type="dxa"/>
                  <w:shd w:val="clear" w:color="auto" w:fill="FFFFFF" w:themeFill="background1"/>
                </w:tcPr>
                <w:p w:rsidR="00DC38CD" w:rsidRPr="001D55F4" w:rsidRDefault="00DC38CD" w:rsidP="00DC38CD">
                  <w:pPr>
                    <w:spacing w:line="256" w:lineRule="auto"/>
                    <w:ind w:left="38"/>
                    <w:jc w:val="both"/>
                    <w:rPr>
                      <w:rFonts w:ascii="Times New Roman" w:hAnsi="Times New Roman" w:cs="Times New Roman"/>
                    </w:rPr>
                  </w:pPr>
                  <w:r w:rsidRPr="001D55F4">
                    <w:rPr>
                      <w:rFonts w:ascii="Times New Roman" w:hAnsi="Times New Roman" w:cs="Times New Roman"/>
                    </w:rPr>
                    <w:t xml:space="preserve">Įsigalioję teisės aktai, reglamentuojantys ilgalaikės priežiūros paslaugų modelio įgyvendinimą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highlight w:val="yellow"/>
                    </w:rPr>
                  </w:pPr>
                  <w:r w:rsidRPr="001D55F4">
                    <w:rPr>
                      <w:rFonts w:ascii="Times New Roman" w:hAnsi="Times New Roman" w:cs="Times New Roman"/>
                    </w:rPr>
                    <w:t>Kompl.</w:t>
                  </w:r>
                </w:p>
              </w:tc>
              <w:tc>
                <w:tcPr>
                  <w:tcW w:w="1276" w:type="dxa"/>
                  <w:shd w:val="clear" w:color="auto" w:fill="auto"/>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 xml:space="preserve">1 </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P-11-002-02-11-01-37</w:t>
                  </w:r>
                </w:p>
              </w:tc>
              <w:tc>
                <w:tcPr>
                  <w:tcW w:w="2724" w:type="dxa"/>
                  <w:shd w:val="clear" w:color="auto" w:fill="FFFFFF" w:themeFill="background1"/>
                </w:tcPr>
                <w:p w:rsidR="00DC38CD" w:rsidRPr="001D55F4" w:rsidRDefault="00DC38CD" w:rsidP="00DC38CD">
                  <w:pPr>
                    <w:jc w:val="both"/>
                    <w:rPr>
                      <w:rFonts w:ascii="Times New Roman" w:hAnsi="Times New Roman" w:cs="Times New Roman"/>
                      <w:lang w:eastAsia="lt-LT"/>
                    </w:rPr>
                  </w:pPr>
                  <w:r w:rsidRPr="001D55F4">
                    <w:rPr>
                      <w:rFonts w:ascii="Times New Roman" w:hAnsi="Times New Roman" w:cs="Times New Roman"/>
                    </w:rPr>
                    <w:t>Sukurtų ilgalaikės priežiūros specialistų komandų, teikiančių paslaugas gyventojų namuose, skaičius</w:t>
                  </w:r>
                  <w:r w:rsidRPr="001D55F4">
                    <w:rPr>
                      <w:rFonts w:ascii="Times New Roman" w:hAnsi="Times New Roman" w:cs="Times New Roman"/>
                      <w:lang w:eastAsia="lt-LT"/>
                    </w:rPr>
                    <w:t xml:space="preserve">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highlight w:val="yellow"/>
                    </w:rPr>
                  </w:pPr>
                  <w:r w:rsidRPr="001D55F4">
                    <w:rPr>
                      <w:rFonts w:ascii="Times New Roman" w:hAnsi="Times New Roman" w:cs="Times New Roman"/>
                    </w:rPr>
                    <w:t>Vnt.</w:t>
                  </w:r>
                </w:p>
              </w:tc>
              <w:tc>
                <w:tcPr>
                  <w:tcW w:w="1276" w:type="dxa"/>
                  <w:shd w:val="clear" w:color="auto" w:fill="auto"/>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90</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IV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P-11-002-02-11-01-38</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Įkurtų specializuotų dienos priežiūros centrų, skirtų integruotoms ilgalaikės priežiūros paslaugoms teikti, skaičius</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highlight w:val="yellow"/>
                    </w:rPr>
                  </w:pPr>
                  <w:r w:rsidRPr="001D55F4">
                    <w:rPr>
                      <w:rFonts w:ascii="Times New Roman" w:hAnsi="Times New Roman" w:cs="Times New Roman"/>
                    </w:rPr>
                    <w:t>Vnt.</w:t>
                  </w:r>
                </w:p>
              </w:tc>
              <w:tc>
                <w:tcPr>
                  <w:tcW w:w="1276" w:type="dxa"/>
                  <w:shd w:val="clear" w:color="auto" w:fill="auto"/>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10</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IV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P-11-002-02-11-01-39</w:t>
                  </w:r>
                </w:p>
              </w:tc>
              <w:tc>
                <w:tcPr>
                  <w:tcW w:w="2724" w:type="dxa"/>
                  <w:shd w:val="clear" w:color="auto" w:fill="FFFFFF" w:themeFill="background1"/>
                </w:tcPr>
                <w:p w:rsidR="00DC38CD" w:rsidRPr="001D55F4" w:rsidRDefault="00DC38CD" w:rsidP="00DC38CD">
                  <w:pPr>
                    <w:jc w:val="both"/>
                    <w:rPr>
                      <w:rFonts w:ascii="Times New Roman" w:hAnsi="Times New Roman" w:cs="Times New Roman"/>
                      <w:color w:val="000000"/>
                    </w:rPr>
                  </w:pPr>
                  <w:r w:rsidRPr="001D55F4">
                    <w:rPr>
                      <w:rFonts w:ascii="Times New Roman" w:hAnsi="Times New Roman" w:cs="Times New Roman"/>
                      <w:color w:val="000000"/>
                    </w:rPr>
                    <w:t xml:space="preserve">Sveikatos priežiūros įstaigų bendradarbiavimo gerinimo ir infrastruktūros pritaikymo ekstremalioms situacijoms modernizavimo veiksmų plano projektas, pateiktas konsultacijoms su socialiniais partneriais ir kitomis suinteresuotomis šalimis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 xml:space="preserve">1 </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P-11-002-02-11-01-40</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Įsigaliojęs sveikatos priežiūros įstaigų bendradarbiavimo gerinimo ir infrastruktūros pritaikymo ekstremaliosioms situacijoms modernizavimo veiksmų planas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 xml:space="preserve">1 </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(2023 m. 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P-11-002-02-11-01-41</w:t>
                  </w:r>
                </w:p>
              </w:tc>
              <w:tc>
                <w:tcPr>
                  <w:tcW w:w="2724" w:type="dxa"/>
                  <w:shd w:val="clear" w:color="auto" w:fill="FFFFFF" w:themeFill="background1"/>
                </w:tcPr>
                <w:p w:rsidR="00DC38CD" w:rsidRPr="001D55F4" w:rsidRDefault="00DC38CD" w:rsidP="00DC38CD">
                  <w:pPr>
                    <w:jc w:val="both"/>
                    <w:rPr>
                      <w:rFonts w:ascii="Times New Roman" w:hAnsi="Times New Roman" w:cs="Times New Roman"/>
                      <w:color w:val="000000"/>
                    </w:rPr>
                  </w:pPr>
                  <w:r w:rsidRPr="001D55F4">
                    <w:rPr>
                      <w:rFonts w:ascii="Times New Roman" w:hAnsi="Times New Roman" w:cs="Times New Roman"/>
                      <w:color w:val="000000"/>
                    </w:rPr>
                    <w:t xml:space="preserve">Patvirtinti reikalavimai  infekcinių ligų centrų infrastruktūrai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Kompl.</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 xml:space="preserve">1 </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P-11-002-02-11-01-42</w:t>
                  </w:r>
                </w:p>
              </w:tc>
              <w:tc>
                <w:tcPr>
                  <w:tcW w:w="2724" w:type="dxa"/>
                  <w:shd w:val="clear" w:color="auto" w:fill="FFFFFF" w:themeFill="background1"/>
                </w:tcPr>
                <w:p w:rsidR="00DC38CD" w:rsidRPr="001D55F4" w:rsidRDefault="00DC38CD" w:rsidP="00DC38CD">
                  <w:pPr>
                    <w:jc w:val="both"/>
                    <w:rPr>
                      <w:rFonts w:ascii="Times New Roman" w:hAnsi="Times New Roman" w:cs="Times New Roman"/>
                      <w:color w:val="000000"/>
                    </w:rPr>
                  </w:pPr>
                  <w:r w:rsidRPr="001D55F4">
                    <w:rPr>
                      <w:rFonts w:ascii="Times New Roman" w:hAnsi="Times New Roman" w:cs="Times New Roman"/>
                      <w:color w:val="000000"/>
                    </w:rPr>
                    <w:t xml:space="preserve">Ligoninių tinklo veiklos rezultatų analizė, parodanti, kaip pokyčiai, įskaitant investicijas pagal EGADP, prisideda prie galimybių geriau užtikrinti tam tikrą lovų skaičių, jo nedidinant. Analizė taip pat turėtų būti perspektyvinė ir joje turėtų būti atsižvelgiama į prognozuojamą paklausą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 xml:space="preserve">1 </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(2023 m. III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P-11-002-02-11-01-43</w:t>
                  </w:r>
                </w:p>
              </w:tc>
              <w:tc>
                <w:tcPr>
                  <w:tcW w:w="2724" w:type="dxa"/>
                  <w:shd w:val="clear" w:color="auto" w:fill="FFFFFF" w:themeFill="background1"/>
                </w:tcPr>
                <w:p w:rsidR="00DC38CD" w:rsidRPr="001D55F4" w:rsidRDefault="00DC38CD" w:rsidP="00DC38CD">
                  <w:pPr>
                    <w:jc w:val="both"/>
                    <w:rPr>
                      <w:rFonts w:ascii="Times New Roman" w:hAnsi="Times New Roman" w:cs="Times New Roman"/>
                      <w:color w:val="000000"/>
                    </w:rPr>
                  </w:pPr>
                  <w:r w:rsidRPr="001D55F4">
                    <w:rPr>
                      <w:rFonts w:ascii="Times New Roman" w:hAnsi="Times New Roman" w:cs="Times New Roman"/>
                    </w:rPr>
                    <w:t xml:space="preserve">Modernizuotų sveikatos priežiūros įstaigų, įskaitant   infekcinių ligų klasterio kompetencijos </w:t>
                  </w:r>
                  <w:r w:rsidRPr="001D55F4">
                    <w:rPr>
                      <w:rFonts w:ascii="Times New Roman" w:hAnsi="Times New Roman" w:cs="Times New Roman"/>
                      <w:color w:val="000000"/>
                    </w:rPr>
                    <w:t xml:space="preserve">centrus, skaičius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5</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IV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P-11-002-02-11-01-44</w:t>
                  </w:r>
                </w:p>
              </w:tc>
              <w:tc>
                <w:tcPr>
                  <w:tcW w:w="2724" w:type="dxa"/>
                  <w:shd w:val="clear" w:color="auto" w:fill="FFFFFF" w:themeFill="background1"/>
                </w:tcPr>
                <w:p w:rsidR="00DC38CD" w:rsidRPr="001D55F4" w:rsidRDefault="00DC38CD" w:rsidP="00DC38CD">
                  <w:pPr>
                    <w:jc w:val="both"/>
                    <w:rPr>
                      <w:rFonts w:ascii="Times New Roman" w:hAnsi="Times New Roman" w:cs="Times New Roman"/>
                      <w:color w:val="000000"/>
                    </w:rPr>
                  </w:pPr>
                  <w:r w:rsidRPr="001D55F4">
                    <w:rPr>
                      <w:rFonts w:ascii="Times New Roman" w:hAnsi="Times New Roman" w:cs="Times New Roman"/>
                      <w:color w:val="000000"/>
                    </w:rPr>
                    <w:t xml:space="preserve">Patvirtinti reikalavimai ligoninių skubiosios  medicinos pagalbos, reanimacijos ir intensyviosios terapijos skyrių infrastruktūrai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Kompl.</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P-11-002-02-11-01-45</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color w:val="7030A0"/>
                    </w:rPr>
                  </w:pPr>
                  <w:r w:rsidRPr="001D55F4">
                    <w:rPr>
                      <w:rFonts w:ascii="Times New Roman" w:hAnsi="Times New Roman" w:cs="Times New Roman"/>
                    </w:rPr>
                    <w:t xml:space="preserve">Modernizuotos ligoninių skubiosios medicinos pagalbos ir reanimacijos bei intensyviosios terapijos skyrių sveikatos priežiūros infrastruktūros objektų skaičius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7</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IV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P-11-002-02-11-01-46</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Pažangiosios terapijos centro pastato statybos darbų viešojo pirkimo procedūrų užbaigimas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IV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P-11-002-02-11-01-47</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Sukurtas pažangios terapijos centras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IV ketv.)</w:t>
                  </w:r>
                </w:p>
              </w:tc>
            </w:tr>
            <w:tr w:rsidR="00DC38CD" w:rsidRPr="001D55F4" w:rsidTr="00E55D49">
              <w:trPr>
                <w:trHeight w:val="155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P-11-002-02-11-01-48</w:t>
                  </w:r>
                </w:p>
              </w:tc>
              <w:tc>
                <w:tcPr>
                  <w:tcW w:w="2724" w:type="dxa"/>
                  <w:shd w:val="clear" w:color="auto" w:fill="FFFFFF" w:themeFill="background1"/>
                </w:tcPr>
                <w:p w:rsidR="00DC38CD" w:rsidRPr="001D55F4" w:rsidRDefault="00DC38CD" w:rsidP="00DC38CD">
                  <w:pPr>
                    <w:jc w:val="both"/>
                    <w:rPr>
                      <w:rFonts w:ascii="Times New Roman" w:hAnsi="Times New Roman" w:cs="Times New Roman"/>
                    </w:rPr>
                  </w:pPr>
                  <w:r w:rsidRPr="001D55F4">
                    <w:rPr>
                      <w:rFonts w:ascii="Times New Roman" w:hAnsi="Times New Roman" w:cs="Times New Roman"/>
                    </w:rPr>
                    <w:t xml:space="preserve">Patvirtinti teisės aktai dėl genomo tyrimų ir keitimosi informacija su ES šalimis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(2023 m. II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P-11-002-02-11-01-49</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Atliktų viso žmogaus genomo sekos nustatymo tyrimų skaičius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1570</w:t>
                  </w:r>
                </w:p>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(2026 m. 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R-11-002-02-11-01-23</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Sveikatos priežiūros įstaigų, įtrauktų į veiklos rezultatų rodiklių rinkiniu grindžiamą Lietuvos nacionalinės sveikatos sistemos švieslentę, dalis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Proc.</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100</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II ketv.)</w:t>
                  </w:r>
                </w:p>
                <w:p w:rsidR="00DC38CD" w:rsidRPr="001D55F4" w:rsidRDefault="00DC38CD" w:rsidP="00DC38CD">
                  <w:pPr>
                    <w:jc w:val="center"/>
                    <w:rPr>
                      <w:rFonts w:ascii="Times New Roman" w:hAnsi="Times New Roman" w:cs="Times New Roman"/>
                    </w:rPr>
                  </w:pP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R-11-002-02-11-01-25</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Šalies gyventojų, kuriems teikiamos su sveikata susijusios elektroninės paslaugos, dalis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Proc.</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98</w:t>
                  </w:r>
                </w:p>
                <w:p w:rsidR="00DC38CD" w:rsidRPr="001D55F4" w:rsidRDefault="00DC38CD" w:rsidP="00DC38CD">
                  <w:pPr>
                    <w:jc w:val="center"/>
                    <w:rPr>
                      <w:rFonts w:ascii="Times New Roman" w:hAnsi="Times New Roman" w:cs="Times New Roman"/>
                    </w:rPr>
                  </w:pPr>
                </w:p>
              </w:tc>
            </w:tr>
            <w:tr w:rsidR="00DC38CD" w:rsidRPr="001D55F4" w:rsidTr="00E55D49">
              <w:trPr>
                <w:trHeight w:val="1522"/>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R-11-002-02-11-01-29</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Ambulatorinių ir stacionarinių asmens sveikatos priežiūros įstaigų, naudojančių e. sveikatos produktus, dalis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Proc.</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98</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R-11-002-02-11-01-30</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Sveikatos priežiūros specialistų, kurių licencija įregistruota ir jos priežiūra vykdoma skaitmeniniu būdu, dalis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 xml:space="preserve">Proc. </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90</w:t>
                  </w:r>
                </w:p>
                <w:p w:rsidR="00DC38CD" w:rsidRPr="001D55F4" w:rsidRDefault="00DC38CD" w:rsidP="00DC38CD">
                  <w:pPr>
                    <w:jc w:val="center"/>
                    <w:rPr>
                      <w:rFonts w:ascii="Times New Roman" w:hAnsi="Times New Roman" w:cs="Times New Roman"/>
                    </w:rPr>
                  </w:pP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P-11-002-02-11-01-50</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Sudarytas  sveikatos priežiūros sistemos informacinių išteklių žemėlapis ir atlikta informacinių  sistemų brandos analizė, įvertinant integralumą su kitomis informacinėmis sistemomis, siekiant sveikatos priežiūros sistemos skaitmeninimo</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 xml:space="preserve">1 </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III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P-11-002-02-11-01-51</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Įsigalioję teisės aktai, reglamentuojantys pakartotinį  sveikatos duomenų naudojimą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Kompl.</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III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P-11-002-02-11-01-52</w:t>
                  </w:r>
                </w:p>
              </w:tc>
              <w:tc>
                <w:tcPr>
                  <w:tcW w:w="2724" w:type="dxa"/>
                  <w:shd w:val="clear" w:color="auto" w:fill="FFFFFF" w:themeFill="background1"/>
                </w:tcPr>
                <w:p w:rsidR="00DC38CD" w:rsidRPr="001D55F4" w:rsidRDefault="00DC38CD" w:rsidP="00DC38CD">
                  <w:pPr>
                    <w:jc w:val="both"/>
                    <w:rPr>
                      <w:rFonts w:ascii="Times New Roman" w:hAnsi="Times New Roman" w:cs="Times New Roman"/>
                    </w:rPr>
                  </w:pPr>
                  <w:r w:rsidRPr="001D55F4">
                    <w:rPr>
                      <w:rFonts w:ascii="Times New Roman" w:hAnsi="Times New Roman" w:cs="Times New Roman"/>
                    </w:rPr>
                    <w:t xml:space="preserve">Sveikatos specialistų kompetencijų platformos IT įrankio įdiegimo atviro viešųjų pirkimo procedūrų užbaigimas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IV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P-11-002-02-11-01-53</w:t>
                  </w:r>
                </w:p>
              </w:tc>
              <w:tc>
                <w:tcPr>
                  <w:tcW w:w="2724" w:type="dxa"/>
                  <w:shd w:val="clear" w:color="auto" w:fill="FFFFFF" w:themeFill="background1"/>
                </w:tcPr>
                <w:p w:rsidR="00DC38CD" w:rsidRPr="001D55F4" w:rsidRDefault="00DC38CD" w:rsidP="00DC38CD">
                  <w:pPr>
                    <w:jc w:val="both"/>
                    <w:rPr>
                      <w:rFonts w:ascii="Times New Roman" w:hAnsi="Times New Roman" w:cs="Times New Roman"/>
                    </w:rPr>
                  </w:pPr>
                  <w:r w:rsidRPr="001D55F4">
                    <w:rPr>
                      <w:rFonts w:ascii="Times New Roman" w:hAnsi="Times New Roman" w:cs="Times New Roman"/>
                    </w:rPr>
                    <w:t>Sveikatos priežiūros specialistų kompetencijų platformos sukūrimas</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(2023 m. IV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P-11-002-02-11-01-54</w:t>
                  </w:r>
                </w:p>
              </w:tc>
              <w:tc>
                <w:tcPr>
                  <w:tcW w:w="2724" w:type="dxa"/>
                  <w:shd w:val="clear" w:color="auto" w:fill="FFFFFF" w:themeFill="background1"/>
                </w:tcPr>
                <w:p w:rsidR="00DC38CD" w:rsidRPr="001D55F4" w:rsidRDefault="00DC38CD" w:rsidP="00DC38CD">
                  <w:pPr>
                    <w:spacing w:line="276" w:lineRule="auto"/>
                    <w:jc w:val="both"/>
                    <w:rPr>
                      <w:rFonts w:ascii="Times New Roman" w:hAnsi="Times New Roman" w:cs="Times New Roman"/>
                    </w:rPr>
                  </w:pPr>
                  <w:r w:rsidRPr="001D55F4">
                    <w:rPr>
                      <w:rFonts w:ascii="Times New Roman" w:hAnsi="Times New Roman" w:cs="Times New Roman"/>
                    </w:rPr>
                    <w:t xml:space="preserve">Sveikatos priežiūros specialistų licencijų registravimo ir skaitmeninės stebėsenos informacinės sistemos (platformos) sukūrimas </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1</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(2024 m. I ketv.)</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highlight w:val="yellow"/>
                    </w:rPr>
                  </w:pPr>
                  <w:r w:rsidRPr="001D55F4">
                    <w:rPr>
                      <w:rFonts w:ascii="Times New Roman" w:hAnsi="Times New Roman" w:cs="Times New Roman"/>
                    </w:rPr>
                    <w:t>P-11-002-02-11-01-55</w:t>
                  </w:r>
                </w:p>
              </w:tc>
              <w:tc>
                <w:tcPr>
                  <w:tcW w:w="2724" w:type="dxa"/>
                  <w:shd w:val="clear" w:color="auto" w:fill="FFFFFF" w:themeFill="background1"/>
                </w:tcPr>
                <w:p w:rsidR="00DC38CD" w:rsidRPr="001D55F4" w:rsidRDefault="00DC38CD" w:rsidP="00DC38CD">
                  <w:pPr>
                    <w:rPr>
                      <w:rFonts w:ascii="Times New Roman" w:hAnsi="Times New Roman" w:cs="Times New Roman"/>
                    </w:rPr>
                  </w:pPr>
                  <w:r w:rsidRPr="001D55F4">
                    <w:rPr>
                      <w:rFonts w:ascii="Times New Roman" w:hAnsi="Times New Roman" w:cs="Times New Roman"/>
                    </w:rPr>
                    <w:t>Atliktų sveikatos sektoriaus analizių skaičius</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lang w:val="en-US"/>
                    </w:rPr>
                  </w:pPr>
                  <w:r w:rsidRPr="001D55F4">
                    <w:rPr>
                      <w:rFonts w:ascii="Times New Roman" w:hAnsi="Times New Roman" w:cs="Times New Roman"/>
                      <w:lang w:val="en-US"/>
                    </w:rPr>
                    <w:t>6</w:t>
                  </w:r>
                </w:p>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(2022 m. )</w:t>
                  </w: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R-11-002-02-11-01-33</w:t>
                  </w:r>
                </w:p>
              </w:tc>
              <w:tc>
                <w:tcPr>
                  <w:tcW w:w="2724" w:type="dxa"/>
                  <w:shd w:val="clear" w:color="auto" w:fill="FFFFFF" w:themeFill="background1"/>
                </w:tcPr>
                <w:p w:rsidR="00DC38CD" w:rsidRPr="001D55F4" w:rsidRDefault="00DC38CD" w:rsidP="00DC38CD">
                  <w:pPr>
                    <w:jc w:val="both"/>
                    <w:rPr>
                      <w:rFonts w:ascii="Times New Roman" w:hAnsi="Times New Roman" w:cs="Times New Roman"/>
                      <w:lang w:eastAsia="lt-LT"/>
                    </w:rPr>
                  </w:pPr>
                  <w:r w:rsidRPr="001D55F4">
                    <w:rPr>
                      <w:rFonts w:ascii="Times New Roman" w:hAnsi="Times New Roman" w:cs="Times New Roman"/>
                      <w:lang w:eastAsia="lt-LT"/>
                    </w:rPr>
                    <w:t>Naujos arba modernizuotos sveikatos priežiūros infrastruktūros talpumas</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n/a</w:t>
                  </w:r>
                </w:p>
                <w:p w:rsidR="00DC38CD" w:rsidRPr="001D55F4" w:rsidRDefault="00DC38CD" w:rsidP="00DC38CD">
                  <w:pPr>
                    <w:jc w:val="center"/>
                    <w:rPr>
                      <w:rFonts w:ascii="Times New Roman" w:hAnsi="Times New Roman" w:cs="Times New Roman"/>
                    </w:rPr>
                  </w:pPr>
                </w:p>
              </w:tc>
            </w:tr>
            <w:tr w:rsidR="00DC38CD" w:rsidRPr="001D55F4" w:rsidTr="00E55D49">
              <w:trPr>
                <w:trHeight w:val="330"/>
              </w:trPr>
              <w:tc>
                <w:tcPr>
                  <w:tcW w:w="1417" w:type="dxa"/>
                  <w:shd w:val="clear" w:color="auto" w:fill="FFFFFF" w:themeFill="background1"/>
                </w:tcPr>
                <w:p w:rsidR="00DC38CD" w:rsidRPr="001D55F4" w:rsidRDefault="00DC38CD" w:rsidP="00DC38CD">
                  <w:pPr>
                    <w:spacing w:line="276" w:lineRule="auto"/>
                    <w:rPr>
                      <w:rFonts w:ascii="Times New Roman" w:hAnsi="Times New Roman" w:cs="Times New Roman"/>
                    </w:rPr>
                  </w:pPr>
                  <w:r w:rsidRPr="001D55F4">
                    <w:rPr>
                      <w:rFonts w:ascii="Times New Roman" w:hAnsi="Times New Roman" w:cs="Times New Roman"/>
                    </w:rPr>
                    <w:t>R-11-002-02-11-01-34</w:t>
                  </w:r>
                </w:p>
              </w:tc>
              <w:tc>
                <w:tcPr>
                  <w:tcW w:w="2724" w:type="dxa"/>
                  <w:shd w:val="clear" w:color="auto" w:fill="FFFFFF" w:themeFill="background1"/>
                </w:tcPr>
                <w:p w:rsidR="00DC38CD" w:rsidRPr="001D55F4" w:rsidRDefault="00DC38CD" w:rsidP="00DC38CD">
                  <w:pPr>
                    <w:jc w:val="both"/>
                    <w:rPr>
                      <w:rFonts w:ascii="Times New Roman" w:hAnsi="Times New Roman" w:cs="Times New Roman"/>
                      <w:lang w:eastAsia="lt-LT"/>
                    </w:rPr>
                  </w:pPr>
                  <w:r w:rsidRPr="001D55F4">
                    <w:rPr>
                      <w:rFonts w:ascii="Times New Roman" w:hAnsi="Times New Roman" w:cs="Times New Roman"/>
                      <w:lang w:eastAsia="lt-LT"/>
                    </w:rPr>
                    <w:t>Naujų ir patobulintų viešųjų skaitmeninių paslaugų, produktų ir procesų naudotojai</w:t>
                  </w:r>
                </w:p>
              </w:tc>
              <w:tc>
                <w:tcPr>
                  <w:tcW w:w="1275" w:type="dxa"/>
                  <w:shd w:val="clear" w:color="auto" w:fill="FFFFFF" w:themeFill="background1"/>
                </w:tcPr>
                <w:p w:rsidR="00DC38CD" w:rsidRPr="001D55F4" w:rsidRDefault="00DC38CD" w:rsidP="00DC38CD">
                  <w:pPr>
                    <w:spacing w:line="276" w:lineRule="auto"/>
                    <w:jc w:val="center"/>
                    <w:rPr>
                      <w:rFonts w:ascii="Times New Roman" w:hAnsi="Times New Roman" w:cs="Times New Roman"/>
                    </w:rPr>
                  </w:pPr>
                  <w:r w:rsidRPr="001D55F4">
                    <w:rPr>
                      <w:rFonts w:ascii="Times New Roman" w:hAnsi="Times New Roman" w:cs="Times New Roman"/>
                    </w:rPr>
                    <w:t>Vnt.</w:t>
                  </w:r>
                </w:p>
              </w:tc>
              <w:tc>
                <w:tcPr>
                  <w:tcW w:w="1276" w:type="dxa"/>
                  <w:shd w:val="clear" w:color="auto" w:fill="FFFFFF" w:themeFill="background1"/>
                </w:tcPr>
                <w:p w:rsidR="00DC38CD" w:rsidRPr="001D55F4" w:rsidRDefault="00DC38CD" w:rsidP="00DC38CD">
                  <w:pPr>
                    <w:jc w:val="center"/>
                    <w:rPr>
                      <w:rFonts w:ascii="Times New Roman" w:hAnsi="Times New Roman" w:cs="Times New Roman"/>
                    </w:rPr>
                  </w:pPr>
                  <w:r w:rsidRPr="001D55F4">
                    <w:rPr>
                      <w:rFonts w:ascii="Times New Roman" w:hAnsi="Times New Roman" w:cs="Times New Roman"/>
                    </w:rPr>
                    <w:t>n/a</w:t>
                  </w:r>
                </w:p>
              </w:tc>
            </w:tr>
          </w:tbl>
          <w:p w:rsidR="0087646E" w:rsidRPr="00421A95" w:rsidRDefault="0087646E" w:rsidP="009E74D0">
            <w:pPr>
              <w:rPr>
                <w:rFonts w:ascii="Times New Roman" w:eastAsia="Times New Roman" w:hAnsi="Times New Roman" w:cs="Times New Roman"/>
                <w:bCs/>
                <w:i/>
                <w:iCs/>
              </w:rPr>
            </w:pP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rsidR="0002724E" w:rsidRPr="001D55F4" w:rsidRDefault="0002724E" w:rsidP="009E74D0">
            <w:pPr>
              <w:rPr>
                <w:rFonts w:ascii="Times New Roman" w:hAnsi="Times New Roman" w:cs="Times New Roman"/>
                <w:bCs/>
                <w:iCs/>
              </w:rPr>
            </w:pPr>
            <w:r w:rsidRPr="001D55F4">
              <w:rPr>
                <w:rFonts w:ascii="Times New Roman" w:hAnsi="Times New Roman" w:cs="Times New Roman"/>
                <w:bCs/>
                <w:iCs/>
              </w:rPr>
              <w:t>1 veikla „</w:t>
            </w:r>
            <w:r w:rsidRPr="001D55F4">
              <w:rPr>
                <w:rFonts w:ascii="Times New Roman" w:hAnsi="Times New Roman" w:cs="Times New Roman"/>
                <w:bCs/>
              </w:rPr>
              <w:t>Ilgalaikės priežiūros paslaugų diegimas“</w:t>
            </w:r>
            <w:r w:rsidR="001D55F4">
              <w:rPr>
                <w:rFonts w:ascii="Times New Roman" w:hAnsi="Times New Roman" w:cs="Times New Roman"/>
                <w:bCs/>
              </w:rPr>
              <w:t>;</w:t>
            </w:r>
          </w:p>
          <w:p w:rsidR="0002724E" w:rsidRPr="001D55F4" w:rsidRDefault="0002724E" w:rsidP="009E74D0">
            <w:pPr>
              <w:rPr>
                <w:rFonts w:ascii="Times New Roman" w:hAnsi="Times New Roman" w:cs="Times New Roman"/>
                <w:bCs/>
                <w:iCs/>
              </w:rPr>
            </w:pPr>
            <w:r w:rsidRPr="001D55F4">
              <w:rPr>
                <w:rFonts w:ascii="Times New Roman" w:hAnsi="Times New Roman" w:cs="Times New Roman"/>
                <w:bCs/>
                <w:iCs/>
              </w:rPr>
              <w:t>2 veikla „</w:t>
            </w:r>
            <w:r w:rsidRPr="001D55F4">
              <w:rPr>
                <w:rFonts w:ascii="Times New Roman" w:hAnsi="Times New Roman" w:cs="Times New Roman"/>
                <w:bCs/>
              </w:rPr>
              <w:t>Pasirengimo grėsmėms stiprinimas“</w:t>
            </w:r>
            <w:r w:rsidR="001D55F4">
              <w:rPr>
                <w:rFonts w:ascii="Times New Roman" w:hAnsi="Times New Roman" w:cs="Times New Roman"/>
                <w:bCs/>
              </w:rPr>
              <w:t>;</w:t>
            </w:r>
          </w:p>
          <w:p w:rsidR="0002724E" w:rsidRPr="001D55F4" w:rsidRDefault="0002724E" w:rsidP="009E74D0">
            <w:pPr>
              <w:rPr>
                <w:rFonts w:ascii="Times New Roman" w:hAnsi="Times New Roman" w:cs="Times New Roman"/>
                <w:bCs/>
                <w:iCs/>
              </w:rPr>
            </w:pPr>
            <w:r w:rsidRPr="001D55F4">
              <w:rPr>
                <w:rFonts w:ascii="Times New Roman" w:hAnsi="Times New Roman" w:cs="Times New Roman"/>
                <w:bCs/>
                <w:iCs/>
              </w:rPr>
              <w:t>3 veikla „</w:t>
            </w:r>
            <w:r w:rsidRPr="001D55F4">
              <w:rPr>
                <w:rFonts w:ascii="Times New Roman" w:hAnsi="Times New Roman" w:cs="Times New Roman"/>
                <w:bCs/>
                <w:color w:val="000000"/>
              </w:rPr>
              <w:t>Pažangių ir įrodymais pagrįstų technologijų sveikatos sektoriuje diegimas</w:t>
            </w:r>
            <w:r w:rsidRPr="001D55F4">
              <w:rPr>
                <w:rFonts w:ascii="Times New Roman" w:hAnsi="Times New Roman" w:cs="Times New Roman"/>
                <w:bCs/>
              </w:rPr>
              <w:t>“</w:t>
            </w:r>
            <w:r w:rsidR="001D55F4">
              <w:rPr>
                <w:rFonts w:ascii="Times New Roman" w:hAnsi="Times New Roman" w:cs="Times New Roman"/>
                <w:bCs/>
              </w:rPr>
              <w:t>;</w:t>
            </w:r>
          </w:p>
          <w:p w:rsidR="0002724E" w:rsidRPr="001D55F4" w:rsidRDefault="0002724E" w:rsidP="009E74D0">
            <w:pPr>
              <w:rPr>
                <w:rFonts w:ascii="Times New Roman" w:hAnsi="Times New Roman" w:cs="Times New Roman"/>
                <w:bCs/>
              </w:rPr>
            </w:pPr>
            <w:r w:rsidRPr="001D55F4">
              <w:rPr>
                <w:rFonts w:ascii="Times New Roman" w:hAnsi="Times New Roman" w:cs="Times New Roman"/>
                <w:bCs/>
                <w:iCs/>
              </w:rPr>
              <w:t>4 veikla „</w:t>
            </w:r>
            <w:r w:rsidRPr="001D55F4">
              <w:rPr>
                <w:rFonts w:ascii="Times New Roman" w:eastAsia="Republika" w:hAnsi="Times New Roman" w:cs="Times New Roman"/>
                <w:bCs/>
              </w:rPr>
              <w:t>Sveikatos sektoriaus skaitmeninimas</w:t>
            </w:r>
            <w:r w:rsidRPr="001D55F4">
              <w:rPr>
                <w:rFonts w:ascii="Times New Roman" w:hAnsi="Times New Roman" w:cs="Times New Roman"/>
                <w:bCs/>
              </w:rPr>
              <w:t>“</w:t>
            </w:r>
            <w:r w:rsidR="001D55F4">
              <w:rPr>
                <w:rFonts w:ascii="Times New Roman" w:hAnsi="Times New Roman" w:cs="Times New Roman"/>
                <w:bCs/>
              </w:rPr>
              <w:t>;</w:t>
            </w:r>
          </w:p>
          <w:p w:rsidR="00962A9D" w:rsidRPr="005A2F58" w:rsidRDefault="0002724E" w:rsidP="009E74D0">
            <w:pPr>
              <w:rPr>
                <w:szCs w:val="16"/>
              </w:rPr>
            </w:pPr>
            <w:r w:rsidRPr="001D55F4">
              <w:rPr>
                <w:rFonts w:ascii="Times New Roman" w:hAnsi="Times New Roman" w:cs="Times New Roman"/>
                <w:bCs/>
              </w:rPr>
              <w:t>5 veikla. Pažangos priemonėje planuojamų veiklų investavimo krypčių ir pagrįstumo vertinimas</w:t>
            </w:r>
            <w:r w:rsidR="001D55F4">
              <w:rPr>
                <w:rFonts w:ascii="Times New Roman" w:hAnsi="Times New Roman" w:cs="Times New Roman"/>
                <w:bCs/>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B929DD" w:rsidRPr="001D55F4" w:rsidRDefault="0002724E" w:rsidP="00B929DD">
            <w:pPr>
              <w:jc w:val="both"/>
              <w:rPr>
                <w:rFonts w:ascii="Times New Roman" w:hAnsi="Times New Roman" w:cs="Times New Roman"/>
              </w:rPr>
            </w:pPr>
            <w:r w:rsidRPr="001D55F4">
              <w:rPr>
                <w:rFonts w:ascii="Times New Roman" w:hAnsi="Times New Roman" w:cs="Times New Roman"/>
              </w:rPr>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aprašas </w:t>
            </w:r>
            <w:hyperlink r:id="rId11" w:history="1">
              <w:r w:rsidRPr="001D55F4">
                <w:rPr>
                  <w:rStyle w:val="Hyperlink"/>
                  <w:rFonts w:ascii="Times New Roman" w:hAnsi="Times New Roman" w:cs="Times New Roman"/>
                </w:rPr>
                <w:t>https://www.e-tar.lt/portal/lt/legalAct/0431bbf0d83411ec8d9390588bf2de65/asr</w:t>
              </w:r>
            </w:hyperlink>
            <w:r w:rsidRPr="001D55F4">
              <w:rPr>
                <w:rFonts w:ascii="Times New Roman" w:hAnsi="Times New Roman" w:cs="Times New Roman"/>
              </w:rPr>
              <w:t xml:space="preserve"> </w:t>
            </w: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rsidTr="002E1FBF">
        <w:tc>
          <w:tcPr>
            <w:tcW w:w="766" w:type="dxa"/>
          </w:tcPr>
          <w:p w:rsidR="00DC7931" w:rsidRPr="00DC7931" w:rsidRDefault="00DC7931" w:rsidP="00DC7931">
            <w:pPr>
              <w:pStyle w:val="Heading1"/>
              <w:spacing w:before="0"/>
              <w:ind w:left="0" w:firstLine="0"/>
              <w:outlineLvl w:val="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45531E">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aplinkos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9276D1" w:rsidRPr="001D55F4">
                  <w:rPr>
                    <w:rFonts w:ascii="MS Gothic" w:eastAsia="MS Gothic" w:hAnsi="MS Gothic" w:cs="Times New Roman" w:hint="eastAsia"/>
                  </w:rPr>
                  <w:t>☐</w:t>
                </w:r>
              </w:sdtContent>
            </w:sdt>
            <w:r w:rsidR="005A4F85"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ekonomikos ir inovacijų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sidRPr="001D55F4">
                  <w:rPr>
                    <w:rFonts w:ascii="MS Gothic" w:eastAsia="MS Gothic" w:hAnsi="MS Gothic" w:cs="Times New Roman" w:hint="eastAsia"/>
                  </w:rPr>
                  <w:t>☐</w:t>
                </w:r>
              </w:sdtContent>
            </w:sdt>
            <w:r w:rsidR="005A4F85"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energetikos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finansų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krašto apsaugos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kultūros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socialinės apsaugos ir darbo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susisiekimo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1"/>
                  <w14:checkedState w14:val="2612" w14:font="MS Gothic"/>
                  <w14:uncheckedState w14:val="2610" w14:font="MS Gothic"/>
                </w14:checkbox>
              </w:sdtPr>
              <w:sdtContent>
                <w:r w:rsidR="0045531E"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sveikatos apsaugos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švietimo, mokslo ir sporto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vidaus reikalų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Lietuvos Respublikos žemės ūkio ministerija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Vilniaus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Alytaus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Kauno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Klaipėdos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Marijampolės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Panevėžio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Šiaulių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Tauragės regiono plėtros taryba </w:t>
            </w:r>
          </w:p>
          <w:p w:rsidR="001A1453" w:rsidRPr="001D55F4"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1A1453" w:rsidRPr="001D55F4">
              <w:rPr>
                <w:rFonts w:ascii="Times New Roman" w:eastAsia="Times New Roman" w:hAnsi="Times New Roman" w:cs="Times New Roman"/>
              </w:rPr>
              <w:t xml:space="preserve">Telšių regiono plėtros taryba </w:t>
            </w:r>
          </w:p>
          <w:p w:rsidR="001A1453" w:rsidRPr="0045531E" w:rsidRDefault="00000000" w:rsidP="00C87419">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sidRPr="001D55F4">
                  <w:rPr>
                    <w:rFonts w:ascii="MS Gothic" w:eastAsia="MS Gothic" w:hAnsi="MS Gothic" w:cs="Times New Roman" w:hint="eastAsia"/>
                  </w:rPr>
                  <w:t>☐</w:t>
                </w:r>
              </w:sdtContent>
            </w:sdt>
            <w:r w:rsidR="003A0079" w:rsidRPr="001D55F4">
              <w:rPr>
                <w:rFonts w:ascii="Times New Roman" w:eastAsia="Times New Roman" w:hAnsi="Times New Roman" w:cs="Times New Roman"/>
              </w:rPr>
              <w:t xml:space="preserve"> </w:t>
            </w:r>
            <w:r w:rsidR="0045531E" w:rsidRPr="001D55F4">
              <w:rPr>
                <w:rFonts w:ascii="Times New Roman" w:eastAsia="Times New Roman" w:hAnsi="Times New Roman" w:cs="Times New Roman"/>
              </w:rPr>
              <w:t>Utenos regiono plėtros taryba</w:t>
            </w:r>
            <w:r w:rsidR="0045531E">
              <w:rPr>
                <w:rFonts w:ascii="Times New Roman" w:eastAsia="Times New Roman" w:hAnsi="Times New Roman" w:cs="Times New Roman"/>
              </w:rPr>
              <w:t xml:space="preserve"> </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066" w:type="dxa"/>
            <w:gridSpan w:val="4"/>
          </w:tcPr>
          <w:p w:rsidR="00E20AFE" w:rsidRPr="00DC7931" w:rsidRDefault="009276D1" w:rsidP="009E74D0">
            <w:pPr>
              <w:jc w:val="both"/>
              <w:rPr>
                <w:rFonts w:ascii="Times New Roman" w:hAnsi="Times New Roman" w:cs="Times New Roman"/>
                <w:i/>
                <w:iCs/>
                <w:kern w:val="16"/>
              </w:rPr>
            </w:pPr>
            <w:r w:rsidRPr="001D55F4">
              <w:rPr>
                <w:rFonts w:ascii="Times New Roman" w:eastAsia="Calibri" w:hAnsi="Times New Roman" w:cs="Times New Roman"/>
                <w:iCs/>
              </w:rPr>
              <w:t>Viešoji įstaiga Centrinė pr</w:t>
            </w:r>
            <w:r w:rsidR="00FE7834" w:rsidRPr="001D55F4">
              <w:rPr>
                <w:rFonts w:ascii="Times New Roman" w:eastAsia="Calibri" w:hAnsi="Times New Roman" w:cs="Times New Roman"/>
                <w:iCs/>
              </w:rPr>
              <w:t xml:space="preserve">ojektų valdymo agentūra (toliau – </w:t>
            </w:r>
            <w:r w:rsidRPr="001D55F4">
              <w:rPr>
                <w:rFonts w:ascii="Times New Roman" w:eastAsia="Calibri" w:hAnsi="Times New Roman" w:cs="Times New Roman"/>
                <w:iCs/>
              </w:rPr>
              <w:t>CPVA)</w:t>
            </w:r>
          </w:p>
        </w:tc>
      </w:tr>
      <w:tr w:rsidR="00DC7931" w:rsidRPr="00DC7931" w:rsidTr="002E1FBF">
        <w:tc>
          <w:tcPr>
            <w:tcW w:w="766" w:type="dxa"/>
          </w:tcPr>
          <w:p w:rsidR="00E20AFE" w:rsidRPr="00E55D49"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E55D49" w:rsidRDefault="00E20AFE" w:rsidP="009E74D0">
            <w:pPr>
              <w:spacing w:after="120"/>
              <w:jc w:val="both"/>
              <w:rPr>
                <w:rFonts w:ascii="Times New Roman" w:hAnsi="Times New Roman" w:cs="Times New Roman"/>
                <w:b/>
              </w:rPr>
            </w:pPr>
            <w:r w:rsidRPr="00E55D49">
              <w:rPr>
                <w:rFonts w:ascii="Times New Roman" w:hAnsi="Times New Roman" w:cs="Times New Roman"/>
                <w:b/>
              </w:rPr>
              <w:t>Projektų įgyvendinimo planų pateikimo terminas</w:t>
            </w:r>
          </w:p>
        </w:tc>
        <w:tc>
          <w:tcPr>
            <w:tcW w:w="4509" w:type="dxa"/>
            <w:gridSpan w:val="2"/>
          </w:tcPr>
          <w:p w:rsidR="00E20AFE" w:rsidRPr="001D55F4" w:rsidRDefault="00E20AFE" w:rsidP="005B517C">
            <w:pPr>
              <w:jc w:val="both"/>
              <w:rPr>
                <w:rFonts w:ascii="Times New Roman" w:hAnsi="Times New Roman" w:cs="Times New Roman"/>
              </w:rPr>
            </w:pPr>
            <w:r w:rsidRPr="001D55F4">
              <w:rPr>
                <w:rFonts w:ascii="Times New Roman" w:hAnsi="Times New Roman" w:cs="Times New Roman"/>
              </w:rPr>
              <w:t>Nuo</w:t>
            </w:r>
            <w:r w:rsidR="001D55F4" w:rsidRPr="001D55F4">
              <w:rPr>
                <w:rFonts w:ascii="Times New Roman" w:hAnsi="Times New Roman" w:cs="Times New Roman"/>
              </w:rPr>
              <w:t xml:space="preserve"> 2022-1</w:t>
            </w:r>
            <w:r w:rsidR="005B517C">
              <w:rPr>
                <w:rFonts w:ascii="Times New Roman" w:hAnsi="Times New Roman" w:cs="Times New Roman"/>
              </w:rPr>
              <w:t>1</w:t>
            </w:r>
            <w:r w:rsidR="001D55F4" w:rsidRPr="001D55F4">
              <w:rPr>
                <w:rFonts w:ascii="Times New Roman" w:hAnsi="Times New Roman" w:cs="Times New Roman"/>
              </w:rPr>
              <w:t>-</w:t>
            </w:r>
            <w:r w:rsidR="005B517C">
              <w:rPr>
                <w:rFonts w:ascii="Times New Roman" w:hAnsi="Times New Roman" w:cs="Times New Roman"/>
              </w:rPr>
              <w:t>15</w:t>
            </w:r>
            <w:r w:rsidR="001D55F4" w:rsidRPr="001D55F4">
              <w:rPr>
                <w:rFonts w:ascii="Times New Roman" w:hAnsi="Times New Roman" w:cs="Times New Roman"/>
              </w:rPr>
              <w:t xml:space="preserve"> </w:t>
            </w:r>
            <w:r w:rsidR="00E55D49">
              <w:rPr>
                <w:rFonts w:ascii="Times New Roman" w:hAnsi="Times New Roman" w:cs="Times New Roman"/>
              </w:rPr>
              <w:t>0</w:t>
            </w:r>
            <w:r w:rsidR="001D55F4" w:rsidRPr="001D55F4">
              <w:rPr>
                <w:rFonts w:ascii="Times New Roman" w:hAnsi="Times New Roman" w:cs="Times New Roman"/>
              </w:rPr>
              <w:t>:00 val.</w:t>
            </w:r>
          </w:p>
        </w:tc>
        <w:tc>
          <w:tcPr>
            <w:tcW w:w="2557" w:type="dxa"/>
            <w:gridSpan w:val="2"/>
          </w:tcPr>
          <w:p w:rsidR="00E20AFE" w:rsidRPr="001D55F4" w:rsidRDefault="00E20AFE" w:rsidP="001D55F4">
            <w:pPr>
              <w:jc w:val="both"/>
              <w:rPr>
                <w:rFonts w:ascii="Times New Roman" w:hAnsi="Times New Roman" w:cs="Times New Roman"/>
              </w:rPr>
            </w:pPr>
            <w:r w:rsidRPr="001D55F4">
              <w:rPr>
                <w:rFonts w:ascii="Times New Roman" w:hAnsi="Times New Roman" w:cs="Times New Roman"/>
              </w:rPr>
              <w:t>Iki</w:t>
            </w:r>
            <w:r w:rsidR="001D55F4" w:rsidRPr="001D55F4">
              <w:rPr>
                <w:rFonts w:ascii="Times New Roman" w:hAnsi="Times New Roman" w:cs="Times New Roman"/>
              </w:rPr>
              <w:t xml:space="preserve"> 2022-12-31 24:00 val.</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rsidR="00E20AFE" w:rsidRPr="001D55F4"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Content>
                <w:r w:rsidR="009276D1" w:rsidRPr="001D55F4">
                  <w:rPr>
                    <w:rFonts w:ascii="MS Gothic" w:eastAsia="MS Gothic" w:hAnsi="MS Gothic" w:cs="Times New Roman" w:hint="eastAsia"/>
                  </w:rPr>
                  <w:t>☒</w:t>
                </w:r>
              </w:sdtContent>
            </w:sdt>
            <w:r w:rsidR="009276D1" w:rsidRPr="001D55F4">
              <w:rPr>
                <w:rFonts w:ascii="Times New Roman" w:eastAsia="Times New Roman" w:hAnsi="Times New Roman" w:cs="Times New Roman"/>
              </w:rPr>
              <w:t xml:space="preserve"> </w:t>
            </w:r>
            <w:r w:rsidR="00E20AFE" w:rsidRPr="001D55F4">
              <w:rPr>
                <w:rFonts w:ascii="Times New Roman" w:eastAsia="Times New Roman" w:hAnsi="Times New Roman" w:cs="Times New Roman"/>
                <w:iCs/>
              </w:rPr>
              <w:t>Netaikoma</w:t>
            </w:r>
          </w:p>
          <w:p w:rsidR="00E20AFE" w:rsidRPr="001D55F4" w:rsidRDefault="00E20AFE" w:rsidP="009E74D0">
            <w:pPr>
              <w:rPr>
                <w:rFonts w:ascii="Times New Roman" w:eastAsia="Times New Roman" w:hAnsi="Times New Roman" w:cs="Times New Roman"/>
                <w:iCs/>
              </w:rPr>
            </w:pPr>
            <w:r w:rsidRPr="001D55F4">
              <w:rPr>
                <w:rFonts w:ascii="Segoe UI Symbol" w:eastAsia="Times New Roman" w:hAnsi="Segoe UI Symbol" w:cs="Segoe UI Symbol"/>
                <w:iCs/>
              </w:rPr>
              <w:t>☐</w:t>
            </w:r>
            <w:r w:rsidRPr="001D55F4">
              <w:rPr>
                <w:rFonts w:ascii="Times New Roman" w:eastAsia="Times New Roman" w:hAnsi="Times New Roman" w:cs="Times New Roman"/>
                <w:iCs/>
              </w:rPr>
              <w:t xml:space="preserve"> Vidurio ir vakarų Lietuvos regionas</w:t>
            </w:r>
          </w:p>
          <w:p w:rsidR="00571D7C" w:rsidRPr="001D55F4" w:rsidRDefault="00E20AFE" w:rsidP="009E74D0">
            <w:pPr>
              <w:rPr>
                <w:rFonts w:ascii="Times New Roman" w:eastAsia="Times New Roman" w:hAnsi="Times New Roman" w:cs="Times New Roman"/>
                <w:iCs/>
              </w:rPr>
            </w:pPr>
            <w:r w:rsidRPr="001D55F4">
              <w:rPr>
                <w:rFonts w:ascii="Segoe UI Symbol" w:eastAsia="Times New Roman" w:hAnsi="Segoe UI Symbol" w:cs="Segoe UI Symbol"/>
                <w:iCs/>
              </w:rPr>
              <w:t>☐</w:t>
            </w:r>
            <w:r w:rsidRPr="001D55F4">
              <w:rPr>
                <w:rFonts w:ascii="Times New Roman" w:eastAsia="Times New Roman" w:hAnsi="Times New Roman" w:cs="Times New Roman"/>
                <w:iCs/>
              </w:rPr>
              <w:t xml:space="preserve"> Sostinės regionas</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rsidR="00B042B8" w:rsidRPr="001D55F4"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1D55F4">
                  <w:rPr>
                    <w:rFonts w:ascii="MS Gothic" w:eastAsia="MS Gothic" w:hAnsi="MS Gothic" w:cs="Times New Roman" w:hint="eastAsia"/>
                  </w:rPr>
                  <w:t>☐</w:t>
                </w:r>
              </w:sdtContent>
            </w:sdt>
            <w:r w:rsidR="00877C98" w:rsidRPr="001D55F4">
              <w:rPr>
                <w:rFonts w:ascii="Times New Roman" w:hAnsi="Times New Roman" w:cs="Times New Roman"/>
              </w:rPr>
              <w:t xml:space="preserve"> </w:t>
            </w:r>
            <w:r w:rsidR="00B042B8" w:rsidRPr="001D55F4">
              <w:rPr>
                <w:rFonts w:ascii="Times New Roman" w:hAnsi="Times New Roman" w:cs="Times New Roman"/>
              </w:rPr>
              <w:t>valstybės valdymas, regioninė politika ir viešasis administravimas;</w:t>
            </w:r>
          </w:p>
          <w:p w:rsidR="00B042B8" w:rsidRPr="001D55F4"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45531E" w:rsidRPr="001D55F4">
                  <w:rPr>
                    <w:rFonts w:ascii="MS Gothic" w:eastAsia="MS Gothic" w:hAnsi="MS Gothic" w:cs="Times New Roman" w:hint="eastAsia"/>
                  </w:rPr>
                  <w:t>☐</w:t>
                </w:r>
              </w:sdtContent>
            </w:sdt>
            <w:r w:rsidR="00B042B8" w:rsidRPr="001D55F4">
              <w:rPr>
                <w:rFonts w:ascii="Times New Roman" w:hAnsi="Times New Roman" w:cs="Times New Roman"/>
              </w:rPr>
              <w:t> aplinka, miškai ir klimato kaita;</w:t>
            </w:r>
          </w:p>
          <w:p w:rsidR="00B042B8" w:rsidRPr="001D55F4"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xml:space="preserve"> energetika;</w:t>
            </w:r>
          </w:p>
          <w:p w:rsidR="00B042B8" w:rsidRPr="001D55F4"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xml:space="preserve"> viešieji finansai ir oficialioji statistika;</w:t>
            </w:r>
          </w:p>
          <w:p w:rsidR="00B042B8" w:rsidRPr="001D55F4"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ekonomikos konkurencingumas ir valstybės informaciniai ištekliai;</w:t>
            </w:r>
          </w:p>
          <w:p w:rsidR="00B042B8" w:rsidRPr="001D55F4"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xml:space="preserve"> valstybės saugumas ir gynyba;</w:t>
            </w:r>
          </w:p>
          <w:p w:rsidR="00B042B8" w:rsidRPr="001D55F4"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xml:space="preserve"> viešasis saugumas;</w:t>
            </w:r>
          </w:p>
          <w:p w:rsidR="00B042B8" w:rsidRPr="001D55F4"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xml:space="preserve"> kultūra ir visuomenės informavimas;</w:t>
            </w:r>
          </w:p>
          <w:p w:rsidR="00B042B8" w:rsidRPr="001D55F4"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socialinė apsauga ir užimtumas;</w:t>
            </w:r>
          </w:p>
          <w:p w:rsidR="00B042B8" w:rsidRPr="001D55F4"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xml:space="preserve"> transportas ir ryšiai;</w:t>
            </w:r>
          </w:p>
          <w:p w:rsidR="00B042B8" w:rsidRPr="001D55F4" w:rsidRDefault="00000000" w:rsidP="00B042B8">
            <w:pPr>
              <w:rPr>
                <w:rFonts w:ascii="Times New Roman" w:hAnsi="Times New Roman" w:cs="Times New Roman"/>
              </w:rPr>
            </w:pPr>
            <w:sdt>
              <w:sdtPr>
                <w:rPr>
                  <w:rFonts w:ascii="Times New Roman" w:hAnsi="Times New Roman" w:cs="Times New Roman"/>
                </w:rPr>
                <w:id w:val="-555083869"/>
                <w14:checkbox>
                  <w14:checked w14:val="1"/>
                  <w14:checkedState w14:val="2612" w14:font="MS Gothic"/>
                  <w14:uncheckedState w14:val="2610" w14:font="MS Gothic"/>
                </w14:checkbox>
              </w:sdtPr>
              <w:sdtContent>
                <w:r w:rsidR="0045531E" w:rsidRPr="001D55F4">
                  <w:rPr>
                    <w:rFonts w:ascii="MS Gothic" w:eastAsia="MS Gothic" w:hAnsi="MS Gothic" w:cs="Times New Roman" w:hint="eastAsia"/>
                  </w:rPr>
                  <w:t>☒</w:t>
                </w:r>
              </w:sdtContent>
            </w:sdt>
            <w:r w:rsidR="00B042B8" w:rsidRPr="001D55F4">
              <w:rPr>
                <w:rFonts w:ascii="Times New Roman" w:hAnsi="Times New Roman" w:cs="Times New Roman"/>
              </w:rPr>
              <w:t xml:space="preserve"> sveikata;</w:t>
            </w:r>
          </w:p>
          <w:p w:rsidR="00B042B8" w:rsidRPr="001D55F4"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švietimas, mokslas ir sportas;</w:t>
            </w:r>
          </w:p>
          <w:p w:rsidR="00B042B8" w:rsidRPr="001D55F4"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teisingumas;</w:t>
            </w:r>
          </w:p>
          <w:p w:rsidR="00B042B8" w:rsidRPr="001D55F4"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užsienio politika;</w:t>
            </w:r>
          </w:p>
          <w:p w:rsidR="00A132BF" w:rsidRPr="001D55F4"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1D55F4">
                  <w:rPr>
                    <w:rFonts w:ascii="Segoe UI Symbol" w:eastAsia="MS Gothic" w:hAnsi="Segoe UI Symbol" w:cs="Segoe UI Symbol"/>
                  </w:rPr>
                  <w:t>☐</w:t>
                </w:r>
              </w:sdtContent>
            </w:sdt>
            <w:r w:rsidR="00B042B8" w:rsidRPr="001D55F4">
              <w:rPr>
                <w:rFonts w:ascii="Times New Roman" w:hAnsi="Times New Roman" w:cs="Times New Roman"/>
              </w:rPr>
              <w:t> žemės ir maisto ūkis, kaimo plėtra, žuvininkystė, veterinarija ir žemės tvarkymas</w:t>
            </w:r>
          </w:p>
        </w:tc>
      </w:tr>
      <w:tr w:rsidR="00DC7931" w:rsidRPr="00DC7931" w:rsidTr="002E1FBF">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rsidR="00E20AFE" w:rsidRPr="001D55F4"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Content>
                <w:r w:rsidR="009276D1" w:rsidRPr="001D55F4">
                  <w:rPr>
                    <w:rFonts w:ascii="MS Gothic" w:eastAsia="MS Gothic" w:hAnsi="MS Gothic" w:cs="Times New Roman" w:hint="eastAsia"/>
                  </w:rPr>
                  <w:t>☒</w:t>
                </w:r>
              </w:sdtContent>
            </w:sdt>
            <w:r w:rsidR="009276D1" w:rsidRPr="001D55F4">
              <w:rPr>
                <w:rFonts w:ascii="Times New Roman" w:eastAsia="Times New Roman" w:hAnsi="Times New Roman" w:cs="Times New Roman"/>
              </w:rPr>
              <w:t xml:space="preserve"> </w:t>
            </w:r>
            <w:r w:rsidR="00856311" w:rsidRPr="001D55F4">
              <w:rPr>
                <w:rFonts w:ascii="Times New Roman" w:eastAsia="Times New Roman" w:hAnsi="Times New Roman" w:cs="Times New Roman"/>
                <w:iCs/>
              </w:rPr>
              <w:t>P</w:t>
            </w:r>
            <w:r w:rsidR="00E20AFE" w:rsidRPr="001D55F4">
              <w:rPr>
                <w:rFonts w:ascii="Times New Roman" w:eastAsia="Times New Roman" w:hAnsi="Times New Roman" w:cs="Times New Roman"/>
                <w:iCs/>
              </w:rPr>
              <w:t>lanavimas</w:t>
            </w:r>
          </w:p>
          <w:p w:rsidR="00596BB6" w:rsidRPr="001D55F4" w:rsidRDefault="00596BB6" w:rsidP="009E74D0">
            <w:pPr>
              <w:rPr>
                <w:rFonts w:ascii="Times New Roman" w:eastAsia="Times New Roman" w:hAnsi="Times New Roman" w:cs="Times New Roman"/>
                <w:iCs/>
              </w:rPr>
            </w:pPr>
            <w:r w:rsidRPr="001D55F4">
              <w:rPr>
                <w:rFonts w:ascii="Segoe UI Symbol" w:eastAsia="Times New Roman" w:hAnsi="Segoe UI Symbol" w:cs="Segoe UI Symbol"/>
                <w:iCs/>
              </w:rPr>
              <w:t>☐</w:t>
            </w:r>
            <w:r w:rsidRPr="001D55F4">
              <w:rPr>
                <w:rFonts w:ascii="Times New Roman" w:eastAsia="Times New Roman" w:hAnsi="Times New Roman" w:cs="Times New Roman"/>
                <w:iCs/>
              </w:rPr>
              <w:t xml:space="preserve"> Konkursas</w:t>
            </w:r>
          </w:p>
          <w:p w:rsidR="00856311" w:rsidRPr="001D55F4" w:rsidRDefault="00856311" w:rsidP="00856311">
            <w:pPr>
              <w:rPr>
                <w:rFonts w:ascii="Times New Roman" w:eastAsia="Times New Roman" w:hAnsi="Times New Roman" w:cs="Times New Roman"/>
                <w:iCs/>
              </w:rPr>
            </w:pPr>
            <w:r w:rsidRPr="001D55F4">
              <w:rPr>
                <w:rFonts w:ascii="Segoe UI Symbol" w:eastAsia="Times New Roman" w:hAnsi="Segoe UI Symbol" w:cs="Segoe UI Symbol"/>
                <w:iCs/>
              </w:rPr>
              <w:t>☐</w:t>
            </w:r>
            <w:r w:rsidRPr="001D55F4">
              <w:rPr>
                <w:rFonts w:ascii="Times New Roman" w:eastAsia="Times New Roman" w:hAnsi="Times New Roman" w:cs="Times New Roman"/>
                <w:iCs/>
              </w:rPr>
              <w:t xml:space="preserve"> Tęstinė atranka</w:t>
            </w:r>
          </w:p>
          <w:p w:rsidR="00E20AFE" w:rsidRPr="001D55F4" w:rsidRDefault="00E20AFE" w:rsidP="00856311">
            <w:pPr>
              <w:rPr>
                <w:rFonts w:ascii="Times New Roman" w:eastAsia="Times New Roman" w:hAnsi="Times New Roman" w:cs="Times New Roman"/>
                <w:iCs/>
              </w:rPr>
            </w:pPr>
            <w:r w:rsidRPr="001D55F4">
              <w:rPr>
                <w:rFonts w:ascii="Segoe UI Symbol" w:eastAsia="Times New Roman" w:hAnsi="Segoe UI Symbol" w:cs="Segoe UI Symbol"/>
                <w:iCs/>
              </w:rPr>
              <w:t>☐</w:t>
            </w:r>
            <w:r w:rsidR="0045531E" w:rsidRPr="001D55F4">
              <w:rPr>
                <w:rFonts w:ascii="Times New Roman" w:eastAsia="Times New Roman" w:hAnsi="Times New Roman" w:cs="Times New Roman"/>
                <w:iCs/>
              </w:rPr>
              <w:t xml:space="preserve"> Jungtinis projektas</w:t>
            </w:r>
          </w:p>
        </w:tc>
      </w:tr>
      <w:tr w:rsidR="000B3230" w:rsidRPr="00DC7931" w:rsidTr="002E1FBF">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rsidR="00AF57CF" w:rsidRPr="001D55F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9276D1" w:rsidRPr="001D55F4">
                  <w:rPr>
                    <w:rFonts w:ascii="MS Gothic" w:eastAsia="MS Gothic" w:hAnsi="MS Gothic" w:cs="Times New Roman" w:hint="eastAsia"/>
                  </w:rPr>
                  <w:t>☒</w:t>
                </w:r>
              </w:sdtContent>
            </w:sdt>
            <w:r w:rsidR="00AF57CF" w:rsidRPr="001D55F4">
              <w:rPr>
                <w:rFonts w:ascii="Times New Roman" w:eastAsia="Times New Roman" w:hAnsi="Times New Roman" w:cs="Times New Roman"/>
              </w:rPr>
              <w:t xml:space="preserve"> </w:t>
            </w:r>
            <w:r w:rsidR="00D40DD5" w:rsidRPr="001D55F4">
              <w:rPr>
                <w:rFonts w:ascii="Times New Roman" w:eastAsia="Times New Roman" w:hAnsi="Times New Roman" w:cs="Times New Roman"/>
              </w:rPr>
              <w:t xml:space="preserve">01 </w:t>
            </w:r>
            <w:r w:rsidR="00AF57CF" w:rsidRPr="001D55F4">
              <w:rPr>
                <w:rFonts w:ascii="Times New Roman" w:eastAsia="Times New Roman" w:hAnsi="Times New Roman" w:cs="Times New Roman"/>
              </w:rPr>
              <w:t>Dotacija</w:t>
            </w:r>
          </w:p>
          <w:p w:rsidR="00AF57CF" w:rsidRPr="001D55F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1D55F4">
                  <w:rPr>
                    <w:rFonts w:ascii="MS Gothic" w:eastAsia="MS Gothic" w:hAnsi="MS Gothic" w:cs="Times New Roman" w:hint="eastAsia"/>
                  </w:rPr>
                  <w:t>☐</w:t>
                </w:r>
              </w:sdtContent>
            </w:sdt>
            <w:r w:rsidR="00AF57CF" w:rsidRPr="001D55F4">
              <w:rPr>
                <w:rFonts w:ascii="Times New Roman" w:eastAsia="Times New Roman" w:hAnsi="Times New Roman" w:cs="Times New Roman"/>
              </w:rPr>
              <w:t xml:space="preserve"> </w:t>
            </w:r>
            <w:r w:rsidR="00D40DD5" w:rsidRPr="001D55F4">
              <w:rPr>
                <w:rFonts w:ascii="Times New Roman" w:eastAsia="Times New Roman" w:hAnsi="Times New Roman" w:cs="Times New Roman"/>
              </w:rPr>
              <w:t xml:space="preserve">02 </w:t>
            </w:r>
            <w:r w:rsidR="00AF57CF" w:rsidRPr="001D55F4">
              <w:rPr>
                <w:rFonts w:ascii="Times New Roman" w:eastAsia="Times New Roman" w:hAnsi="Times New Roman" w:cs="Times New Roman"/>
              </w:rPr>
              <w:t>Naudojantis finansinėmis priemonėmis teikiama parama: nuosavas arba kvazinuosavas kapitalas</w:t>
            </w:r>
          </w:p>
          <w:p w:rsidR="00AF57CF" w:rsidRPr="001D55F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1D55F4">
                  <w:rPr>
                    <w:rFonts w:ascii="MS Gothic" w:eastAsia="MS Gothic" w:hAnsi="MS Gothic" w:cs="Times New Roman" w:hint="eastAsia"/>
                  </w:rPr>
                  <w:t>☐</w:t>
                </w:r>
              </w:sdtContent>
            </w:sdt>
            <w:r w:rsidR="00AF57CF" w:rsidRPr="001D55F4">
              <w:rPr>
                <w:rFonts w:ascii="Times New Roman" w:eastAsia="Times New Roman" w:hAnsi="Times New Roman" w:cs="Times New Roman"/>
              </w:rPr>
              <w:t xml:space="preserve"> </w:t>
            </w:r>
            <w:r w:rsidR="00D40DD5" w:rsidRPr="001D55F4">
              <w:rPr>
                <w:rFonts w:ascii="Times New Roman" w:eastAsia="Times New Roman" w:hAnsi="Times New Roman" w:cs="Times New Roman"/>
              </w:rPr>
              <w:t xml:space="preserve">03 </w:t>
            </w:r>
            <w:r w:rsidR="00AF57CF" w:rsidRPr="001D55F4">
              <w:rPr>
                <w:rFonts w:ascii="Times New Roman" w:eastAsia="Times New Roman" w:hAnsi="Times New Roman" w:cs="Times New Roman"/>
              </w:rPr>
              <w:t>Naudojantis finansinėmis priemonėmis teikiama parama: paskola</w:t>
            </w:r>
          </w:p>
          <w:p w:rsidR="00AF57CF" w:rsidRPr="001D55F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1D55F4">
                  <w:rPr>
                    <w:rFonts w:ascii="MS Gothic" w:eastAsia="MS Gothic" w:hAnsi="MS Gothic" w:cs="Times New Roman" w:hint="eastAsia"/>
                  </w:rPr>
                  <w:t>☐</w:t>
                </w:r>
              </w:sdtContent>
            </w:sdt>
            <w:r w:rsidR="00AF57CF" w:rsidRPr="001D55F4">
              <w:rPr>
                <w:rFonts w:ascii="Times New Roman" w:eastAsia="Times New Roman" w:hAnsi="Times New Roman" w:cs="Times New Roman"/>
              </w:rPr>
              <w:t xml:space="preserve"> </w:t>
            </w:r>
            <w:r w:rsidR="00D40DD5" w:rsidRPr="001D55F4">
              <w:rPr>
                <w:rFonts w:ascii="Times New Roman" w:eastAsia="Times New Roman" w:hAnsi="Times New Roman" w:cs="Times New Roman"/>
              </w:rPr>
              <w:t xml:space="preserve">04 </w:t>
            </w:r>
            <w:r w:rsidR="00AF57CF" w:rsidRPr="001D55F4">
              <w:rPr>
                <w:rFonts w:ascii="Times New Roman" w:eastAsia="Times New Roman" w:hAnsi="Times New Roman" w:cs="Times New Roman"/>
              </w:rPr>
              <w:t>Naudojantis finansinėmis priemonėmis teikiama parama: garantija</w:t>
            </w:r>
          </w:p>
          <w:p w:rsidR="00AF57CF" w:rsidRPr="001D55F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1D55F4">
                  <w:rPr>
                    <w:rFonts w:ascii="MS Gothic" w:eastAsia="MS Gothic" w:hAnsi="MS Gothic" w:cs="Times New Roman" w:hint="eastAsia"/>
                  </w:rPr>
                  <w:t>☐</w:t>
                </w:r>
              </w:sdtContent>
            </w:sdt>
            <w:r w:rsidR="00AF57CF" w:rsidRPr="001D55F4">
              <w:rPr>
                <w:rFonts w:ascii="Times New Roman" w:eastAsia="Times New Roman" w:hAnsi="Times New Roman" w:cs="Times New Roman"/>
              </w:rPr>
              <w:t xml:space="preserve"> </w:t>
            </w:r>
            <w:r w:rsidR="00D40DD5" w:rsidRPr="001D55F4">
              <w:rPr>
                <w:rFonts w:ascii="Times New Roman" w:eastAsia="Times New Roman" w:hAnsi="Times New Roman" w:cs="Times New Roman"/>
              </w:rPr>
              <w:t xml:space="preserve">05 </w:t>
            </w:r>
            <w:r w:rsidR="00AF57CF" w:rsidRPr="001D55F4">
              <w:rPr>
                <w:rFonts w:ascii="Times New Roman" w:eastAsia="Times New Roman" w:hAnsi="Times New Roman" w:cs="Times New Roman"/>
              </w:rPr>
              <w:t>Naudojantis finansinėmis priemonėmis teikiama parama: dotacijos, suteiktos vykdant finansinės priemonės veiksmą</w:t>
            </w:r>
          </w:p>
          <w:p w:rsidR="00AF57CF" w:rsidRPr="001D55F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1D55F4">
                  <w:rPr>
                    <w:rFonts w:ascii="MS Gothic" w:eastAsia="MS Gothic" w:hAnsi="MS Gothic" w:cs="Times New Roman" w:hint="eastAsia"/>
                  </w:rPr>
                  <w:t>☐</w:t>
                </w:r>
              </w:sdtContent>
            </w:sdt>
            <w:r w:rsidR="00AF57CF" w:rsidRPr="001D55F4">
              <w:rPr>
                <w:rFonts w:ascii="Times New Roman" w:eastAsia="Times New Roman" w:hAnsi="Times New Roman" w:cs="Times New Roman"/>
              </w:rPr>
              <w:t xml:space="preserve"> </w:t>
            </w:r>
            <w:r w:rsidR="00D40DD5" w:rsidRPr="001D55F4">
              <w:rPr>
                <w:rFonts w:ascii="Times New Roman" w:eastAsia="Times New Roman" w:hAnsi="Times New Roman" w:cs="Times New Roman"/>
              </w:rPr>
              <w:t xml:space="preserve">06 </w:t>
            </w:r>
            <w:r w:rsidR="00AF57CF" w:rsidRPr="001D55F4">
              <w:rPr>
                <w:rFonts w:ascii="Times New Roman" w:eastAsia="Times New Roman" w:hAnsi="Times New Roman" w:cs="Times New Roman"/>
              </w:rPr>
              <w:t>Apdovanojimas</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rsidR="00124C82" w:rsidRPr="00421A95" w:rsidRDefault="00000000" w:rsidP="003F6815">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63308776"/>
                <w14:checkbox>
                  <w14:checked w14:val="1"/>
                  <w14:checkedState w14:val="2612" w14:font="MS Gothic"/>
                  <w14:uncheckedState w14:val="2610" w14:font="MS Gothic"/>
                </w14:checkbox>
              </w:sdtPr>
              <w:sdtContent>
                <w:r w:rsidR="003F6815" w:rsidRPr="001D55F4">
                  <w:rPr>
                    <w:rFonts w:ascii="MS Gothic" w:eastAsia="MS Gothic" w:hAnsi="MS Gothic" w:cs="Times New Roman" w:hint="eastAsia"/>
                  </w:rPr>
                  <w:t>☒</w:t>
                </w:r>
              </w:sdtContent>
            </w:sdt>
            <w:r w:rsidR="003F6815" w:rsidRPr="00421A95">
              <w:rPr>
                <w:rFonts w:ascii="Times New Roman" w:hAnsi="Times New Roman" w:cs="Times New Roman"/>
              </w:rPr>
              <w:t xml:space="preserve"> </w:t>
            </w:r>
            <w:r w:rsidR="00124C82" w:rsidRPr="00421A95">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rsidR="00487D1C" w:rsidRPr="001D55F4" w:rsidRDefault="001564FA" w:rsidP="001D55F4">
            <w:pPr>
              <w:rPr>
                <w:rFonts w:ascii="Times New Roman" w:hAnsi="Times New Roman" w:cs="Times New Roman"/>
                <w:i/>
                <w:iCs/>
              </w:rPr>
            </w:pPr>
            <w:r w:rsidRPr="001D55F4">
              <w:rPr>
                <w:rFonts w:ascii="Times New Roman" w:hAnsi="Times New Roman" w:cs="Times New Roman"/>
                <w:color w:val="000000"/>
                <w:szCs w:val="24"/>
              </w:rPr>
              <w:t>3</w:t>
            </w:r>
            <w:r w:rsidR="001D55F4">
              <w:rPr>
                <w:rFonts w:ascii="Times New Roman" w:hAnsi="Times New Roman" w:cs="Times New Roman"/>
                <w:color w:val="000000"/>
                <w:szCs w:val="24"/>
              </w:rPr>
              <w:t>.</w:t>
            </w:r>
            <w:r w:rsidRPr="001D55F4">
              <w:rPr>
                <w:rFonts w:ascii="Times New Roman" w:hAnsi="Times New Roman" w:cs="Times New Roman"/>
                <w:color w:val="000000"/>
                <w:szCs w:val="24"/>
              </w:rPr>
              <w:t>305</w:t>
            </w:r>
            <w:r w:rsidR="001D55F4">
              <w:rPr>
                <w:rFonts w:ascii="Times New Roman" w:hAnsi="Times New Roman" w:cs="Times New Roman"/>
                <w:color w:val="000000"/>
                <w:szCs w:val="24"/>
              </w:rPr>
              <w:t>.</w:t>
            </w:r>
            <w:r w:rsidRPr="001D55F4">
              <w:rPr>
                <w:rFonts w:ascii="Times New Roman" w:hAnsi="Times New Roman" w:cs="Times New Roman"/>
                <w:color w:val="000000"/>
                <w:szCs w:val="24"/>
              </w:rPr>
              <w:t>659,00 Eur</w:t>
            </w:r>
          </w:p>
        </w:tc>
      </w:tr>
      <w:tr w:rsidR="00DC7931" w:rsidRPr="00DC7931" w:rsidTr="002E1FBF">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rsidR="00056965" w:rsidRPr="001D55F4" w:rsidRDefault="001564FA" w:rsidP="001D55F4">
            <w:pPr>
              <w:rPr>
                <w:rFonts w:ascii="Times New Roman" w:eastAsia="Times New Roman" w:hAnsi="Times New Roman" w:cs="Times New Roman"/>
                <w:i/>
                <w:iCs/>
              </w:rPr>
            </w:pPr>
            <w:r w:rsidRPr="001D55F4">
              <w:rPr>
                <w:rFonts w:ascii="Times New Roman" w:hAnsi="Times New Roman" w:cs="Times New Roman"/>
                <w:color w:val="000000"/>
                <w:szCs w:val="24"/>
              </w:rPr>
              <w:t>3</w:t>
            </w:r>
            <w:r w:rsidR="001D55F4">
              <w:rPr>
                <w:rFonts w:ascii="Times New Roman" w:hAnsi="Times New Roman" w:cs="Times New Roman"/>
                <w:color w:val="000000"/>
                <w:szCs w:val="24"/>
              </w:rPr>
              <w:t>.</w:t>
            </w:r>
            <w:r w:rsidRPr="001D55F4">
              <w:rPr>
                <w:rFonts w:ascii="Times New Roman" w:hAnsi="Times New Roman" w:cs="Times New Roman"/>
                <w:color w:val="000000"/>
                <w:szCs w:val="24"/>
              </w:rPr>
              <w:t>305</w:t>
            </w:r>
            <w:r w:rsidR="001D55F4">
              <w:rPr>
                <w:rFonts w:ascii="Times New Roman" w:hAnsi="Times New Roman" w:cs="Times New Roman"/>
                <w:color w:val="000000"/>
                <w:szCs w:val="24"/>
              </w:rPr>
              <w:t>.</w:t>
            </w:r>
            <w:r w:rsidRPr="001D55F4">
              <w:rPr>
                <w:rFonts w:ascii="Times New Roman" w:hAnsi="Times New Roman" w:cs="Times New Roman"/>
                <w:color w:val="000000"/>
                <w:szCs w:val="24"/>
              </w:rPr>
              <w:t>659,00 Eur</w:t>
            </w: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2E1FBF">
        <w:tc>
          <w:tcPr>
            <w:tcW w:w="766" w:type="dxa"/>
          </w:tcPr>
          <w:p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rsidR="009276D1" w:rsidRPr="00907AEC" w:rsidRDefault="009276D1" w:rsidP="001564FA">
            <w:pPr>
              <w:jc w:val="both"/>
              <w:rPr>
                <w:rFonts w:ascii="Times New Roman" w:hAnsi="Times New Roman" w:cs="Times New Roman"/>
                <w:highlight w:val="yellow"/>
              </w:rPr>
            </w:pPr>
          </w:p>
        </w:tc>
        <w:tc>
          <w:tcPr>
            <w:tcW w:w="7066" w:type="dxa"/>
            <w:gridSpan w:val="4"/>
          </w:tcPr>
          <w:p w:rsidR="004B2175" w:rsidRPr="00C212EA" w:rsidRDefault="004B2175" w:rsidP="004B2175">
            <w:pPr>
              <w:tabs>
                <w:tab w:val="left" w:pos="459"/>
              </w:tabs>
              <w:jc w:val="both"/>
              <w:rPr>
                <w:rFonts w:ascii="Times New Roman" w:hAnsi="Times New Roman" w:cs="Times New Roman"/>
                <w:iCs/>
                <w:szCs w:val="24"/>
              </w:rPr>
            </w:pPr>
            <w:r w:rsidRPr="00C212EA">
              <w:rPr>
                <w:rFonts w:ascii="Times New Roman" w:hAnsi="Times New Roman" w:cs="Times New Roman"/>
                <w:bCs/>
                <w:iCs/>
                <w:szCs w:val="24"/>
              </w:rPr>
              <w:t xml:space="preserve">Finansuojama veikla – </w:t>
            </w:r>
            <w:r w:rsidRPr="00C212EA">
              <w:rPr>
                <w:rFonts w:ascii="Times New Roman" w:hAnsi="Times New Roman" w:cs="Times New Roman"/>
                <w:iCs/>
                <w:szCs w:val="24"/>
              </w:rPr>
              <w:t>sveikatos sektoriaus skaitmeninimas</w:t>
            </w:r>
            <w:r w:rsidRPr="00C212EA">
              <w:rPr>
                <w:rFonts w:ascii="Times New Roman" w:hAnsi="Times New Roman" w:cs="Times New Roman"/>
                <w:bCs/>
                <w:iCs/>
                <w:szCs w:val="24"/>
              </w:rPr>
              <w:t>.</w:t>
            </w:r>
            <w:r w:rsidRPr="00C212EA">
              <w:rPr>
                <w:rFonts w:ascii="Times New Roman" w:hAnsi="Times New Roman" w:cs="Times New Roman"/>
                <w:b/>
                <w:szCs w:val="24"/>
              </w:rPr>
              <w:t xml:space="preserve"> </w:t>
            </w:r>
            <w:r w:rsidRPr="00C212EA">
              <w:rPr>
                <w:rFonts w:ascii="Times New Roman" w:hAnsi="Times New Roman" w:cs="Times New Roman"/>
                <w:color w:val="000000"/>
                <w:szCs w:val="24"/>
                <w:lang w:eastAsia="lt-LT"/>
              </w:rPr>
              <w:t xml:space="preserve">Numatoma poveiklė – </w:t>
            </w:r>
            <w:r w:rsidRPr="00C212EA">
              <w:rPr>
                <w:rFonts w:ascii="Times New Roman" w:hAnsi="Times New Roman" w:cs="Times New Roman"/>
                <w:szCs w:val="24"/>
              </w:rPr>
              <w:t>vaistinių preparatų rinkos ir farmacinės veiklos kontrolės efektyvumo ir kokybės didinimas</w:t>
            </w:r>
            <w:r w:rsidRPr="00C212EA">
              <w:rPr>
                <w:rFonts w:ascii="Times New Roman" w:hAnsi="Times New Roman" w:cs="Times New Roman"/>
                <w:iCs/>
                <w:szCs w:val="24"/>
              </w:rPr>
              <w:t>.</w:t>
            </w:r>
          </w:p>
          <w:p w:rsidR="004B2175" w:rsidRPr="00C212EA" w:rsidRDefault="004B2175" w:rsidP="004B2175">
            <w:pPr>
              <w:tabs>
                <w:tab w:val="left" w:pos="459"/>
              </w:tabs>
              <w:jc w:val="both"/>
              <w:rPr>
                <w:rFonts w:ascii="Times New Roman" w:hAnsi="Times New Roman" w:cs="Times New Roman"/>
                <w:szCs w:val="24"/>
                <w:lang w:eastAsia="lt-LT"/>
              </w:rPr>
            </w:pPr>
            <w:r w:rsidRPr="00C212EA">
              <w:rPr>
                <w:rFonts w:ascii="Times New Roman" w:hAnsi="Times New Roman" w:cs="Times New Roman"/>
                <w:szCs w:val="24"/>
                <w:lang w:eastAsia="lt-LT"/>
              </w:rPr>
              <w:t>Finansuojama:</w:t>
            </w:r>
          </w:p>
          <w:p w:rsidR="004B2175" w:rsidRPr="00C212EA" w:rsidRDefault="004B2175" w:rsidP="004B2175">
            <w:pPr>
              <w:tabs>
                <w:tab w:val="left" w:pos="459"/>
              </w:tabs>
              <w:rPr>
                <w:rFonts w:ascii="Times New Roman" w:hAnsi="Times New Roman" w:cs="Times New Roman"/>
                <w:szCs w:val="24"/>
              </w:rPr>
            </w:pPr>
            <w:r w:rsidRPr="00C212EA">
              <w:rPr>
                <w:rFonts w:ascii="Times New Roman" w:hAnsi="Times New Roman" w:cs="Times New Roman"/>
                <w:szCs w:val="24"/>
              </w:rPr>
              <w:t>1. SPOR</w:t>
            </w:r>
            <w:r w:rsidRPr="00C212EA">
              <w:rPr>
                <w:rFonts w:ascii="Times New Roman" w:hAnsi="Times New Roman" w:cs="Times New Roman"/>
                <w:szCs w:val="24"/>
                <w:vertAlign w:val="superscript"/>
              </w:rPr>
              <w:footnoteReference w:id="2"/>
            </w:r>
            <w:r w:rsidRPr="00C212EA">
              <w:rPr>
                <w:rFonts w:ascii="Times New Roman" w:hAnsi="Times New Roman" w:cs="Times New Roman"/>
                <w:szCs w:val="24"/>
              </w:rPr>
              <w:t xml:space="preserve"> klasifikatoriaus </w:t>
            </w:r>
            <w:r w:rsidR="001D55F4" w:rsidRPr="00C212EA">
              <w:rPr>
                <w:rFonts w:ascii="Times New Roman" w:hAnsi="Times New Roman" w:cs="Times New Roman"/>
                <w:color w:val="000000"/>
                <w:szCs w:val="24"/>
                <w:lang w:eastAsia="lt-LT"/>
              </w:rPr>
              <w:t>Valstybinės vaistų kontrolės tarnybos prie Lietuvos Respublikos sveikatos apsaugos ministerijos (toliau  – VVKT)</w:t>
            </w:r>
            <w:r w:rsidRPr="00C212EA">
              <w:rPr>
                <w:rFonts w:ascii="Times New Roman" w:hAnsi="Times New Roman" w:cs="Times New Roman"/>
                <w:szCs w:val="24"/>
              </w:rPr>
              <w:t xml:space="preserve"> naudojamose informacinėse sistemose įdiegimas;</w:t>
            </w:r>
          </w:p>
          <w:p w:rsidR="004B2175" w:rsidRPr="00C212EA" w:rsidRDefault="004B2175" w:rsidP="004B2175">
            <w:pPr>
              <w:tabs>
                <w:tab w:val="left" w:pos="459"/>
              </w:tabs>
              <w:rPr>
                <w:rFonts w:ascii="Times New Roman" w:hAnsi="Times New Roman" w:cs="Times New Roman"/>
                <w:szCs w:val="24"/>
              </w:rPr>
            </w:pPr>
            <w:r w:rsidRPr="00C212EA">
              <w:rPr>
                <w:rFonts w:ascii="Times New Roman" w:hAnsi="Times New Roman" w:cs="Times New Roman"/>
                <w:szCs w:val="24"/>
              </w:rPr>
              <w:t xml:space="preserve">2. </w:t>
            </w:r>
            <w:r w:rsidR="00C212EA">
              <w:rPr>
                <w:rFonts w:ascii="Times New Roman" w:hAnsi="Times New Roman" w:cs="Times New Roman"/>
                <w:szCs w:val="24"/>
              </w:rPr>
              <w:t>G</w:t>
            </w:r>
            <w:r w:rsidRPr="00C212EA">
              <w:rPr>
                <w:rFonts w:ascii="Times New Roman" w:hAnsi="Times New Roman" w:cs="Times New Roman"/>
                <w:szCs w:val="24"/>
              </w:rPr>
              <w:t>alimybės automatizuotai gauti vaistinių preparatų registracijos paraiškų duomenis kartu su tarptautinėmis duomenų bazėmis realizavimas;</w:t>
            </w:r>
          </w:p>
          <w:p w:rsidR="004B2175" w:rsidRPr="00C212EA" w:rsidRDefault="004B2175" w:rsidP="004B2175">
            <w:pPr>
              <w:tabs>
                <w:tab w:val="left" w:pos="459"/>
              </w:tabs>
              <w:jc w:val="both"/>
              <w:rPr>
                <w:rFonts w:ascii="Times New Roman" w:hAnsi="Times New Roman" w:cs="Times New Roman"/>
                <w:szCs w:val="24"/>
              </w:rPr>
            </w:pPr>
            <w:r w:rsidRPr="00C212EA">
              <w:rPr>
                <w:rFonts w:ascii="Times New Roman" w:hAnsi="Times New Roman" w:cs="Times New Roman"/>
                <w:szCs w:val="24"/>
              </w:rPr>
              <w:t xml:space="preserve">3. </w:t>
            </w:r>
            <w:r w:rsidR="00C212EA">
              <w:rPr>
                <w:rFonts w:ascii="Times New Roman" w:hAnsi="Times New Roman" w:cs="Times New Roman"/>
                <w:szCs w:val="24"/>
              </w:rPr>
              <w:t>E</w:t>
            </w:r>
            <w:r w:rsidRPr="00C212EA">
              <w:rPr>
                <w:rFonts w:ascii="Times New Roman" w:hAnsi="Times New Roman" w:cs="Times New Roman"/>
                <w:szCs w:val="24"/>
              </w:rPr>
              <w:t>lektroninių priemonių vaistinių galimybių gyventojams ir VVKT paslaugų gavėjams patogiai, efektyviai ir greitai gauti naujausią informaciją apie VVKT teikiamas paslaugas ir jų rezultatus sukūrimas;</w:t>
            </w:r>
          </w:p>
          <w:p w:rsidR="004B2175" w:rsidRPr="00C212EA" w:rsidRDefault="004B2175" w:rsidP="004B2175">
            <w:pPr>
              <w:tabs>
                <w:tab w:val="left" w:pos="459"/>
              </w:tabs>
              <w:rPr>
                <w:rFonts w:ascii="Times New Roman" w:hAnsi="Times New Roman" w:cs="Times New Roman"/>
                <w:szCs w:val="24"/>
              </w:rPr>
            </w:pPr>
            <w:r w:rsidRPr="00C212EA">
              <w:rPr>
                <w:rFonts w:ascii="Times New Roman" w:hAnsi="Times New Roman" w:cs="Times New Roman"/>
                <w:szCs w:val="24"/>
              </w:rPr>
              <w:t xml:space="preserve">4. </w:t>
            </w:r>
            <w:r w:rsidR="00C212EA">
              <w:rPr>
                <w:rFonts w:ascii="Times New Roman" w:hAnsi="Times New Roman" w:cs="Times New Roman"/>
                <w:szCs w:val="24"/>
              </w:rPr>
              <w:t>Ū</w:t>
            </w:r>
            <w:r w:rsidRPr="00C212EA">
              <w:rPr>
                <w:rFonts w:ascii="Times New Roman" w:hAnsi="Times New Roman" w:cs="Times New Roman"/>
                <w:szCs w:val="24"/>
              </w:rPr>
              <w:t>kio subjektų patikros procesų kompiuterizavimas;</w:t>
            </w:r>
          </w:p>
          <w:p w:rsidR="004B2175" w:rsidRPr="00C212EA" w:rsidRDefault="004B2175" w:rsidP="004B2175">
            <w:pPr>
              <w:tabs>
                <w:tab w:val="left" w:pos="459"/>
              </w:tabs>
              <w:rPr>
                <w:rFonts w:ascii="Times New Roman" w:hAnsi="Times New Roman" w:cs="Times New Roman"/>
                <w:szCs w:val="24"/>
              </w:rPr>
            </w:pPr>
            <w:r w:rsidRPr="00C212EA">
              <w:rPr>
                <w:rFonts w:ascii="Times New Roman" w:hAnsi="Times New Roman" w:cs="Times New Roman"/>
                <w:szCs w:val="24"/>
              </w:rPr>
              <w:t xml:space="preserve">5. </w:t>
            </w:r>
            <w:r w:rsidR="00C212EA">
              <w:rPr>
                <w:rFonts w:ascii="Times New Roman" w:hAnsi="Times New Roman" w:cs="Times New Roman"/>
                <w:szCs w:val="24"/>
              </w:rPr>
              <w:t>G</w:t>
            </w:r>
            <w:r w:rsidRPr="00C212EA">
              <w:rPr>
                <w:rFonts w:ascii="Times New Roman" w:hAnsi="Times New Roman" w:cs="Times New Roman"/>
                <w:szCs w:val="24"/>
              </w:rPr>
              <w:t>alimybės gauti išsilavinimo ir asmens dokumentų duomenis automatizuotai sukūrimas;</w:t>
            </w:r>
          </w:p>
          <w:p w:rsidR="009E74D0" w:rsidRPr="00C212EA" w:rsidRDefault="004B2175" w:rsidP="00C212EA">
            <w:pPr>
              <w:rPr>
                <w:rFonts w:ascii="Times New Roman" w:hAnsi="Times New Roman" w:cs="Times New Roman"/>
              </w:rPr>
            </w:pPr>
            <w:r w:rsidRPr="00C212EA">
              <w:rPr>
                <w:rFonts w:ascii="Times New Roman" w:hAnsi="Times New Roman" w:cs="Times New Roman"/>
                <w:szCs w:val="24"/>
              </w:rPr>
              <w:t xml:space="preserve">6. </w:t>
            </w:r>
            <w:r w:rsidR="00C212EA">
              <w:rPr>
                <w:rFonts w:ascii="Times New Roman" w:hAnsi="Times New Roman" w:cs="Times New Roman"/>
                <w:szCs w:val="24"/>
              </w:rPr>
              <w:t>F</w:t>
            </w:r>
            <w:r w:rsidRPr="00C212EA">
              <w:rPr>
                <w:rFonts w:ascii="Times New Roman" w:hAnsi="Times New Roman" w:cs="Times New Roman"/>
                <w:szCs w:val="24"/>
              </w:rPr>
              <w:t>unkcionalumų, reikalingų Elektroninės sveikatos paslaugų ir bendradarbiavimo infrastruktūros informacinės sistemos</w:t>
            </w:r>
            <w:r w:rsidRPr="00C212EA">
              <w:rPr>
                <w:rFonts w:ascii="Times New Roman" w:hAnsi="Times New Roman" w:cs="Times New Roman"/>
                <w:b/>
                <w:bCs/>
                <w:szCs w:val="24"/>
              </w:rPr>
              <w:t> </w:t>
            </w:r>
            <w:r w:rsidRPr="00C212EA">
              <w:rPr>
                <w:rFonts w:ascii="Times New Roman" w:hAnsi="Times New Roman" w:cs="Times New Roman"/>
                <w:szCs w:val="24"/>
              </w:rPr>
              <w:t xml:space="preserve">(toliau </w:t>
            </w:r>
            <w:r w:rsidRPr="00C212EA">
              <w:rPr>
                <w:rFonts w:ascii="Times New Roman" w:hAnsi="Times New Roman" w:cs="Times New Roman"/>
                <w:color w:val="000000"/>
                <w:szCs w:val="24"/>
                <w:lang w:eastAsia="lt-LT"/>
              </w:rPr>
              <w:t>–</w:t>
            </w:r>
            <w:r w:rsidRPr="00C212EA">
              <w:rPr>
                <w:rFonts w:ascii="Times New Roman" w:hAnsi="Times New Roman" w:cs="Times New Roman"/>
                <w:szCs w:val="24"/>
              </w:rPr>
              <w:t xml:space="preserve"> ESPBI IS) plėtrai, įdiegimas.</w:t>
            </w:r>
          </w:p>
        </w:tc>
      </w:tr>
      <w:tr w:rsidR="0094685E"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rsidR="009E74D0" w:rsidRPr="00907AEC" w:rsidRDefault="009E74D0" w:rsidP="009E74D0">
            <w:pPr>
              <w:jc w:val="both"/>
              <w:rPr>
                <w:rFonts w:ascii="Times New Roman" w:hAnsi="Times New Roman" w:cs="Times New Roman"/>
                <w:bCs/>
                <w:highlight w:val="yellow"/>
              </w:rPr>
            </w:pPr>
            <w:r w:rsidRPr="00FE7834">
              <w:rPr>
                <w:rFonts w:ascii="Times New Roman" w:hAnsi="Times New Roman" w:cs="Times New Roman"/>
                <w:bCs/>
              </w:rPr>
              <w:t>Tikslinės grupės</w:t>
            </w:r>
          </w:p>
        </w:tc>
        <w:tc>
          <w:tcPr>
            <w:tcW w:w="7066" w:type="dxa"/>
            <w:gridSpan w:val="4"/>
          </w:tcPr>
          <w:p w:rsidR="004B2175" w:rsidRPr="00C212EA" w:rsidRDefault="004B2175" w:rsidP="004B2175">
            <w:pPr>
              <w:rPr>
                <w:rFonts w:ascii="Times New Roman" w:hAnsi="Times New Roman" w:cs="Times New Roman"/>
                <w:szCs w:val="24"/>
              </w:rPr>
            </w:pPr>
            <w:r w:rsidRPr="00C212EA">
              <w:rPr>
                <w:rFonts w:ascii="Times New Roman" w:hAnsi="Times New Roman" w:cs="Times New Roman"/>
                <w:szCs w:val="24"/>
              </w:rPr>
              <w:t>VVKT darbuotojai, atsakingi už vaistinių preparatų stebėsenos, kontrolės ir kitas susijusias paslaugas;</w:t>
            </w:r>
          </w:p>
          <w:p w:rsidR="004B2175" w:rsidRPr="00C212EA" w:rsidRDefault="004B2175" w:rsidP="004B2175">
            <w:pPr>
              <w:jc w:val="both"/>
              <w:rPr>
                <w:rFonts w:ascii="Times New Roman" w:hAnsi="Times New Roman" w:cs="Times New Roman"/>
                <w:szCs w:val="24"/>
              </w:rPr>
            </w:pPr>
            <w:r w:rsidRPr="00C212EA">
              <w:rPr>
                <w:rFonts w:ascii="Times New Roman" w:hAnsi="Times New Roman" w:cs="Times New Roman"/>
                <w:szCs w:val="24"/>
              </w:rPr>
              <w:t>Vaistinės, mažmeninės ir didmeninės prekybos;</w:t>
            </w:r>
          </w:p>
          <w:p w:rsidR="004B2175" w:rsidRPr="00C212EA" w:rsidRDefault="004B2175" w:rsidP="004B2175">
            <w:pPr>
              <w:jc w:val="both"/>
              <w:rPr>
                <w:rFonts w:ascii="Times New Roman" w:hAnsi="Times New Roman" w:cs="Times New Roman"/>
                <w:szCs w:val="24"/>
              </w:rPr>
            </w:pPr>
            <w:r w:rsidRPr="00C212EA">
              <w:rPr>
                <w:rFonts w:ascii="Times New Roman" w:hAnsi="Times New Roman" w:cs="Times New Roman"/>
                <w:szCs w:val="24"/>
              </w:rPr>
              <w:t>Vaistų registruotojai, jų atstovai ir gamintojai;</w:t>
            </w:r>
          </w:p>
          <w:p w:rsidR="004B2175" w:rsidRPr="00C212EA" w:rsidRDefault="004B2175" w:rsidP="004B2175">
            <w:pPr>
              <w:jc w:val="both"/>
              <w:rPr>
                <w:rFonts w:ascii="Times New Roman" w:hAnsi="Times New Roman" w:cs="Times New Roman"/>
                <w:szCs w:val="24"/>
              </w:rPr>
            </w:pPr>
            <w:r w:rsidRPr="00C212EA">
              <w:rPr>
                <w:rFonts w:ascii="Times New Roman" w:hAnsi="Times New Roman" w:cs="Times New Roman"/>
                <w:szCs w:val="24"/>
              </w:rPr>
              <w:t>Asmens sveikatos priežiūros įstaigos;</w:t>
            </w:r>
          </w:p>
          <w:p w:rsidR="009E74D0" w:rsidRPr="00C212EA" w:rsidRDefault="004B2175" w:rsidP="004B2175">
            <w:pPr>
              <w:jc w:val="both"/>
              <w:rPr>
                <w:rFonts w:ascii="Times New Roman" w:hAnsi="Times New Roman" w:cs="Times New Roman"/>
                <w:szCs w:val="24"/>
              </w:rPr>
            </w:pPr>
            <w:r w:rsidRPr="00C212EA">
              <w:rPr>
                <w:rFonts w:ascii="Times New Roman" w:hAnsi="Times New Roman" w:cs="Times New Roman"/>
                <w:color w:val="000000"/>
                <w:szCs w:val="24"/>
              </w:rPr>
              <w:t>Lietuvos Respublikos gyventojai.</w:t>
            </w:r>
          </w:p>
        </w:tc>
      </w:tr>
      <w:tr w:rsidR="0094685E"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rsidR="009E74D0" w:rsidRPr="00C212EA" w:rsidRDefault="004B2175" w:rsidP="001D55F4">
            <w:pPr>
              <w:jc w:val="both"/>
              <w:rPr>
                <w:rFonts w:ascii="Times New Roman" w:hAnsi="Times New Roman" w:cs="Times New Roman"/>
                <w:bCs/>
              </w:rPr>
            </w:pPr>
            <w:r w:rsidRPr="00C212EA">
              <w:rPr>
                <w:rFonts w:ascii="Times New Roman" w:hAnsi="Times New Roman" w:cs="Times New Roman"/>
                <w:color w:val="000000"/>
                <w:szCs w:val="24"/>
                <w:lang w:eastAsia="lt-LT"/>
              </w:rPr>
              <w:t>Valstybinė vaistų kontrolės tarnyba prie Lietuvos Respublikos sveikatos apsaugos ministerijos</w:t>
            </w:r>
          </w:p>
        </w:tc>
      </w:tr>
      <w:tr w:rsidR="006F0B78"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rsidR="009E74D0" w:rsidRPr="00C212EA" w:rsidRDefault="004B2175" w:rsidP="004B2175">
            <w:pPr>
              <w:jc w:val="both"/>
              <w:rPr>
                <w:rFonts w:ascii="Times New Roman" w:hAnsi="Times New Roman" w:cs="Times New Roman"/>
                <w:bCs/>
              </w:rPr>
            </w:pPr>
            <w:r w:rsidRPr="00C212EA">
              <w:rPr>
                <w:rFonts w:ascii="Times New Roman" w:hAnsi="Times New Roman" w:cs="Times New Roman"/>
                <w:bCs/>
                <w:iCs/>
                <w:szCs w:val="24"/>
              </w:rPr>
              <w:t>Partneriai nėra galimi.</w:t>
            </w:r>
          </w:p>
        </w:tc>
      </w:tr>
      <w:tr w:rsidR="006F0B78"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rsidR="009E74D0" w:rsidRPr="00C212EA" w:rsidRDefault="00907AEC" w:rsidP="009E74D0">
            <w:pPr>
              <w:jc w:val="both"/>
              <w:rPr>
                <w:rFonts w:ascii="Times New Roman" w:hAnsi="Times New Roman" w:cs="Times New Roman"/>
                <w:i/>
                <w:iCs/>
              </w:rPr>
            </w:pPr>
            <w:r w:rsidRPr="00C212EA">
              <w:rPr>
                <w:rFonts w:ascii="Times New Roman" w:hAnsi="Times New Roman" w:cs="Times New Roman"/>
                <w:i/>
              </w:rPr>
              <w:t>-</w:t>
            </w:r>
          </w:p>
        </w:tc>
      </w:tr>
      <w:tr w:rsidR="006D6EFF" w:rsidRPr="00DC7931" w:rsidTr="002E1FBF">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2E1FBF">
        <w:tc>
          <w:tcPr>
            <w:tcW w:w="766" w:type="dxa"/>
          </w:tcPr>
          <w:p w:rsidR="00851675" w:rsidRDefault="00851675" w:rsidP="0074741F">
            <w:pPr>
              <w:pStyle w:val="Heading3"/>
              <w:ind w:left="0" w:firstLine="0"/>
              <w:outlineLvl w:val="2"/>
            </w:pPr>
          </w:p>
        </w:tc>
        <w:tc>
          <w:tcPr>
            <w:tcW w:w="9271" w:type="dxa"/>
            <w:gridSpan w:val="5"/>
          </w:tcPr>
          <w:p w:rsidR="00907AEC" w:rsidRPr="00C212EA"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 xml:space="preserve">1. </w:t>
            </w:r>
            <w:r w:rsidRPr="00C212EA">
              <w:rPr>
                <w:rFonts w:ascii="Times New Roman" w:hAnsi="Times New Roman" w:cs="Times New Roman"/>
              </w:rPr>
              <w:t>Projekto išlaidos turi atitikti Projektų administravimo ir finansavimo taisyklių VII skyriuje išdėstytus projekto išlaidoms taikomus reikalavimus.</w:t>
            </w:r>
          </w:p>
          <w:p w:rsidR="00907AEC" w:rsidRPr="00C212EA" w:rsidRDefault="00907AEC" w:rsidP="00907AEC">
            <w:pPr>
              <w:tabs>
                <w:tab w:val="left" w:pos="426"/>
                <w:tab w:val="left" w:pos="709"/>
              </w:tabs>
              <w:jc w:val="both"/>
              <w:rPr>
                <w:rFonts w:ascii="Times New Roman" w:hAnsi="Times New Roman" w:cs="Times New Roman"/>
              </w:rPr>
            </w:pPr>
            <w:r w:rsidRPr="00C212EA">
              <w:rPr>
                <w:rFonts w:ascii="Times New Roman" w:hAnsi="Times New Roman" w:cs="Times New Roman"/>
              </w:rPr>
              <w:t xml:space="preserve">2. Pagal </w:t>
            </w:r>
            <w:r w:rsidR="00E677CC">
              <w:rPr>
                <w:rFonts w:ascii="Times New Roman" w:hAnsi="Times New Roman" w:cs="Times New Roman"/>
              </w:rPr>
              <w:t>PFSA</w:t>
            </w:r>
            <w:r w:rsidRPr="00C212EA">
              <w:rPr>
                <w:rFonts w:ascii="Times New Roman" w:hAnsi="Times New Roman" w:cs="Times New Roman"/>
              </w:rPr>
              <w:t>, netinkamos finansuoti projekto lėšos:</w:t>
            </w:r>
          </w:p>
          <w:p w:rsidR="00C54A56" w:rsidRPr="00C212EA" w:rsidRDefault="00C54A56" w:rsidP="00C54A56">
            <w:pPr>
              <w:tabs>
                <w:tab w:val="left" w:pos="426"/>
                <w:tab w:val="left" w:pos="709"/>
              </w:tabs>
              <w:jc w:val="both"/>
              <w:rPr>
                <w:rFonts w:ascii="Times New Roman" w:hAnsi="Times New Roman" w:cs="Times New Roman"/>
              </w:rPr>
            </w:pPr>
            <w:r w:rsidRPr="00C212EA">
              <w:rPr>
                <w:rFonts w:ascii="Times New Roman" w:hAnsi="Times New Roman" w:cs="Times New Roman"/>
              </w:rPr>
              <w:t>2.1. įrangos, infrastruktūros ir programinės įrangos, kuri yra arba bus teikiama Valstybės debesijos paslaugų teikimo infrastruktūroje, įsigijimas konsolidavimo ir optimizavimo procese dalyvaujančioms institucijoms (</w:t>
            </w:r>
            <w:r w:rsidR="00E677CC" w:rsidRPr="00C212EA">
              <w:rPr>
                <w:rFonts w:ascii="Times New Roman" w:hAnsi="Times New Roman" w:cs="Times New Roman"/>
              </w:rPr>
              <w:t>Lietuvos Respublikos Vyriausybės 2015 m. gegužės 13 d. nutarim</w:t>
            </w:r>
            <w:r w:rsidR="00E677CC">
              <w:rPr>
                <w:rFonts w:ascii="Times New Roman" w:hAnsi="Times New Roman" w:cs="Times New Roman"/>
              </w:rPr>
              <w:t>as</w:t>
            </w:r>
            <w:r w:rsidR="00E677CC" w:rsidRPr="00C212EA">
              <w:rPr>
                <w:rFonts w:ascii="Times New Roman" w:hAnsi="Times New Roman" w:cs="Times New Roman"/>
              </w:rPr>
              <w:t xml:space="preserve"> Nr. 498</w:t>
            </w:r>
            <w:r w:rsidR="00E677CC">
              <w:rPr>
                <w:rFonts w:ascii="Times New Roman" w:hAnsi="Times New Roman" w:cs="Times New Roman"/>
              </w:rPr>
              <w:t xml:space="preserve"> (toliau - </w:t>
            </w:r>
            <w:r w:rsidRPr="00C212EA">
              <w:rPr>
                <w:rFonts w:ascii="Times New Roman" w:hAnsi="Times New Roman" w:cs="Times New Roman"/>
              </w:rPr>
              <w:t>Nutarimas Nr. 498</w:t>
            </w:r>
            <w:r w:rsidR="00E677CC">
              <w:rPr>
                <w:rFonts w:ascii="Times New Roman" w:hAnsi="Times New Roman" w:cs="Times New Roman"/>
              </w:rPr>
              <w:t>)</w:t>
            </w:r>
            <w:r w:rsidRPr="00C212EA">
              <w:rPr>
                <w:rFonts w:ascii="Times New Roman" w:hAnsi="Times New Roman" w:cs="Times New Roman"/>
              </w:rPr>
              <w:t>);</w:t>
            </w:r>
          </w:p>
          <w:p w:rsidR="00C54A56" w:rsidRPr="00C212EA" w:rsidRDefault="00C54A56" w:rsidP="00C54A56">
            <w:pPr>
              <w:tabs>
                <w:tab w:val="left" w:pos="426"/>
                <w:tab w:val="left" w:pos="709"/>
              </w:tabs>
              <w:jc w:val="both"/>
              <w:rPr>
                <w:rFonts w:ascii="Times New Roman" w:hAnsi="Times New Roman" w:cs="Times New Roman"/>
              </w:rPr>
            </w:pPr>
            <w:r w:rsidRPr="00C212EA">
              <w:rPr>
                <w:rFonts w:ascii="Times New Roman" w:hAnsi="Times New Roman" w:cs="Times New Roman"/>
              </w:rPr>
              <w:t>2.2. apmokėjimo už informacinių technologijų paslaugų teikėjo centralizuotai teikiamas informacinių technologijų paslaugas, numatytas Nutarime Nr. 498, išlaidos;</w:t>
            </w:r>
          </w:p>
          <w:p w:rsidR="00C54A56" w:rsidRPr="00C212EA" w:rsidRDefault="00C54A56" w:rsidP="00C54A56">
            <w:pPr>
              <w:tabs>
                <w:tab w:val="left" w:pos="426"/>
                <w:tab w:val="left" w:pos="709"/>
              </w:tabs>
              <w:jc w:val="both"/>
              <w:rPr>
                <w:rFonts w:ascii="Times New Roman" w:hAnsi="Times New Roman" w:cs="Times New Roman"/>
              </w:rPr>
            </w:pPr>
            <w:r w:rsidRPr="00C212EA">
              <w:rPr>
                <w:rFonts w:ascii="Times New Roman" w:hAnsi="Times New Roman" w:cs="Times New Roman"/>
              </w:rPr>
              <w:t>2.3. nepiniginis projekto vykdytojo / partnerio įnašas;</w:t>
            </w:r>
          </w:p>
          <w:p w:rsidR="004B2175" w:rsidRPr="00C212EA" w:rsidRDefault="00C54A56" w:rsidP="00C54A56">
            <w:pPr>
              <w:tabs>
                <w:tab w:val="left" w:pos="426"/>
                <w:tab w:val="left" w:pos="709"/>
              </w:tabs>
              <w:jc w:val="both"/>
              <w:rPr>
                <w:rFonts w:ascii="Times New Roman" w:hAnsi="Times New Roman" w:cs="Times New Roman"/>
              </w:rPr>
            </w:pPr>
            <w:r w:rsidRPr="00C212EA">
              <w:rPr>
                <w:rFonts w:ascii="Times New Roman" w:hAnsi="Times New Roman" w:cs="Times New Roman"/>
              </w:rPr>
              <w:t>2.4. naudojamo ilgalaikio turto nusidėvėjimo (amortizacijos) sąnaudos nėra finansuojamos.</w:t>
            </w:r>
          </w:p>
          <w:p w:rsidR="00907AEC" w:rsidRPr="00C212EA" w:rsidRDefault="00907AEC" w:rsidP="00907AEC">
            <w:pPr>
              <w:jc w:val="both"/>
              <w:rPr>
                <w:rFonts w:ascii="Times New Roman" w:hAnsi="Times New Roman" w:cs="Times New Roman"/>
              </w:rPr>
            </w:pPr>
            <w:r w:rsidRPr="00C212EA">
              <w:rPr>
                <w:rFonts w:ascii="Times New Roman" w:hAnsi="Times New Roman" w:cs="Times New Roman"/>
              </w:rPr>
              <w:t xml:space="preserve">3. PVM netinkamas finansuoti EGADP lėšomis. PVM gali būti finansuojamas Lietuvos biudžeto lėšomis vadovaujantis Projektų administravimo ir finansavimo taisyklių </w:t>
            </w:r>
            <w:r w:rsidR="004B2175" w:rsidRPr="00C212EA">
              <w:rPr>
                <w:rFonts w:ascii="Times New Roman" w:hAnsi="Times New Roman" w:cs="Times New Roman"/>
              </w:rPr>
              <w:t>K</w:t>
            </w:r>
            <w:r w:rsidRPr="00C212EA">
              <w:rPr>
                <w:rFonts w:ascii="Times New Roman" w:hAnsi="Times New Roman" w:cs="Times New Roman"/>
              </w:rPr>
              <w:t>etvirtajame skirsnyje nustatyta tvarka.</w:t>
            </w:r>
          </w:p>
          <w:p w:rsidR="00907AEC" w:rsidRPr="00C212EA" w:rsidRDefault="00907AEC" w:rsidP="00907AEC">
            <w:pPr>
              <w:jc w:val="both"/>
              <w:rPr>
                <w:rFonts w:ascii="Times New Roman" w:hAnsi="Times New Roman" w:cs="Times New Roman"/>
              </w:rPr>
            </w:pPr>
            <w:r w:rsidRPr="00C212EA">
              <w:rPr>
                <w:rFonts w:ascii="Times New Roman" w:hAnsi="Times New Roman" w:cs="Times New Roman"/>
              </w:rPr>
              <w:t>4. Kryžminis finansavimas netaikomas.</w:t>
            </w:r>
          </w:p>
          <w:p w:rsidR="00907AEC" w:rsidRPr="00C212EA" w:rsidRDefault="00907AEC" w:rsidP="00907AEC">
            <w:pPr>
              <w:jc w:val="both"/>
              <w:rPr>
                <w:rFonts w:ascii="Times New Roman" w:hAnsi="Times New Roman" w:cs="Times New Roman"/>
              </w:rPr>
            </w:pPr>
            <w:r w:rsidRPr="00C212EA">
              <w:rPr>
                <w:rFonts w:ascii="Times New Roman" w:hAnsi="Times New Roman" w:cs="Times New Roman"/>
              </w:rPr>
              <w:t>5. Didžiausia galima projekto finansuojamoji dalis sudaro 100 proc. visų tinkamų finansuoti projekto išlaidų. </w:t>
            </w:r>
            <w:r w:rsidR="00C54A56" w:rsidRPr="00C212EA">
              <w:rPr>
                <w:rFonts w:ascii="Times New Roman" w:hAnsi="Times New Roman" w:cs="Times New Roman"/>
              </w:rPr>
              <w:t>P</w:t>
            </w:r>
            <w:r w:rsidRPr="00C212EA">
              <w:rPr>
                <w:rFonts w:ascii="Times New Roman" w:hAnsi="Times New Roman" w:cs="Times New Roman"/>
              </w:rPr>
              <w:t>rojekto tinkamų finansuoti išlaidų dalis, kurios nepadengia projektui skiriamo finansavimo lėšos, turi būti finansuojamos iš projekto vykdytojo lėšų.</w:t>
            </w:r>
          </w:p>
          <w:p w:rsidR="00851675" w:rsidRPr="004E33A9" w:rsidRDefault="00907AEC" w:rsidP="009E74D0">
            <w:pPr>
              <w:jc w:val="both"/>
              <w:rPr>
                <w:rFonts w:ascii="Times New Roman" w:hAnsi="Times New Roman" w:cs="Times New Roman"/>
              </w:rPr>
            </w:pPr>
            <w:r w:rsidRPr="00C212EA">
              <w:rPr>
                <w:rFonts w:ascii="Times New Roman" w:hAnsi="Times New Roman" w:cs="Times New Roman"/>
              </w:rPr>
              <w:t>6. Pareiškėjas savo iniciatyva bei savo ir (arba) kitų šaltinių lėšomis gali prisidėti prie projekto įgyvendinimo.</w:t>
            </w:r>
            <w:r w:rsidR="004E33A9">
              <w:rPr>
                <w:rFonts w:ascii="Times New Roman" w:hAnsi="Times New Roman" w:cs="Times New Roman"/>
              </w:rPr>
              <w:t xml:space="preserve"> </w:t>
            </w:r>
          </w:p>
        </w:tc>
      </w:tr>
      <w:tr w:rsidR="00851675" w:rsidRPr="00DC7931" w:rsidTr="002E1FBF">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2E1FBF">
        <w:trPr>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rsidTr="000C4AA8">
              <w:trPr>
                <w:trHeight w:val="893"/>
              </w:trPr>
              <w:tc>
                <w:tcPr>
                  <w:tcW w:w="9092" w:type="dxa"/>
                  <w:gridSpan w:val="4"/>
                </w:tcPr>
                <w:p w:rsidR="00646E33" w:rsidRPr="00C212EA" w:rsidRDefault="00646E33" w:rsidP="00646E33">
                  <w:pPr>
                    <w:rPr>
                      <w:rFonts w:ascii="Times New Roman" w:hAnsi="Times New Roman" w:cs="Times New Roman"/>
                      <w:b/>
                    </w:rPr>
                  </w:pPr>
                  <w:r w:rsidRPr="00C212EA">
                    <w:rPr>
                      <w:rFonts w:ascii="Times New Roman" w:hAnsi="Times New Roman" w:cs="Times New Roman"/>
                      <w:b/>
                    </w:rPr>
                    <w:t xml:space="preserve"> Indeksuojama</w:t>
                  </w:r>
                </w:p>
                <w:p w:rsidR="00646E33" w:rsidRPr="00C212EA" w:rsidRDefault="00646E33" w:rsidP="00646E33">
                  <w:pPr>
                    <w:rPr>
                      <w:rFonts w:ascii="Times New Roman" w:hAnsi="Times New Roman" w:cs="Times New Roman"/>
                      <w:b/>
                      <w:bCs/>
                      <w:sz w:val="20"/>
                      <w:szCs w:val="20"/>
                    </w:rPr>
                  </w:pPr>
                  <w:r w:rsidRPr="00C212EA">
                    <w:rPr>
                      <w:rFonts w:ascii="Times New Roman" w:hAnsi="Times New Roman" w:cs="Times New Roman"/>
                      <w:b/>
                      <w:sz w:val="20"/>
                      <w:szCs w:val="20"/>
                    </w:rPr>
                    <w:t xml:space="preserve"> </w:t>
                  </w:r>
                  <w:r w:rsidR="009B61B0" w:rsidRPr="00C212EA">
                    <w:rPr>
                      <w:rFonts w:ascii="Segoe UI Symbol" w:eastAsia="Calibri" w:hAnsi="Segoe UI Symbol" w:cs="Segoe UI Symbol"/>
                    </w:rPr>
                    <w:t>☒</w:t>
                  </w:r>
                  <w:r w:rsidR="009B61B0" w:rsidRPr="00C212EA">
                    <w:rPr>
                      <w:b/>
                    </w:rPr>
                    <w:t xml:space="preserve"> </w:t>
                  </w:r>
                  <w:r w:rsidR="009B61B0" w:rsidRPr="00C212EA">
                    <w:rPr>
                      <w:rFonts w:ascii="Times New Roman" w:hAnsi="Times New Roman" w:cs="Times New Roman"/>
                      <w:b/>
                    </w:rPr>
                    <w:t>Neindeksuojama</w:t>
                  </w:r>
                </w:p>
              </w:tc>
            </w:tr>
            <w:tr w:rsidR="00F0057E" w:rsidRPr="00F0057E" w:rsidTr="00B735DF">
              <w:trPr>
                <w:trHeight w:val="795"/>
              </w:trPr>
              <w:tc>
                <w:tcPr>
                  <w:tcW w:w="2272" w:type="dxa"/>
                </w:tcPr>
                <w:p w:rsidR="00646E33" w:rsidRPr="00C212EA" w:rsidRDefault="00646E33" w:rsidP="00646E33">
                  <w:pPr>
                    <w:rPr>
                      <w:rFonts w:ascii="Times New Roman" w:hAnsi="Times New Roman" w:cs="Times New Roman"/>
                      <w:b/>
                      <w:sz w:val="20"/>
                      <w:szCs w:val="20"/>
                    </w:rPr>
                  </w:pPr>
                  <w:r w:rsidRPr="00C212EA">
                    <w:rPr>
                      <w:rFonts w:ascii="Times New Roman" w:hAnsi="Times New Roman" w:cs="Times New Roman"/>
                      <w:b/>
                      <w:sz w:val="20"/>
                      <w:szCs w:val="20"/>
                    </w:rPr>
                    <w:t>Supaprastintai apmokamų išlaidų dydžio kodas</w:t>
                  </w:r>
                </w:p>
              </w:tc>
              <w:tc>
                <w:tcPr>
                  <w:tcW w:w="2273" w:type="dxa"/>
                </w:tcPr>
                <w:p w:rsidR="00646E33" w:rsidRPr="00C212EA" w:rsidRDefault="00646E33" w:rsidP="00646E33">
                  <w:pPr>
                    <w:rPr>
                      <w:rFonts w:ascii="Times New Roman" w:hAnsi="Times New Roman" w:cs="Times New Roman"/>
                      <w:b/>
                      <w:sz w:val="20"/>
                      <w:szCs w:val="20"/>
                    </w:rPr>
                  </w:pPr>
                  <w:r w:rsidRPr="00C212EA">
                    <w:rPr>
                      <w:rFonts w:ascii="Times New Roman" w:hAnsi="Times New Roman" w:cs="Times New Roman"/>
                      <w:b/>
                      <w:sz w:val="20"/>
                      <w:szCs w:val="20"/>
                    </w:rPr>
                    <w:t>Supaprastintai apmokamų išlaidų dydžio versija</w:t>
                  </w:r>
                </w:p>
              </w:tc>
              <w:tc>
                <w:tcPr>
                  <w:tcW w:w="2093" w:type="dxa"/>
                </w:tcPr>
                <w:p w:rsidR="00646E33" w:rsidRPr="00C212EA" w:rsidRDefault="00646E33" w:rsidP="00646E33">
                  <w:pPr>
                    <w:rPr>
                      <w:rFonts w:ascii="Times New Roman" w:hAnsi="Times New Roman" w:cs="Times New Roman"/>
                      <w:b/>
                      <w:sz w:val="20"/>
                      <w:szCs w:val="20"/>
                    </w:rPr>
                  </w:pPr>
                  <w:r w:rsidRPr="00C212EA">
                    <w:rPr>
                      <w:rFonts w:ascii="Times New Roman" w:hAnsi="Times New Roman" w:cs="Times New Roman"/>
                      <w:b/>
                      <w:sz w:val="20"/>
                      <w:szCs w:val="20"/>
                    </w:rPr>
                    <w:t>Supaprastintai apmokamų išlaidų dydžio pavadinimas</w:t>
                  </w:r>
                </w:p>
              </w:tc>
              <w:tc>
                <w:tcPr>
                  <w:tcW w:w="2454" w:type="dxa"/>
                </w:tcPr>
                <w:p w:rsidR="00646E33" w:rsidRPr="00C212EA" w:rsidRDefault="42799B58" w:rsidP="00646E33">
                  <w:pPr>
                    <w:rPr>
                      <w:rFonts w:ascii="Times New Roman" w:hAnsi="Times New Roman" w:cs="Times New Roman"/>
                      <w:b/>
                      <w:sz w:val="20"/>
                      <w:szCs w:val="20"/>
                    </w:rPr>
                  </w:pPr>
                  <w:r w:rsidRPr="00C212EA">
                    <w:rPr>
                      <w:rFonts w:ascii="Times New Roman" w:hAnsi="Times New Roman" w:cs="Times New Roman"/>
                      <w:b/>
                      <w:bCs/>
                      <w:sz w:val="20"/>
                      <w:szCs w:val="20"/>
                    </w:rPr>
                    <w:t>Papildoma informacija</w:t>
                  </w:r>
                </w:p>
              </w:tc>
            </w:tr>
            <w:tr w:rsidR="008E3C58" w:rsidRPr="00F0057E" w:rsidTr="00B735DF">
              <w:trPr>
                <w:trHeight w:val="433"/>
              </w:trPr>
              <w:tc>
                <w:tcPr>
                  <w:tcW w:w="2272" w:type="dxa"/>
                </w:tcPr>
                <w:p w:rsidR="008E3C58" w:rsidRPr="00C212EA" w:rsidRDefault="008E3C58" w:rsidP="009B61B0">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rPr>
                    <w:t>FN-01</w:t>
                  </w:r>
                </w:p>
              </w:tc>
              <w:tc>
                <w:tcPr>
                  <w:tcW w:w="2273" w:type="dxa"/>
                </w:tcPr>
                <w:p w:rsidR="008E3C58" w:rsidRPr="00C212EA" w:rsidRDefault="008E3C58" w:rsidP="009B61B0">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rPr>
                    <w:t>7 proc. netiesioginių išlaidų fiksuotoji norma</w:t>
                  </w:r>
                </w:p>
              </w:tc>
              <w:tc>
                <w:tcPr>
                  <w:tcW w:w="2454" w:type="dxa"/>
                  <w:vMerge w:val="restart"/>
                </w:tcPr>
                <w:p w:rsidR="008E3C58" w:rsidRPr="00C212EA" w:rsidRDefault="008E3C58" w:rsidP="00646E33">
                  <w:pPr>
                    <w:rPr>
                      <w:rFonts w:ascii="Times New Roman" w:hAnsi="Times New Roman" w:cs="Times New Roman"/>
                      <w:i/>
                      <w:sz w:val="20"/>
                      <w:szCs w:val="20"/>
                    </w:rPr>
                  </w:pPr>
                  <w:r w:rsidRPr="00C212EA">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C212EA">
                      <w:rPr>
                        <w:rStyle w:val="Hyperlink"/>
                        <w:rFonts w:ascii="Times New Roman" w:hAnsi="Times New Roman" w:cs="Times New Roman"/>
                      </w:rPr>
                      <w:t>https://www.esf.lt/lt/dokumentai-ir-leidiniai/metodines-pagalbos-centras/803</w:t>
                    </w:r>
                  </w:hyperlink>
                  <w:r w:rsidRPr="00C212EA">
                    <w:rPr>
                      <w:rFonts w:ascii="Times New Roman" w:hAnsi="Times New Roman" w:cs="Times New Roman"/>
                      <w:i/>
                    </w:rPr>
                    <w:t>.</w:t>
                  </w:r>
                </w:p>
              </w:tc>
            </w:tr>
            <w:tr w:rsidR="00C54A56" w:rsidRPr="00F0057E" w:rsidTr="00B735DF">
              <w:trPr>
                <w:trHeight w:val="433"/>
              </w:trPr>
              <w:tc>
                <w:tcPr>
                  <w:tcW w:w="2272" w:type="dxa"/>
                </w:tcPr>
                <w:p w:rsidR="00C54A56" w:rsidRPr="00C212EA" w:rsidRDefault="00C54A56" w:rsidP="00C54A56">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color w:val="000000"/>
                      <w:szCs w:val="24"/>
                    </w:rPr>
                    <w:t>FS-01-01</w:t>
                  </w:r>
                </w:p>
              </w:tc>
              <w:tc>
                <w:tcPr>
                  <w:tcW w:w="2273" w:type="dxa"/>
                </w:tcPr>
                <w:p w:rsidR="00C54A56" w:rsidRPr="00C212EA" w:rsidRDefault="00C54A56" w:rsidP="00C54A56">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color w:val="000000"/>
                      <w:szCs w:val="24"/>
                    </w:rPr>
                    <w:t>01</w:t>
                  </w:r>
                </w:p>
              </w:tc>
              <w:tc>
                <w:tcPr>
                  <w:tcW w:w="2093" w:type="dxa"/>
                </w:tcPr>
                <w:p w:rsidR="00C54A56" w:rsidRPr="00C212EA" w:rsidRDefault="00C54A56" w:rsidP="00E55D49">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color w:val="000000"/>
                      <w:szCs w:val="24"/>
                    </w:rPr>
                    <w:t xml:space="preserve">Įgyvendintų privalomų matomumo ir informavimo priemonių apie ES fondų investicijų veiklas fiksuotoji suma, antrojo rinkinio </w:t>
                  </w:r>
                  <w:r w:rsidR="00E55D49">
                    <w:rPr>
                      <w:rFonts w:ascii="Times New Roman" w:hAnsi="Times New Roman" w:cs="Times New Roman"/>
                      <w:color w:val="000000"/>
                      <w:szCs w:val="24"/>
                    </w:rPr>
                    <w:t>fiksuotoji suma</w:t>
                  </w:r>
                  <w:r w:rsidRPr="00C212EA">
                    <w:rPr>
                      <w:rFonts w:ascii="Times New Roman" w:hAnsi="Times New Roman" w:cs="Times New Roman"/>
                      <w:color w:val="000000"/>
                      <w:szCs w:val="24"/>
                    </w:rPr>
                    <w:t xml:space="preserve"> be PVM</w:t>
                  </w:r>
                </w:p>
              </w:tc>
              <w:tc>
                <w:tcPr>
                  <w:tcW w:w="2454" w:type="dxa"/>
                  <w:vMerge/>
                </w:tcPr>
                <w:p w:rsidR="00C54A56" w:rsidRPr="00C212EA" w:rsidRDefault="00C54A56" w:rsidP="00C54A56">
                  <w:pPr>
                    <w:rPr>
                      <w:rFonts w:ascii="Times New Roman" w:hAnsi="Times New Roman" w:cs="Times New Roman"/>
                      <w:i/>
                      <w:sz w:val="20"/>
                      <w:szCs w:val="20"/>
                    </w:rPr>
                  </w:pPr>
                </w:p>
              </w:tc>
            </w:tr>
            <w:tr w:rsidR="00C54A56" w:rsidRPr="00F0057E" w:rsidTr="00B735DF">
              <w:trPr>
                <w:trHeight w:val="433"/>
              </w:trPr>
              <w:tc>
                <w:tcPr>
                  <w:tcW w:w="2272" w:type="dxa"/>
                </w:tcPr>
                <w:p w:rsidR="00C54A56" w:rsidRPr="00C212EA" w:rsidRDefault="00C54A56" w:rsidP="00C54A56">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color w:val="000000"/>
                      <w:szCs w:val="24"/>
                    </w:rPr>
                    <w:t>FS-01-02</w:t>
                  </w:r>
                </w:p>
              </w:tc>
              <w:tc>
                <w:tcPr>
                  <w:tcW w:w="2273" w:type="dxa"/>
                </w:tcPr>
                <w:p w:rsidR="00C54A56" w:rsidRPr="00C212EA" w:rsidRDefault="00C54A56" w:rsidP="00C54A56">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color w:val="000000"/>
                      <w:szCs w:val="24"/>
                    </w:rPr>
                    <w:t>01</w:t>
                  </w:r>
                </w:p>
              </w:tc>
              <w:tc>
                <w:tcPr>
                  <w:tcW w:w="2093" w:type="dxa"/>
                </w:tcPr>
                <w:p w:rsidR="00C54A56" w:rsidRPr="00C212EA" w:rsidRDefault="00C54A56" w:rsidP="00E55D49">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color w:val="000000"/>
                      <w:szCs w:val="24"/>
                    </w:rPr>
                    <w:t xml:space="preserve">Įgyvendintų privalomų matomumo ir informavimo priemonių apie ES fondų investicijų veiklas fiksuotoji suma, antrojo rinkinio </w:t>
                  </w:r>
                  <w:r w:rsidR="00E55D49">
                    <w:rPr>
                      <w:rFonts w:ascii="Times New Roman" w:hAnsi="Times New Roman" w:cs="Times New Roman"/>
                      <w:color w:val="000000"/>
                      <w:szCs w:val="24"/>
                    </w:rPr>
                    <w:t>fiksuotoji suma</w:t>
                  </w:r>
                  <w:r w:rsidRPr="00C212EA">
                    <w:rPr>
                      <w:rFonts w:ascii="Times New Roman" w:hAnsi="Times New Roman" w:cs="Times New Roman"/>
                      <w:color w:val="000000"/>
                      <w:szCs w:val="24"/>
                    </w:rPr>
                    <w:t xml:space="preserve"> su PVM</w:t>
                  </w:r>
                </w:p>
              </w:tc>
              <w:tc>
                <w:tcPr>
                  <w:tcW w:w="2454" w:type="dxa"/>
                  <w:vMerge/>
                </w:tcPr>
                <w:p w:rsidR="00C54A56" w:rsidRPr="00C212EA" w:rsidRDefault="00C54A56" w:rsidP="00C54A56">
                  <w:pPr>
                    <w:rPr>
                      <w:rFonts w:ascii="Times New Roman" w:hAnsi="Times New Roman" w:cs="Times New Roman"/>
                      <w:i/>
                      <w:sz w:val="20"/>
                      <w:szCs w:val="20"/>
                    </w:rPr>
                  </w:pPr>
                </w:p>
              </w:tc>
            </w:tr>
            <w:tr w:rsidR="008E3C58" w:rsidRPr="00F0057E" w:rsidTr="00B735DF">
              <w:trPr>
                <w:trHeight w:val="433"/>
              </w:trPr>
              <w:tc>
                <w:tcPr>
                  <w:tcW w:w="2272" w:type="dxa"/>
                </w:tcPr>
                <w:p w:rsidR="008E3C58" w:rsidRPr="00C212EA" w:rsidRDefault="008E3C58" w:rsidP="009B61B0">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rPr>
                    <w:t>FS-01-03</w:t>
                  </w:r>
                </w:p>
              </w:tc>
              <w:tc>
                <w:tcPr>
                  <w:tcW w:w="2273" w:type="dxa"/>
                </w:tcPr>
                <w:p w:rsidR="008E3C58" w:rsidRPr="00C212EA" w:rsidRDefault="008E3C58" w:rsidP="009B61B0">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tabs>
                      <w:tab w:val="left" w:pos="426"/>
                      <w:tab w:val="left" w:pos="709"/>
                    </w:tabs>
                    <w:spacing w:after="0" w:line="240" w:lineRule="auto"/>
                    <w:jc w:val="both"/>
                    <w:rPr>
                      <w:rFonts w:ascii="Times New Roman" w:hAnsi="Times New Roman" w:cs="Times New Roman"/>
                    </w:rPr>
                  </w:pPr>
                  <w:r w:rsidRPr="00C212EA">
                    <w:rPr>
                      <w:rFonts w:ascii="Times New Roman" w:hAnsi="Times New Roman" w:cs="Times New Roman"/>
                    </w:rPr>
                    <w:t>Įgyvendintų privalomų matomumo ir informavimo apie Europos Sąjungos fondų investicijų veiklas priemonių fiksuotoji suma, antrojo rinkinio fiksuoji suma be PVM</w:t>
                  </w:r>
                </w:p>
              </w:tc>
              <w:tc>
                <w:tcPr>
                  <w:tcW w:w="2454" w:type="dxa"/>
                  <w:vMerge/>
                </w:tcPr>
                <w:p w:rsidR="008E3C58" w:rsidRPr="00C212EA" w:rsidRDefault="008E3C58" w:rsidP="00646E33">
                  <w:pPr>
                    <w:rPr>
                      <w:rFonts w:ascii="Times New Roman" w:hAnsi="Times New Roman" w:cs="Times New Roman"/>
                      <w:i/>
                      <w:sz w:val="20"/>
                      <w:szCs w:val="20"/>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FS-01-04</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Įgyvendintų privalomų matomumo ir informavimo apie Europos Sąjungos fondų investicijų veiklas priemonių fiksuotoji suma, antrojo rinkinio fiksuotoji suma su PVM</w:t>
                  </w:r>
                </w:p>
              </w:tc>
              <w:tc>
                <w:tcPr>
                  <w:tcW w:w="2454" w:type="dxa"/>
                  <w:vMerge/>
                </w:tcPr>
                <w:p w:rsidR="008E3C58" w:rsidRPr="00C212EA" w:rsidRDefault="008E3C58" w:rsidP="00646E33">
                  <w:pPr>
                    <w:rPr>
                      <w:rFonts w:ascii="Times New Roman" w:hAnsi="Times New Roman" w:cs="Times New Roman"/>
                      <w:i/>
                      <w:sz w:val="20"/>
                      <w:szCs w:val="20"/>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FN-05-01</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Fiksuotoji norma, taikoma, kai priklauso 20 d. d. (jeigu dirbama 5 d. d. per savaitę) arba 24 d. d. (jeigu dirbama 6 d. d. per savaitę) kasmetinės atostogos.</w:t>
                  </w:r>
                </w:p>
              </w:tc>
              <w:tc>
                <w:tcPr>
                  <w:tcW w:w="2454" w:type="dxa"/>
                  <w:vMerge/>
                </w:tcPr>
                <w:p w:rsidR="008E3C58" w:rsidRPr="00C212EA" w:rsidRDefault="008E3C58" w:rsidP="00646E33">
                  <w:pPr>
                    <w:rPr>
                      <w:rFonts w:ascii="Times New Roman" w:hAnsi="Times New Roman" w:cs="Times New Roman"/>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FN-05-02</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454" w:type="dxa"/>
                  <w:vMerge/>
                </w:tcPr>
                <w:p w:rsidR="008E3C58" w:rsidRPr="00C212EA" w:rsidRDefault="008E3C58" w:rsidP="00646E33">
                  <w:pPr>
                    <w:rPr>
                      <w:rFonts w:ascii="Times New Roman" w:hAnsi="Times New Roman" w:cs="Times New Roman"/>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FN-05-03</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454" w:type="dxa"/>
                  <w:vMerge/>
                </w:tcPr>
                <w:p w:rsidR="008E3C58" w:rsidRPr="00C212EA" w:rsidRDefault="008E3C58" w:rsidP="00646E33">
                  <w:pPr>
                    <w:rPr>
                      <w:rFonts w:ascii="Times New Roman" w:hAnsi="Times New Roman" w:cs="Times New Roman"/>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FN-05-04</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454" w:type="dxa"/>
                  <w:vMerge/>
                </w:tcPr>
                <w:p w:rsidR="008E3C58" w:rsidRPr="00C212EA" w:rsidRDefault="008E3C58" w:rsidP="00646E33">
                  <w:pPr>
                    <w:rPr>
                      <w:rFonts w:ascii="Times New Roman" w:hAnsi="Times New Roman" w:cs="Times New Roman"/>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FN-05-05</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454" w:type="dxa"/>
                  <w:vMerge/>
                </w:tcPr>
                <w:p w:rsidR="008E3C58" w:rsidRPr="00C212EA" w:rsidRDefault="008E3C58" w:rsidP="00646E33">
                  <w:pPr>
                    <w:rPr>
                      <w:rFonts w:ascii="Times New Roman" w:hAnsi="Times New Roman" w:cs="Times New Roman"/>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FN-05-06</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Fiksuotoji norma, taikoma, kai priklauso 40 d. d. (jeigu dirbama 5 d. d. per savaitę) arba 48 d. d. (jeigu dirbama 6 d. d. per savaitę) kasmetinės atostogos.</w:t>
                  </w:r>
                </w:p>
              </w:tc>
              <w:tc>
                <w:tcPr>
                  <w:tcW w:w="2454" w:type="dxa"/>
                  <w:vMerge/>
                </w:tcPr>
                <w:p w:rsidR="008E3C58" w:rsidRPr="00C212EA" w:rsidRDefault="008E3C58" w:rsidP="00646E33">
                  <w:pPr>
                    <w:rPr>
                      <w:rFonts w:ascii="Times New Roman" w:hAnsi="Times New Roman" w:cs="Times New Roman"/>
                    </w:rPr>
                  </w:pPr>
                </w:p>
              </w:tc>
            </w:tr>
            <w:tr w:rsidR="008E3C58" w:rsidRPr="00F0057E" w:rsidTr="00B735DF">
              <w:trPr>
                <w:trHeight w:val="433"/>
              </w:trPr>
              <w:tc>
                <w:tcPr>
                  <w:tcW w:w="2272" w:type="dxa"/>
                </w:tcPr>
                <w:p w:rsidR="008E3C58" w:rsidRPr="00C212EA" w:rsidRDefault="008E3C58" w:rsidP="00646E33">
                  <w:pPr>
                    <w:rPr>
                      <w:rFonts w:ascii="Times New Roman" w:hAnsi="Times New Roman" w:cs="Times New Roman"/>
                    </w:rPr>
                  </w:pPr>
                  <w:r w:rsidRPr="00C212EA">
                    <w:rPr>
                      <w:rFonts w:ascii="Times New Roman" w:hAnsi="Times New Roman" w:cs="Times New Roman"/>
                    </w:rPr>
                    <w:t>FN-05-07</w:t>
                  </w:r>
                </w:p>
              </w:tc>
              <w:tc>
                <w:tcPr>
                  <w:tcW w:w="227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01</w:t>
                  </w:r>
                </w:p>
              </w:tc>
              <w:tc>
                <w:tcPr>
                  <w:tcW w:w="2093" w:type="dxa"/>
                </w:tcPr>
                <w:p w:rsidR="008E3C58" w:rsidRPr="00C212EA" w:rsidRDefault="008E3C58" w:rsidP="009B61B0">
                  <w:pPr>
                    <w:jc w:val="both"/>
                    <w:rPr>
                      <w:rFonts w:ascii="Times New Roman" w:hAnsi="Times New Roman" w:cs="Times New Roman"/>
                    </w:rPr>
                  </w:pPr>
                  <w:r w:rsidRPr="00C212EA">
                    <w:rPr>
                      <w:rFonts w:ascii="Times New Roman" w:hAnsi="Times New Roman" w:cs="Times New Roman"/>
                    </w:rPr>
                    <w:t>Fiksuotoji norma, taikoma, kai priklauso nuo 41 d. d. (jeigu dirbama 5 d. d. per savaitę) arba nuo 49 d. d. (jeigu dirbama 6 d. d. per savaitę) kasmetinės atostogos.</w:t>
                  </w:r>
                </w:p>
              </w:tc>
              <w:tc>
                <w:tcPr>
                  <w:tcW w:w="2454" w:type="dxa"/>
                  <w:vMerge/>
                </w:tcPr>
                <w:p w:rsidR="008E3C58" w:rsidRPr="00C212EA" w:rsidRDefault="008E3C58" w:rsidP="00646E33">
                  <w:pPr>
                    <w:rPr>
                      <w:rFonts w:ascii="Times New Roman" w:hAnsi="Times New Roman" w:cs="Times New Roman"/>
                    </w:rPr>
                  </w:pPr>
                </w:p>
              </w:tc>
            </w:tr>
          </w:tbl>
          <w:p w:rsidR="00851675" w:rsidRPr="00F0057E" w:rsidRDefault="00851675" w:rsidP="009E74D0">
            <w:pPr>
              <w:jc w:val="both"/>
              <w:rPr>
                <w:rFonts w:ascii="Times New Roman" w:hAnsi="Times New Roman" w:cs="Times New Roman"/>
                <w:i/>
              </w:rPr>
            </w:pP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2E1FBF">
        <w:tc>
          <w:tcPr>
            <w:tcW w:w="2971"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rsidTr="002E1FBF">
        <w:tc>
          <w:tcPr>
            <w:tcW w:w="2971" w:type="dxa"/>
            <w:gridSpan w:val="2"/>
          </w:tcPr>
          <w:p w:rsidR="009E74D0" w:rsidRPr="00C212EA" w:rsidRDefault="00C54A56" w:rsidP="00DC7931">
            <w:pPr>
              <w:rPr>
                <w:rFonts w:ascii="Times New Roman" w:hAnsi="Times New Roman" w:cs="Times New Roman"/>
              </w:rPr>
            </w:pPr>
            <w:r w:rsidRPr="00C212EA">
              <w:rPr>
                <w:rFonts w:ascii="Times New Roman" w:hAnsi="Times New Roman" w:cs="Times New Roman"/>
                <w:iCs/>
                <w:szCs w:val="24"/>
              </w:rPr>
              <w:t>Naujų ir patobulintų viešųjų skaitmeninių paslaugų, produktų ir procesų naudotojai</w:t>
            </w:r>
          </w:p>
        </w:tc>
        <w:tc>
          <w:tcPr>
            <w:tcW w:w="2699" w:type="dxa"/>
          </w:tcPr>
          <w:p w:rsidR="00C54A56" w:rsidRPr="00C212EA" w:rsidRDefault="00C54A56" w:rsidP="00C54A56">
            <w:pPr>
              <w:jc w:val="center"/>
              <w:rPr>
                <w:rFonts w:ascii="Times New Roman" w:hAnsi="Times New Roman" w:cs="Times New Roman"/>
                <w:iCs/>
                <w:szCs w:val="24"/>
              </w:rPr>
            </w:pPr>
            <w:r w:rsidRPr="00C212EA">
              <w:rPr>
                <w:rFonts w:ascii="Times New Roman" w:hAnsi="Times New Roman" w:cs="Times New Roman"/>
                <w:iCs/>
                <w:szCs w:val="24"/>
              </w:rPr>
              <w:t>R-11-002-02-11-01-34 / R.B.2011</w:t>
            </w:r>
          </w:p>
          <w:p w:rsidR="009E74D0" w:rsidRPr="00C212EA" w:rsidRDefault="009E74D0">
            <w:pPr>
              <w:jc w:val="center"/>
              <w:rPr>
                <w:rFonts w:ascii="Times New Roman" w:hAnsi="Times New Roman" w:cs="Times New Roman"/>
              </w:rPr>
            </w:pPr>
          </w:p>
        </w:tc>
        <w:tc>
          <w:tcPr>
            <w:tcW w:w="2319" w:type="dxa"/>
            <w:gridSpan w:val="2"/>
          </w:tcPr>
          <w:p w:rsidR="009E74D0" w:rsidRPr="00C212EA" w:rsidRDefault="004E33A9">
            <w:pPr>
              <w:jc w:val="center"/>
              <w:rPr>
                <w:rFonts w:ascii="Times New Roman" w:hAnsi="Times New Roman" w:cs="Times New Roman"/>
              </w:rPr>
            </w:pPr>
            <w:r w:rsidRPr="00C212EA">
              <w:rPr>
                <w:rFonts w:ascii="Times New Roman" w:hAnsi="Times New Roman" w:cs="Times New Roman"/>
              </w:rPr>
              <w:t>vnt.</w:t>
            </w:r>
          </w:p>
        </w:tc>
        <w:tc>
          <w:tcPr>
            <w:tcW w:w="2048" w:type="dxa"/>
          </w:tcPr>
          <w:p w:rsidR="009E74D0" w:rsidRPr="00C212EA" w:rsidRDefault="00C54A56" w:rsidP="00C54A56">
            <w:pPr>
              <w:jc w:val="center"/>
              <w:rPr>
                <w:rFonts w:ascii="Times New Roman" w:hAnsi="Times New Roman" w:cs="Times New Roman"/>
              </w:rPr>
            </w:pPr>
            <w:r w:rsidRPr="00C212EA">
              <w:rPr>
                <w:rFonts w:ascii="Times New Roman" w:hAnsi="Times New Roman" w:cs="Times New Roman"/>
              </w:rPr>
              <w:t>n/a</w:t>
            </w:r>
          </w:p>
        </w:tc>
      </w:tr>
      <w:tr w:rsidR="009E74D0" w:rsidRPr="00DC7931" w:rsidTr="002E1FBF">
        <w:tc>
          <w:tcPr>
            <w:tcW w:w="766" w:type="dxa"/>
          </w:tcPr>
          <w:p w:rsidR="009E74D0" w:rsidRPr="00C212EA"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C212EA" w:rsidRDefault="009E74D0" w:rsidP="009E74D0">
            <w:pPr>
              <w:jc w:val="both"/>
              <w:rPr>
                <w:rFonts w:ascii="Times New Roman" w:hAnsi="Times New Roman" w:cs="Times New Roman"/>
                <w:b/>
                <w:bCs/>
              </w:rPr>
            </w:pPr>
            <w:r w:rsidRPr="00C212EA">
              <w:rPr>
                <w:rFonts w:ascii="Times New Roman" w:hAnsi="Times New Roman" w:cs="Times New Roman"/>
                <w:b/>
                <w:bCs/>
              </w:rPr>
              <w:t>Bendrieji reikalavimai</w:t>
            </w:r>
          </w:p>
        </w:tc>
      </w:tr>
      <w:tr w:rsidR="0094685E" w:rsidRPr="00DC7931" w:rsidTr="002E1FBF">
        <w:tc>
          <w:tcPr>
            <w:tcW w:w="766" w:type="dxa"/>
            <w:vMerge w:val="restart"/>
          </w:tcPr>
          <w:p w:rsidR="009E74D0" w:rsidRPr="00C212EA"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C212EA" w:rsidRDefault="009E74D0" w:rsidP="009E74D0">
            <w:pPr>
              <w:jc w:val="both"/>
              <w:rPr>
                <w:rFonts w:ascii="Times New Roman" w:hAnsi="Times New Roman" w:cs="Times New Roman"/>
                <w:i/>
              </w:rPr>
            </w:pPr>
            <w:r w:rsidRPr="00C212EA">
              <w:rPr>
                <w:rFonts w:ascii="Times New Roman" w:hAnsi="Times New Roman" w:cs="Times New Roman"/>
                <w:b/>
                <w:bCs/>
              </w:rPr>
              <w:t xml:space="preserve">Reikalavimai projektams </w:t>
            </w:r>
          </w:p>
        </w:tc>
      </w:tr>
      <w:tr w:rsidR="0094685E" w:rsidRPr="00DC7931" w:rsidTr="002E1FBF">
        <w:tc>
          <w:tcPr>
            <w:tcW w:w="766" w:type="dxa"/>
            <w:vMerge/>
          </w:tcPr>
          <w:p w:rsidR="009E74D0" w:rsidRPr="00C54A56" w:rsidRDefault="009E74D0" w:rsidP="00DC7931">
            <w:pPr>
              <w:pStyle w:val="ListParagraph"/>
              <w:numPr>
                <w:ilvl w:val="0"/>
                <w:numId w:val="9"/>
              </w:numPr>
              <w:spacing w:after="120"/>
              <w:ind w:left="0" w:firstLine="0"/>
              <w:contextualSpacing w:val="0"/>
              <w:rPr>
                <w:rFonts w:ascii="Times New Roman" w:hAnsi="Times New Roman" w:cs="Times New Roman"/>
                <w:highlight w:val="green"/>
              </w:rPr>
            </w:pPr>
          </w:p>
        </w:tc>
        <w:tc>
          <w:tcPr>
            <w:tcW w:w="9271" w:type="dxa"/>
            <w:gridSpan w:val="5"/>
          </w:tcPr>
          <w:p w:rsidR="000B08D7" w:rsidRPr="00C212EA" w:rsidRDefault="000B08D7" w:rsidP="000B08D7">
            <w:pPr>
              <w:tabs>
                <w:tab w:val="left" w:pos="426"/>
                <w:tab w:val="left" w:pos="567"/>
                <w:tab w:val="left" w:pos="1421"/>
              </w:tabs>
              <w:jc w:val="both"/>
              <w:rPr>
                <w:rFonts w:ascii="Times New Roman" w:hAnsi="Times New Roman" w:cs="Times New Roman"/>
              </w:rPr>
            </w:pPr>
            <w:r w:rsidRPr="00C212EA">
              <w:rPr>
                <w:rFonts w:ascii="Times New Roman" w:hAnsi="Times New Roman" w:cs="Times New Roman"/>
              </w:rPr>
              <w:t>Įgyvendinant projektą taikomi reikalavimai:</w:t>
            </w:r>
          </w:p>
          <w:p w:rsidR="000B08D7" w:rsidRPr="00C212EA" w:rsidRDefault="000B08D7" w:rsidP="000B08D7">
            <w:pPr>
              <w:pStyle w:val="ListParagraph"/>
              <w:numPr>
                <w:ilvl w:val="0"/>
                <w:numId w:val="26"/>
              </w:numPr>
              <w:tabs>
                <w:tab w:val="left" w:pos="426"/>
                <w:tab w:val="left" w:pos="567"/>
                <w:tab w:val="left" w:pos="1421"/>
              </w:tabs>
              <w:jc w:val="both"/>
              <w:rPr>
                <w:rFonts w:ascii="Times New Roman" w:hAnsi="Times New Roman" w:cs="Times New Roman"/>
              </w:rPr>
            </w:pPr>
            <w:r w:rsidRPr="00C212EA">
              <w:rPr>
                <w:rFonts w:ascii="Times New Roman" w:hAnsi="Times New Roman" w:cs="Times New Roman"/>
              </w:rPr>
              <w:t>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r w:rsidR="00C212EA">
              <w:rPr>
                <w:rFonts w:ascii="Times New Roman" w:hAnsi="Times New Roman" w:cs="Times New Roman"/>
              </w:rPr>
              <w:t>;</w:t>
            </w:r>
          </w:p>
          <w:p w:rsidR="000B08D7" w:rsidRPr="00C212EA" w:rsidRDefault="000B08D7" w:rsidP="000B08D7">
            <w:pPr>
              <w:pStyle w:val="ListParagraph"/>
              <w:numPr>
                <w:ilvl w:val="0"/>
                <w:numId w:val="26"/>
              </w:numPr>
              <w:tabs>
                <w:tab w:val="left" w:pos="426"/>
                <w:tab w:val="left" w:pos="567"/>
                <w:tab w:val="left" w:pos="1421"/>
              </w:tabs>
              <w:jc w:val="both"/>
              <w:rPr>
                <w:rFonts w:ascii="Times New Roman" w:hAnsi="Times New Roman" w:cs="Times New Roman"/>
              </w:rPr>
            </w:pPr>
            <w:r w:rsidRPr="00C212EA">
              <w:rPr>
                <w:rFonts w:ascii="Times New Roman" w:hAnsi="Times New Roman" w:cs="Times New Roman"/>
              </w:rPr>
              <w:t>Sukūrus ar modernizavus elektronines paslaugas, turi būti atliktas atsparumo įsilaužimui testas, kaip nurodyta Elektroninių paslaugų kūrimo metodikoje; jei nustatoma kritinių klaidų, ištaisyti jas iki projekto veiklų pabaigos</w:t>
            </w:r>
            <w:r w:rsidR="00C212EA">
              <w:rPr>
                <w:rFonts w:ascii="Times New Roman" w:hAnsi="Times New Roman" w:cs="Times New Roman"/>
              </w:rPr>
              <w:t>;</w:t>
            </w:r>
          </w:p>
          <w:p w:rsidR="000B08D7" w:rsidRPr="00C212EA" w:rsidRDefault="000B08D7" w:rsidP="000B08D7">
            <w:pPr>
              <w:pStyle w:val="ListParagraph"/>
              <w:numPr>
                <w:ilvl w:val="0"/>
                <w:numId w:val="26"/>
              </w:numPr>
              <w:tabs>
                <w:tab w:val="left" w:pos="426"/>
                <w:tab w:val="left" w:pos="567"/>
                <w:tab w:val="left" w:pos="1421"/>
              </w:tabs>
              <w:jc w:val="both"/>
              <w:rPr>
                <w:rFonts w:ascii="Times New Roman" w:hAnsi="Times New Roman" w:cs="Times New Roman"/>
              </w:rPr>
            </w:pPr>
            <w:r w:rsidRPr="00C212EA">
              <w:rPr>
                <w:rFonts w:ascii="Times New Roman" w:hAnsi="Times New Roman" w:cs="Times New Roman"/>
              </w:rPr>
              <w:t>Sukūrus ar modernizavus elektronines paslaugas, turi būti patvirtintas kuriamos arba modernizuojamos informacinės sistemos priėmimo ir tinkamumo eksploatuoti aktas, kaip nustatyta Valstybės informacinių sistemų gyvavimo ciklo valdymo metodikoje</w:t>
            </w:r>
            <w:r w:rsidR="00C212EA">
              <w:rPr>
                <w:rFonts w:ascii="Times New Roman" w:hAnsi="Times New Roman" w:cs="Times New Roman"/>
              </w:rPr>
              <w:t>;</w:t>
            </w:r>
          </w:p>
          <w:p w:rsidR="009E74D0" w:rsidRDefault="000B08D7" w:rsidP="000B08D7">
            <w:pPr>
              <w:pStyle w:val="ListParagraph"/>
              <w:numPr>
                <w:ilvl w:val="0"/>
                <w:numId w:val="26"/>
              </w:numPr>
              <w:jc w:val="both"/>
              <w:rPr>
                <w:rFonts w:ascii="Times New Roman" w:hAnsi="Times New Roman" w:cs="Times New Roman"/>
              </w:rPr>
            </w:pPr>
            <w:r w:rsidRPr="00C212EA">
              <w:rPr>
                <w:rFonts w:ascii="Times New Roman" w:hAnsi="Times New Roman" w:cs="Times New Roman"/>
              </w:rPr>
              <w:t>Įgyvendinant projektą, elektroninės paslaugos turi būti kuriamos ar modernizuojamos taip, kad veiktų informacinių technologijų paslaugų teikėjo infrastruktūroje (vadovaujantis Lietuvos Respublikos Vyriausybės 2015 m. gegužės 13 d. nutarimu Nr. 498 „Dėl valstybės informacinių technologijų infrastruktūros konsolidavimo ir jos valdymo optimizavimo“).</w:t>
            </w:r>
          </w:p>
          <w:p w:rsidR="00852CE9" w:rsidRPr="00852CE9" w:rsidRDefault="00852CE9" w:rsidP="000B08D7">
            <w:pPr>
              <w:pStyle w:val="ListParagraph"/>
              <w:numPr>
                <w:ilvl w:val="0"/>
                <w:numId w:val="26"/>
              </w:numPr>
              <w:jc w:val="both"/>
              <w:rPr>
                <w:rFonts w:ascii="Times New Roman" w:hAnsi="Times New Roman" w:cs="Times New Roman"/>
              </w:rPr>
            </w:pPr>
            <w:r w:rsidRPr="00C9149B">
              <w:rPr>
                <w:rFonts w:ascii="Times New Roman" w:hAnsi="Times New Roman" w:cs="Times New Roman"/>
                <w:szCs w:val="24"/>
              </w:rPr>
              <w:t>VVKT, įgyvendindama projektą, savo informacinių sistemų tobulinimo planą turi nusimatyti ir vykdyti taip, kad tai neturėtų neigiamos įtakos ESPBI IS plėtrai ir užtikrintų sėkmingą reikalingų funkcionalumų įdiegimą.</w:t>
            </w:r>
          </w:p>
          <w:p w:rsidR="009E74D0" w:rsidRPr="00C212EA" w:rsidRDefault="009E74D0" w:rsidP="009E74D0">
            <w:pPr>
              <w:jc w:val="both"/>
              <w:rPr>
                <w:rFonts w:ascii="Times New Roman" w:hAnsi="Times New Roman" w:cs="Times New Roman"/>
              </w:rPr>
            </w:pP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2E1FBF">
        <w:trPr>
          <w:trHeight w:val="464"/>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C54A56" w:rsidRPr="00DA4992" w:rsidRDefault="00C54A56" w:rsidP="00C54A56">
            <w:pPr>
              <w:jc w:val="both"/>
              <w:rPr>
                <w:rFonts w:ascii="Times New Roman" w:hAnsi="Times New Roman" w:cs="Times New Roman"/>
                <w:szCs w:val="24"/>
              </w:rPr>
            </w:pPr>
            <w:r w:rsidRPr="00C212EA">
              <w:rPr>
                <w:rFonts w:ascii="Times New Roman" w:hAnsi="Times New Roman" w:cs="Times New Roman"/>
                <w:szCs w:val="24"/>
              </w:rPr>
              <w:t xml:space="preserve">Projekto įgyvendinimo metu nepažeidžiami HP: HP – darnaus vystymosi, įskaitant reikšmingos žalos nedarymo principą, lygių galimybių ir nediskriminavimo (dėl lyties, rasės, tautybės, pilietybės, kalbos, kilmės, socialinės </w:t>
            </w:r>
            <w:r w:rsidRPr="00DA4992">
              <w:rPr>
                <w:rFonts w:ascii="Times New Roman" w:hAnsi="Times New Roman" w:cs="Times New Roman"/>
                <w:szCs w:val="24"/>
              </w:rPr>
              <w:t xml:space="preserve">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DA4992">
              <w:rPr>
                <w:rFonts w:ascii="Times New Roman" w:hAnsi="Times New Roman" w:cs="Times New Roman"/>
                <w:bCs/>
                <w:szCs w:val="24"/>
              </w:rPr>
              <w:t>inovatyvumo (kūrybingumo)</w:t>
            </w:r>
            <w:r w:rsidRPr="00DA4992">
              <w:rPr>
                <w:rFonts w:ascii="Times New Roman" w:hAnsi="Times New Roman" w:cs="Times New Roman"/>
                <w:szCs w:val="24"/>
              </w:rPr>
              <w:t xml:space="preserve"> (vykdomi inovatyvūs viešieji pirkimai, taikomos naujos technologijos, kuriami ar diegiami inovatyvūs sprendimai ir pan.)). Projekte neturi būti numatyta veiksmų, kurie turėtų neigiamą poveikį įgyvendinant HP. </w:t>
            </w:r>
          </w:p>
          <w:p w:rsidR="00C54A56" w:rsidRPr="00C212EA" w:rsidRDefault="00C54A56" w:rsidP="00C54A56">
            <w:pPr>
              <w:jc w:val="both"/>
              <w:rPr>
                <w:rFonts w:ascii="Times New Roman" w:hAnsi="Times New Roman" w:cs="Times New Roman"/>
                <w:szCs w:val="24"/>
              </w:rPr>
            </w:pPr>
            <w:r w:rsidRPr="00DA4992">
              <w:rPr>
                <w:rFonts w:ascii="Times New Roman" w:hAnsi="Times New Roman" w:cs="Times New Roman"/>
                <w:szCs w:val="24"/>
              </w:rPr>
              <w:t>Projekto atitikties reikšmingos žalos nedarymo</w:t>
            </w:r>
            <w:r w:rsidRPr="00C212EA">
              <w:rPr>
                <w:rFonts w:ascii="Times New Roman" w:hAnsi="Times New Roman" w:cs="Times New Roman"/>
                <w:szCs w:val="24"/>
              </w:rPr>
              <w:t xml:space="preserve"> HP vertinimo reikalavimai pateikiami </w:t>
            </w:r>
            <w:r w:rsidR="00E677CC">
              <w:rPr>
                <w:rFonts w:ascii="Times New Roman" w:hAnsi="Times New Roman" w:cs="Times New Roman"/>
                <w:szCs w:val="24"/>
              </w:rPr>
              <w:t>PFSA</w:t>
            </w:r>
            <w:r w:rsidRPr="00C212EA">
              <w:rPr>
                <w:rFonts w:ascii="Times New Roman" w:hAnsi="Times New Roman" w:cs="Times New Roman"/>
                <w:szCs w:val="24"/>
              </w:rPr>
              <w:t xml:space="preserve"> priede Nr. 1.1.</w:t>
            </w:r>
          </w:p>
          <w:p w:rsidR="009E74D0" w:rsidRPr="00EA048F" w:rsidRDefault="00C54A56" w:rsidP="00C54A56">
            <w:pPr>
              <w:jc w:val="both"/>
              <w:rPr>
                <w:rFonts w:ascii="Times New Roman" w:hAnsi="Times New Roman" w:cs="Times New Roman"/>
                <w:b/>
                <w:bCs/>
              </w:rPr>
            </w:pPr>
            <w:r w:rsidRPr="00C212EA">
              <w:rPr>
                <w:rFonts w:ascii="Times New Roman" w:hAnsi="Times New Roman" w:cs="Times New Roman"/>
                <w:szCs w:val="24"/>
              </w:rPr>
              <w:t xml:space="preserve">Įvertinus Ekonomikos gaivinimo ir atsparumo didinimo priemonės 1 komponento planuojamos reformos „Sveikatos sistemos atsparumo dirbti ekstremaliomis situacijomis sisteminis stiprinimas“ </w:t>
            </w:r>
            <w:r w:rsidRPr="00C212EA">
              <w:rPr>
                <w:rFonts w:ascii="Times New Roman" w:hAnsi="Times New Roman" w:cs="Times New Roman"/>
                <w:bCs/>
                <w:szCs w:val="24"/>
              </w:rPr>
              <w:t>poveikį šešiems aplinkos veiksniams, nurodytiems</w:t>
            </w:r>
            <w:r w:rsidRPr="00C212EA">
              <w:rPr>
                <w:rFonts w:ascii="Times New Roman" w:hAnsi="Times New Roman" w:cs="Times New Roman"/>
                <w:szCs w:val="24"/>
              </w:rPr>
              <w:t xml:space="preserve"> 2020 m. birželio 18 d. Europos Parlamento ir Tarybos reglamento </w:t>
            </w:r>
            <w:r w:rsidRPr="00C212EA">
              <w:rPr>
                <w:rFonts w:ascii="Times New Roman" w:hAnsi="Times New Roman" w:cs="Times New Roman"/>
                <w:color w:val="0563C1"/>
                <w:szCs w:val="24"/>
                <w:u w:val="single"/>
              </w:rPr>
              <w:t>(ES) Nr. 2020/852</w:t>
            </w:r>
            <w:r w:rsidRPr="00C212EA">
              <w:rPr>
                <w:rFonts w:ascii="Times New Roman" w:hAnsi="Times New Roman" w:cs="Times New Roman"/>
                <w:szCs w:val="24"/>
              </w:rPr>
              <w:t xml:space="preserve"> dėl sistemos tvariam investavimui palengvinti sukūrimo, kuriuo iš dalies keičiamas Reglamentas </w:t>
            </w:r>
            <w:r w:rsidRPr="00C212EA">
              <w:rPr>
                <w:rFonts w:ascii="Times New Roman" w:hAnsi="Times New Roman" w:cs="Times New Roman"/>
                <w:color w:val="0563C1"/>
                <w:szCs w:val="24"/>
                <w:u w:val="single"/>
              </w:rPr>
              <w:t>(ES) 2019/208</w:t>
            </w:r>
            <w:r w:rsidRPr="00C212EA">
              <w:rPr>
                <w:rFonts w:ascii="Times New Roman" w:hAnsi="Times New Roman" w:cs="Times New Roman"/>
                <w:szCs w:val="24"/>
              </w:rPr>
              <w:t xml:space="preserve"> 17 straipsnyje,</w:t>
            </w:r>
            <w:r w:rsidRPr="00C212EA">
              <w:rPr>
                <w:rFonts w:ascii="Times New Roman" w:hAnsi="Times New Roman" w:cs="Times New Roman"/>
                <w:bCs/>
                <w:szCs w:val="24"/>
              </w:rPr>
              <w:t xml:space="preserv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2E1FBF">
        <w:trPr>
          <w:trHeight w:val="431"/>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421A95" w:rsidRDefault="00EA048F" w:rsidP="00EA048F">
            <w:pPr>
              <w:jc w:val="both"/>
              <w:rPr>
                <w:rFonts w:ascii="Times New Roman" w:hAnsi="Times New Roman" w:cs="Times New Roman"/>
                <w:i/>
                <w:iCs/>
              </w:rPr>
            </w:pPr>
            <w:r w:rsidRPr="00C212EA">
              <w:rPr>
                <w:rFonts w:ascii="Times New Roman" w:hAnsi="Times New Roman" w:cs="Times New Roman"/>
              </w:rPr>
              <w:t>Papildomi reikalavimai įgyvendinus projekto veiklas, kurie nenumatyti Taisyklėse ir Projektų administravimo ir finansavimo taisyklėse, netaikomi.</w:t>
            </w:r>
          </w:p>
        </w:tc>
      </w:tr>
      <w:tr w:rsidR="00DC7931" w:rsidRPr="00DC7931" w:rsidTr="002E1FBF">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2E1FBF">
        <w:trPr>
          <w:trHeight w:val="725"/>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EA048F" w:rsidRPr="00230E26" w:rsidRDefault="00EA048F" w:rsidP="00C9149B">
            <w:pPr>
              <w:jc w:val="both"/>
              <w:rPr>
                <w:rFonts w:ascii="Times New Roman" w:hAnsi="Times New Roman" w:cs="Times New Roman"/>
              </w:rPr>
            </w:pPr>
            <w:r w:rsidRPr="00C212EA">
              <w:rPr>
                <w:rFonts w:ascii="Times New Roman" w:hAnsi="Times New Roman" w:cs="Times New Roman"/>
              </w:rPr>
              <w:t>Projekto veiklos turi būti įgyvend</w:t>
            </w:r>
            <w:r w:rsidR="00C212EA" w:rsidRPr="00C212EA">
              <w:rPr>
                <w:rFonts w:ascii="Times New Roman" w:hAnsi="Times New Roman" w:cs="Times New Roman"/>
              </w:rPr>
              <w:t xml:space="preserve">intos iki 2025 m. </w:t>
            </w:r>
            <w:r w:rsidR="00C9149B">
              <w:rPr>
                <w:rFonts w:ascii="Times New Roman" w:hAnsi="Times New Roman" w:cs="Times New Roman"/>
              </w:rPr>
              <w:t>gruodžio</w:t>
            </w:r>
            <w:r w:rsidR="00C212EA" w:rsidRPr="00C212EA">
              <w:rPr>
                <w:rFonts w:ascii="Times New Roman" w:hAnsi="Times New Roman" w:cs="Times New Roman"/>
              </w:rPr>
              <w:t xml:space="preserve"> 31 d.</w:t>
            </w:r>
          </w:p>
        </w:tc>
      </w:tr>
      <w:tr w:rsidR="00DC7931" w:rsidRPr="00DC7931" w:rsidTr="002E1FBF">
        <w:trPr>
          <w:trHeight w:val="281"/>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2E1FBF">
        <w:trPr>
          <w:trHeight w:val="529"/>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C212EA" w:rsidRDefault="00513748" w:rsidP="00E677CC">
            <w:pPr>
              <w:jc w:val="both"/>
              <w:rPr>
                <w:rFonts w:ascii="Times New Roman" w:hAnsi="Times New Roman" w:cs="Times New Roman"/>
                <w:i/>
                <w:iCs/>
              </w:rPr>
            </w:pPr>
            <w:r w:rsidRPr="00C212EA">
              <w:rPr>
                <w:rFonts w:ascii="Times New Roman" w:hAnsi="Times New Roman" w:cs="Times New Roman"/>
                <w:szCs w:val="24"/>
              </w:rPr>
              <w:t xml:space="preserve">Pagal šį </w:t>
            </w:r>
            <w:r w:rsidR="00E677CC">
              <w:rPr>
                <w:rFonts w:ascii="Times New Roman" w:hAnsi="Times New Roman" w:cs="Times New Roman"/>
                <w:szCs w:val="24"/>
              </w:rPr>
              <w:t>PFSA</w:t>
            </w:r>
            <w:r w:rsidRPr="00C212EA">
              <w:rPr>
                <w:rFonts w:ascii="Times New Roman" w:hAnsi="Times New Roman" w:cs="Times New Roman"/>
                <w:szCs w:val="24"/>
              </w:rPr>
              <w:t xml:space="preserve"> valstybės pagalba, kaip ji apibrėžta Sutarties dėl Europos Sąjungos veikimo (OL 2010 C 83, p. 47) 107 straipsnyje, ir </w:t>
            </w:r>
            <w:r w:rsidRPr="00C212EA">
              <w:rPr>
                <w:rFonts w:ascii="Times New Roman" w:hAnsi="Times New Roman" w:cs="Times New Roman"/>
                <w:i/>
                <w:iCs/>
                <w:szCs w:val="24"/>
              </w:rPr>
              <w:t>de minimis</w:t>
            </w:r>
            <w:r w:rsidRPr="00C212EA">
              <w:rPr>
                <w:rFonts w:ascii="Times New Roman" w:hAnsi="Times New Roman" w:cs="Times New Roman"/>
                <w:szCs w:val="24"/>
              </w:rPr>
              <w:t xml:space="preserve"> pagalba, kuri atitinka 2013 m. gruodžio 18 d. Komisijos reglamento </w:t>
            </w:r>
            <w:r w:rsidRPr="00C212EA">
              <w:rPr>
                <w:rFonts w:ascii="Times New Roman" w:hAnsi="Times New Roman" w:cs="Times New Roman"/>
                <w:color w:val="0563C1"/>
                <w:szCs w:val="24"/>
                <w:u w:val="single"/>
              </w:rPr>
              <w:t>(ES) Nr. 1407/2013</w:t>
            </w:r>
            <w:r w:rsidRPr="00C212EA">
              <w:rPr>
                <w:rFonts w:ascii="Times New Roman" w:hAnsi="Times New Roman" w:cs="Times New Roman"/>
                <w:szCs w:val="24"/>
              </w:rPr>
              <w:t xml:space="preserve"> dėl Sutarties dėl Europos Sąjungos veikimo 107 ir 108 straipsnių taikymo </w:t>
            </w:r>
            <w:r w:rsidRPr="00C212EA">
              <w:rPr>
                <w:rFonts w:ascii="Times New Roman" w:hAnsi="Times New Roman" w:cs="Times New Roman"/>
                <w:i/>
                <w:iCs/>
                <w:szCs w:val="24"/>
              </w:rPr>
              <w:t>de minimis</w:t>
            </w:r>
            <w:r w:rsidRPr="00C212EA">
              <w:rPr>
                <w:rFonts w:ascii="Times New Roman" w:hAnsi="Times New Roman" w:cs="Times New Roman"/>
                <w:szCs w:val="24"/>
              </w:rPr>
              <w:t xml:space="preserve"> pagalbai (OL 2013 L 352, p. 1) nuostatas, neteikiama.</w:t>
            </w:r>
          </w:p>
        </w:tc>
      </w:tr>
      <w:tr w:rsidR="006E0B11" w:rsidRPr="00DC7931" w:rsidTr="002E1FBF">
        <w:trPr>
          <w:trHeight w:val="423"/>
        </w:trPr>
        <w:tc>
          <w:tcPr>
            <w:tcW w:w="766" w:type="dxa"/>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C212EA" w:rsidRDefault="006E0B11" w:rsidP="009E74D0">
            <w:pPr>
              <w:jc w:val="both"/>
              <w:rPr>
                <w:rFonts w:ascii="Times New Roman" w:hAnsi="Times New Roman" w:cs="Times New Roman"/>
                <w:b/>
              </w:rPr>
            </w:pPr>
            <w:r w:rsidRPr="00C212EA">
              <w:rPr>
                <w:rFonts w:ascii="Times New Roman" w:hAnsi="Times New Roman" w:cs="Times New Roman"/>
                <w:b/>
              </w:rPr>
              <w:t>Projektų atrankos kriterijai</w:t>
            </w:r>
          </w:p>
        </w:tc>
      </w:tr>
      <w:tr w:rsidR="00230E26" w:rsidRPr="00DC7931" w:rsidTr="002E1FBF">
        <w:trPr>
          <w:trHeight w:val="423"/>
        </w:trPr>
        <w:tc>
          <w:tcPr>
            <w:tcW w:w="766" w:type="dxa"/>
            <w:vMerge/>
          </w:tcPr>
          <w:p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230E26" w:rsidRPr="00230E26" w:rsidRDefault="00230E26" w:rsidP="00230E26">
            <w:pPr>
              <w:jc w:val="both"/>
              <w:rPr>
                <w:rFonts w:eastAsia="Calibri"/>
                <w:szCs w:val="24"/>
              </w:rPr>
            </w:pPr>
            <w:r w:rsidRPr="00C212EA">
              <w:rPr>
                <w:rFonts w:ascii="Times New Roman" w:hAnsi="Times New Roman" w:cs="Times New Roman"/>
              </w:rPr>
              <w:t>Projektas turi atitikti projekto bendruosius atrankos kriterijus, nustatytus Projektų administravimo ir finansavimo taisyklių 2 priede. Specialieji ir prioritetiniai projektų atrankos kriterijai nenustatomi.</w:t>
            </w:r>
          </w:p>
        </w:tc>
      </w:tr>
      <w:tr w:rsidR="00230E26" w:rsidRPr="00DC7931" w:rsidTr="002E1FBF">
        <w:trPr>
          <w:trHeight w:val="423"/>
        </w:trPr>
        <w:tc>
          <w:tcPr>
            <w:tcW w:w="766" w:type="dxa"/>
          </w:tcPr>
          <w:p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rsidTr="002E1FBF">
        <w:tc>
          <w:tcPr>
            <w:tcW w:w="766" w:type="dxa"/>
          </w:tcPr>
          <w:p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205" w:type="dxa"/>
          </w:tcPr>
          <w:p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rsidR="00230E26" w:rsidRPr="00C212EA" w:rsidRDefault="00AD1C8B" w:rsidP="00230E26">
            <w:pPr>
              <w:jc w:val="both"/>
              <w:rPr>
                <w:rFonts w:ascii="Times New Roman" w:hAnsi="Times New Roman" w:cs="Times New Roman"/>
                <w:i/>
              </w:rPr>
            </w:pPr>
            <w:r w:rsidRPr="00C212EA">
              <w:rPr>
                <w:rFonts w:ascii="Times New Roman" w:hAnsi="Times New Roman" w:cs="Times New Roman"/>
                <w:iCs/>
              </w:rPr>
              <w:t xml:space="preserve">Projektų įgyvendinimo planas turi būti parengtas pagal </w:t>
            </w:r>
            <w:r w:rsidRPr="00C212EA">
              <w:rPr>
                <w:rFonts w:ascii="Times New Roman" w:hAnsi="Times New Roman" w:cs="Times New Roman"/>
                <w:szCs w:val="24"/>
              </w:rPr>
              <w:t>Projektų administravimo ir finansavimo taisyklių,</w:t>
            </w:r>
            <w:r w:rsidRPr="00C212EA">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sidRPr="00C212EA">
              <w:rPr>
                <w:rFonts w:ascii="Times New Roman" w:hAnsi="Times New Roman" w:cs="Times New Roman"/>
                <w:szCs w:val="24"/>
              </w:rPr>
              <w:t xml:space="preserve"> 1 priedą. </w:t>
            </w:r>
            <w:bookmarkStart w:id="0" w:name="_Hlk97040275"/>
            <w:bookmarkStart w:id="1" w:name="_Hlk97040444"/>
            <w:r w:rsidRPr="00C212EA">
              <w:rPr>
                <w:rFonts w:ascii="Times New Roman" w:hAnsi="Times New Roman" w:cs="Times New Roman"/>
                <w:iCs/>
              </w:rPr>
              <w:t xml:space="preserve">Parengtas projektų įgyvendinimo planas (su visais privalomais priedais) pasirašomas kvalifikuotu elektroniniu parašu ir teikiamas </w:t>
            </w:r>
            <w:bookmarkEnd w:id="0"/>
            <w:r w:rsidRPr="00C212EA">
              <w:rPr>
                <w:rFonts w:ascii="Times New Roman" w:hAnsi="Times New Roman" w:cs="Times New Roman"/>
                <w:iCs/>
              </w:rPr>
              <w:t>e</w:t>
            </w:r>
            <w:r w:rsidRPr="00C212EA">
              <w:rPr>
                <w:rFonts w:ascii="Times New Roman" w:hAnsi="Times New Roman" w:cs="Times New Roman"/>
                <w:color w:val="000000"/>
              </w:rPr>
              <w:t xml:space="preserve">l. paštu </w:t>
            </w:r>
            <w:hyperlink r:id="rId13" w:history="1">
              <w:r w:rsidRPr="00C212EA">
                <w:rPr>
                  <w:rStyle w:val="Hyperlink"/>
                  <w:rFonts w:ascii="Times New Roman" w:hAnsi="Times New Roman" w:cs="Times New Roman"/>
                </w:rPr>
                <w:t>info@cpva.lt</w:t>
              </w:r>
            </w:hyperlink>
            <w:r w:rsidRPr="00C212EA">
              <w:rPr>
                <w:rFonts w:ascii="Times New Roman" w:hAnsi="Times New Roman" w:cs="Times New Roman"/>
                <w:color w:val="000000"/>
              </w:rPr>
              <w:t>.</w:t>
            </w:r>
            <w:bookmarkEnd w:id="1"/>
          </w:p>
        </w:tc>
      </w:tr>
      <w:tr w:rsidR="00230E26" w:rsidRPr="00DC7931" w:rsidTr="002E1FBF">
        <w:tc>
          <w:tcPr>
            <w:tcW w:w="766" w:type="dxa"/>
          </w:tcPr>
          <w:p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rsidR="00462327" w:rsidRPr="00C212EA" w:rsidRDefault="00462327" w:rsidP="00462327">
            <w:pPr>
              <w:tabs>
                <w:tab w:val="left" w:pos="426"/>
                <w:tab w:val="left" w:pos="709"/>
              </w:tabs>
              <w:jc w:val="both"/>
              <w:rPr>
                <w:rFonts w:ascii="Times New Roman" w:eastAsia="Calibri" w:hAnsi="Times New Roman" w:cs="Times New Roman"/>
                <w:szCs w:val="24"/>
              </w:rPr>
            </w:pPr>
            <w:r w:rsidRPr="00C212EA">
              <w:rPr>
                <w:rFonts w:ascii="Times New Roman" w:eastAsia="Calibri" w:hAnsi="Times New Roman" w:cs="Times New Roman"/>
                <w:szCs w:val="24"/>
              </w:rPr>
              <w:t>Kartu su projekto įgyvendinimo planu administruojančiajai institucijai turi būti pateikta:</w:t>
            </w:r>
          </w:p>
          <w:p w:rsidR="00462327" w:rsidRPr="00C212EA" w:rsidRDefault="00513748" w:rsidP="00462327">
            <w:pPr>
              <w:tabs>
                <w:tab w:val="left" w:pos="426"/>
                <w:tab w:val="left" w:pos="567"/>
                <w:tab w:val="left" w:pos="1421"/>
              </w:tabs>
              <w:jc w:val="both"/>
              <w:rPr>
                <w:rFonts w:ascii="Times New Roman" w:eastAsia="Calibri" w:hAnsi="Times New Roman" w:cs="Times New Roman"/>
                <w:szCs w:val="24"/>
              </w:rPr>
            </w:pPr>
            <w:r w:rsidRPr="00C212EA">
              <w:rPr>
                <w:rFonts w:ascii="Times New Roman" w:eastAsia="Calibri" w:hAnsi="Times New Roman" w:cs="Times New Roman"/>
                <w:szCs w:val="24"/>
              </w:rPr>
              <w:t>1</w:t>
            </w:r>
            <w:r w:rsidR="00462327" w:rsidRPr="00C212EA">
              <w:rPr>
                <w:rFonts w:ascii="Times New Roman" w:eastAsia="Calibri" w:hAnsi="Times New Roman" w:cs="Times New Roman"/>
                <w:szCs w:val="24"/>
              </w:rPr>
              <w:t xml:space="preserve">. </w:t>
            </w:r>
            <w:r w:rsidR="00E55D49">
              <w:rPr>
                <w:rFonts w:ascii="Times New Roman" w:eastAsia="Calibri" w:hAnsi="Times New Roman" w:cs="Times New Roman"/>
                <w:szCs w:val="24"/>
              </w:rPr>
              <w:t>I</w:t>
            </w:r>
            <w:r w:rsidR="00462327" w:rsidRPr="00C212EA">
              <w:rPr>
                <w:rFonts w:ascii="Times New Roman" w:eastAsia="Calibri" w:hAnsi="Times New Roman" w:cs="Times New Roman"/>
                <w:szCs w:val="24"/>
              </w:rPr>
              <w:t>nvesticijų projektas, parengtas pagal Investicijų projektų rengimo metodiką, patvirtintą viešosios įstaigos Centrinės projektų valdymo agentūros direktoriaus 2014 m. gruodžio 31 d. įsakymu Nr. 2014/8-337, kuri skelbiama interneto svetainėje http://www.ppplietuva.lt/, skiltyje „viešųjų investicijų projektų rengimas“, prie „rengimas ir vertinimas“ (jei taikoma). Investicijų projektas rengiamas ir teikiamas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120.5 papunktyje;</w:t>
            </w:r>
          </w:p>
          <w:p w:rsidR="00462327" w:rsidRPr="00C212EA" w:rsidRDefault="00E55D49" w:rsidP="00462327">
            <w:pPr>
              <w:tabs>
                <w:tab w:val="left" w:pos="426"/>
                <w:tab w:val="left" w:pos="567"/>
                <w:tab w:val="left" w:pos="1421"/>
              </w:tabs>
              <w:jc w:val="both"/>
              <w:rPr>
                <w:rFonts w:ascii="Times New Roman" w:eastAsia="Calibri" w:hAnsi="Times New Roman" w:cs="Times New Roman"/>
                <w:szCs w:val="24"/>
              </w:rPr>
            </w:pPr>
            <w:r>
              <w:rPr>
                <w:rFonts w:ascii="Times New Roman" w:eastAsia="Calibri" w:hAnsi="Times New Roman" w:cs="Times New Roman"/>
                <w:szCs w:val="24"/>
              </w:rPr>
              <w:t>2</w:t>
            </w:r>
            <w:r w:rsidR="00462327" w:rsidRPr="00C212EA">
              <w:rPr>
                <w:rFonts w:ascii="Times New Roman" w:eastAsia="Calibri" w:hAnsi="Times New Roman" w:cs="Times New Roman"/>
                <w:szCs w:val="24"/>
              </w:rPr>
              <w:t xml:space="preserve">. </w:t>
            </w:r>
            <w:r>
              <w:rPr>
                <w:rFonts w:ascii="Times New Roman" w:eastAsia="Calibri" w:hAnsi="Times New Roman" w:cs="Times New Roman"/>
                <w:szCs w:val="24"/>
              </w:rPr>
              <w:t>A</w:t>
            </w:r>
            <w:r w:rsidR="00462327" w:rsidRPr="00C212EA">
              <w:rPr>
                <w:rFonts w:ascii="Times New Roman" w:eastAsia="Calibri" w:hAnsi="Times New Roman" w:cs="Times New Roman"/>
                <w:szCs w:val="24"/>
              </w:rPr>
              <w:t>tsižvelgiant į Valstybės informacinių išteklių valdymo įstatymo 30 straipsnio 1 dalies reikalavimus, papildomai – galimybių studija arba galimybių studijoje reikalaujama informacija investicijų projekte; ši informacija turi būti pateikta vadovaujantis Valstybės informacinių sistemų gyvavimo ciklo valdymo metodika ir jos 3 priede nustatytais reikalavimais (jei kuriama nauja valstybinė informacinė sistema);</w:t>
            </w:r>
          </w:p>
          <w:p w:rsidR="00462327" w:rsidRPr="00C212EA" w:rsidRDefault="00E55D49" w:rsidP="00462327">
            <w:pPr>
              <w:tabs>
                <w:tab w:val="left" w:pos="426"/>
                <w:tab w:val="left" w:pos="567"/>
                <w:tab w:val="left" w:pos="1421"/>
              </w:tabs>
              <w:jc w:val="both"/>
              <w:rPr>
                <w:rFonts w:ascii="Times New Roman" w:eastAsia="Calibri" w:hAnsi="Times New Roman" w:cs="Times New Roman"/>
                <w:szCs w:val="24"/>
              </w:rPr>
            </w:pPr>
            <w:r>
              <w:rPr>
                <w:rFonts w:ascii="Times New Roman" w:eastAsia="Calibri" w:hAnsi="Times New Roman" w:cs="Times New Roman"/>
                <w:szCs w:val="24"/>
              </w:rPr>
              <w:t>3</w:t>
            </w:r>
            <w:r w:rsidR="00462327" w:rsidRPr="00C212EA">
              <w:rPr>
                <w:rFonts w:ascii="Times New Roman" w:eastAsia="Calibri" w:hAnsi="Times New Roman" w:cs="Times New Roman"/>
                <w:szCs w:val="24"/>
              </w:rPr>
              <w:t xml:space="preserve">. </w:t>
            </w:r>
            <w:r>
              <w:rPr>
                <w:rFonts w:ascii="Times New Roman" w:eastAsia="Calibri" w:hAnsi="Times New Roman" w:cs="Times New Roman"/>
                <w:szCs w:val="24"/>
              </w:rPr>
              <w:t>P</w:t>
            </w:r>
            <w:r w:rsidR="00462327" w:rsidRPr="00C212EA">
              <w:rPr>
                <w:rFonts w:ascii="Times New Roman" w:eastAsia="Calibri" w:hAnsi="Times New Roman" w:cs="Times New Roman"/>
                <w:szCs w:val="24"/>
              </w:rPr>
              <w:t>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rsidR="00230E26" w:rsidRPr="00C212EA" w:rsidRDefault="00E55D49" w:rsidP="00E55D49">
            <w:pPr>
              <w:tabs>
                <w:tab w:val="left" w:pos="426"/>
                <w:tab w:val="left" w:pos="567"/>
                <w:tab w:val="left" w:pos="1421"/>
              </w:tabs>
              <w:jc w:val="both"/>
              <w:rPr>
                <w:rFonts w:ascii="Times New Roman" w:eastAsia="Calibri" w:hAnsi="Times New Roman" w:cs="Times New Roman"/>
                <w:szCs w:val="24"/>
              </w:rPr>
            </w:pPr>
            <w:r>
              <w:rPr>
                <w:rFonts w:ascii="Times New Roman" w:eastAsia="Calibri" w:hAnsi="Times New Roman" w:cs="Times New Roman"/>
                <w:szCs w:val="24"/>
              </w:rPr>
              <w:t>4</w:t>
            </w:r>
            <w:r w:rsidR="00462327" w:rsidRPr="00C212EA">
              <w:rPr>
                <w:rFonts w:ascii="Times New Roman" w:eastAsia="Calibri" w:hAnsi="Times New Roman" w:cs="Times New Roman"/>
                <w:szCs w:val="24"/>
              </w:rPr>
              <w:t xml:space="preserve">. </w:t>
            </w:r>
            <w:r>
              <w:rPr>
                <w:rFonts w:ascii="Times New Roman" w:eastAsia="Calibri" w:hAnsi="Times New Roman" w:cs="Times New Roman"/>
                <w:szCs w:val="24"/>
              </w:rPr>
              <w:t>D</w:t>
            </w:r>
            <w:r w:rsidR="00513748" w:rsidRPr="00C212EA">
              <w:rPr>
                <w:rFonts w:ascii="Times New Roman" w:hAnsi="Times New Roman" w:cs="Times New Roman"/>
                <w:szCs w:val="24"/>
              </w:rPr>
              <w:t>okumentai, pagrindžiantys darbo užmokesčio išlaidų pagrįstumą (</w:t>
            </w:r>
            <w:r w:rsidR="00513748" w:rsidRPr="00C212EA">
              <w:rPr>
                <w:rFonts w:ascii="Times New Roman" w:hAnsi="Times New Roman" w:cs="Times New Roman"/>
                <w:szCs w:val="24"/>
                <w:lang w:eastAsia="lt-LT"/>
              </w:rPr>
              <w:t>veiklų sąrašą, kuriame būtų nurodytos projektą vykdančių asmenų darbo valandos projekte, valandinis įkainis, jo pagrindimas</w:t>
            </w:r>
            <w:r w:rsidR="00513748" w:rsidRPr="00C212EA">
              <w:rPr>
                <w:rFonts w:ascii="Times New Roman" w:hAnsi="Times New Roman" w:cs="Times New Roman"/>
                <w:szCs w:val="24"/>
              </w:rPr>
              <w:t>).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w:t>
            </w:r>
            <w:r w:rsidR="00513748" w:rsidRPr="00C212EA">
              <w:rPr>
                <w:rFonts w:ascii="Times New Roman" w:hAnsi="Times New Roman" w:cs="Times New Roman"/>
                <w:color w:val="000000"/>
                <w:szCs w:val="24"/>
                <w:lang w:eastAsia="lt-LT"/>
              </w:rPr>
              <w:t>–</w:t>
            </w:r>
            <w:r w:rsidR="00513748" w:rsidRPr="00C212EA">
              <w:rPr>
                <w:rFonts w:ascii="Times New Roman" w:hAnsi="Times New Roman" w:cs="Times New Roman"/>
                <w:szCs w:val="24"/>
              </w:rPr>
              <w:t>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230E26" w:rsidRPr="00DC7931" w:rsidTr="002E1FBF">
        <w:tc>
          <w:tcPr>
            <w:tcW w:w="766" w:type="dxa"/>
          </w:tcPr>
          <w:p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7066" w:type="dxa"/>
            <w:gridSpan w:val="4"/>
          </w:tcPr>
          <w:p w:rsidR="00230E26" w:rsidRPr="00C212EA" w:rsidRDefault="0045531E" w:rsidP="00DA4992">
            <w:pPr>
              <w:tabs>
                <w:tab w:val="left" w:pos="690"/>
                <w:tab w:val="left" w:pos="743"/>
              </w:tabs>
              <w:ind w:left="32"/>
              <w:jc w:val="both"/>
              <w:rPr>
                <w:rFonts w:ascii="Times New Roman" w:hAnsi="Times New Roman" w:cs="Times New Roman"/>
                <w:szCs w:val="24"/>
              </w:rPr>
            </w:pPr>
            <w:r w:rsidRPr="00C212EA">
              <w:rPr>
                <w:rFonts w:ascii="Times New Roman" w:hAnsi="Times New Roman" w:cs="Times New Roman"/>
                <w:szCs w:val="24"/>
              </w:rPr>
              <w:t xml:space="preserve">Projekto investicinis projektas iki pateikiant administruojančiajai institucijai (CPVA) privalo būti suderintas su </w:t>
            </w:r>
            <w:r w:rsidR="00DA4992">
              <w:rPr>
                <w:rFonts w:ascii="Times New Roman" w:hAnsi="Times New Roman" w:cs="Times New Roman"/>
                <w:szCs w:val="24"/>
              </w:rPr>
              <w:t>Lietuvos Respublikos s</w:t>
            </w:r>
            <w:r w:rsidRPr="00C212EA">
              <w:rPr>
                <w:rFonts w:ascii="Times New Roman" w:hAnsi="Times New Roman" w:cs="Times New Roman"/>
                <w:szCs w:val="24"/>
              </w:rPr>
              <w:t>veikatos apsaugos ministerija.</w:t>
            </w:r>
          </w:p>
        </w:tc>
      </w:tr>
      <w:tr w:rsidR="00AD1C8B" w:rsidRPr="00DC7931" w:rsidTr="002E1FBF">
        <w:tc>
          <w:tcPr>
            <w:tcW w:w="766" w:type="dxa"/>
          </w:tcPr>
          <w:p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205" w:type="dxa"/>
          </w:tcPr>
          <w:p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rsidR="00AD1C8B" w:rsidRPr="00C212EA" w:rsidRDefault="0045531E" w:rsidP="00AD1C8B">
            <w:pPr>
              <w:jc w:val="both"/>
              <w:rPr>
                <w:rFonts w:ascii="Times New Roman" w:hAnsi="Times New Roman" w:cs="Times New Roman"/>
              </w:rPr>
            </w:pPr>
            <w:r w:rsidRPr="00C212EA">
              <w:rPr>
                <w:rFonts w:ascii="Times New Roman" w:hAnsi="Times New Roman" w:cs="Times New Roman"/>
              </w:rPr>
              <w:t>VšĮ Centrinės projektų valdymo agentūros Struktūrinių ir investicijų fondų programos Informacinės visuomenės plėtros projektų skyriaus vyresnysis projektų vadovas Gintaras Maželis, tel. 8 5 219 1576, el. p.: g.mazelis@cpva.lt</w:t>
            </w:r>
          </w:p>
        </w:tc>
      </w:tr>
      <w:tr w:rsidR="00AD1C8B" w:rsidRPr="00DC7931" w:rsidTr="002E1FBF">
        <w:tc>
          <w:tcPr>
            <w:tcW w:w="766" w:type="dxa"/>
          </w:tcPr>
          <w:p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rsidR="00AD1C8B" w:rsidRPr="00DC7931" w:rsidRDefault="00AD1C8B" w:rsidP="00AD1C8B">
            <w:pPr>
              <w:spacing w:after="120"/>
              <w:rPr>
                <w:rFonts w:ascii="Times New Roman" w:hAnsi="Times New Roman" w:cs="Times New Roman"/>
                <w:b/>
              </w:rPr>
            </w:pPr>
            <w:r w:rsidRPr="00DC7931">
              <w:rPr>
                <w:rFonts w:ascii="Times New Roman" w:hAnsi="Times New Roman" w:cs="Times New Roman"/>
                <w:b/>
              </w:rPr>
              <w:t>Kita informacija</w:t>
            </w:r>
          </w:p>
          <w:p w:rsidR="00AD1C8B" w:rsidRPr="00DC7931" w:rsidRDefault="00AD1C8B" w:rsidP="00AD1C8B">
            <w:pPr>
              <w:spacing w:after="120"/>
              <w:jc w:val="both"/>
              <w:rPr>
                <w:rFonts w:ascii="Times New Roman" w:hAnsi="Times New Roman" w:cs="Times New Roman"/>
                <w:b/>
              </w:rPr>
            </w:pPr>
          </w:p>
        </w:tc>
        <w:tc>
          <w:tcPr>
            <w:tcW w:w="7066" w:type="dxa"/>
            <w:gridSpan w:val="4"/>
          </w:tcPr>
          <w:p w:rsidR="00AD1C8B" w:rsidRPr="00C212EA" w:rsidRDefault="00AD1C8B" w:rsidP="00C9149B">
            <w:pPr>
              <w:jc w:val="both"/>
              <w:rPr>
                <w:rFonts w:ascii="Times New Roman" w:hAnsi="Times New Roman" w:cs="Times New Roman"/>
                <w:i/>
              </w:rPr>
            </w:pPr>
            <w:r w:rsidRPr="00C212EA">
              <w:rPr>
                <w:rFonts w:ascii="Times New Roman" w:hAnsi="Times New Roman" w:cs="Times New Roman"/>
              </w:rPr>
              <w:t>Daugiau informacijos apie aktualius dokumentus pateikiama</w:t>
            </w:r>
            <w:r w:rsidR="00BC0F1D">
              <w:rPr>
                <w:rFonts w:ascii="Times New Roman" w:hAnsi="Times New Roman" w:cs="Times New Roman"/>
              </w:rPr>
              <w:t xml:space="preserve"> </w:t>
            </w:r>
            <w:hyperlink r:id="rId14" w:history="1">
              <w:r w:rsidR="00BC0F1D" w:rsidRPr="00F83F4A">
                <w:rPr>
                  <w:rStyle w:val="Hyperlink"/>
                  <w:rFonts w:ascii="Times New Roman" w:hAnsi="Times New Roman" w:cs="Times New Roman"/>
                </w:rPr>
                <w:t>www.esinvesticijos.lt</w:t>
              </w:r>
            </w:hyperlink>
            <w:r w:rsidR="00BC0F1D">
              <w:rPr>
                <w:rFonts w:ascii="Times New Roman" w:hAnsi="Times New Roman" w:cs="Times New Roman"/>
              </w:rPr>
              <w:t xml:space="preserve"> tinklapyje</w:t>
            </w:r>
            <w:r w:rsidRPr="00C212EA">
              <w:rPr>
                <w:rFonts w:ascii="Times New Roman" w:hAnsi="Times New Roman" w:cs="Times New Roman"/>
              </w:rPr>
              <w:t>.</w:t>
            </w:r>
          </w:p>
        </w:tc>
      </w:tr>
      <w:tr w:rsidR="00AD1C8B" w:rsidRPr="00DC7931" w:rsidTr="002E1FBF">
        <w:tc>
          <w:tcPr>
            <w:tcW w:w="766" w:type="dxa"/>
          </w:tcPr>
          <w:p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rsidR="001D55F4" w:rsidRPr="00C212EA" w:rsidRDefault="001D55F4" w:rsidP="009F55E9">
            <w:pPr>
              <w:jc w:val="both"/>
              <w:rPr>
                <w:rFonts w:ascii="Times New Roman" w:hAnsi="Times New Roman" w:cs="Times New Roman"/>
                <w:bCs/>
                <w:szCs w:val="24"/>
              </w:rPr>
            </w:pPr>
            <w:r w:rsidRPr="00C212EA">
              <w:rPr>
                <w:rFonts w:ascii="Times New Roman" w:hAnsi="Times New Roman" w:cs="Times New Roman"/>
                <w:bCs/>
                <w:szCs w:val="24"/>
              </w:rPr>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w:t>
            </w:r>
            <w:r w:rsidR="009F55E9" w:rsidRPr="00C212EA">
              <w:rPr>
                <w:rFonts w:ascii="Times New Roman" w:hAnsi="Times New Roman" w:cs="Times New Roman"/>
                <w:bCs/>
                <w:szCs w:val="24"/>
              </w:rPr>
              <w:t>veiklos „</w:t>
            </w:r>
            <w:r w:rsidRPr="00C212EA">
              <w:rPr>
                <w:rFonts w:ascii="Times New Roman" w:hAnsi="Times New Roman" w:cs="Times New Roman"/>
                <w:bCs/>
                <w:szCs w:val="24"/>
              </w:rPr>
              <w:t>Sveikatos sektoriaus skaitmeninimas</w:t>
            </w:r>
            <w:r w:rsidR="009F55E9" w:rsidRPr="00C212EA">
              <w:rPr>
                <w:rFonts w:ascii="Times New Roman" w:hAnsi="Times New Roman" w:cs="Times New Roman"/>
                <w:bCs/>
                <w:szCs w:val="24"/>
              </w:rPr>
              <w:t>“ projektų finansavimo sąlygų aprašas</w:t>
            </w:r>
          </w:p>
          <w:p w:rsidR="001D55F4" w:rsidRPr="00C212EA" w:rsidRDefault="00000000" w:rsidP="009F55E9">
            <w:pPr>
              <w:jc w:val="both"/>
              <w:rPr>
                <w:rFonts w:ascii="Times New Roman" w:hAnsi="Times New Roman" w:cs="Times New Roman"/>
                <w:bCs/>
                <w:szCs w:val="24"/>
              </w:rPr>
            </w:pPr>
            <w:hyperlink r:id="rId15" w:history="1">
              <w:r w:rsidR="001D55F4" w:rsidRPr="00C212EA">
                <w:rPr>
                  <w:rStyle w:val="Hyperlink"/>
                  <w:rFonts w:ascii="Times New Roman" w:hAnsi="Times New Roman" w:cs="Times New Roman"/>
                  <w:bCs/>
                  <w:szCs w:val="24"/>
                </w:rPr>
                <w:t>https://www.e-tar.lt/portal/lt/legalAct/c9e449e05f7411edbc04912defe897d1</w:t>
              </w:r>
            </w:hyperlink>
          </w:p>
          <w:p w:rsidR="009F55E9" w:rsidRPr="00C212EA" w:rsidRDefault="009F55E9" w:rsidP="009F55E9">
            <w:pPr>
              <w:jc w:val="both"/>
              <w:rPr>
                <w:rFonts w:ascii="Times New Roman" w:hAnsi="Times New Roman" w:cs="Times New Roman"/>
                <w:bCs/>
                <w:szCs w:val="24"/>
              </w:rPr>
            </w:pPr>
          </w:p>
          <w:p w:rsidR="009F55E9" w:rsidRPr="00DA4992" w:rsidRDefault="009F55E9" w:rsidP="009F55E9">
            <w:pPr>
              <w:jc w:val="both"/>
              <w:rPr>
                <w:rFonts w:ascii="Times New Roman" w:hAnsi="Times New Roman" w:cs="Times New Roman"/>
                <w:i/>
              </w:rPr>
            </w:pPr>
            <w:r w:rsidRPr="00DA4992">
              <w:rPr>
                <w:rFonts w:ascii="Times New Roman" w:hAnsi="Times New Roman" w:cs="Times New Roman"/>
                <w:iCs/>
              </w:rPr>
              <w:t>Kiti priedai:</w:t>
            </w:r>
          </w:p>
          <w:p w:rsidR="009F55E9" w:rsidRPr="00DA4992" w:rsidRDefault="009F55E9" w:rsidP="009F55E9">
            <w:pPr>
              <w:rPr>
                <w:rFonts w:ascii="Times New Roman" w:hAnsi="Times New Roman" w:cs="Times New Roman"/>
              </w:rPr>
            </w:pPr>
            <w:r w:rsidRPr="00DA4992">
              <w:rPr>
                <w:rFonts w:ascii="Times New Roman" w:hAnsi="Times New Roman" w:cs="Times New Roman"/>
              </w:rPr>
              <w:t>Projekto įgyvendinimo plano forma, 3</w:t>
            </w:r>
            <w:r w:rsidRPr="00DA4992">
              <w:rPr>
                <w:rFonts w:ascii="Times New Roman" w:hAnsi="Times New Roman" w:cs="Times New Roman"/>
                <w:lang w:val="en-US"/>
              </w:rPr>
              <w:t>2</w:t>
            </w:r>
            <w:r w:rsidRPr="00DA4992">
              <w:rPr>
                <w:rFonts w:ascii="Times New Roman" w:hAnsi="Times New Roman" w:cs="Times New Roman"/>
              </w:rPr>
              <w:t xml:space="preserve"> lapai</w:t>
            </w:r>
            <w:r w:rsidR="00DA4992">
              <w:rPr>
                <w:rFonts w:ascii="Times New Roman" w:hAnsi="Times New Roman" w:cs="Times New Roman"/>
              </w:rPr>
              <w:t>;</w:t>
            </w:r>
          </w:p>
          <w:p w:rsidR="009F55E9" w:rsidRPr="00DA4992" w:rsidRDefault="009F55E9" w:rsidP="009F55E9">
            <w:pPr>
              <w:rPr>
                <w:rFonts w:ascii="Times New Roman" w:hAnsi="Times New Roman" w:cs="Times New Roman"/>
              </w:rPr>
            </w:pPr>
            <w:r w:rsidRPr="00DA4992">
              <w:rPr>
                <w:rFonts w:ascii="Times New Roman" w:hAnsi="Times New Roman" w:cs="Times New Roman"/>
              </w:rPr>
              <w:t xml:space="preserve">Projekto tinkamumo finansuoti vertinimo patikros lapas, </w:t>
            </w:r>
            <w:r w:rsidR="00DA4992" w:rsidRPr="00DA4992">
              <w:rPr>
                <w:rFonts w:ascii="Times New Roman" w:hAnsi="Times New Roman" w:cs="Times New Roman"/>
              </w:rPr>
              <w:t>10</w:t>
            </w:r>
            <w:r w:rsidRPr="00DA4992">
              <w:rPr>
                <w:rFonts w:ascii="Times New Roman" w:hAnsi="Times New Roman" w:cs="Times New Roman"/>
              </w:rPr>
              <w:t xml:space="preserve"> lap</w:t>
            </w:r>
            <w:r w:rsidR="00DA4992" w:rsidRPr="00DA4992">
              <w:rPr>
                <w:rFonts w:ascii="Times New Roman" w:hAnsi="Times New Roman" w:cs="Times New Roman"/>
              </w:rPr>
              <w:t>ų</w:t>
            </w:r>
            <w:r w:rsidR="00DA4992">
              <w:rPr>
                <w:rFonts w:ascii="Times New Roman" w:hAnsi="Times New Roman" w:cs="Times New Roman"/>
              </w:rPr>
              <w:t>;</w:t>
            </w:r>
          </w:p>
          <w:p w:rsidR="00AD1C8B" w:rsidRPr="00C212EA" w:rsidRDefault="009F55E9" w:rsidP="009F55E9">
            <w:pPr>
              <w:jc w:val="both"/>
              <w:rPr>
                <w:rFonts w:ascii="Times New Roman" w:hAnsi="Times New Roman" w:cs="Times New Roman"/>
                <w:i/>
              </w:rPr>
            </w:pPr>
            <w:r w:rsidRPr="00DA4992">
              <w:rPr>
                <w:rFonts w:ascii="Times New Roman" w:hAnsi="Times New Roman" w:cs="Times New Roman"/>
              </w:rPr>
              <w:t>Projekto sutarties forma, 37 lapai.</w:t>
            </w: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226" w:rsidRDefault="00461226" w:rsidP="00213DCB">
      <w:pPr>
        <w:spacing w:after="0" w:line="240" w:lineRule="auto"/>
      </w:pPr>
      <w:r>
        <w:separator/>
      </w:r>
    </w:p>
  </w:endnote>
  <w:endnote w:type="continuationSeparator" w:id="0">
    <w:p w:rsidR="00461226" w:rsidRDefault="00461226" w:rsidP="00213DCB">
      <w:pPr>
        <w:spacing w:after="0" w:line="240" w:lineRule="auto"/>
      </w:pPr>
      <w:r>
        <w:continuationSeparator/>
      </w:r>
    </w:p>
  </w:endnote>
  <w:endnote w:type="continuationNotice" w:id="1">
    <w:p w:rsidR="00461226" w:rsidRDefault="00461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226" w:rsidRDefault="00461226" w:rsidP="00213DCB">
      <w:pPr>
        <w:spacing w:after="0" w:line="240" w:lineRule="auto"/>
      </w:pPr>
      <w:r>
        <w:separator/>
      </w:r>
    </w:p>
  </w:footnote>
  <w:footnote w:type="continuationSeparator" w:id="0">
    <w:p w:rsidR="00461226" w:rsidRDefault="00461226" w:rsidP="00213DCB">
      <w:pPr>
        <w:spacing w:after="0" w:line="240" w:lineRule="auto"/>
      </w:pPr>
      <w:r>
        <w:continuationSeparator/>
      </w:r>
    </w:p>
  </w:footnote>
  <w:footnote w:type="continuationNotice" w:id="1">
    <w:p w:rsidR="00461226" w:rsidRDefault="00461226">
      <w:pPr>
        <w:spacing w:after="0" w:line="240" w:lineRule="auto"/>
      </w:pPr>
    </w:p>
  </w:footnote>
  <w:footnote w:id="2">
    <w:p w:rsidR="00B13C1F" w:rsidRPr="00C212EA" w:rsidRDefault="00B13C1F" w:rsidP="004B2175">
      <w:pPr>
        <w:rPr>
          <w:rFonts w:ascii="Times New Roman" w:hAnsi="Times New Roman" w:cs="Times New Roman"/>
          <w:sz w:val="20"/>
        </w:rPr>
      </w:pPr>
      <w:r w:rsidRPr="00C212EA">
        <w:rPr>
          <w:rFonts w:ascii="Times New Roman" w:hAnsi="Times New Roman" w:cs="Times New Roman"/>
          <w:sz w:val="20"/>
          <w:vertAlign w:val="superscript"/>
        </w:rPr>
        <w:footnoteRef/>
      </w:r>
      <w:r w:rsidRPr="00C212EA">
        <w:rPr>
          <w:rFonts w:ascii="Times New Roman" w:hAnsi="Times New Roman" w:cs="Times New Roman"/>
          <w:sz w:val="20"/>
        </w:rPr>
        <w:t xml:space="preserve"> Veikliosios medžiagos, farmacijos produktai, organizacijos ir sąsajos (angl. substances, products, organisations and referentials – SPOR).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404945">
    <w:abstractNumId w:val="8"/>
  </w:num>
  <w:num w:numId="2" w16cid:durableId="287275943">
    <w:abstractNumId w:val="12"/>
  </w:num>
  <w:num w:numId="3" w16cid:durableId="559637537">
    <w:abstractNumId w:val="1"/>
  </w:num>
  <w:num w:numId="4" w16cid:durableId="1462310164">
    <w:abstractNumId w:val="0"/>
  </w:num>
  <w:num w:numId="5" w16cid:durableId="1597714752">
    <w:abstractNumId w:val="9"/>
  </w:num>
  <w:num w:numId="6" w16cid:durableId="1760566397">
    <w:abstractNumId w:val="18"/>
  </w:num>
  <w:num w:numId="7" w16cid:durableId="270550751">
    <w:abstractNumId w:val="5"/>
  </w:num>
  <w:num w:numId="8" w16cid:durableId="1966884546">
    <w:abstractNumId w:val="3"/>
  </w:num>
  <w:num w:numId="9" w16cid:durableId="1866164459">
    <w:abstractNumId w:val="4"/>
  </w:num>
  <w:num w:numId="10" w16cid:durableId="564419439">
    <w:abstractNumId w:val="19"/>
  </w:num>
  <w:num w:numId="11" w16cid:durableId="1345938200">
    <w:abstractNumId w:val="10"/>
  </w:num>
  <w:num w:numId="12" w16cid:durableId="794299228">
    <w:abstractNumId w:val="14"/>
  </w:num>
  <w:num w:numId="13" w16cid:durableId="2114783107">
    <w:abstractNumId w:val="19"/>
    <w:lvlOverride w:ilvl="0"/>
    <w:lvlOverride w:ilvl="1">
      <w:startOverride w:val="2"/>
    </w:lvlOverride>
    <w:lvlOverride w:ilvl="2"/>
    <w:lvlOverride w:ilvl="3"/>
    <w:lvlOverride w:ilvl="4"/>
    <w:lvlOverride w:ilvl="5"/>
    <w:lvlOverride w:ilvl="6"/>
    <w:lvlOverride w:ilvl="7"/>
    <w:lvlOverride w:ilvl="8"/>
  </w:num>
  <w:num w:numId="14" w16cid:durableId="1699231338">
    <w:abstractNumId w:val="17"/>
  </w:num>
  <w:num w:numId="15" w16cid:durableId="2014644051">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95422980">
    <w:abstractNumId w:val="19"/>
  </w:num>
  <w:num w:numId="17" w16cid:durableId="1542089849">
    <w:abstractNumId w:val="19"/>
  </w:num>
  <w:num w:numId="18" w16cid:durableId="1449007754">
    <w:abstractNumId w:val="19"/>
  </w:num>
  <w:num w:numId="19" w16cid:durableId="650059722">
    <w:abstractNumId w:val="19"/>
  </w:num>
  <w:num w:numId="20" w16cid:durableId="1058822468">
    <w:abstractNumId w:val="19"/>
  </w:num>
  <w:num w:numId="21" w16cid:durableId="841624840">
    <w:abstractNumId w:val="19"/>
  </w:num>
  <w:num w:numId="22" w16cid:durableId="904804547">
    <w:abstractNumId w:val="16"/>
  </w:num>
  <w:num w:numId="23" w16cid:durableId="1969583599">
    <w:abstractNumId w:val="2"/>
  </w:num>
  <w:num w:numId="24" w16cid:durableId="287975284">
    <w:abstractNumId w:val="6"/>
  </w:num>
  <w:num w:numId="25" w16cid:durableId="852307251">
    <w:abstractNumId w:val="11"/>
  </w:num>
  <w:num w:numId="26" w16cid:durableId="1997370595">
    <w:abstractNumId w:val="7"/>
  </w:num>
  <w:num w:numId="27" w16cid:durableId="344208169">
    <w:abstractNumId w:val="13"/>
  </w:num>
  <w:num w:numId="28" w16cid:durableId="1512640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ZgXNLZ2cSI2onPFi2j77keirThaNrB1e4RR/fL7kihs972+xBqnQNlFVHfI5advOB9z4So1VR4/+SgWYUOuzg==" w:salt="A+AUJovJRhNIQiRwnidTO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112D4"/>
    <w:rsid w:val="000236C6"/>
    <w:rsid w:val="00024D7F"/>
    <w:rsid w:val="0002724E"/>
    <w:rsid w:val="00032AE2"/>
    <w:rsid w:val="00035EFF"/>
    <w:rsid w:val="00036953"/>
    <w:rsid w:val="00046408"/>
    <w:rsid w:val="00047431"/>
    <w:rsid w:val="00050112"/>
    <w:rsid w:val="000545EB"/>
    <w:rsid w:val="00056965"/>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B08D7"/>
    <w:rsid w:val="000B1CE2"/>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1104C"/>
    <w:rsid w:val="00124C82"/>
    <w:rsid w:val="001321D5"/>
    <w:rsid w:val="001447FD"/>
    <w:rsid w:val="001522ED"/>
    <w:rsid w:val="00154A45"/>
    <w:rsid w:val="001564FA"/>
    <w:rsid w:val="00161ACE"/>
    <w:rsid w:val="00162CF9"/>
    <w:rsid w:val="00165330"/>
    <w:rsid w:val="00165589"/>
    <w:rsid w:val="00175392"/>
    <w:rsid w:val="00182BD9"/>
    <w:rsid w:val="001912A4"/>
    <w:rsid w:val="00193AE5"/>
    <w:rsid w:val="001A1453"/>
    <w:rsid w:val="001A7B49"/>
    <w:rsid w:val="001B02B8"/>
    <w:rsid w:val="001B36A2"/>
    <w:rsid w:val="001C2E7B"/>
    <w:rsid w:val="001C497B"/>
    <w:rsid w:val="001C5230"/>
    <w:rsid w:val="001D15F4"/>
    <w:rsid w:val="001D243E"/>
    <w:rsid w:val="001D373D"/>
    <w:rsid w:val="001D3A5A"/>
    <w:rsid w:val="001D55F4"/>
    <w:rsid w:val="001D5BD6"/>
    <w:rsid w:val="001D7252"/>
    <w:rsid w:val="001E3A08"/>
    <w:rsid w:val="001E5B91"/>
    <w:rsid w:val="001E5D2A"/>
    <w:rsid w:val="001F0E89"/>
    <w:rsid w:val="001F6A1C"/>
    <w:rsid w:val="001F73A5"/>
    <w:rsid w:val="00202ED4"/>
    <w:rsid w:val="002059E9"/>
    <w:rsid w:val="00211761"/>
    <w:rsid w:val="0021267E"/>
    <w:rsid w:val="002139C6"/>
    <w:rsid w:val="00213DCB"/>
    <w:rsid w:val="0021491E"/>
    <w:rsid w:val="00215ECD"/>
    <w:rsid w:val="00230E26"/>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94A48"/>
    <w:rsid w:val="00296857"/>
    <w:rsid w:val="002B1D34"/>
    <w:rsid w:val="002D2648"/>
    <w:rsid w:val="002D6263"/>
    <w:rsid w:val="002E1FBF"/>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3D0"/>
    <w:rsid w:val="00364B08"/>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19F9"/>
    <w:rsid w:val="003E415C"/>
    <w:rsid w:val="003F35E0"/>
    <w:rsid w:val="003F6815"/>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2063"/>
    <w:rsid w:val="00447940"/>
    <w:rsid w:val="004508EF"/>
    <w:rsid w:val="004515F8"/>
    <w:rsid w:val="0045531E"/>
    <w:rsid w:val="00461226"/>
    <w:rsid w:val="00461FAB"/>
    <w:rsid w:val="00462327"/>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2175"/>
    <w:rsid w:val="004B2993"/>
    <w:rsid w:val="004B6AF9"/>
    <w:rsid w:val="004C764E"/>
    <w:rsid w:val="004D0627"/>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748"/>
    <w:rsid w:val="00513BD1"/>
    <w:rsid w:val="00514106"/>
    <w:rsid w:val="00515052"/>
    <w:rsid w:val="005154CE"/>
    <w:rsid w:val="00523376"/>
    <w:rsid w:val="00524CAB"/>
    <w:rsid w:val="00525212"/>
    <w:rsid w:val="00527F46"/>
    <w:rsid w:val="005362EC"/>
    <w:rsid w:val="0054650C"/>
    <w:rsid w:val="00552F31"/>
    <w:rsid w:val="0056345E"/>
    <w:rsid w:val="0057146A"/>
    <w:rsid w:val="00571D7C"/>
    <w:rsid w:val="00583986"/>
    <w:rsid w:val="00583C4E"/>
    <w:rsid w:val="00583DB7"/>
    <w:rsid w:val="005842CB"/>
    <w:rsid w:val="00591672"/>
    <w:rsid w:val="00592365"/>
    <w:rsid w:val="0059461E"/>
    <w:rsid w:val="00594C7C"/>
    <w:rsid w:val="00596BB6"/>
    <w:rsid w:val="005A1651"/>
    <w:rsid w:val="005A2F58"/>
    <w:rsid w:val="005A38BB"/>
    <w:rsid w:val="005A40CB"/>
    <w:rsid w:val="005A4F85"/>
    <w:rsid w:val="005B1590"/>
    <w:rsid w:val="005B3DC7"/>
    <w:rsid w:val="005B478F"/>
    <w:rsid w:val="005B517C"/>
    <w:rsid w:val="005B573D"/>
    <w:rsid w:val="005C1521"/>
    <w:rsid w:val="005C15FB"/>
    <w:rsid w:val="005C5BB4"/>
    <w:rsid w:val="005C6D3F"/>
    <w:rsid w:val="005D35CD"/>
    <w:rsid w:val="005D4C91"/>
    <w:rsid w:val="005E34C5"/>
    <w:rsid w:val="005F171D"/>
    <w:rsid w:val="006007DA"/>
    <w:rsid w:val="006009B9"/>
    <w:rsid w:val="006020EE"/>
    <w:rsid w:val="00613E25"/>
    <w:rsid w:val="00622A80"/>
    <w:rsid w:val="0062493A"/>
    <w:rsid w:val="006261C2"/>
    <w:rsid w:val="00626C7E"/>
    <w:rsid w:val="0062896B"/>
    <w:rsid w:val="00632740"/>
    <w:rsid w:val="00632D78"/>
    <w:rsid w:val="00633E45"/>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B9E"/>
    <w:rsid w:val="006A2DBF"/>
    <w:rsid w:val="006B1BE4"/>
    <w:rsid w:val="006B59A9"/>
    <w:rsid w:val="006B7560"/>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3E91"/>
    <w:rsid w:val="007977F8"/>
    <w:rsid w:val="007A0B56"/>
    <w:rsid w:val="007A1BEF"/>
    <w:rsid w:val="007A21A8"/>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2CE9"/>
    <w:rsid w:val="0085527A"/>
    <w:rsid w:val="00856311"/>
    <w:rsid w:val="00857929"/>
    <w:rsid w:val="0086286C"/>
    <w:rsid w:val="0087196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D52DF"/>
    <w:rsid w:val="008E0A3D"/>
    <w:rsid w:val="008E3C58"/>
    <w:rsid w:val="008E4059"/>
    <w:rsid w:val="008F45C6"/>
    <w:rsid w:val="008F48E1"/>
    <w:rsid w:val="00902BAF"/>
    <w:rsid w:val="00907AEC"/>
    <w:rsid w:val="009246B3"/>
    <w:rsid w:val="009276D1"/>
    <w:rsid w:val="00932964"/>
    <w:rsid w:val="009335EB"/>
    <w:rsid w:val="00934745"/>
    <w:rsid w:val="00937F8D"/>
    <w:rsid w:val="00942DD6"/>
    <w:rsid w:val="0094685E"/>
    <w:rsid w:val="00961255"/>
    <w:rsid w:val="00961396"/>
    <w:rsid w:val="009629FD"/>
    <w:rsid w:val="00962A9D"/>
    <w:rsid w:val="00970896"/>
    <w:rsid w:val="0097242D"/>
    <w:rsid w:val="00972A45"/>
    <w:rsid w:val="00972C98"/>
    <w:rsid w:val="00974C42"/>
    <w:rsid w:val="00981A93"/>
    <w:rsid w:val="00984775"/>
    <w:rsid w:val="00985292"/>
    <w:rsid w:val="0098623A"/>
    <w:rsid w:val="009864DD"/>
    <w:rsid w:val="0098651A"/>
    <w:rsid w:val="009868F6"/>
    <w:rsid w:val="00990EFA"/>
    <w:rsid w:val="00996C77"/>
    <w:rsid w:val="009A35D9"/>
    <w:rsid w:val="009A4936"/>
    <w:rsid w:val="009B1DDE"/>
    <w:rsid w:val="009B436F"/>
    <w:rsid w:val="009B5D6F"/>
    <w:rsid w:val="009B61B0"/>
    <w:rsid w:val="009C089C"/>
    <w:rsid w:val="009C1DE7"/>
    <w:rsid w:val="009C218E"/>
    <w:rsid w:val="009C4241"/>
    <w:rsid w:val="009C4AB2"/>
    <w:rsid w:val="009C5210"/>
    <w:rsid w:val="009C6525"/>
    <w:rsid w:val="009C674C"/>
    <w:rsid w:val="009E5074"/>
    <w:rsid w:val="009E74D0"/>
    <w:rsid w:val="009F0AEE"/>
    <w:rsid w:val="009F55E9"/>
    <w:rsid w:val="009F6952"/>
    <w:rsid w:val="00A0322B"/>
    <w:rsid w:val="00A057D9"/>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A32"/>
    <w:rsid w:val="00A87A0E"/>
    <w:rsid w:val="00A91394"/>
    <w:rsid w:val="00A913E0"/>
    <w:rsid w:val="00A9199A"/>
    <w:rsid w:val="00A91CE9"/>
    <w:rsid w:val="00A92A59"/>
    <w:rsid w:val="00AA113B"/>
    <w:rsid w:val="00AA11C5"/>
    <w:rsid w:val="00AB1535"/>
    <w:rsid w:val="00AC082E"/>
    <w:rsid w:val="00AC09E1"/>
    <w:rsid w:val="00AC304D"/>
    <w:rsid w:val="00AD1C8B"/>
    <w:rsid w:val="00AD3664"/>
    <w:rsid w:val="00AD6B25"/>
    <w:rsid w:val="00AE00C3"/>
    <w:rsid w:val="00AE07EC"/>
    <w:rsid w:val="00AE1A7E"/>
    <w:rsid w:val="00AE7825"/>
    <w:rsid w:val="00AF361D"/>
    <w:rsid w:val="00AF57CF"/>
    <w:rsid w:val="00AF6987"/>
    <w:rsid w:val="00AF6EC6"/>
    <w:rsid w:val="00B042B8"/>
    <w:rsid w:val="00B13C1F"/>
    <w:rsid w:val="00B207ED"/>
    <w:rsid w:val="00B20E6B"/>
    <w:rsid w:val="00B23AA6"/>
    <w:rsid w:val="00B266B4"/>
    <w:rsid w:val="00B30B3D"/>
    <w:rsid w:val="00B32E89"/>
    <w:rsid w:val="00B3759D"/>
    <w:rsid w:val="00B405EC"/>
    <w:rsid w:val="00B41BA6"/>
    <w:rsid w:val="00B47FAC"/>
    <w:rsid w:val="00B52657"/>
    <w:rsid w:val="00B57F19"/>
    <w:rsid w:val="00B6180E"/>
    <w:rsid w:val="00B655BD"/>
    <w:rsid w:val="00B671C7"/>
    <w:rsid w:val="00B67F36"/>
    <w:rsid w:val="00B7272C"/>
    <w:rsid w:val="00B72A24"/>
    <w:rsid w:val="00B735DF"/>
    <w:rsid w:val="00B76FCA"/>
    <w:rsid w:val="00B84932"/>
    <w:rsid w:val="00B856AF"/>
    <w:rsid w:val="00B929DD"/>
    <w:rsid w:val="00B976C7"/>
    <w:rsid w:val="00B97749"/>
    <w:rsid w:val="00BA0138"/>
    <w:rsid w:val="00BA1538"/>
    <w:rsid w:val="00BA37A8"/>
    <w:rsid w:val="00BA54ED"/>
    <w:rsid w:val="00BA5CC3"/>
    <w:rsid w:val="00BB3EDB"/>
    <w:rsid w:val="00BC0F1D"/>
    <w:rsid w:val="00BD43A4"/>
    <w:rsid w:val="00BD77D9"/>
    <w:rsid w:val="00BE0FEB"/>
    <w:rsid w:val="00BE2891"/>
    <w:rsid w:val="00BE312D"/>
    <w:rsid w:val="00BF21D6"/>
    <w:rsid w:val="00C036F9"/>
    <w:rsid w:val="00C07E53"/>
    <w:rsid w:val="00C109F5"/>
    <w:rsid w:val="00C111FA"/>
    <w:rsid w:val="00C1744A"/>
    <w:rsid w:val="00C21211"/>
    <w:rsid w:val="00C212EA"/>
    <w:rsid w:val="00C304D7"/>
    <w:rsid w:val="00C32EE2"/>
    <w:rsid w:val="00C33291"/>
    <w:rsid w:val="00C37239"/>
    <w:rsid w:val="00C41C30"/>
    <w:rsid w:val="00C51620"/>
    <w:rsid w:val="00C52080"/>
    <w:rsid w:val="00C54877"/>
    <w:rsid w:val="00C54A56"/>
    <w:rsid w:val="00C56F8E"/>
    <w:rsid w:val="00C572DA"/>
    <w:rsid w:val="00C61EBD"/>
    <w:rsid w:val="00C628D7"/>
    <w:rsid w:val="00C6468C"/>
    <w:rsid w:val="00C66E9C"/>
    <w:rsid w:val="00C72117"/>
    <w:rsid w:val="00C83ED6"/>
    <w:rsid w:val="00C8488C"/>
    <w:rsid w:val="00C87419"/>
    <w:rsid w:val="00C90988"/>
    <w:rsid w:val="00C9149B"/>
    <w:rsid w:val="00C93D16"/>
    <w:rsid w:val="00C94EB5"/>
    <w:rsid w:val="00C95670"/>
    <w:rsid w:val="00C964B1"/>
    <w:rsid w:val="00C96C71"/>
    <w:rsid w:val="00CA3C55"/>
    <w:rsid w:val="00CA64CC"/>
    <w:rsid w:val="00CA7C4B"/>
    <w:rsid w:val="00CB39A5"/>
    <w:rsid w:val="00CB5051"/>
    <w:rsid w:val="00CC2CA5"/>
    <w:rsid w:val="00CD314D"/>
    <w:rsid w:val="00CE1C27"/>
    <w:rsid w:val="00CE5C99"/>
    <w:rsid w:val="00CE7085"/>
    <w:rsid w:val="00CF0494"/>
    <w:rsid w:val="00CF4D1A"/>
    <w:rsid w:val="00CF63BD"/>
    <w:rsid w:val="00D0144A"/>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814C6"/>
    <w:rsid w:val="00D847DE"/>
    <w:rsid w:val="00D9048C"/>
    <w:rsid w:val="00D97086"/>
    <w:rsid w:val="00DA0CE8"/>
    <w:rsid w:val="00DA4992"/>
    <w:rsid w:val="00DA6FFF"/>
    <w:rsid w:val="00DA79DE"/>
    <w:rsid w:val="00DB09B7"/>
    <w:rsid w:val="00DB65D8"/>
    <w:rsid w:val="00DC1663"/>
    <w:rsid w:val="00DC1839"/>
    <w:rsid w:val="00DC38CD"/>
    <w:rsid w:val="00DC457B"/>
    <w:rsid w:val="00DC4A83"/>
    <w:rsid w:val="00DC7931"/>
    <w:rsid w:val="00DD7A92"/>
    <w:rsid w:val="00DE52D3"/>
    <w:rsid w:val="00DE59B7"/>
    <w:rsid w:val="00DF17E0"/>
    <w:rsid w:val="00DF73BB"/>
    <w:rsid w:val="00E06325"/>
    <w:rsid w:val="00E0725F"/>
    <w:rsid w:val="00E1193A"/>
    <w:rsid w:val="00E13F8A"/>
    <w:rsid w:val="00E20AFE"/>
    <w:rsid w:val="00E21C3E"/>
    <w:rsid w:val="00E23DC5"/>
    <w:rsid w:val="00E278EC"/>
    <w:rsid w:val="00E42B01"/>
    <w:rsid w:val="00E446F2"/>
    <w:rsid w:val="00E5252A"/>
    <w:rsid w:val="00E54C71"/>
    <w:rsid w:val="00E55D49"/>
    <w:rsid w:val="00E568FF"/>
    <w:rsid w:val="00E57235"/>
    <w:rsid w:val="00E57765"/>
    <w:rsid w:val="00E6204D"/>
    <w:rsid w:val="00E65073"/>
    <w:rsid w:val="00E677CC"/>
    <w:rsid w:val="00E7123D"/>
    <w:rsid w:val="00E805AA"/>
    <w:rsid w:val="00E85A98"/>
    <w:rsid w:val="00E96981"/>
    <w:rsid w:val="00EA048F"/>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2204B"/>
    <w:rsid w:val="00F30887"/>
    <w:rsid w:val="00F325C8"/>
    <w:rsid w:val="00F32860"/>
    <w:rsid w:val="00F32C69"/>
    <w:rsid w:val="00F34766"/>
    <w:rsid w:val="00F34D8A"/>
    <w:rsid w:val="00F36303"/>
    <w:rsid w:val="00F42C77"/>
    <w:rsid w:val="00F431B5"/>
    <w:rsid w:val="00F44962"/>
    <w:rsid w:val="00F50CED"/>
    <w:rsid w:val="00F56B5E"/>
    <w:rsid w:val="00F63F78"/>
    <w:rsid w:val="00F809FC"/>
    <w:rsid w:val="00F82DC2"/>
    <w:rsid w:val="00F87E19"/>
    <w:rsid w:val="00F93B44"/>
    <w:rsid w:val="00F96C32"/>
    <w:rsid w:val="00FA33E9"/>
    <w:rsid w:val="00FB166A"/>
    <w:rsid w:val="00FB3F79"/>
    <w:rsid w:val="00FB4D6E"/>
    <w:rsid w:val="00FC07A6"/>
    <w:rsid w:val="00FC3089"/>
    <w:rsid w:val="00FC38EC"/>
    <w:rsid w:val="00FC5343"/>
    <w:rsid w:val="00FC6DB8"/>
    <w:rsid w:val="00FC75EF"/>
    <w:rsid w:val="00FD0DF6"/>
    <w:rsid w:val="00FD1160"/>
    <w:rsid w:val="00FD229B"/>
    <w:rsid w:val="00FE6146"/>
    <w:rsid w:val="00FE7834"/>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85A8"/>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5" Type="http://schemas.openxmlformats.org/officeDocument/2006/relationships/numbering" Target="numbering.xml"/><Relationship Id="rId15" Type="http://schemas.openxmlformats.org/officeDocument/2006/relationships/hyperlink" Target="https://www.e-tar.lt/portal/lt/legalAct/c9e449e05f7411edbc04912defe897d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Gintaras Maželis</DisplayName>
        <AccountId>96</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83D1F-E47C-44F2-A331-BE76D43B3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FA9F3-3517-4760-82A9-6FE6A2CEA349}">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4959</Words>
  <Characters>28268</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Kvietimas teikti PIP_VVKT</vt:lpstr>
    </vt:vector>
  </TitlesOfParts>
  <Company>HP Inc.</Company>
  <LinksUpToDate>false</LinksUpToDate>
  <CharactersWithSpaces>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PIP_VVKT</dc:title>
  <dc:subject/>
  <dc:creator>Zita  Markevičienė</dc:creator>
  <cp:keywords/>
  <cp:lastModifiedBy>Rasa Povilaikė</cp:lastModifiedBy>
  <cp:revision>1</cp:revision>
  <dcterms:created xsi:type="dcterms:W3CDTF">2022-11-17T06:59:00Z</dcterms:created>
  <dcterms:modified xsi:type="dcterms:W3CDTF">2022-11-17T06:59:00Z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96;#Gintaras Maželis;#90;#Laura Neliupšytė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GrammarlyDocumentId">
    <vt:lpwstr>5f5703478be2c49ddccf013d9abb4ff2c2a921e137a15bab14e0ddc56b7c8bd7</vt:lpwstr>
  </property>
  <property fmtid="{D5CDD505-2E9C-101B-9397-08002B2CF9AE}" pid="9" name="DmsWaitingForSign">
    <vt:bool>true</vt:bool>
  </property>
</Properties>
</file>