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85423" w14:textId="77777777" w:rsidR="00FC1CD5" w:rsidRDefault="00FC1CD5">
      <w:pPr>
        <w:tabs>
          <w:tab w:val="center" w:pos="4819"/>
          <w:tab w:val="right" w:pos="9638"/>
        </w:tabs>
        <w:jc w:val="center"/>
        <w:rPr>
          <w:sz w:val="22"/>
          <w:szCs w:val="22"/>
        </w:rPr>
      </w:pPr>
    </w:p>
    <w:p w14:paraId="3AD1D689" w14:textId="77777777" w:rsidR="00FE4B0E" w:rsidRPr="00CF15E2" w:rsidRDefault="00FE4B0E" w:rsidP="00FE4B0E">
      <w:pPr>
        <w:tabs>
          <w:tab w:val="center" w:pos="4819"/>
        </w:tabs>
        <w:ind w:left="9639"/>
        <w:jc w:val="both"/>
        <w:rPr>
          <w:szCs w:val="24"/>
        </w:rPr>
      </w:pPr>
      <w:r w:rsidRPr="00CF15E2">
        <w:rPr>
          <w:szCs w:val="24"/>
          <w:shd w:val="clear" w:color="auto" w:fill="FFFFFF"/>
        </w:rPr>
        <w:t xml:space="preserve">2021–2030 m. Lietuvos Respublikos ekonomikos ir inovacijų ministerijos </w:t>
      </w:r>
      <w:r w:rsidRPr="000D54E1">
        <w:rPr>
          <w:szCs w:val="24"/>
          <w:shd w:val="clear" w:color="auto" w:fill="FFFFFF"/>
        </w:rPr>
        <w:t>v</w:t>
      </w:r>
      <w:r w:rsidRPr="00CF15E2">
        <w:rPr>
          <w:szCs w:val="24"/>
          <w:shd w:val="clear" w:color="auto" w:fill="FFFFFF"/>
        </w:rPr>
        <w:t xml:space="preserve">alstybės skaitmeninimo </w:t>
      </w:r>
      <w:r w:rsidRPr="007517B5">
        <w:rPr>
          <w:szCs w:val="24"/>
          <w:shd w:val="clear" w:color="auto" w:fill="FFFFFF"/>
        </w:rPr>
        <w:t>p</w:t>
      </w:r>
      <w:r w:rsidRPr="005908B5">
        <w:rPr>
          <w:szCs w:val="24"/>
        </w:rPr>
        <w:t xml:space="preserve">lėtros programos pažangos priemonės </w:t>
      </w:r>
      <w:r w:rsidRPr="00CF15E2">
        <w:rPr>
          <w:bCs/>
          <w:szCs w:val="24"/>
          <w:lang w:eastAsia="lt-LT"/>
        </w:rPr>
        <w:t>Nr.</w:t>
      </w:r>
      <w:r w:rsidRPr="00CF15E2">
        <w:rPr>
          <w:bCs/>
          <w:i/>
          <w:szCs w:val="24"/>
          <w:lang w:eastAsia="lt-LT"/>
        </w:rPr>
        <w:t xml:space="preserve"> </w:t>
      </w:r>
      <w:r w:rsidRPr="00CF15E2">
        <w:rPr>
          <w:szCs w:val="24"/>
          <w:lang w:eastAsia="lt-LT"/>
        </w:rPr>
        <w:t>05-002-01-07-07 „Skatinti duomenų prieinamumą ir pakartotinį naudojimą</w:t>
      </w:r>
      <w:r w:rsidRPr="00CF15E2">
        <w:rPr>
          <w:szCs w:val="24"/>
        </w:rPr>
        <w:t>“ aprašo</w:t>
      </w:r>
    </w:p>
    <w:p w14:paraId="1F201785" w14:textId="77777777" w:rsidR="00FC1CD5" w:rsidRDefault="003D72F6" w:rsidP="00FE4B0E">
      <w:pPr>
        <w:ind w:left="9639"/>
        <w:rPr>
          <w:szCs w:val="24"/>
        </w:rPr>
      </w:pPr>
      <w:r>
        <w:rPr>
          <w:szCs w:val="24"/>
        </w:rPr>
        <w:t>2 priedas</w:t>
      </w:r>
    </w:p>
    <w:p w14:paraId="2D330350" w14:textId="77777777" w:rsidR="00FC1CD5" w:rsidRDefault="00FC1CD5">
      <w:pPr>
        <w:jc w:val="center"/>
        <w:rPr>
          <w:iCs/>
          <w:szCs w:val="24"/>
        </w:rPr>
      </w:pPr>
    </w:p>
    <w:p w14:paraId="1912DE2B" w14:textId="77777777" w:rsidR="00FC1CD5" w:rsidRDefault="00CF6FE3">
      <w:pPr>
        <w:jc w:val="center"/>
        <w:rPr>
          <w:i/>
          <w:szCs w:val="24"/>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w:t>
      </w:r>
      <w:r w:rsidR="000F1D11">
        <w:rPr>
          <w:b/>
          <w:bCs/>
          <w:color w:val="000000"/>
        </w:rPr>
        <w:t xml:space="preserve">NR. </w:t>
      </w:r>
      <w:bookmarkStart w:id="0" w:name="_Hlk110790683"/>
      <w:r w:rsidR="000F1D11">
        <w:rPr>
          <w:b/>
          <w:bCs/>
          <w:color w:val="000000"/>
        </w:rPr>
        <w:t xml:space="preserve">05-002-01-07-07 </w:t>
      </w:r>
      <w:bookmarkEnd w:id="0"/>
      <w:r w:rsidR="000F1D11">
        <w:rPr>
          <w:b/>
          <w:bCs/>
          <w:color w:val="000000"/>
        </w:rPr>
        <w:t>„SKATINTI DUOMENŲ PRIEINAMUMĄ IR PAKARTOTINĮ NAUDOJIMĄ“</w:t>
      </w:r>
    </w:p>
    <w:p w14:paraId="03E1E3C1" w14:textId="77777777" w:rsidR="00FE4B0E" w:rsidRDefault="00FE4B0E">
      <w:pPr>
        <w:jc w:val="center"/>
        <w:rPr>
          <w:szCs w:val="24"/>
        </w:rPr>
      </w:pPr>
      <w:r>
        <w:rPr>
          <w:b/>
          <w:bCs/>
          <w:szCs w:val="24"/>
        </w:rPr>
        <w:t>VEIKLOS „</w:t>
      </w:r>
      <w:r w:rsidRPr="00FE4B0E">
        <w:rPr>
          <w:b/>
          <w:bCs/>
          <w:color w:val="000000"/>
          <w:szCs w:val="24"/>
        </w:rPr>
        <w:t>VALSTYBĖS INFORMACINIŲ IŠTEKLIŲ INTEGRACIJA Į DUOMENŲ EŽERĄ</w:t>
      </w:r>
      <w:r>
        <w:rPr>
          <w:b/>
          <w:bCs/>
          <w:szCs w:val="24"/>
        </w:rPr>
        <w:t xml:space="preserve">“ </w:t>
      </w:r>
      <w:r w:rsidR="003D72F6">
        <w:rPr>
          <w:b/>
          <w:bCs/>
          <w:szCs w:val="24"/>
        </w:rPr>
        <w:t>PROJEKTŲ FINANSAVIMO SĄLYGŲ APRAŠAS</w:t>
      </w:r>
    </w:p>
    <w:p w14:paraId="0BEB0536" w14:textId="77777777" w:rsidR="00FC1CD5" w:rsidRDefault="00FC1CD5">
      <w:pPr>
        <w:rPr>
          <w:i/>
          <w:szCs w:val="24"/>
        </w:rPr>
      </w:pPr>
    </w:p>
    <w:p w14:paraId="52338E88" w14:textId="77777777" w:rsidR="00FC1CD5" w:rsidRDefault="00FC1CD5">
      <w:pPr>
        <w:rPr>
          <w:sz w:val="14"/>
          <w:szCs w:val="14"/>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992"/>
        <w:gridCol w:w="1418"/>
        <w:gridCol w:w="1277"/>
        <w:gridCol w:w="1067"/>
        <w:gridCol w:w="1344"/>
        <w:gridCol w:w="1328"/>
        <w:gridCol w:w="1132"/>
        <w:gridCol w:w="1149"/>
        <w:gridCol w:w="22"/>
      </w:tblGrid>
      <w:tr w:rsidR="00FC1CD5" w14:paraId="70B6F581" w14:textId="77777777" w:rsidTr="002639DA">
        <w:tc>
          <w:tcPr>
            <w:tcW w:w="14969" w:type="dxa"/>
            <w:gridSpan w:val="13"/>
            <w:vAlign w:val="center"/>
          </w:tcPr>
          <w:p w14:paraId="1EEFCDCD" w14:textId="77777777" w:rsidR="00FC1CD5" w:rsidRDefault="003D72F6">
            <w:pPr>
              <w:jc w:val="center"/>
              <w:rPr>
                <w:b/>
                <w:sz w:val="22"/>
                <w:szCs w:val="22"/>
              </w:rPr>
            </w:pPr>
            <w:r>
              <w:rPr>
                <w:b/>
                <w:sz w:val="22"/>
                <w:szCs w:val="22"/>
              </w:rPr>
              <w:t>VEIKLOS AR POVEIKLĖS, KURIOMS NUSTATOMOS PROJEKTŲ FINANSAVIMO SĄLYGOS</w:t>
            </w:r>
          </w:p>
        </w:tc>
      </w:tr>
      <w:tr w:rsidR="00FC1CD5" w14:paraId="6035F3C6" w14:textId="77777777" w:rsidTr="002639DA">
        <w:trPr>
          <w:gridAfter w:val="1"/>
          <w:wAfter w:w="22" w:type="dxa"/>
        </w:trPr>
        <w:tc>
          <w:tcPr>
            <w:tcW w:w="1555" w:type="dxa"/>
            <w:vAlign w:val="center"/>
          </w:tcPr>
          <w:p w14:paraId="35F5535E" w14:textId="77777777" w:rsidR="00FC1CD5" w:rsidRDefault="003D72F6">
            <w:pPr>
              <w:jc w:val="center"/>
              <w:rPr>
                <w:b/>
                <w:sz w:val="20"/>
                <w:szCs w:val="22"/>
              </w:rPr>
            </w:pPr>
            <w:r>
              <w:rPr>
                <w:b/>
                <w:sz w:val="20"/>
                <w:szCs w:val="22"/>
              </w:rPr>
              <w:t xml:space="preserve">Veiklos ar </w:t>
            </w:r>
            <w:proofErr w:type="spellStart"/>
            <w:r>
              <w:rPr>
                <w:b/>
                <w:sz w:val="20"/>
                <w:szCs w:val="22"/>
              </w:rPr>
              <w:t>poveiklės</w:t>
            </w:r>
            <w:proofErr w:type="spellEnd"/>
            <w:r w:rsidR="002639DA">
              <w:rPr>
                <w:b/>
                <w:sz w:val="20"/>
                <w:szCs w:val="22"/>
              </w:rPr>
              <w:t xml:space="preserve"> </w:t>
            </w:r>
            <w:r>
              <w:rPr>
                <w:b/>
                <w:sz w:val="20"/>
                <w:szCs w:val="22"/>
              </w:rPr>
              <w:t>pavadinimas</w:t>
            </w:r>
          </w:p>
        </w:tc>
        <w:tc>
          <w:tcPr>
            <w:tcW w:w="1275" w:type="dxa"/>
            <w:vAlign w:val="center"/>
          </w:tcPr>
          <w:p w14:paraId="1F8C2095" w14:textId="77777777" w:rsidR="00FC1CD5" w:rsidRDefault="003D72F6">
            <w:pPr>
              <w:jc w:val="center"/>
              <w:rPr>
                <w:b/>
                <w:sz w:val="20"/>
                <w:szCs w:val="22"/>
              </w:rPr>
            </w:pPr>
            <w:proofErr w:type="spellStart"/>
            <w:r>
              <w:rPr>
                <w:b/>
                <w:sz w:val="20"/>
                <w:szCs w:val="22"/>
              </w:rPr>
              <w:t>Finansa</w:t>
            </w:r>
            <w:proofErr w:type="spellEnd"/>
            <w:r>
              <w:rPr>
                <w:b/>
                <w:sz w:val="20"/>
                <w:szCs w:val="22"/>
              </w:rPr>
              <w:t>-vimo šaltinis</w:t>
            </w:r>
          </w:p>
        </w:tc>
        <w:tc>
          <w:tcPr>
            <w:tcW w:w="1276" w:type="dxa"/>
            <w:vAlign w:val="center"/>
          </w:tcPr>
          <w:p w14:paraId="5DCAA907" w14:textId="77777777" w:rsidR="00FC1CD5" w:rsidRDefault="003D72F6">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42C35486" w14:textId="77777777" w:rsidR="00FC1CD5" w:rsidRDefault="003D72F6">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5A8E707F" w14:textId="77777777" w:rsidR="00FC1CD5" w:rsidRDefault="003D72F6">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418" w:type="dxa"/>
            <w:vAlign w:val="center"/>
          </w:tcPr>
          <w:p w14:paraId="257E8D7B" w14:textId="77777777" w:rsidR="00FC1CD5" w:rsidRDefault="003D72F6">
            <w:pPr>
              <w:jc w:val="center"/>
              <w:rPr>
                <w:b/>
                <w:sz w:val="20"/>
                <w:szCs w:val="22"/>
              </w:rPr>
            </w:pPr>
            <w:r>
              <w:rPr>
                <w:b/>
                <w:sz w:val="20"/>
                <w:szCs w:val="22"/>
              </w:rPr>
              <w:t>Intervencinės priemonės kodas</w:t>
            </w:r>
          </w:p>
        </w:tc>
        <w:tc>
          <w:tcPr>
            <w:tcW w:w="1277" w:type="dxa"/>
            <w:vAlign w:val="center"/>
          </w:tcPr>
          <w:p w14:paraId="03067D41" w14:textId="77777777" w:rsidR="00FC1CD5" w:rsidRDefault="003D72F6">
            <w:pPr>
              <w:jc w:val="center"/>
              <w:rPr>
                <w:b/>
                <w:bCs/>
                <w:sz w:val="20"/>
                <w:szCs w:val="22"/>
              </w:rPr>
            </w:pPr>
            <w:r>
              <w:rPr>
                <w:b/>
                <w:sz w:val="20"/>
              </w:rPr>
              <w:t xml:space="preserve">Regionas, kuriam priskiriama veikla ar </w:t>
            </w:r>
            <w:proofErr w:type="spellStart"/>
            <w:r>
              <w:rPr>
                <w:b/>
                <w:sz w:val="20"/>
              </w:rPr>
              <w:t>poveiklė</w:t>
            </w:r>
            <w:proofErr w:type="spellEnd"/>
          </w:p>
        </w:tc>
        <w:tc>
          <w:tcPr>
            <w:tcW w:w="1067" w:type="dxa"/>
            <w:vAlign w:val="center"/>
          </w:tcPr>
          <w:p w14:paraId="2AFFEABA" w14:textId="77777777" w:rsidR="00FC1CD5" w:rsidRDefault="003D72F6">
            <w:pPr>
              <w:jc w:val="center"/>
              <w:rPr>
                <w:b/>
                <w:sz w:val="20"/>
                <w:szCs w:val="22"/>
              </w:rPr>
            </w:pPr>
            <w:r>
              <w:rPr>
                <w:b/>
                <w:bCs/>
                <w:sz w:val="20"/>
                <w:szCs w:val="22"/>
              </w:rPr>
              <w:t>Paramos formos kodas</w:t>
            </w:r>
          </w:p>
        </w:tc>
        <w:tc>
          <w:tcPr>
            <w:tcW w:w="1344" w:type="dxa"/>
            <w:vAlign w:val="center"/>
          </w:tcPr>
          <w:p w14:paraId="36DC9952" w14:textId="77777777" w:rsidR="00FC1CD5" w:rsidRDefault="003D72F6">
            <w:pPr>
              <w:jc w:val="center"/>
              <w:rPr>
                <w:b/>
                <w:sz w:val="20"/>
                <w:szCs w:val="22"/>
              </w:rPr>
            </w:pPr>
            <w:r>
              <w:rPr>
                <w:b/>
                <w:bCs/>
                <w:sz w:val="20"/>
                <w:szCs w:val="22"/>
              </w:rPr>
              <w:t>Pagrindinės teritorinės srities kodas (-ai)</w:t>
            </w:r>
          </w:p>
        </w:tc>
        <w:tc>
          <w:tcPr>
            <w:tcW w:w="1328" w:type="dxa"/>
            <w:vAlign w:val="center"/>
          </w:tcPr>
          <w:p w14:paraId="47F2AEAA" w14:textId="77777777" w:rsidR="00FC1CD5" w:rsidRDefault="003D72F6">
            <w:pPr>
              <w:jc w:val="center"/>
              <w:rPr>
                <w:b/>
                <w:sz w:val="20"/>
                <w:szCs w:val="22"/>
              </w:rPr>
            </w:pPr>
            <w:r>
              <w:rPr>
                <w:b/>
                <w:bCs/>
                <w:sz w:val="20"/>
                <w:szCs w:val="22"/>
              </w:rPr>
              <w:t>Ekonominės veiklos kodas (-ai)</w:t>
            </w:r>
          </w:p>
        </w:tc>
        <w:tc>
          <w:tcPr>
            <w:tcW w:w="1132" w:type="dxa"/>
            <w:vAlign w:val="center"/>
          </w:tcPr>
          <w:p w14:paraId="44237B5C" w14:textId="77777777" w:rsidR="00FC1CD5" w:rsidRDefault="003D72F6">
            <w:pPr>
              <w:jc w:val="center"/>
              <w:rPr>
                <w:b/>
                <w:bCs/>
                <w:sz w:val="20"/>
                <w:szCs w:val="22"/>
              </w:rPr>
            </w:pPr>
            <w:r>
              <w:rPr>
                <w:b/>
                <w:bCs/>
                <w:sz w:val="20"/>
                <w:szCs w:val="22"/>
              </w:rPr>
              <w:t>„Europos socialinio fondo +“ (toliau – ESF+) antrinių temų kodai</w:t>
            </w:r>
          </w:p>
        </w:tc>
        <w:tc>
          <w:tcPr>
            <w:tcW w:w="1149" w:type="dxa"/>
            <w:vAlign w:val="center"/>
          </w:tcPr>
          <w:p w14:paraId="20405CD4" w14:textId="77777777" w:rsidR="00FC1CD5" w:rsidRDefault="003D72F6">
            <w:pPr>
              <w:jc w:val="center"/>
              <w:rPr>
                <w:b/>
                <w:bCs/>
                <w:sz w:val="20"/>
                <w:szCs w:val="22"/>
              </w:rPr>
            </w:pPr>
            <w:r>
              <w:rPr>
                <w:b/>
                <w:bCs/>
                <w:sz w:val="20"/>
                <w:szCs w:val="22"/>
              </w:rPr>
              <w:t>Lyčių lygybės matmens kodas</w:t>
            </w:r>
          </w:p>
        </w:tc>
      </w:tr>
      <w:tr w:rsidR="00FC1CD5" w14:paraId="4DED7CF5" w14:textId="77777777" w:rsidTr="002639DA">
        <w:trPr>
          <w:gridAfter w:val="1"/>
          <w:wAfter w:w="22" w:type="dxa"/>
          <w:trHeight w:val="278"/>
        </w:trPr>
        <w:tc>
          <w:tcPr>
            <w:tcW w:w="1555" w:type="dxa"/>
            <w:tcMar>
              <w:left w:w="28" w:type="dxa"/>
              <w:right w:w="28" w:type="dxa"/>
            </w:tcMar>
          </w:tcPr>
          <w:p w14:paraId="10D5ED11" w14:textId="77777777" w:rsidR="00FC1CD5" w:rsidRPr="008D7053" w:rsidRDefault="00BB2AD1">
            <w:pPr>
              <w:jc w:val="center"/>
              <w:rPr>
                <w:b/>
                <w:i/>
                <w:sz w:val="20"/>
              </w:rPr>
            </w:pPr>
            <w:r>
              <w:rPr>
                <w:color w:val="000000"/>
                <w:sz w:val="20"/>
                <w:lang w:val="en-US"/>
              </w:rPr>
              <w:t xml:space="preserve">7. </w:t>
            </w:r>
            <w:r w:rsidR="008D7053" w:rsidRPr="008D7053">
              <w:rPr>
                <w:color w:val="000000"/>
                <w:sz w:val="20"/>
              </w:rPr>
              <w:t>Valstybės informacinių išteklių integracija į duomenų ežerą</w:t>
            </w:r>
          </w:p>
        </w:tc>
        <w:tc>
          <w:tcPr>
            <w:tcW w:w="1275" w:type="dxa"/>
            <w:tcMar>
              <w:left w:w="28" w:type="dxa"/>
              <w:right w:w="28" w:type="dxa"/>
            </w:tcMar>
          </w:tcPr>
          <w:p w14:paraId="79F45B7F" w14:textId="77777777" w:rsidR="004D1079" w:rsidRPr="00C41F24" w:rsidRDefault="004D1079">
            <w:pPr>
              <w:jc w:val="center"/>
              <w:rPr>
                <w:rFonts w:eastAsia="Calibri"/>
                <w:bCs/>
                <w:sz w:val="20"/>
              </w:rPr>
            </w:pPr>
            <w:r w:rsidRPr="00C41F24">
              <w:rPr>
                <w:rFonts w:eastAsia="Calibri"/>
                <w:bCs/>
                <w:sz w:val="20"/>
              </w:rPr>
              <w:t xml:space="preserve">Ekonomikos gaivinimo ir atsparumo didinimo priemonės (toliau – </w:t>
            </w:r>
          </w:p>
          <w:p w14:paraId="2E670B6D" w14:textId="77777777" w:rsidR="004D1079" w:rsidRPr="00C41F24" w:rsidRDefault="00C966A1" w:rsidP="004D1079">
            <w:pPr>
              <w:jc w:val="center"/>
              <w:rPr>
                <w:rFonts w:eastAsia="Calibri"/>
                <w:bCs/>
                <w:sz w:val="20"/>
              </w:rPr>
            </w:pPr>
            <w:r w:rsidRPr="00C41F24">
              <w:rPr>
                <w:color w:val="000000"/>
                <w:sz w:val="20"/>
                <w:lang w:eastAsia="lt-LT"/>
              </w:rPr>
              <w:t>EGADP</w:t>
            </w:r>
            <w:r w:rsidR="004D1079" w:rsidRPr="00C41F24">
              <w:rPr>
                <w:color w:val="000000"/>
                <w:sz w:val="20"/>
                <w:lang w:eastAsia="lt-LT"/>
              </w:rPr>
              <w:t>)</w:t>
            </w:r>
            <w:r w:rsidRPr="00C41F24">
              <w:rPr>
                <w:color w:val="000000"/>
                <w:sz w:val="20"/>
                <w:lang w:eastAsia="lt-LT"/>
              </w:rPr>
              <w:t xml:space="preserve"> lėšos ir Lietuvos Respublikos valstybės biudžeto lėšos</w:t>
            </w:r>
            <w:r w:rsidR="004D1079" w:rsidRPr="00C41F24">
              <w:rPr>
                <w:color w:val="000000"/>
                <w:sz w:val="20"/>
                <w:lang w:eastAsia="lt-LT"/>
              </w:rPr>
              <w:t xml:space="preserve">, </w:t>
            </w:r>
            <w:r w:rsidR="004D1079" w:rsidRPr="00C41F24">
              <w:rPr>
                <w:color w:val="000000"/>
                <w:sz w:val="20"/>
                <w:lang w:eastAsia="lt-LT"/>
              </w:rPr>
              <w:lastRenderedPageBreak/>
              <w:t xml:space="preserve">skirtos </w:t>
            </w:r>
            <w:r w:rsidR="004D1079" w:rsidRPr="00C41F24">
              <w:rPr>
                <w:rFonts w:eastAsia="Calibri"/>
                <w:sz w:val="20"/>
              </w:rPr>
              <w:t xml:space="preserve">netinkamam finansuoti iš ES fondų lėšų pirkimo ir (arba) importo PVM </w:t>
            </w:r>
            <w:r w:rsidR="004D1079" w:rsidRPr="00C41F24">
              <w:rPr>
                <w:rFonts w:eastAsia="Calibri"/>
                <w:bCs/>
                <w:sz w:val="20"/>
              </w:rPr>
              <w:t xml:space="preserve">(toliau – </w:t>
            </w:r>
          </w:p>
          <w:p w14:paraId="422E2AD7" w14:textId="77777777" w:rsidR="00FC1CD5" w:rsidRPr="00F817B5" w:rsidRDefault="004D1079" w:rsidP="004D1079">
            <w:pPr>
              <w:jc w:val="center"/>
              <w:rPr>
                <w:b/>
                <w:sz w:val="20"/>
              </w:rPr>
            </w:pPr>
            <w:r w:rsidRPr="00C41F24">
              <w:rPr>
                <w:color w:val="000000"/>
                <w:sz w:val="20"/>
                <w:lang w:eastAsia="lt-LT"/>
              </w:rPr>
              <w:t>VB)</w:t>
            </w:r>
            <w:r w:rsidRPr="00F817B5">
              <w:rPr>
                <w:color w:val="000000"/>
                <w:sz w:val="20"/>
                <w:lang w:eastAsia="lt-LT"/>
              </w:rPr>
              <w:t xml:space="preserve"> </w:t>
            </w:r>
            <w:r w:rsidR="00C966A1" w:rsidRPr="00F817B5">
              <w:rPr>
                <w:color w:val="000000"/>
                <w:sz w:val="20"/>
                <w:lang w:eastAsia="lt-LT"/>
              </w:rPr>
              <w:t xml:space="preserve"> </w:t>
            </w:r>
          </w:p>
        </w:tc>
        <w:tc>
          <w:tcPr>
            <w:tcW w:w="1276" w:type="dxa"/>
            <w:tcMar>
              <w:left w:w="28" w:type="dxa"/>
              <w:right w:w="28" w:type="dxa"/>
            </w:tcMar>
          </w:tcPr>
          <w:p w14:paraId="002E5692" w14:textId="77777777" w:rsidR="00FC1CD5" w:rsidRPr="00846689" w:rsidRDefault="000F61E7">
            <w:pPr>
              <w:jc w:val="center"/>
              <w:rPr>
                <w:bCs/>
                <w:iCs/>
                <w:sz w:val="20"/>
                <w:highlight w:val="yellow"/>
                <w:lang w:val="en-US"/>
              </w:rPr>
            </w:pPr>
            <w:r w:rsidRPr="008100DA">
              <w:rPr>
                <w:bCs/>
                <w:iCs/>
                <w:sz w:val="20"/>
                <w:lang w:val="en-US"/>
              </w:rPr>
              <w:lastRenderedPageBreak/>
              <w:t>3</w:t>
            </w:r>
          </w:p>
        </w:tc>
        <w:tc>
          <w:tcPr>
            <w:tcW w:w="1134" w:type="dxa"/>
            <w:tcMar>
              <w:left w:w="28" w:type="dxa"/>
              <w:right w:w="28" w:type="dxa"/>
            </w:tcMar>
          </w:tcPr>
          <w:p w14:paraId="0CBBD810" w14:textId="77777777" w:rsidR="00FC1CD5" w:rsidRPr="00F44CE3" w:rsidRDefault="000F61E7" w:rsidP="000F61E7">
            <w:pPr>
              <w:jc w:val="center"/>
              <w:rPr>
                <w:b/>
                <w:sz w:val="20"/>
                <w:highlight w:val="yellow"/>
                <w:lang w:val="en-US"/>
              </w:rPr>
            </w:pPr>
            <w:r w:rsidRPr="00F44CE3">
              <w:rPr>
                <w:bCs/>
                <w:sz w:val="20"/>
              </w:rPr>
              <w:t>C.1.</w:t>
            </w:r>
            <w:r w:rsidR="00F44CE3">
              <w:rPr>
                <w:bCs/>
                <w:sz w:val="20"/>
                <w:lang w:val="en-US"/>
              </w:rPr>
              <w:t>2</w:t>
            </w:r>
            <w:r w:rsidR="00196C33">
              <w:rPr>
                <w:bCs/>
                <w:sz w:val="20"/>
                <w:lang w:val="en-US"/>
              </w:rPr>
              <w:t>.</w:t>
            </w:r>
          </w:p>
        </w:tc>
        <w:tc>
          <w:tcPr>
            <w:tcW w:w="992" w:type="dxa"/>
            <w:tcMar>
              <w:left w:w="28" w:type="dxa"/>
              <w:right w:w="28" w:type="dxa"/>
            </w:tcMar>
          </w:tcPr>
          <w:p w14:paraId="1D5C9A0F" w14:textId="77777777" w:rsidR="00FC1CD5" w:rsidRDefault="008100DA">
            <w:pPr>
              <w:jc w:val="center"/>
              <w:rPr>
                <w:b/>
                <w:i/>
                <w:sz w:val="18"/>
                <w:szCs w:val="22"/>
              </w:rPr>
            </w:pPr>
            <w:r>
              <w:rPr>
                <w:b/>
                <w:i/>
                <w:sz w:val="18"/>
                <w:szCs w:val="22"/>
              </w:rPr>
              <w:t>-</w:t>
            </w:r>
          </w:p>
        </w:tc>
        <w:tc>
          <w:tcPr>
            <w:tcW w:w="1418" w:type="dxa"/>
            <w:tcMar>
              <w:left w:w="28" w:type="dxa"/>
              <w:right w:w="28" w:type="dxa"/>
            </w:tcMar>
          </w:tcPr>
          <w:p w14:paraId="048EF4CE" w14:textId="77777777" w:rsidR="00FC1CD5" w:rsidRDefault="008100DA">
            <w:pPr>
              <w:jc w:val="center"/>
              <w:rPr>
                <w:i/>
                <w:sz w:val="18"/>
              </w:rPr>
            </w:pPr>
            <w:r w:rsidRPr="00F44CE3">
              <w:rPr>
                <w:bCs/>
                <w:sz w:val="20"/>
              </w:rPr>
              <w:t>011</w:t>
            </w:r>
          </w:p>
        </w:tc>
        <w:tc>
          <w:tcPr>
            <w:tcW w:w="1277" w:type="dxa"/>
            <w:tcMar>
              <w:left w:w="28" w:type="dxa"/>
              <w:right w:w="28" w:type="dxa"/>
            </w:tcMar>
          </w:tcPr>
          <w:p w14:paraId="7B523260" w14:textId="77777777" w:rsidR="00FC1CD5" w:rsidRDefault="00462310">
            <w:pPr>
              <w:jc w:val="center"/>
              <w:rPr>
                <w:i/>
                <w:sz w:val="18"/>
                <w:szCs w:val="18"/>
              </w:rPr>
            </w:pPr>
            <w:r>
              <w:rPr>
                <w:i/>
                <w:sz w:val="18"/>
                <w:szCs w:val="18"/>
              </w:rPr>
              <w:t>-</w:t>
            </w:r>
          </w:p>
        </w:tc>
        <w:tc>
          <w:tcPr>
            <w:tcW w:w="1067" w:type="dxa"/>
            <w:tcMar>
              <w:left w:w="28" w:type="dxa"/>
              <w:right w:w="28" w:type="dxa"/>
            </w:tcMar>
          </w:tcPr>
          <w:p w14:paraId="1B638387" w14:textId="77777777" w:rsidR="00FC1CD5" w:rsidRPr="006A75A2" w:rsidRDefault="006A75A2">
            <w:pPr>
              <w:jc w:val="center"/>
              <w:rPr>
                <w:bCs/>
                <w:i/>
                <w:sz w:val="18"/>
                <w:szCs w:val="22"/>
              </w:rPr>
            </w:pPr>
            <w:r w:rsidRPr="006A75A2">
              <w:rPr>
                <w:bCs/>
                <w:i/>
                <w:sz w:val="18"/>
                <w:szCs w:val="22"/>
              </w:rPr>
              <w:t>-</w:t>
            </w:r>
          </w:p>
        </w:tc>
        <w:tc>
          <w:tcPr>
            <w:tcW w:w="1344" w:type="dxa"/>
            <w:tcMar>
              <w:left w:w="28" w:type="dxa"/>
              <w:right w:w="28" w:type="dxa"/>
            </w:tcMar>
          </w:tcPr>
          <w:p w14:paraId="53B98A77" w14:textId="77777777" w:rsidR="00FC1CD5" w:rsidRDefault="006A75A2">
            <w:pPr>
              <w:jc w:val="center"/>
              <w:rPr>
                <w:b/>
                <w:sz w:val="18"/>
                <w:szCs w:val="22"/>
              </w:rPr>
            </w:pPr>
            <w:r>
              <w:rPr>
                <w:b/>
                <w:sz w:val="18"/>
                <w:szCs w:val="22"/>
              </w:rPr>
              <w:t>-</w:t>
            </w:r>
          </w:p>
        </w:tc>
        <w:tc>
          <w:tcPr>
            <w:tcW w:w="1328" w:type="dxa"/>
            <w:tcMar>
              <w:left w:w="28" w:type="dxa"/>
              <w:right w:w="28" w:type="dxa"/>
            </w:tcMar>
          </w:tcPr>
          <w:p w14:paraId="1001C875" w14:textId="77777777" w:rsidR="00FC1CD5" w:rsidRDefault="006A75A2">
            <w:pPr>
              <w:jc w:val="center"/>
              <w:rPr>
                <w:b/>
                <w:sz w:val="18"/>
                <w:szCs w:val="22"/>
              </w:rPr>
            </w:pPr>
            <w:r>
              <w:rPr>
                <w:b/>
                <w:sz w:val="18"/>
                <w:szCs w:val="22"/>
              </w:rPr>
              <w:t>-</w:t>
            </w:r>
          </w:p>
        </w:tc>
        <w:tc>
          <w:tcPr>
            <w:tcW w:w="1132" w:type="dxa"/>
            <w:tcMar>
              <w:left w:w="28" w:type="dxa"/>
              <w:right w:w="28" w:type="dxa"/>
            </w:tcMar>
          </w:tcPr>
          <w:p w14:paraId="2F73E016" w14:textId="77777777" w:rsidR="00FC1CD5" w:rsidRDefault="00846689">
            <w:pPr>
              <w:jc w:val="center"/>
              <w:rPr>
                <w:i/>
                <w:sz w:val="18"/>
              </w:rPr>
            </w:pPr>
            <w:r>
              <w:rPr>
                <w:i/>
                <w:sz w:val="18"/>
              </w:rPr>
              <w:t>-</w:t>
            </w:r>
          </w:p>
          <w:p w14:paraId="0B686C95" w14:textId="77777777" w:rsidR="00FC1CD5" w:rsidRDefault="00FC1CD5">
            <w:pPr>
              <w:jc w:val="center"/>
              <w:rPr>
                <w:i/>
                <w:iCs/>
                <w:sz w:val="18"/>
              </w:rPr>
            </w:pPr>
          </w:p>
        </w:tc>
        <w:tc>
          <w:tcPr>
            <w:tcW w:w="1149" w:type="dxa"/>
            <w:tcMar>
              <w:left w:w="28" w:type="dxa"/>
              <w:right w:w="28" w:type="dxa"/>
            </w:tcMar>
          </w:tcPr>
          <w:p w14:paraId="401A59A2" w14:textId="77777777" w:rsidR="00FC1CD5" w:rsidRDefault="00846689">
            <w:pPr>
              <w:jc w:val="center"/>
              <w:rPr>
                <w:i/>
                <w:iCs/>
                <w:sz w:val="18"/>
              </w:rPr>
            </w:pPr>
            <w:r>
              <w:rPr>
                <w:i/>
                <w:iCs/>
                <w:sz w:val="18"/>
              </w:rPr>
              <w:t>-</w:t>
            </w:r>
          </w:p>
        </w:tc>
      </w:tr>
    </w:tbl>
    <w:p w14:paraId="2ADFAC6E" w14:textId="77777777" w:rsidR="00FC1CD5" w:rsidRDefault="00FC1CD5">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FC1CD5" w14:paraId="0B752597" w14:textId="77777777">
        <w:trPr>
          <w:trHeight w:val="405"/>
        </w:trPr>
        <w:tc>
          <w:tcPr>
            <w:tcW w:w="3688" w:type="dxa"/>
            <w:shd w:val="clear" w:color="auto" w:fill="auto"/>
            <w:vAlign w:val="center"/>
          </w:tcPr>
          <w:p w14:paraId="61E6C13D" w14:textId="77777777" w:rsidR="00FC1CD5" w:rsidRDefault="003D72F6">
            <w:pPr>
              <w:jc w:val="center"/>
              <w:rPr>
                <w:sz w:val="18"/>
                <w:szCs w:val="18"/>
              </w:rPr>
            </w:pPr>
            <w:r>
              <w:rPr>
                <w:sz w:val="22"/>
                <w:szCs w:val="22"/>
              </w:rPr>
              <w:t>Rodiklio pavadinimas</w:t>
            </w:r>
          </w:p>
        </w:tc>
        <w:tc>
          <w:tcPr>
            <w:tcW w:w="3688" w:type="dxa"/>
            <w:shd w:val="clear" w:color="auto" w:fill="auto"/>
            <w:vAlign w:val="center"/>
          </w:tcPr>
          <w:p w14:paraId="6C9033B9" w14:textId="77777777" w:rsidR="00FC1CD5" w:rsidRDefault="003D72F6">
            <w:pPr>
              <w:jc w:val="center"/>
              <w:rPr>
                <w:sz w:val="18"/>
                <w:szCs w:val="18"/>
              </w:rPr>
            </w:pPr>
            <w:r>
              <w:rPr>
                <w:sz w:val="22"/>
                <w:szCs w:val="22"/>
              </w:rPr>
              <w:t>Rodiklio kodas</w:t>
            </w:r>
          </w:p>
        </w:tc>
        <w:tc>
          <w:tcPr>
            <w:tcW w:w="3688" w:type="dxa"/>
            <w:shd w:val="clear" w:color="auto" w:fill="auto"/>
            <w:vAlign w:val="center"/>
          </w:tcPr>
          <w:p w14:paraId="731D35FE" w14:textId="77777777" w:rsidR="00FC1CD5" w:rsidRDefault="003D72F6">
            <w:pPr>
              <w:jc w:val="center"/>
              <w:rPr>
                <w:sz w:val="18"/>
                <w:szCs w:val="18"/>
              </w:rPr>
            </w:pPr>
            <w:r>
              <w:rPr>
                <w:sz w:val="22"/>
                <w:szCs w:val="22"/>
              </w:rPr>
              <w:t>Matavimo vienetai</w:t>
            </w:r>
          </w:p>
        </w:tc>
        <w:tc>
          <w:tcPr>
            <w:tcW w:w="3688" w:type="dxa"/>
            <w:shd w:val="clear" w:color="auto" w:fill="auto"/>
            <w:vAlign w:val="center"/>
          </w:tcPr>
          <w:p w14:paraId="42AD3FCB" w14:textId="77777777" w:rsidR="00FC1CD5" w:rsidRDefault="003D72F6">
            <w:pPr>
              <w:jc w:val="center"/>
              <w:rPr>
                <w:sz w:val="18"/>
                <w:szCs w:val="18"/>
              </w:rPr>
            </w:pPr>
            <w:r>
              <w:rPr>
                <w:sz w:val="22"/>
                <w:szCs w:val="22"/>
              </w:rPr>
              <w:t>Siektina reikšmė</w:t>
            </w:r>
          </w:p>
        </w:tc>
      </w:tr>
      <w:tr w:rsidR="00481764" w14:paraId="24FB8F20" w14:textId="77777777" w:rsidTr="004B5C6A">
        <w:trPr>
          <w:trHeight w:val="561"/>
        </w:trPr>
        <w:tc>
          <w:tcPr>
            <w:tcW w:w="3688" w:type="dxa"/>
          </w:tcPr>
          <w:p w14:paraId="0F773F57" w14:textId="77777777" w:rsidR="00481764" w:rsidRPr="00EC43CA" w:rsidRDefault="00481764" w:rsidP="00481764">
            <w:pPr>
              <w:jc w:val="center"/>
              <w:rPr>
                <w:sz w:val="22"/>
                <w:szCs w:val="22"/>
              </w:rPr>
            </w:pPr>
            <w:r w:rsidRPr="003563E3">
              <w:rPr>
                <w:sz w:val="22"/>
                <w:szCs w:val="22"/>
              </w:rPr>
              <w:t>Informaciniai ištekliai integruoti į duomenų ežerą</w:t>
            </w:r>
          </w:p>
        </w:tc>
        <w:tc>
          <w:tcPr>
            <w:tcW w:w="3688" w:type="dxa"/>
          </w:tcPr>
          <w:p w14:paraId="6CC59870" w14:textId="77777777" w:rsidR="00481764" w:rsidRDefault="00481764" w:rsidP="00481764">
            <w:pPr>
              <w:jc w:val="center"/>
              <w:rPr>
                <w:sz w:val="22"/>
                <w:szCs w:val="22"/>
              </w:rPr>
            </w:pPr>
            <w:r w:rsidRPr="004D39E0">
              <w:rPr>
                <w:sz w:val="22"/>
                <w:szCs w:val="22"/>
              </w:rPr>
              <w:t>P-05-002-01-07-07-04</w:t>
            </w:r>
          </w:p>
          <w:p w14:paraId="7375E47D" w14:textId="77777777" w:rsidR="00850251" w:rsidRPr="0021158A" w:rsidRDefault="0021158A" w:rsidP="00481764">
            <w:pPr>
              <w:jc w:val="center"/>
              <w:rPr>
                <w:sz w:val="22"/>
                <w:szCs w:val="22"/>
              </w:rPr>
            </w:pPr>
            <w:r>
              <w:rPr>
                <w:sz w:val="22"/>
                <w:szCs w:val="22"/>
              </w:rPr>
              <w:t>P.S.</w:t>
            </w:r>
            <w:r>
              <w:rPr>
                <w:sz w:val="22"/>
                <w:szCs w:val="22"/>
                <w:lang w:val="en-US"/>
              </w:rPr>
              <w:t>1.1066</w:t>
            </w:r>
          </w:p>
        </w:tc>
        <w:tc>
          <w:tcPr>
            <w:tcW w:w="3688" w:type="dxa"/>
          </w:tcPr>
          <w:p w14:paraId="0CCB8D85" w14:textId="77777777" w:rsidR="00481764" w:rsidRPr="00AD355B" w:rsidRDefault="00481764" w:rsidP="00481764">
            <w:pPr>
              <w:jc w:val="center"/>
              <w:rPr>
                <w:sz w:val="22"/>
                <w:szCs w:val="22"/>
              </w:rPr>
            </w:pPr>
            <w:r>
              <w:rPr>
                <w:sz w:val="22"/>
                <w:szCs w:val="22"/>
              </w:rPr>
              <w:t>Vienetai</w:t>
            </w:r>
          </w:p>
        </w:tc>
        <w:tc>
          <w:tcPr>
            <w:tcW w:w="3688" w:type="dxa"/>
          </w:tcPr>
          <w:p w14:paraId="7800CF66" w14:textId="77777777" w:rsidR="00481764" w:rsidRPr="00303BA2" w:rsidRDefault="00481764" w:rsidP="00481764">
            <w:pPr>
              <w:jc w:val="center"/>
              <w:rPr>
                <w:sz w:val="22"/>
                <w:szCs w:val="22"/>
              </w:rPr>
            </w:pPr>
            <w:r w:rsidRPr="00303BA2">
              <w:rPr>
                <w:sz w:val="22"/>
                <w:szCs w:val="22"/>
              </w:rPr>
              <w:t>210</w:t>
            </w:r>
          </w:p>
          <w:p w14:paraId="52218313" w14:textId="77777777" w:rsidR="00481764" w:rsidRDefault="00481764" w:rsidP="00481764">
            <w:pPr>
              <w:jc w:val="center"/>
              <w:rPr>
                <w:sz w:val="22"/>
                <w:szCs w:val="22"/>
              </w:rPr>
            </w:pPr>
            <w:r w:rsidRPr="00303BA2">
              <w:rPr>
                <w:sz w:val="22"/>
                <w:szCs w:val="22"/>
              </w:rPr>
              <w:t>(2024 m. IV ketv.)</w:t>
            </w:r>
          </w:p>
          <w:p w14:paraId="6AAE5607" w14:textId="77777777" w:rsidR="00481764" w:rsidRPr="0060125D" w:rsidRDefault="00481764" w:rsidP="00481764">
            <w:pPr>
              <w:jc w:val="center"/>
              <w:rPr>
                <w:sz w:val="22"/>
                <w:szCs w:val="22"/>
              </w:rPr>
            </w:pPr>
            <w:r w:rsidRPr="0060125D">
              <w:rPr>
                <w:sz w:val="22"/>
                <w:szCs w:val="22"/>
              </w:rPr>
              <w:t>376</w:t>
            </w:r>
          </w:p>
          <w:p w14:paraId="3D273A7D" w14:textId="77777777" w:rsidR="00481764" w:rsidRPr="00D60F34" w:rsidRDefault="00481764" w:rsidP="00481764">
            <w:pPr>
              <w:jc w:val="center"/>
              <w:rPr>
                <w:sz w:val="22"/>
                <w:szCs w:val="22"/>
              </w:rPr>
            </w:pPr>
            <w:r w:rsidRPr="0060125D">
              <w:rPr>
                <w:sz w:val="22"/>
                <w:szCs w:val="22"/>
              </w:rPr>
              <w:t>(2026 m. II  ketv.)</w:t>
            </w:r>
          </w:p>
        </w:tc>
      </w:tr>
    </w:tbl>
    <w:p w14:paraId="7E13ED54" w14:textId="77777777" w:rsidR="00FC1CD5" w:rsidRDefault="00FC1CD5">
      <w:pPr>
        <w:ind w:firstLine="567"/>
        <w:jc w:val="both"/>
        <w:rPr>
          <w:i/>
          <w:iCs/>
          <w:szCs w:val="24"/>
        </w:rPr>
      </w:pP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0"/>
        <w:gridCol w:w="99"/>
        <w:gridCol w:w="137"/>
      </w:tblGrid>
      <w:tr w:rsidR="00FC1CD5" w14:paraId="43C3B548" w14:textId="77777777" w:rsidTr="005323E0">
        <w:trPr>
          <w:gridAfter w:val="1"/>
          <w:wAfter w:w="137" w:type="dxa"/>
        </w:trPr>
        <w:tc>
          <w:tcPr>
            <w:tcW w:w="14709" w:type="dxa"/>
            <w:gridSpan w:val="2"/>
          </w:tcPr>
          <w:p w14:paraId="5D849E8F" w14:textId="77777777" w:rsidR="00FC1CD5" w:rsidRDefault="003D72F6">
            <w:pPr>
              <w:rPr>
                <w:b/>
                <w:szCs w:val="24"/>
              </w:rPr>
            </w:pPr>
            <w:r>
              <w:rPr>
                <w:b/>
                <w:szCs w:val="24"/>
              </w:rPr>
              <w:t>SPECIALIEJI FINANSAVIMO REIKALAVIMAI</w:t>
            </w:r>
          </w:p>
        </w:tc>
      </w:tr>
      <w:tr w:rsidR="00FC1CD5" w14:paraId="30FD7F8B" w14:textId="77777777" w:rsidTr="005323E0">
        <w:trPr>
          <w:gridAfter w:val="1"/>
          <w:wAfter w:w="137" w:type="dxa"/>
        </w:trPr>
        <w:tc>
          <w:tcPr>
            <w:tcW w:w="14709" w:type="dxa"/>
            <w:gridSpan w:val="2"/>
          </w:tcPr>
          <w:p w14:paraId="460E631F" w14:textId="77777777" w:rsidR="00FC1CD5" w:rsidRDefault="003D72F6">
            <w:pPr>
              <w:rPr>
                <w:b/>
                <w:bCs/>
                <w:szCs w:val="24"/>
              </w:rPr>
            </w:pPr>
            <w:r>
              <w:rPr>
                <w:b/>
                <w:bCs/>
                <w:szCs w:val="24"/>
              </w:rPr>
              <w:t>1. Taikomi teisės aktai</w:t>
            </w:r>
          </w:p>
        </w:tc>
      </w:tr>
      <w:tr w:rsidR="00FC1CD5" w14:paraId="705AB7D0" w14:textId="77777777" w:rsidTr="005323E0">
        <w:trPr>
          <w:gridAfter w:val="1"/>
          <w:wAfter w:w="137" w:type="dxa"/>
        </w:trPr>
        <w:tc>
          <w:tcPr>
            <w:tcW w:w="14709" w:type="dxa"/>
            <w:gridSpan w:val="2"/>
          </w:tcPr>
          <w:p w14:paraId="0812C4D3" w14:textId="77777777" w:rsidR="006D5D79" w:rsidRDefault="006D5D79" w:rsidP="006D5D79">
            <w:pPr>
              <w:tabs>
                <w:tab w:val="left" w:pos="790"/>
                <w:tab w:val="left" w:pos="980"/>
              </w:tabs>
              <w:ind w:firstLine="316"/>
              <w:jc w:val="both"/>
              <w:rPr>
                <w:szCs w:val="24"/>
              </w:rPr>
            </w:pPr>
            <w:r>
              <w:rPr>
                <w:szCs w:val="24"/>
              </w:rPr>
              <w:t>1.</w:t>
            </w:r>
            <w:r>
              <w:rPr>
                <w:szCs w:val="24"/>
              </w:rPr>
              <w:tab/>
              <w:t xml:space="preserve">Teisės aktai, kuriais vadovaujamasi rengiant, teikiant ir vertinant projekto įgyvendinimo planą (toliau – PĮP), priimant sprendimą dėl projekto finansavimo, sudarant projekto sutartį ir įgyvendinant projektą, finansuojamą pagal </w:t>
            </w:r>
            <w:r>
              <w:rPr>
                <w:szCs w:val="24"/>
                <w:shd w:val="clear" w:color="auto" w:fill="FFFFFF"/>
              </w:rPr>
              <w:t>2021–2030 metų Lietuvos Respublikos ekonomikos ir inovacijų ministerijos valstybės skaitmeninimo p</w:t>
            </w:r>
            <w:r>
              <w:rPr>
                <w:szCs w:val="24"/>
              </w:rPr>
              <w:t xml:space="preserve">lėtros programos pažangos priemonės Nr. </w:t>
            </w:r>
            <w:r w:rsidR="000E0D04" w:rsidRPr="000E0D04">
              <w:rPr>
                <w:bCs/>
                <w:szCs w:val="24"/>
                <w:lang w:eastAsia="lt-LT"/>
              </w:rPr>
              <w:t xml:space="preserve">05-002-01-07-07 </w:t>
            </w:r>
            <w:r>
              <w:rPr>
                <w:szCs w:val="24"/>
              </w:rPr>
              <w:t>„</w:t>
            </w:r>
            <w:r w:rsidR="000E0D04" w:rsidRPr="000E0D04">
              <w:rPr>
                <w:bCs/>
                <w:szCs w:val="24"/>
                <w:lang w:eastAsia="lt-LT"/>
              </w:rPr>
              <w:t>Skatinti duomenų prieinamumą ir pakartotinį naudojimą</w:t>
            </w:r>
            <w:r>
              <w:rPr>
                <w:iCs/>
                <w:szCs w:val="24"/>
              </w:rPr>
              <w:t>“ projektų finansavimo sąlygų aprašą (toliau – Aprašas):</w:t>
            </w:r>
          </w:p>
          <w:p w14:paraId="53159783" w14:textId="77777777" w:rsidR="006D5D79" w:rsidRDefault="006D5D79" w:rsidP="006D5D79">
            <w:pPr>
              <w:tabs>
                <w:tab w:val="left" w:pos="790"/>
                <w:tab w:val="left" w:pos="980"/>
              </w:tabs>
              <w:ind w:firstLine="316"/>
              <w:jc w:val="both"/>
              <w:rPr>
                <w:szCs w:val="24"/>
              </w:rPr>
            </w:pPr>
            <w:r>
              <w:rPr>
                <w:szCs w:val="24"/>
              </w:rPr>
              <w:t>1.1.</w:t>
            </w:r>
            <w:r>
              <w:rPr>
                <w:szCs w:val="24"/>
              </w:rPr>
              <w:tab/>
              <w:t xml:space="preserve"> Bendrieji teisės aktai:</w:t>
            </w:r>
          </w:p>
          <w:p w14:paraId="7E6253A7" w14:textId="77777777" w:rsidR="007B6D36" w:rsidRDefault="007B6D36" w:rsidP="007B6D36">
            <w:pPr>
              <w:pStyle w:val="ListParagraph"/>
              <w:numPr>
                <w:ilvl w:val="2"/>
                <w:numId w:val="1"/>
              </w:numPr>
              <w:tabs>
                <w:tab w:val="left" w:pos="840"/>
                <w:tab w:val="left" w:pos="1014"/>
              </w:tabs>
              <w:ind w:left="22" w:firstLine="284"/>
              <w:jc w:val="both"/>
              <w:rPr>
                <w:szCs w:val="24"/>
              </w:rPr>
            </w:pPr>
            <w:r>
              <w:rPr>
                <w:szCs w:val="24"/>
              </w:rPr>
              <w:t xml:space="preserve">2021 m. vasario 12 d. Europos Parlamento ir Tarybos reglamentas (ES) 2021/241, kuriuo nustatoma ekonomikos gaivinimo ir atsparumo didinimo priemonė, </w:t>
            </w:r>
            <w:r>
              <w:rPr>
                <w:color w:val="000000"/>
              </w:rPr>
              <w:t>su visais pakeitimais</w:t>
            </w:r>
            <w:r>
              <w:rPr>
                <w:szCs w:val="24"/>
              </w:rPr>
              <w:t xml:space="preserve">; </w:t>
            </w:r>
          </w:p>
          <w:p w14:paraId="1D30306C" w14:textId="77777777" w:rsidR="007B6D36" w:rsidRDefault="007B6D36" w:rsidP="007B6D36">
            <w:pPr>
              <w:pStyle w:val="ListParagraph"/>
              <w:numPr>
                <w:ilvl w:val="2"/>
                <w:numId w:val="1"/>
              </w:numPr>
              <w:tabs>
                <w:tab w:val="left" w:pos="840"/>
                <w:tab w:val="left" w:pos="1014"/>
              </w:tabs>
              <w:ind w:left="22" w:firstLine="284"/>
              <w:jc w:val="both"/>
              <w:rPr>
                <w:iCs/>
                <w:szCs w:val="24"/>
              </w:rPr>
            </w:pPr>
            <w:r>
              <w:rPr>
                <w:szCs w:val="24"/>
              </w:rPr>
              <w:t xml:space="preserve"> </w:t>
            </w:r>
            <w:r>
              <w:rPr>
                <w:iCs/>
                <w:szCs w:val="24"/>
              </w:rPr>
              <w:t>„Naujos kartos Lietuva“ planas, patvirtintas 2021 m. liepos 28 d. Tarybos įgyvendinimo sprendimu dėl Lietuvos ekonomikos gaivinimo ir atsparumo didinimo plano patvirtinimo (toliau – NKL planas);</w:t>
            </w:r>
          </w:p>
          <w:p w14:paraId="5CBE515C" w14:textId="77777777" w:rsidR="007B6D36" w:rsidRDefault="007B6D36" w:rsidP="007B6D36">
            <w:pPr>
              <w:pStyle w:val="ListParagraph"/>
              <w:numPr>
                <w:ilvl w:val="2"/>
                <w:numId w:val="1"/>
              </w:numPr>
              <w:tabs>
                <w:tab w:val="left" w:pos="600"/>
                <w:tab w:val="left" w:pos="840"/>
                <w:tab w:val="left" w:pos="1014"/>
              </w:tabs>
              <w:ind w:left="22" w:firstLine="284"/>
              <w:jc w:val="both"/>
              <w:rPr>
                <w:color w:val="000000"/>
                <w:szCs w:val="24"/>
              </w:rPr>
            </w:pPr>
            <w:r>
              <w:rPr>
                <w:color w:val="000000"/>
                <w:szCs w:val="24"/>
              </w:rPr>
              <w:t>2021–2027 metų Europos Sąjungos fondų investicijų programos ir Ekonomikos gaivinimo ir atsparumo didinimo plano „Naujos kartos Lietuva“ administravimo taisyklės, patvirtintos Lietuvos Respublikos finansų ministro 2022 m. birželio </w:t>
            </w:r>
            <w:r w:rsidR="004F52E7">
              <w:rPr>
                <w:color w:val="000000"/>
                <w:szCs w:val="24"/>
              </w:rPr>
              <w:t>22</w:t>
            </w:r>
            <w:r>
              <w:rPr>
                <w:color w:val="000000"/>
                <w:szCs w:val="24"/>
              </w:rPr>
              <w:t xml:space="preserve"> d. įsakymu </w:t>
            </w:r>
            <w:r>
              <w:rPr>
                <w:color w:val="000000"/>
                <w:szCs w:val="24"/>
              </w:rPr>
              <w:br/>
              <w:t>Nr. 1K-237 „Dėl 2021–2027 metų Europos Sąjungos fondų investicijų programos ir Ekonomikos gaivinimo ir atsparumo didinimo plano „Naujos kartos Lietuva“ įgyvendinimo (toliau – Tvarkos aprašas)</w:t>
            </w:r>
            <w:r w:rsidR="0056196B">
              <w:rPr>
                <w:color w:val="000000"/>
                <w:szCs w:val="24"/>
              </w:rPr>
              <w:t>;</w:t>
            </w:r>
            <w:r>
              <w:rPr>
                <w:color w:val="000000"/>
                <w:szCs w:val="24"/>
              </w:rPr>
              <w:t xml:space="preserve"> </w:t>
            </w:r>
          </w:p>
          <w:p w14:paraId="0C44241F" w14:textId="77777777" w:rsidR="007B6D36" w:rsidRDefault="007B6D36" w:rsidP="007B6D36">
            <w:pPr>
              <w:pStyle w:val="ListParagraph"/>
              <w:numPr>
                <w:ilvl w:val="2"/>
                <w:numId w:val="1"/>
              </w:numPr>
              <w:tabs>
                <w:tab w:val="left" w:pos="600"/>
                <w:tab w:val="left" w:pos="840"/>
                <w:tab w:val="left" w:pos="1014"/>
              </w:tabs>
              <w:ind w:left="22" w:firstLine="284"/>
              <w:jc w:val="both"/>
              <w:rPr>
                <w:color w:val="000000"/>
                <w:szCs w:val="24"/>
              </w:rPr>
            </w:pPr>
            <w:r>
              <w:rPr>
                <w:color w:val="000000"/>
                <w:szCs w:val="24"/>
              </w:rPr>
              <w:t xml:space="preserve">Projektų administravimo ir finansavimo taisyklės, patvirtintos Lietuvos Respublikos finansų ministro 2022 m. birželio 6 d. įsakymu </w:t>
            </w:r>
            <w:r>
              <w:rPr>
                <w:color w:val="000000"/>
                <w:szCs w:val="24"/>
              </w:rPr>
              <w:br/>
              <w:t>Nr. 1K-237 „Dėl 2021–2027 metų Europos Sąjungos fondų investicijų programos ir Ekonomikos gaivinimo ir atsparumo didinimo plano „Naujos kartos Lietuva“ įgyvendinimo (toliau – Projektų taisyklės)</w:t>
            </w:r>
            <w:r w:rsidR="00E43D78">
              <w:rPr>
                <w:color w:val="000000"/>
                <w:szCs w:val="24"/>
              </w:rPr>
              <w:t>;</w:t>
            </w:r>
          </w:p>
          <w:p w14:paraId="4F276581" w14:textId="77777777" w:rsidR="006D5D79" w:rsidRDefault="006D5D79" w:rsidP="006D5D79">
            <w:pPr>
              <w:tabs>
                <w:tab w:val="left" w:pos="790"/>
                <w:tab w:val="left" w:pos="980"/>
              </w:tabs>
              <w:ind w:firstLine="426"/>
              <w:jc w:val="both"/>
              <w:rPr>
                <w:color w:val="FF0000"/>
                <w:szCs w:val="24"/>
              </w:rPr>
            </w:pPr>
          </w:p>
          <w:p w14:paraId="356DEAA5" w14:textId="77777777" w:rsidR="006D5D79" w:rsidRDefault="006D5D79" w:rsidP="006D5D79">
            <w:pPr>
              <w:tabs>
                <w:tab w:val="left" w:pos="850"/>
              </w:tabs>
              <w:ind w:firstLine="316"/>
              <w:jc w:val="both"/>
              <w:rPr>
                <w:szCs w:val="24"/>
              </w:rPr>
            </w:pPr>
            <w:r>
              <w:rPr>
                <w:szCs w:val="24"/>
              </w:rPr>
              <w:t>1.2.</w:t>
            </w:r>
            <w:r>
              <w:rPr>
                <w:szCs w:val="24"/>
              </w:rPr>
              <w:tab/>
              <w:t>Specialieji teisės aktai:</w:t>
            </w:r>
          </w:p>
          <w:p w14:paraId="54CF7B2E" w14:textId="77777777" w:rsidR="006D5D79" w:rsidRDefault="006D5D79" w:rsidP="006D5D79">
            <w:pPr>
              <w:tabs>
                <w:tab w:val="left" w:pos="195"/>
                <w:tab w:val="left" w:pos="930"/>
              </w:tabs>
              <w:ind w:firstLine="316"/>
              <w:jc w:val="both"/>
              <w:rPr>
                <w:szCs w:val="24"/>
              </w:rPr>
            </w:pPr>
            <w:r>
              <w:rPr>
                <w:szCs w:val="24"/>
              </w:rPr>
              <w:t>1.2.1.</w:t>
            </w:r>
            <w:r>
              <w:rPr>
                <w:szCs w:val="24"/>
              </w:rPr>
              <w:tab/>
              <w:t xml:space="preserve">2021–2030 metų nacionalinis pažangos planas, patvirtintas Lietuvos Respublikos Vyriausybės 2020 m. rugsėjo 9 d. nutarimu Nr. 998 „Dėl 2021–2030 metų nacionalinio pažangos plano patvirtinimo“; </w:t>
            </w:r>
          </w:p>
          <w:p w14:paraId="36B5793D" w14:textId="77777777" w:rsidR="006D5D79" w:rsidRDefault="006D5D79" w:rsidP="006D5D79">
            <w:pPr>
              <w:tabs>
                <w:tab w:val="left" w:pos="195"/>
                <w:tab w:val="left" w:pos="930"/>
              </w:tabs>
              <w:ind w:firstLine="316"/>
              <w:jc w:val="both"/>
              <w:rPr>
                <w:szCs w:val="24"/>
              </w:rPr>
            </w:pPr>
            <w:r>
              <w:rPr>
                <w:szCs w:val="24"/>
              </w:rPr>
              <w:t>1.2.2.</w:t>
            </w:r>
            <w:r>
              <w:rPr>
                <w:szCs w:val="24"/>
              </w:rPr>
              <w:tab/>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AF8F7B8" w14:textId="77777777" w:rsidR="006D5D79" w:rsidRDefault="006D5D79" w:rsidP="006D5D79">
            <w:pPr>
              <w:tabs>
                <w:tab w:val="left" w:pos="195"/>
                <w:tab w:val="left" w:pos="930"/>
              </w:tabs>
              <w:ind w:firstLine="316"/>
              <w:jc w:val="both"/>
              <w:rPr>
                <w:szCs w:val="24"/>
              </w:rPr>
            </w:pPr>
            <w:r>
              <w:rPr>
                <w:szCs w:val="24"/>
              </w:rPr>
              <w:t>1.2.3.</w:t>
            </w:r>
            <w:r>
              <w:rPr>
                <w:szCs w:val="24"/>
              </w:rPr>
              <w:tab/>
              <w:t>Lietuvos Respublikos valstybės informacinių išteklių valdymo įstatymas;</w:t>
            </w:r>
          </w:p>
          <w:p w14:paraId="6C443086" w14:textId="77777777" w:rsidR="00D40A42" w:rsidRDefault="00D40A42" w:rsidP="006D5D79">
            <w:pPr>
              <w:tabs>
                <w:tab w:val="left" w:pos="195"/>
                <w:tab w:val="left" w:pos="930"/>
              </w:tabs>
              <w:ind w:firstLine="316"/>
              <w:jc w:val="both"/>
              <w:rPr>
                <w:szCs w:val="24"/>
              </w:rPr>
            </w:pPr>
            <w:r>
              <w:rPr>
                <w:szCs w:val="24"/>
              </w:rPr>
              <w:t>1.2.4</w:t>
            </w:r>
            <w:r w:rsidR="001A37DD">
              <w:rPr>
                <w:szCs w:val="24"/>
              </w:rPr>
              <w:t>.</w:t>
            </w:r>
            <w:r w:rsidR="00174090">
              <w:rPr>
                <w:szCs w:val="24"/>
              </w:rPr>
              <w:t xml:space="preserve"> </w:t>
            </w:r>
            <w:r w:rsidR="00174090" w:rsidRPr="00174090">
              <w:rPr>
                <w:szCs w:val="24"/>
              </w:rPr>
              <w:t>Lietuvos Respublikos teisės gauti informaciją ir duomenų pakartotinio naudojimo įstatymas;</w:t>
            </w:r>
          </w:p>
          <w:p w14:paraId="0F066710" w14:textId="77777777" w:rsidR="004A241E" w:rsidRDefault="006D5D79" w:rsidP="006D5D79">
            <w:pPr>
              <w:tabs>
                <w:tab w:val="left" w:pos="195"/>
                <w:tab w:val="left" w:pos="930"/>
              </w:tabs>
              <w:ind w:firstLine="316"/>
              <w:jc w:val="both"/>
              <w:rPr>
                <w:szCs w:val="24"/>
              </w:rPr>
            </w:pPr>
            <w:r>
              <w:rPr>
                <w:szCs w:val="24"/>
              </w:rPr>
              <w:t>1.2.</w:t>
            </w:r>
            <w:r w:rsidR="00E315AE">
              <w:rPr>
                <w:szCs w:val="24"/>
              </w:rPr>
              <w:t>5</w:t>
            </w:r>
            <w:r>
              <w:rPr>
                <w:szCs w:val="24"/>
              </w:rPr>
              <w:t>.</w:t>
            </w:r>
            <w:r>
              <w:rPr>
                <w:szCs w:val="24"/>
              </w:rPr>
              <w:tab/>
            </w:r>
            <w:r w:rsidR="001E148D" w:rsidRPr="001E148D">
              <w:rPr>
                <w:szCs w:val="24"/>
              </w:rPr>
              <w:t>Lietuvos Respublikos oficialiosios statistikos ir valstybės duomenų valdysenos įstatym</w:t>
            </w:r>
            <w:r w:rsidR="001E148D">
              <w:rPr>
                <w:szCs w:val="24"/>
              </w:rPr>
              <w:t>as</w:t>
            </w:r>
            <w:r w:rsidR="008B2668">
              <w:rPr>
                <w:szCs w:val="24"/>
              </w:rPr>
              <w:t>;</w:t>
            </w:r>
          </w:p>
          <w:p w14:paraId="03AC9753" w14:textId="77777777" w:rsidR="006D5D79" w:rsidRDefault="00864600" w:rsidP="006D5D79">
            <w:pPr>
              <w:tabs>
                <w:tab w:val="left" w:pos="195"/>
                <w:tab w:val="left" w:pos="930"/>
              </w:tabs>
              <w:ind w:firstLine="316"/>
              <w:jc w:val="both"/>
              <w:rPr>
                <w:szCs w:val="24"/>
              </w:rPr>
            </w:pPr>
            <w:r>
              <w:rPr>
                <w:szCs w:val="24"/>
              </w:rPr>
              <w:t xml:space="preserve">1.2.6. </w:t>
            </w:r>
            <w:r w:rsidR="006D5D79">
              <w:rPr>
                <w:szCs w:val="24"/>
              </w:rPr>
              <w:t>Lietuvos Respublikos kibernetinio saugumo įstatymas;</w:t>
            </w:r>
          </w:p>
          <w:p w14:paraId="0F35FBB6" w14:textId="77777777" w:rsidR="008B2668" w:rsidRDefault="008B2668" w:rsidP="006D5D79">
            <w:pPr>
              <w:tabs>
                <w:tab w:val="left" w:pos="195"/>
                <w:tab w:val="left" w:pos="930"/>
              </w:tabs>
              <w:ind w:firstLine="316"/>
              <w:jc w:val="both"/>
              <w:rPr>
                <w:szCs w:val="24"/>
              </w:rPr>
            </w:pPr>
            <w:r>
              <w:rPr>
                <w:szCs w:val="24"/>
              </w:rPr>
              <w:t xml:space="preserve">1.2.7. </w:t>
            </w:r>
            <w:r w:rsidRPr="008B2668">
              <w:rPr>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5061D35" w14:textId="77777777" w:rsidR="0019002E" w:rsidRDefault="0019002E" w:rsidP="006D5D79">
            <w:pPr>
              <w:tabs>
                <w:tab w:val="left" w:pos="195"/>
                <w:tab w:val="left" w:pos="930"/>
              </w:tabs>
              <w:ind w:firstLine="316"/>
              <w:jc w:val="both"/>
              <w:rPr>
                <w:szCs w:val="24"/>
              </w:rPr>
            </w:pPr>
            <w:r>
              <w:rPr>
                <w:szCs w:val="24"/>
              </w:rPr>
              <w:t>1.2.8.</w:t>
            </w:r>
            <w:r w:rsidR="00314E70">
              <w:rPr>
                <w:szCs w:val="24"/>
              </w:rPr>
              <w:t xml:space="preserve"> </w:t>
            </w:r>
            <w:r w:rsidR="00314E70" w:rsidRPr="00314E70">
              <w:rPr>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w:t>
            </w:r>
            <w:r w:rsidR="00314E70">
              <w:rPr>
                <w:szCs w:val="24"/>
              </w:rPr>
              <w:t>.</w:t>
            </w:r>
          </w:p>
          <w:p w14:paraId="769B348C" w14:textId="77777777" w:rsidR="00BA0D13" w:rsidRDefault="00BA0D13" w:rsidP="00BA0D13">
            <w:pPr>
              <w:tabs>
                <w:tab w:val="left" w:pos="195"/>
                <w:tab w:val="left" w:pos="930"/>
              </w:tabs>
              <w:ind w:firstLine="316"/>
              <w:jc w:val="both"/>
              <w:rPr>
                <w:bCs/>
                <w:szCs w:val="24"/>
                <w:lang w:eastAsia="lt-LT"/>
              </w:rPr>
            </w:pPr>
            <w:r>
              <w:rPr>
                <w:szCs w:val="24"/>
              </w:rPr>
              <w:t>1.2.9. Lietuvos Respublikos Vyriausybės 2015 m. gegužės 13 d. nutarimas Nr. 498 „</w:t>
            </w:r>
            <w:r>
              <w:rPr>
                <w:bCs/>
                <w:szCs w:val="24"/>
                <w:lang w:eastAsia="lt-LT"/>
              </w:rPr>
              <w:t>Dėl valstybės informacinių technologijų infrastruktūros konsolidavimo ir jos valdymo optimizavimo“ (toliau – Nutarimas dėl valstybės informacinių technologijų infrastruktūros konsolidavimo ir jos valdymo optimizavimo).</w:t>
            </w:r>
          </w:p>
          <w:p w14:paraId="3B3BC4D6" w14:textId="77777777" w:rsidR="00394A67" w:rsidRDefault="00394A67" w:rsidP="00394A67">
            <w:pPr>
              <w:tabs>
                <w:tab w:val="left" w:pos="195"/>
                <w:tab w:val="left" w:pos="930"/>
              </w:tabs>
              <w:ind w:firstLine="316"/>
              <w:jc w:val="both"/>
              <w:rPr>
                <w:szCs w:val="24"/>
              </w:rPr>
            </w:pPr>
            <w:r w:rsidRPr="00394A67">
              <w:rPr>
                <w:szCs w:val="24"/>
              </w:rPr>
              <w:t xml:space="preserve">2. </w:t>
            </w:r>
            <w:r w:rsidR="003D40A5">
              <w:rPr>
                <w:szCs w:val="24"/>
              </w:rPr>
              <w:t>A</w:t>
            </w:r>
            <w:r w:rsidRPr="00394A67">
              <w:rPr>
                <w:szCs w:val="24"/>
              </w:rPr>
              <w:t>praše vartojamos sąvokos:</w:t>
            </w:r>
          </w:p>
          <w:p w14:paraId="7EFB27D2" w14:textId="77777777" w:rsidR="00FC1CD5" w:rsidRDefault="00E07A53" w:rsidP="008678E1">
            <w:pPr>
              <w:tabs>
                <w:tab w:val="left" w:pos="195"/>
                <w:tab w:val="left" w:pos="930"/>
              </w:tabs>
              <w:ind w:firstLine="316"/>
              <w:jc w:val="both"/>
              <w:rPr>
                <w:szCs w:val="24"/>
              </w:rPr>
            </w:pPr>
            <w:r>
              <w:rPr>
                <w:szCs w:val="24"/>
                <w:lang w:val="en-US"/>
              </w:rPr>
              <w:t>2</w:t>
            </w:r>
            <w:r w:rsidR="00394A67">
              <w:rPr>
                <w:szCs w:val="24"/>
              </w:rPr>
              <w:t xml:space="preserve">.1. </w:t>
            </w:r>
            <w:r w:rsidR="00394A67" w:rsidRPr="00394A67">
              <w:rPr>
                <w:b/>
                <w:bCs/>
                <w:szCs w:val="24"/>
              </w:rPr>
              <w:t>Duomenų ežeras</w:t>
            </w:r>
            <w:r w:rsidR="00394A67">
              <w:rPr>
                <w:szCs w:val="24"/>
              </w:rPr>
              <w:t xml:space="preserve"> </w:t>
            </w:r>
            <w:r w:rsidR="004F52E7">
              <w:rPr>
                <w:szCs w:val="24"/>
              </w:rPr>
              <w:t>– c</w:t>
            </w:r>
            <w:r w:rsidR="004F52E7" w:rsidRPr="004F52E7">
              <w:rPr>
                <w:szCs w:val="24"/>
              </w:rPr>
              <w:t xml:space="preserve">entralizuota </w:t>
            </w:r>
            <w:r w:rsidR="004F52E7">
              <w:rPr>
                <w:szCs w:val="24"/>
              </w:rPr>
              <w:t xml:space="preserve">duomenų </w:t>
            </w:r>
            <w:r w:rsidR="004F52E7" w:rsidRPr="004F52E7">
              <w:rPr>
                <w:szCs w:val="24"/>
              </w:rPr>
              <w:t xml:space="preserve">saugykla, leidžianti kaupti bet kokios struktūros ar </w:t>
            </w:r>
            <w:r w:rsidR="005F325B" w:rsidRPr="004F52E7">
              <w:rPr>
                <w:szCs w:val="24"/>
              </w:rPr>
              <w:t>nestruktūruotus</w:t>
            </w:r>
            <w:r w:rsidR="004F52E7" w:rsidRPr="004F52E7">
              <w:rPr>
                <w:szCs w:val="24"/>
              </w:rPr>
              <w:t xml:space="preserve"> duomenis dideliu mastu ir atlikti duomenų </w:t>
            </w:r>
            <w:r w:rsidR="004F52E7">
              <w:rPr>
                <w:szCs w:val="24"/>
              </w:rPr>
              <w:t xml:space="preserve">pseudoniminimo, anoniminimo </w:t>
            </w:r>
            <w:r w:rsidR="00B54274">
              <w:rPr>
                <w:szCs w:val="24"/>
              </w:rPr>
              <w:t>ir (</w:t>
            </w:r>
            <w:r w:rsidR="004F52E7">
              <w:rPr>
                <w:szCs w:val="24"/>
              </w:rPr>
              <w:t>ar</w:t>
            </w:r>
            <w:r w:rsidR="00B54274">
              <w:rPr>
                <w:szCs w:val="24"/>
              </w:rPr>
              <w:t>)</w:t>
            </w:r>
            <w:r w:rsidR="004F52E7">
              <w:rPr>
                <w:szCs w:val="24"/>
              </w:rPr>
              <w:t xml:space="preserve"> nuasmeninimo procedūras, </w:t>
            </w:r>
            <w:r w:rsidR="004F52E7" w:rsidRPr="004F52E7">
              <w:rPr>
                <w:szCs w:val="24"/>
              </w:rPr>
              <w:t xml:space="preserve">transformacijas, </w:t>
            </w:r>
            <w:r w:rsidR="004F52E7">
              <w:rPr>
                <w:szCs w:val="24"/>
              </w:rPr>
              <w:t xml:space="preserve">jungimą, </w:t>
            </w:r>
            <w:r w:rsidR="004F52E7" w:rsidRPr="004F52E7">
              <w:rPr>
                <w:szCs w:val="24"/>
              </w:rPr>
              <w:t xml:space="preserve">analizes, vizualizacijas </w:t>
            </w:r>
            <w:r w:rsidR="004F52E7">
              <w:rPr>
                <w:szCs w:val="24"/>
              </w:rPr>
              <w:t>ir (</w:t>
            </w:r>
            <w:r w:rsidR="004F52E7" w:rsidRPr="004F52E7">
              <w:rPr>
                <w:szCs w:val="24"/>
              </w:rPr>
              <w:t>ar</w:t>
            </w:r>
            <w:r w:rsidR="004F52E7">
              <w:rPr>
                <w:szCs w:val="24"/>
              </w:rPr>
              <w:t>)</w:t>
            </w:r>
            <w:r w:rsidR="004F52E7" w:rsidRPr="004F52E7">
              <w:rPr>
                <w:szCs w:val="24"/>
              </w:rPr>
              <w:t xml:space="preserve"> kitus veiksmus.</w:t>
            </w:r>
          </w:p>
          <w:p w14:paraId="04339A94" w14:textId="77777777" w:rsidR="003D40A5" w:rsidRDefault="00E07A53" w:rsidP="008678E1">
            <w:pPr>
              <w:tabs>
                <w:tab w:val="left" w:pos="195"/>
                <w:tab w:val="left" w:pos="930"/>
              </w:tabs>
              <w:ind w:firstLine="316"/>
              <w:jc w:val="both"/>
              <w:rPr>
                <w:szCs w:val="24"/>
              </w:rPr>
            </w:pPr>
            <w:r>
              <w:rPr>
                <w:rStyle w:val="normaltextrun"/>
                <w:szCs w:val="24"/>
                <w:shd w:val="clear" w:color="auto" w:fill="FFFFFF"/>
                <w:lang w:val="en-US"/>
              </w:rPr>
              <w:t>2</w:t>
            </w:r>
            <w:r w:rsidR="003D40A5">
              <w:rPr>
                <w:rStyle w:val="normaltextrun"/>
                <w:szCs w:val="24"/>
                <w:shd w:val="clear" w:color="auto" w:fill="FFFFFF"/>
                <w:lang w:val="en-US"/>
              </w:rPr>
              <w:t xml:space="preserve">.2. </w:t>
            </w:r>
            <w:r w:rsidR="003D40A5">
              <w:rPr>
                <w:rStyle w:val="normaltextrun"/>
                <w:szCs w:val="24"/>
                <w:shd w:val="clear" w:color="auto" w:fill="FFFFFF"/>
              </w:rPr>
              <w:t xml:space="preserve">Kitos </w:t>
            </w:r>
            <w:r w:rsidR="003D40A5" w:rsidRPr="000B72AB">
              <w:rPr>
                <w:rStyle w:val="normaltextrun"/>
                <w:szCs w:val="24"/>
                <w:shd w:val="clear" w:color="auto" w:fill="FFFFFF"/>
              </w:rPr>
              <w:t>Apraše vartojamos sąvokos suprantamos taip, kaip jos apibrėžtos Aprašo 1 punkte nurodytuose teisės aktuose.</w:t>
            </w:r>
          </w:p>
          <w:p w14:paraId="4ABDD9D6" w14:textId="77777777" w:rsidR="003D40A5" w:rsidRPr="00307DC0" w:rsidRDefault="003D40A5" w:rsidP="008678E1">
            <w:pPr>
              <w:tabs>
                <w:tab w:val="left" w:pos="195"/>
                <w:tab w:val="left" w:pos="930"/>
              </w:tabs>
              <w:ind w:firstLine="316"/>
              <w:jc w:val="both"/>
              <w:rPr>
                <w:i/>
                <w:iCs/>
                <w:szCs w:val="24"/>
              </w:rPr>
            </w:pPr>
          </w:p>
        </w:tc>
      </w:tr>
      <w:tr w:rsidR="00FC1CD5" w14:paraId="3F405DBB" w14:textId="77777777" w:rsidTr="005323E0">
        <w:trPr>
          <w:gridAfter w:val="1"/>
          <w:wAfter w:w="137" w:type="dxa"/>
        </w:trPr>
        <w:tc>
          <w:tcPr>
            <w:tcW w:w="14709" w:type="dxa"/>
            <w:gridSpan w:val="2"/>
          </w:tcPr>
          <w:p w14:paraId="634A94EE" w14:textId="77777777" w:rsidR="00FC1CD5" w:rsidRDefault="003D72F6">
            <w:pPr>
              <w:rPr>
                <w:b/>
                <w:szCs w:val="24"/>
              </w:rPr>
            </w:pPr>
            <w:r>
              <w:rPr>
                <w:b/>
                <w:szCs w:val="24"/>
              </w:rPr>
              <w:lastRenderedPageBreak/>
              <w:t>2. Reikalavimai projektams</w:t>
            </w:r>
          </w:p>
        </w:tc>
      </w:tr>
      <w:tr w:rsidR="00B24201" w14:paraId="1FA2141F" w14:textId="77777777" w:rsidTr="005323E0">
        <w:trPr>
          <w:gridAfter w:val="1"/>
          <w:wAfter w:w="137" w:type="dxa"/>
        </w:trPr>
        <w:tc>
          <w:tcPr>
            <w:tcW w:w="14709" w:type="dxa"/>
            <w:gridSpan w:val="2"/>
          </w:tcPr>
          <w:p w14:paraId="23589EA9" w14:textId="77777777" w:rsidR="00AE75DA"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Pagal Aprašą remiam</w:t>
            </w:r>
            <w:r w:rsidR="00307DC0" w:rsidRPr="00BE475F">
              <w:rPr>
                <w:rFonts w:eastAsia="Calibri"/>
                <w:szCs w:val="24"/>
              </w:rPr>
              <w:t>a</w:t>
            </w:r>
            <w:r w:rsidRPr="00BE475F">
              <w:rPr>
                <w:rFonts w:eastAsia="Calibri"/>
                <w:szCs w:val="24"/>
              </w:rPr>
              <w:t xml:space="preserve"> veikl</w:t>
            </w:r>
            <w:r w:rsidR="00307DC0" w:rsidRPr="00BE475F">
              <w:rPr>
                <w:rFonts w:eastAsia="Calibri"/>
                <w:szCs w:val="24"/>
              </w:rPr>
              <w:t>a</w:t>
            </w:r>
            <w:r w:rsidR="00663280" w:rsidRPr="00BE475F">
              <w:rPr>
                <w:rFonts w:eastAsia="Calibri"/>
                <w:szCs w:val="24"/>
              </w:rPr>
              <w:t xml:space="preserve"> – </w:t>
            </w:r>
            <w:r w:rsidR="00307DC0" w:rsidRPr="00BE475F">
              <w:rPr>
                <w:rFonts w:eastAsia="Calibri"/>
                <w:szCs w:val="24"/>
              </w:rPr>
              <w:t>Valstybės informacinių išteklių integracija į duomenų ežerą</w:t>
            </w:r>
            <w:r w:rsidR="00C539A0" w:rsidRPr="00BE475F">
              <w:rPr>
                <w:rFonts w:eastAsia="Calibri"/>
                <w:szCs w:val="24"/>
              </w:rPr>
              <w:t>.</w:t>
            </w:r>
            <w:r w:rsidR="006A458F" w:rsidRPr="00BE475F">
              <w:rPr>
                <w:rFonts w:eastAsia="Calibri"/>
                <w:szCs w:val="24"/>
              </w:rPr>
              <w:t xml:space="preserve"> </w:t>
            </w:r>
          </w:p>
          <w:p w14:paraId="19CB7710" w14:textId="77777777" w:rsidR="00B24201"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Galimas pareiškėjas:</w:t>
            </w:r>
            <w:r w:rsidR="00663280" w:rsidRPr="00BE475F">
              <w:rPr>
                <w:rFonts w:eastAsia="Calibri"/>
                <w:szCs w:val="24"/>
              </w:rPr>
              <w:t xml:space="preserve"> Lietuvos statistikos departamentas</w:t>
            </w:r>
            <w:r w:rsidRPr="00BE475F">
              <w:rPr>
                <w:rFonts w:eastAsia="Calibri"/>
                <w:szCs w:val="24"/>
              </w:rPr>
              <w:t xml:space="preserve">.  </w:t>
            </w:r>
          </w:p>
          <w:p w14:paraId="2DA36719" w14:textId="48F186AC" w:rsidR="00B24201" w:rsidRPr="00C70340" w:rsidRDefault="00004DE9" w:rsidP="00BE475F">
            <w:pPr>
              <w:pStyle w:val="ListParagraph"/>
              <w:numPr>
                <w:ilvl w:val="0"/>
                <w:numId w:val="3"/>
              </w:numPr>
              <w:tabs>
                <w:tab w:val="left" w:pos="316"/>
                <w:tab w:val="left" w:pos="426"/>
                <w:tab w:val="left" w:pos="709"/>
                <w:tab w:val="left" w:pos="910"/>
                <w:tab w:val="left" w:pos="1090"/>
              </w:tabs>
              <w:jc w:val="both"/>
              <w:rPr>
                <w:rFonts w:eastAsia="Calibri"/>
                <w:szCs w:val="24"/>
              </w:rPr>
            </w:pPr>
            <w:r>
              <w:rPr>
                <w:rFonts w:eastAsia="Calibri"/>
                <w:szCs w:val="24"/>
              </w:rPr>
              <w:t>P</w:t>
            </w:r>
            <w:r w:rsidRPr="00004DE9">
              <w:rPr>
                <w:rFonts w:eastAsia="Calibri"/>
                <w:szCs w:val="24"/>
              </w:rPr>
              <w:t>agal aprašą finansuojama veikla „Valstybės informacinių išteklių integracija į duomenų ežerą“ turi būti įgyvendinta iki 2026 m. birželio 30 d.</w:t>
            </w:r>
            <w:r w:rsidR="009B757B" w:rsidRPr="00BE475F">
              <w:rPr>
                <w:rFonts w:eastAsia="Calibri"/>
                <w:szCs w:val="24"/>
              </w:rPr>
              <w:t xml:space="preserve"> </w:t>
            </w:r>
            <w:r w:rsidR="007F2E5B" w:rsidRPr="00BE475F">
              <w:rPr>
                <w:rFonts w:eastAsia="Calibri"/>
                <w:szCs w:val="24"/>
              </w:rPr>
              <w:t>T</w:t>
            </w:r>
            <w:proofErr w:type="spellStart"/>
            <w:r w:rsidR="007F2E5B" w:rsidRPr="00C70340">
              <w:rPr>
                <w:rFonts w:eastAsia="Calibri"/>
                <w:szCs w:val="24"/>
              </w:rPr>
              <w:t>arpiniai</w:t>
            </w:r>
            <w:proofErr w:type="spellEnd"/>
            <w:r w:rsidR="007F2E5B" w:rsidRPr="00C70340">
              <w:rPr>
                <w:rFonts w:eastAsia="Calibri"/>
                <w:szCs w:val="24"/>
              </w:rPr>
              <w:t xml:space="preserve"> stebėsenos rodikliai turi būti pasiekti Apraše nurodytais terminais.</w:t>
            </w:r>
            <w:r w:rsidR="00B764B3" w:rsidRPr="00C70340">
              <w:rPr>
                <w:rFonts w:eastAsia="Calibri"/>
                <w:szCs w:val="24"/>
              </w:rPr>
              <w:t xml:space="preserve"> </w:t>
            </w:r>
          </w:p>
          <w:p w14:paraId="70B6EC17" w14:textId="77777777" w:rsidR="00B24201"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 xml:space="preserve">Projekto veikloms įgyvendinti numatyta skirti iki </w:t>
            </w:r>
            <w:r w:rsidR="00544EB4" w:rsidRPr="00BE475F">
              <w:rPr>
                <w:rFonts w:eastAsia="Calibri"/>
                <w:szCs w:val="24"/>
              </w:rPr>
              <w:t>15 460 33</w:t>
            </w:r>
            <w:r w:rsidR="00045263" w:rsidRPr="00BE475F">
              <w:rPr>
                <w:rFonts w:eastAsia="Calibri"/>
                <w:szCs w:val="24"/>
              </w:rPr>
              <w:t>0</w:t>
            </w:r>
            <w:r w:rsidR="00544EB4" w:rsidRPr="00BE475F">
              <w:rPr>
                <w:rFonts w:eastAsia="Calibri"/>
                <w:szCs w:val="24"/>
              </w:rPr>
              <w:t xml:space="preserve"> </w:t>
            </w:r>
            <w:r w:rsidRPr="00BE475F">
              <w:rPr>
                <w:rFonts w:eastAsia="Calibri"/>
                <w:szCs w:val="24"/>
              </w:rPr>
              <w:t>Eur (</w:t>
            </w:r>
            <w:r w:rsidR="00045263" w:rsidRPr="00BE475F">
              <w:rPr>
                <w:rFonts w:eastAsia="Calibri"/>
                <w:szCs w:val="24"/>
              </w:rPr>
              <w:t>penkio</w:t>
            </w:r>
            <w:r w:rsidR="00F6715D" w:rsidRPr="00BE475F">
              <w:rPr>
                <w:rFonts w:eastAsia="Calibri"/>
                <w:szCs w:val="24"/>
              </w:rPr>
              <w:t>lika</w:t>
            </w:r>
            <w:r w:rsidRPr="00BE475F">
              <w:rPr>
                <w:rFonts w:eastAsia="Calibri"/>
                <w:szCs w:val="24"/>
              </w:rPr>
              <w:t xml:space="preserve"> milijonų </w:t>
            </w:r>
            <w:r w:rsidR="00515EF0" w:rsidRPr="00BE475F">
              <w:rPr>
                <w:rFonts w:eastAsia="Calibri"/>
                <w:szCs w:val="24"/>
              </w:rPr>
              <w:t>keturių</w:t>
            </w:r>
            <w:r w:rsidR="00F6715D" w:rsidRPr="00BE475F">
              <w:rPr>
                <w:rFonts w:eastAsia="Calibri"/>
                <w:szCs w:val="24"/>
              </w:rPr>
              <w:t xml:space="preserve"> </w:t>
            </w:r>
            <w:r w:rsidRPr="00BE475F">
              <w:rPr>
                <w:rFonts w:eastAsia="Calibri"/>
                <w:szCs w:val="24"/>
              </w:rPr>
              <w:t xml:space="preserve">šimtų </w:t>
            </w:r>
            <w:r w:rsidR="00515EF0" w:rsidRPr="00BE475F">
              <w:rPr>
                <w:rFonts w:eastAsia="Calibri"/>
                <w:szCs w:val="24"/>
              </w:rPr>
              <w:t>šešiasdešimt</w:t>
            </w:r>
            <w:r w:rsidR="00F671B5" w:rsidRPr="00BE475F">
              <w:rPr>
                <w:rFonts w:eastAsia="Calibri"/>
                <w:szCs w:val="24"/>
              </w:rPr>
              <w:t xml:space="preserve"> </w:t>
            </w:r>
            <w:r w:rsidRPr="00BE475F">
              <w:rPr>
                <w:rFonts w:eastAsia="Calibri"/>
                <w:szCs w:val="24"/>
              </w:rPr>
              <w:t>tūkstančių</w:t>
            </w:r>
            <w:r w:rsidR="00582F61" w:rsidRPr="00BE475F">
              <w:rPr>
                <w:rFonts w:eastAsia="Calibri"/>
                <w:szCs w:val="24"/>
              </w:rPr>
              <w:t xml:space="preserve"> </w:t>
            </w:r>
            <w:r w:rsidR="00515EF0" w:rsidRPr="00BE475F">
              <w:rPr>
                <w:rFonts w:eastAsia="Calibri"/>
                <w:szCs w:val="24"/>
              </w:rPr>
              <w:t>trijų</w:t>
            </w:r>
            <w:r w:rsidR="00711CF9" w:rsidRPr="00BE475F">
              <w:rPr>
                <w:rFonts w:eastAsia="Calibri"/>
                <w:szCs w:val="24"/>
              </w:rPr>
              <w:t xml:space="preserve"> </w:t>
            </w:r>
            <w:r w:rsidR="00F57469" w:rsidRPr="00BE475F">
              <w:rPr>
                <w:rFonts w:eastAsia="Calibri"/>
                <w:szCs w:val="24"/>
              </w:rPr>
              <w:t>šimtų</w:t>
            </w:r>
            <w:r w:rsidR="00582F61" w:rsidRPr="00BE475F">
              <w:rPr>
                <w:rFonts w:eastAsia="Calibri"/>
                <w:szCs w:val="24"/>
              </w:rPr>
              <w:t xml:space="preserve"> </w:t>
            </w:r>
            <w:r w:rsidR="00017BEA" w:rsidRPr="00BE475F">
              <w:rPr>
                <w:rFonts w:eastAsia="Calibri"/>
                <w:szCs w:val="24"/>
              </w:rPr>
              <w:t xml:space="preserve">trisdešimt </w:t>
            </w:r>
            <w:r w:rsidRPr="00BE475F">
              <w:rPr>
                <w:rFonts w:eastAsia="Calibri"/>
                <w:szCs w:val="24"/>
              </w:rPr>
              <w:t xml:space="preserve">eurų 00 centų) </w:t>
            </w:r>
            <w:r w:rsidR="009812E6" w:rsidRPr="00BE475F">
              <w:rPr>
                <w:rFonts w:eastAsia="Calibri"/>
                <w:szCs w:val="24"/>
              </w:rPr>
              <w:t>EGADP</w:t>
            </w:r>
            <w:r w:rsidRPr="00BE475F">
              <w:rPr>
                <w:rFonts w:eastAsia="Calibri"/>
                <w:szCs w:val="24"/>
              </w:rPr>
              <w:t xml:space="preserve"> ir </w:t>
            </w:r>
            <w:r w:rsidR="00AC47C9" w:rsidRPr="00BE475F">
              <w:rPr>
                <w:rFonts w:eastAsia="Calibri"/>
                <w:szCs w:val="24"/>
              </w:rPr>
              <w:t>3</w:t>
            </w:r>
            <w:r w:rsidR="00493F00" w:rsidRPr="00BE475F">
              <w:rPr>
                <w:rFonts w:eastAsia="Calibri"/>
                <w:szCs w:val="24"/>
              </w:rPr>
              <w:t> </w:t>
            </w:r>
            <w:r w:rsidR="00AC47C9" w:rsidRPr="00BE475F">
              <w:rPr>
                <w:rFonts w:eastAsia="Calibri"/>
                <w:szCs w:val="24"/>
              </w:rPr>
              <w:t>246</w:t>
            </w:r>
            <w:r w:rsidR="00493F00" w:rsidRPr="00BE475F">
              <w:rPr>
                <w:rFonts w:eastAsia="Calibri"/>
                <w:szCs w:val="24"/>
              </w:rPr>
              <w:t xml:space="preserve"> </w:t>
            </w:r>
            <w:r w:rsidR="00AC47C9" w:rsidRPr="00BE475F">
              <w:rPr>
                <w:rFonts w:eastAsia="Calibri"/>
                <w:szCs w:val="24"/>
              </w:rPr>
              <w:t>67</w:t>
            </w:r>
            <w:r w:rsidR="00FA501A" w:rsidRPr="00BE475F">
              <w:rPr>
                <w:rFonts w:eastAsia="Calibri"/>
                <w:szCs w:val="24"/>
              </w:rPr>
              <w:t>0</w:t>
            </w:r>
            <w:r w:rsidR="00AC47C9" w:rsidRPr="00BE475F">
              <w:rPr>
                <w:rFonts w:eastAsia="Calibri"/>
                <w:szCs w:val="24"/>
              </w:rPr>
              <w:t xml:space="preserve"> </w:t>
            </w:r>
            <w:r w:rsidRPr="00BE475F">
              <w:rPr>
                <w:rFonts w:eastAsia="Calibri"/>
                <w:szCs w:val="24"/>
              </w:rPr>
              <w:t>(</w:t>
            </w:r>
            <w:r w:rsidR="00582F61" w:rsidRPr="00BE475F">
              <w:rPr>
                <w:rFonts w:eastAsia="Calibri"/>
                <w:szCs w:val="24"/>
              </w:rPr>
              <w:t>trijų</w:t>
            </w:r>
            <w:r w:rsidRPr="00BE475F">
              <w:rPr>
                <w:rFonts w:eastAsia="Calibri"/>
                <w:szCs w:val="24"/>
              </w:rPr>
              <w:t xml:space="preserve"> milijonų </w:t>
            </w:r>
            <w:r w:rsidR="00493F00" w:rsidRPr="00BE475F">
              <w:rPr>
                <w:rFonts w:eastAsia="Calibri"/>
                <w:szCs w:val="24"/>
              </w:rPr>
              <w:t>dviejų šimtų ketur</w:t>
            </w:r>
            <w:r w:rsidR="009061EC" w:rsidRPr="00BE475F">
              <w:rPr>
                <w:rFonts w:eastAsia="Calibri"/>
                <w:szCs w:val="24"/>
              </w:rPr>
              <w:t>iasdešimt</w:t>
            </w:r>
            <w:r w:rsidR="00493F00" w:rsidRPr="00BE475F">
              <w:rPr>
                <w:rFonts w:eastAsia="Calibri"/>
                <w:szCs w:val="24"/>
              </w:rPr>
              <w:t xml:space="preserve"> šešių</w:t>
            </w:r>
            <w:r w:rsidR="009061EC" w:rsidRPr="00BE475F">
              <w:rPr>
                <w:rFonts w:eastAsia="Calibri"/>
                <w:szCs w:val="24"/>
              </w:rPr>
              <w:t xml:space="preserve"> </w:t>
            </w:r>
            <w:r w:rsidRPr="00BE475F">
              <w:rPr>
                <w:rFonts w:eastAsia="Calibri"/>
                <w:szCs w:val="24"/>
              </w:rPr>
              <w:t xml:space="preserve">tūkstančių </w:t>
            </w:r>
            <w:r w:rsidR="00FA501A" w:rsidRPr="00BE475F">
              <w:rPr>
                <w:rFonts w:eastAsia="Calibri"/>
                <w:szCs w:val="24"/>
              </w:rPr>
              <w:t xml:space="preserve">šešių </w:t>
            </w:r>
            <w:r w:rsidRPr="00BE475F">
              <w:rPr>
                <w:rFonts w:eastAsia="Calibri"/>
                <w:szCs w:val="24"/>
              </w:rPr>
              <w:t xml:space="preserve">šimtų </w:t>
            </w:r>
            <w:r w:rsidR="000978EF" w:rsidRPr="00BE475F">
              <w:rPr>
                <w:rFonts w:eastAsia="Calibri"/>
                <w:szCs w:val="24"/>
              </w:rPr>
              <w:t>septyn</w:t>
            </w:r>
            <w:r w:rsidR="009061EC" w:rsidRPr="00BE475F">
              <w:rPr>
                <w:rFonts w:eastAsia="Calibri"/>
                <w:szCs w:val="24"/>
              </w:rPr>
              <w:t>iasdešimt</w:t>
            </w:r>
            <w:r w:rsidR="000A6AAC" w:rsidRPr="00BE475F">
              <w:rPr>
                <w:rFonts w:eastAsia="Calibri"/>
                <w:szCs w:val="24"/>
              </w:rPr>
              <w:t xml:space="preserve"> </w:t>
            </w:r>
            <w:r w:rsidRPr="00BE475F">
              <w:rPr>
                <w:rFonts w:eastAsia="Calibri"/>
                <w:szCs w:val="24"/>
              </w:rPr>
              <w:t xml:space="preserve">eurų 00 centų) </w:t>
            </w:r>
            <w:r w:rsidR="009812E6" w:rsidRPr="00BE475F">
              <w:rPr>
                <w:rFonts w:eastAsia="Calibri"/>
                <w:szCs w:val="24"/>
              </w:rPr>
              <w:t>VB</w:t>
            </w:r>
            <w:r w:rsidRPr="00BE475F">
              <w:rPr>
                <w:rFonts w:eastAsia="Calibri"/>
                <w:szCs w:val="24"/>
              </w:rPr>
              <w:t>.</w:t>
            </w:r>
          </w:p>
          <w:p w14:paraId="348C2F88" w14:textId="77777777" w:rsidR="00B24201"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lastRenderedPageBreak/>
              <w:t xml:space="preserve">Projektas turi atitikti bendruosius projektų atrankos kriterijus, </w:t>
            </w:r>
            <w:r w:rsidRPr="00EE2178">
              <w:rPr>
                <w:rFonts w:eastAsia="Calibri"/>
                <w:szCs w:val="24"/>
              </w:rPr>
              <w:t xml:space="preserve">nustatytus </w:t>
            </w:r>
            <w:r w:rsidR="00645B5E" w:rsidRPr="00645B5E">
              <w:rPr>
                <w:rFonts w:eastAsia="Calibri"/>
                <w:szCs w:val="24"/>
              </w:rPr>
              <w:t>Projektų taisyklių 2 priede</w:t>
            </w:r>
            <w:r w:rsidRPr="00EE2178">
              <w:rPr>
                <w:rFonts w:eastAsia="Calibri"/>
                <w:szCs w:val="24"/>
              </w:rPr>
              <w:t>.</w:t>
            </w:r>
            <w:r w:rsidRPr="00BE475F">
              <w:rPr>
                <w:rFonts w:eastAsia="Calibri"/>
                <w:szCs w:val="24"/>
              </w:rPr>
              <w:t xml:space="preserve"> </w:t>
            </w:r>
          </w:p>
          <w:p w14:paraId="010853F2" w14:textId="77777777" w:rsidR="00B24201"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 xml:space="preserve">Informavimo apie projektą veikla vykdoma, vadovaujantis </w:t>
            </w:r>
            <w:r w:rsidR="001E7039" w:rsidRPr="00BE475F">
              <w:rPr>
                <w:rFonts w:eastAsia="Calibri"/>
                <w:szCs w:val="24"/>
              </w:rPr>
              <w:t>Projekto taisyklių VIII skyriaus pirmojo skirsnio nuostatomis</w:t>
            </w:r>
            <w:r w:rsidRPr="00BE475F">
              <w:rPr>
                <w:rFonts w:eastAsia="Calibri"/>
                <w:szCs w:val="24"/>
              </w:rPr>
              <w:t>.</w:t>
            </w:r>
          </w:p>
          <w:p w14:paraId="2006EF08" w14:textId="77777777" w:rsidR="00B24201" w:rsidRPr="00EE2178"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Pagal aprašą galimas partneris yra</w:t>
            </w:r>
            <w:r w:rsidR="00600C14" w:rsidRPr="00BE475F">
              <w:rPr>
                <w:rFonts w:eastAsia="Calibri"/>
                <w:szCs w:val="24"/>
              </w:rPr>
              <w:t xml:space="preserve"> </w:t>
            </w:r>
            <w:r w:rsidR="00303906" w:rsidRPr="00BE475F">
              <w:rPr>
                <w:rFonts w:eastAsia="Calibri"/>
                <w:szCs w:val="24"/>
              </w:rPr>
              <w:t>Informacinės visuomenės plėtros komitetas</w:t>
            </w:r>
            <w:r w:rsidRPr="00BE475F">
              <w:rPr>
                <w:rFonts w:eastAsia="Calibri"/>
                <w:szCs w:val="24"/>
              </w:rPr>
              <w:t>.</w:t>
            </w:r>
          </w:p>
          <w:p w14:paraId="450CD5B4" w14:textId="77777777" w:rsidR="00B24201" w:rsidRPr="00BE475F" w:rsidRDefault="00B24201"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Jeigu projektas įgyvendinamas su partneriu, partnerystė projekte turi būti pagrįsta, teikti naudą,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186F4564" w14:textId="282491A0" w:rsidR="00B24201" w:rsidRPr="00BE475F" w:rsidRDefault="00B24201" w:rsidP="00BE475F">
            <w:pPr>
              <w:pStyle w:val="ListParagraph"/>
              <w:numPr>
                <w:ilvl w:val="1"/>
                <w:numId w:val="3"/>
              </w:numPr>
              <w:tabs>
                <w:tab w:val="left" w:pos="426"/>
                <w:tab w:val="left" w:pos="567"/>
                <w:tab w:val="left" w:pos="709"/>
                <w:tab w:val="left" w:pos="910"/>
                <w:tab w:val="left" w:pos="1090"/>
              </w:tabs>
              <w:jc w:val="both"/>
              <w:rPr>
                <w:rFonts w:eastAsia="Calibri"/>
                <w:szCs w:val="24"/>
              </w:rPr>
            </w:pPr>
            <w:r w:rsidRPr="00BE475F">
              <w:rPr>
                <w:rFonts w:eastAsia="Calibri"/>
                <w:szCs w:val="24"/>
              </w:rPr>
              <w:t xml:space="preserve">Partneris turi būti perskaitęs </w:t>
            </w:r>
            <w:r w:rsidR="009E3FB2" w:rsidRPr="00BE475F">
              <w:rPr>
                <w:rFonts w:eastAsia="Calibri"/>
                <w:szCs w:val="24"/>
              </w:rPr>
              <w:t>PĮP</w:t>
            </w:r>
            <w:r w:rsidRPr="00BE475F">
              <w:rPr>
                <w:rFonts w:eastAsia="Calibri"/>
                <w:szCs w:val="24"/>
              </w:rPr>
              <w:t xml:space="preserve"> ir susipažinęs su jame išdėstytomis savo teisėmis ir pareigomis.</w:t>
            </w:r>
          </w:p>
          <w:p w14:paraId="7FC5CF7C" w14:textId="602ADD44" w:rsidR="00B24201" w:rsidRPr="00BE475F" w:rsidRDefault="00B24201" w:rsidP="00BE475F">
            <w:pPr>
              <w:pStyle w:val="ListParagraph"/>
              <w:numPr>
                <w:ilvl w:val="1"/>
                <w:numId w:val="3"/>
              </w:numPr>
              <w:tabs>
                <w:tab w:val="left" w:pos="426"/>
                <w:tab w:val="left" w:pos="567"/>
                <w:tab w:val="left" w:pos="709"/>
                <w:tab w:val="left" w:pos="910"/>
                <w:tab w:val="left" w:pos="1090"/>
              </w:tabs>
              <w:jc w:val="both"/>
              <w:rPr>
                <w:rFonts w:eastAsia="Calibri"/>
                <w:szCs w:val="24"/>
              </w:rPr>
            </w:pPr>
            <w:r w:rsidRPr="00BE475F">
              <w:rPr>
                <w:rFonts w:eastAsia="Calibri"/>
                <w:szCs w:val="24"/>
              </w:rPr>
              <w:t>Įgyvendindamas projektą projekto vykdytojas privalo reguliariai konsultuotis su partneriu dėl veiklų, kurios yra įgyvendinamos kartu, ir nuolat jį informuoti apie tų veiklų įgyvendinimo eigą.</w:t>
            </w:r>
          </w:p>
          <w:p w14:paraId="62B5D728" w14:textId="77777777" w:rsidR="00B24201" w:rsidRPr="00BE475F" w:rsidRDefault="00B24201" w:rsidP="00BE475F">
            <w:pPr>
              <w:pStyle w:val="ListParagraph"/>
              <w:numPr>
                <w:ilvl w:val="1"/>
                <w:numId w:val="3"/>
              </w:numPr>
              <w:tabs>
                <w:tab w:val="left" w:pos="426"/>
                <w:tab w:val="left" w:pos="567"/>
                <w:tab w:val="left" w:pos="709"/>
                <w:tab w:val="left" w:pos="910"/>
                <w:tab w:val="left" w:pos="1090"/>
              </w:tabs>
              <w:jc w:val="both"/>
              <w:rPr>
                <w:rFonts w:eastAsia="Calibri"/>
                <w:szCs w:val="24"/>
              </w:rPr>
            </w:pPr>
            <w:r w:rsidRPr="00BE475F">
              <w:rPr>
                <w:rFonts w:eastAsia="Calibri"/>
                <w:szCs w:val="24"/>
              </w:rPr>
              <w:t xml:space="preserve">Visi </w:t>
            </w:r>
            <w:r w:rsidR="009E3FB2" w:rsidRPr="00BE475F">
              <w:rPr>
                <w:rFonts w:eastAsia="Calibri"/>
                <w:szCs w:val="24"/>
              </w:rPr>
              <w:t>PĮP</w:t>
            </w:r>
            <w:r w:rsidRPr="00BE475F">
              <w:rPr>
                <w:rFonts w:eastAsia="Calibri"/>
                <w:szCs w:val="24"/>
              </w:rPr>
              <w:t xml:space="preserve"> pakeitimai, turintys įtakos partnerio įsipareigojimams ir teisėms, prieš kreipiantis į administruojančiąją instituciją pirmiausia turi būti suderinti su partneriu.</w:t>
            </w:r>
          </w:p>
          <w:p w14:paraId="750C1755" w14:textId="37EB875C" w:rsidR="008B6546" w:rsidRPr="00BE475F" w:rsidRDefault="008B6546" w:rsidP="00BE475F">
            <w:pPr>
              <w:pStyle w:val="ListParagraph"/>
              <w:numPr>
                <w:ilvl w:val="0"/>
                <w:numId w:val="3"/>
              </w:numPr>
              <w:tabs>
                <w:tab w:val="left" w:pos="426"/>
                <w:tab w:val="left" w:pos="709"/>
                <w:tab w:val="left" w:pos="910"/>
                <w:tab w:val="left" w:pos="1090"/>
              </w:tabs>
              <w:jc w:val="both"/>
              <w:rPr>
                <w:rFonts w:eastAsia="Calibri"/>
                <w:szCs w:val="24"/>
              </w:rPr>
            </w:pPr>
            <w:r w:rsidRPr="00BE475F">
              <w:rPr>
                <w:rFonts w:eastAsia="Calibri"/>
                <w:szCs w:val="24"/>
              </w:rPr>
              <w:t xml:space="preserve">Kartu su PĮP </w:t>
            </w:r>
            <w:r w:rsidR="007D6AF8" w:rsidRPr="00BE475F">
              <w:rPr>
                <w:rFonts w:eastAsia="Calibri"/>
                <w:szCs w:val="24"/>
              </w:rPr>
              <w:t xml:space="preserve">administruojančiajai </w:t>
            </w:r>
            <w:r w:rsidRPr="00BE475F">
              <w:rPr>
                <w:rFonts w:eastAsia="Calibri"/>
                <w:szCs w:val="24"/>
              </w:rPr>
              <w:t>institucijai turi būti pateikti dokumentai:</w:t>
            </w:r>
          </w:p>
          <w:p w14:paraId="6BE8171B" w14:textId="0D2AD3F5" w:rsidR="008B6546" w:rsidRPr="00BE475F" w:rsidRDefault="00E40CF0" w:rsidP="00BE475F">
            <w:pPr>
              <w:tabs>
                <w:tab w:val="left" w:pos="426"/>
                <w:tab w:val="left" w:pos="709"/>
                <w:tab w:val="left" w:pos="910"/>
                <w:tab w:val="left" w:pos="1090"/>
              </w:tabs>
              <w:ind w:left="29" w:firstLine="570"/>
              <w:jc w:val="both"/>
              <w:rPr>
                <w:rFonts w:eastAsia="Calibri"/>
                <w:szCs w:val="24"/>
              </w:rPr>
            </w:pPr>
            <w:r w:rsidRPr="00BE475F">
              <w:rPr>
                <w:rFonts w:eastAsia="Calibri"/>
                <w:szCs w:val="24"/>
              </w:rPr>
              <w:t>9</w:t>
            </w:r>
            <w:r w:rsidR="008B6546" w:rsidRPr="00BE475F">
              <w:rPr>
                <w:rFonts w:eastAsia="Calibri"/>
                <w:szCs w:val="24"/>
              </w:rPr>
              <w:t>.1. Partnerio deklaracija (Projektų taisyklių Projekto įgyvendinimo plano formos 1 priedas) (taikoma, jei projektas bus įgyvendinamas su partneriu (-</w:t>
            </w:r>
            <w:proofErr w:type="spellStart"/>
            <w:r w:rsidR="008B6546" w:rsidRPr="00BE475F">
              <w:rPr>
                <w:rFonts w:eastAsia="Calibri"/>
                <w:szCs w:val="24"/>
              </w:rPr>
              <w:t>iais</w:t>
            </w:r>
            <w:proofErr w:type="spellEnd"/>
            <w:r w:rsidR="008B6546" w:rsidRPr="00BE475F">
              <w:rPr>
                <w:rFonts w:eastAsia="Calibri"/>
                <w:szCs w:val="24"/>
              </w:rPr>
              <w:t xml:space="preserve">)); </w:t>
            </w:r>
          </w:p>
          <w:p w14:paraId="41CB5122" w14:textId="3FBF78C2" w:rsidR="008B6546" w:rsidRPr="00BE475F" w:rsidRDefault="00E40CF0" w:rsidP="00BE475F">
            <w:pPr>
              <w:tabs>
                <w:tab w:val="left" w:pos="426"/>
                <w:tab w:val="left" w:pos="709"/>
                <w:tab w:val="left" w:pos="910"/>
                <w:tab w:val="left" w:pos="1090"/>
              </w:tabs>
              <w:ind w:left="29" w:firstLine="570"/>
              <w:jc w:val="both"/>
              <w:rPr>
                <w:rFonts w:eastAsia="Calibri"/>
                <w:szCs w:val="24"/>
              </w:rPr>
            </w:pPr>
            <w:r w:rsidRPr="00BE475F">
              <w:rPr>
                <w:rFonts w:eastAsia="Calibri"/>
                <w:szCs w:val="24"/>
              </w:rPr>
              <w:t>9</w:t>
            </w:r>
            <w:r w:rsidR="008B6546" w:rsidRPr="00BE475F">
              <w:rPr>
                <w:rFonts w:eastAsia="Calibri"/>
                <w:szCs w:val="24"/>
              </w:rPr>
              <w:t>.2.</w:t>
            </w:r>
            <w:r w:rsidR="008B6546" w:rsidRPr="00BE475F">
              <w:rPr>
                <w:rFonts w:eastAsia="Calibri"/>
                <w:szCs w:val="24"/>
              </w:rPr>
              <w:tab/>
              <w:t xml:space="preserve"> informacija apie projekto biudžeto paskirstymą pagal pareiškėjus ir partnerius (Projektų taisyklių Projekto įgyvendinimo plano formos 2 priedas) (taikoma, jei projektas bus įgyvendinamas su partneriu (-</w:t>
            </w:r>
            <w:proofErr w:type="spellStart"/>
            <w:r w:rsidR="008B6546" w:rsidRPr="00BE475F">
              <w:rPr>
                <w:rFonts w:eastAsia="Calibri"/>
                <w:szCs w:val="24"/>
              </w:rPr>
              <w:t>iais</w:t>
            </w:r>
            <w:proofErr w:type="spellEnd"/>
            <w:r w:rsidR="008B6546" w:rsidRPr="00BE475F">
              <w:rPr>
                <w:rFonts w:eastAsia="Calibri"/>
                <w:szCs w:val="24"/>
              </w:rPr>
              <w:t xml:space="preserve">)); </w:t>
            </w:r>
          </w:p>
          <w:p w14:paraId="2FF4559A" w14:textId="7DF93DA8" w:rsidR="008B6546" w:rsidRPr="00BE475F" w:rsidRDefault="00E40CF0" w:rsidP="00BE475F">
            <w:pPr>
              <w:tabs>
                <w:tab w:val="left" w:pos="426"/>
                <w:tab w:val="left" w:pos="709"/>
                <w:tab w:val="left" w:pos="910"/>
                <w:tab w:val="left" w:pos="1090"/>
              </w:tabs>
              <w:ind w:left="29" w:firstLine="570"/>
              <w:jc w:val="both"/>
              <w:rPr>
                <w:rFonts w:eastAsia="Calibri"/>
                <w:szCs w:val="24"/>
              </w:rPr>
            </w:pPr>
            <w:r w:rsidRPr="00BE475F">
              <w:rPr>
                <w:rFonts w:eastAsia="Calibri"/>
                <w:szCs w:val="24"/>
              </w:rPr>
              <w:t>9</w:t>
            </w:r>
            <w:r w:rsidR="008B6546" w:rsidRPr="00BE475F">
              <w:rPr>
                <w:rFonts w:eastAsia="Calibri"/>
                <w:szCs w:val="24"/>
              </w:rPr>
              <w:t>.3.</w:t>
            </w:r>
            <w:r w:rsidR="008B6546" w:rsidRPr="00BE475F">
              <w:rPr>
                <w:rFonts w:eastAsia="Calibri"/>
                <w:szCs w:val="24"/>
              </w:rPr>
              <w:tab/>
              <w:t xml:space="preserve">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http://www.ppplietuva.lt (skiltyje „Viešųjų investicijų projektų rengimas“ / „Rengimas ir vertinimas“)</w:t>
            </w:r>
            <w:r w:rsidR="00C36DEA" w:rsidRPr="00BE475F">
              <w:rPr>
                <w:rFonts w:eastAsia="Calibri"/>
                <w:szCs w:val="24"/>
              </w:rPr>
              <w:t xml:space="preserve"> (jei taikoma)</w:t>
            </w:r>
            <w:r w:rsidR="008B6546" w:rsidRPr="00BE475F">
              <w:rPr>
                <w:rFonts w:eastAsia="Calibri"/>
                <w:szCs w:val="24"/>
              </w:rPr>
              <w:t xml:space="preserve">;  </w:t>
            </w:r>
          </w:p>
          <w:p w14:paraId="75421D3E" w14:textId="77777777" w:rsidR="007C0762" w:rsidRPr="00BE475F" w:rsidRDefault="00E40CF0" w:rsidP="00BE475F">
            <w:pPr>
              <w:tabs>
                <w:tab w:val="left" w:pos="426"/>
                <w:tab w:val="left" w:pos="709"/>
                <w:tab w:val="left" w:pos="910"/>
                <w:tab w:val="left" w:pos="1090"/>
              </w:tabs>
              <w:ind w:left="29" w:firstLine="570"/>
              <w:jc w:val="both"/>
              <w:rPr>
                <w:rFonts w:eastAsia="Calibri"/>
                <w:szCs w:val="24"/>
              </w:rPr>
            </w:pPr>
            <w:r w:rsidRPr="00BE475F">
              <w:rPr>
                <w:rFonts w:eastAsia="Calibri"/>
                <w:szCs w:val="24"/>
              </w:rPr>
              <w:t>9</w:t>
            </w:r>
            <w:r w:rsidR="008B6546" w:rsidRPr="00BE475F">
              <w:rPr>
                <w:rFonts w:eastAsia="Calibri"/>
                <w:szCs w:val="24"/>
              </w:rPr>
              <w:t>.4</w:t>
            </w:r>
            <w:r w:rsidR="002B7FCA" w:rsidRPr="00BE475F">
              <w:rPr>
                <w:rFonts w:eastAsia="Calibri"/>
                <w:szCs w:val="24"/>
              </w:rPr>
              <w:t>.</w:t>
            </w:r>
            <w:r w:rsidR="008B6546" w:rsidRPr="00BE475F">
              <w:rPr>
                <w:rFonts w:eastAsia="Calibri"/>
                <w:szCs w:val="24"/>
              </w:rPr>
              <w:t xml:space="preserve"> dokumentai ir informacija, pagrindžiantys projekto išlaidų pagrįstumą </w:t>
            </w:r>
            <w:r w:rsidR="00255760" w:rsidRPr="00BE475F">
              <w:rPr>
                <w:rFonts w:eastAsia="Calibri"/>
                <w:szCs w:val="24"/>
              </w:rPr>
              <w:t>(pvz.,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 registrui / programinei įrangai kurti, modernizuoti grindžiamos komerciniais pasiūlymais, juose turi būti detaliai, atsižvelgiant į informacinės sistemos / registro / programinės įrangos kūrimo etapus pateikta kaina, kūrimo laikas, būtini specialistai, jų įkainiai, išorinių sąsajų skaičius, įvertintos numatomos naudoti programinės įrangos licencijos, jų kaina ir pan.</w:t>
            </w:r>
            <w:r w:rsidR="00E30BD1" w:rsidRPr="00BE475F">
              <w:rPr>
                <w:rFonts w:eastAsia="Calibri"/>
                <w:szCs w:val="24"/>
              </w:rPr>
              <w:t>, veiklų sąrašas, kuriame būtų nurodytos projektą vykdančių asmenų darbo valandos projekte, valandinis įkainis, jo pagrindimas</w:t>
            </w:r>
            <w:r w:rsidR="00255760" w:rsidRPr="00BE475F">
              <w:rPr>
                <w:rFonts w:eastAsia="Calibri"/>
                <w:szCs w:val="24"/>
              </w:rPr>
              <w:t>).</w:t>
            </w:r>
          </w:p>
          <w:p w14:paraId="4B84BD07" w14:textId="021A0079" w:rsidR="008B6546" w:rsidRPr="00BE475F" w:rsidRDefault="007C0762" w:rsidP="00BE475F">
            <w:pPr>
              <w:tabs>
                <w:tab w:val="left" w:pos="426"/>
                <w:tab w:val="left" w:pos="709"/>
                <w:tab w:val="left" w:pos="910"/>
                <w:tab w:val="left" w:pos="1090"/>
              </w:tabs>
              <w:ind w:left="29" w:firstLine="570"/>
              <w:jc w:val="both"/>
              <w:rPr>
                <w:rFonts w:eastAsia="Calibri"/>
                <w:szCs w:val="24"/>
              </w:rPr>
            </w:pPr>
            <w:r w:rsidRPr="00BE475F">
              <w:rPr>
                <w:rFonts w:eastAsia="Calibri"/>
                <w:szCs w:val="24"/>
              </w:rPr>
              <w:t>9.5. d</w:t>
            </w:r>
            <w:r w:rsidRPr="00BE475F">
              <w:rPr>
                <w:rFonts w:eastAsia="Calibri"/>
                <w:szCs w:val="24"/>
              </w:rPr>
              <w:t xml:space="preserve">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w:t>
            </w:r>
            <w:r w:rsidRPr="00BE475F">
              <w:rPr>
                <w:rFonts w:eastAsia="Calibri"/>
                <w:szCs w:val="24"/>
              </w:rPr>
              <w:lastRenderedPageBreak/>
              <w:t xml:space="preserve">priskaitymo-apmokėjimo žiniaraštis, įrodantis </w:t>
            </w:r>
            <w:r w:rsidR="00B91AC2" w:rsidRPr="00BE475F">
              <w:rPr>
                <w:rFonts w:eastAsia="Calibri"/>
                <w:szCs w:val="24"/>
              </w:rPr>
              <w:t>darbo užmokesčio</w:t>
            </w:r>
            <w:r w:rsidRPr="00BE475F">
              <w:rPr>
                <w:rFonts w:eastAsia="Calibri"/>
                <w:szCs w:val="24"/>
              </w:rPr>
              <w:t xml:space="preserve">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r w:rsidR="00255760" w:rsidRPr="00BE475F">
              <w:rPr>
                <w:rFonts w:eastAsia="Calibri"/>
                <w:szCs w:val="24"/>
              </w:rPr>
              <w:t> </w:t>
            </w:r>
          </w:p>
          <w:p w14:paraId="3E548558" w14:textId="4F9A2D0D" w:rsidR="008B6546" w:rsidRDefault="00047AD5" w:rsidP="00BE475F">
            <w:pPr>
              <w:pStyle w:val="ListParagraph"/>
              <w:numPr>
                <w:ilvl w:val="0"/>
                <w:numId w:val="3"/>
              </w:numPr>
              <w:tabs>
                <w:tab w:val="left" w:pos="426"/>
                <w:tab w:val="left" w:pos="709"/>
                <w:tab w:val="left" w:pos="910"/>
                <w:tab w:val="left" w:pos="1090"/>
              </w:tabs>
              <w:jc w:val="both"/>
              <w:rPr>
                <w:rFonts w:eastAsia="Calibri"/>
                <w:szCs w:val="24"/>
              </w:rPr>
            </w:pPr>
            <w:r>
              <w:rPr>
                <w:rFonts w:eastAsia="Calibri"/>
                <w:szCs w:val="24"/>
              </w:rPr>
              <w:t xml:space="preserve"> </w:t>
            </w:r>
            <w:r w:rsidR="008B6546">
              <w:rPr>
                <w:rFonts w:eastAsia="Calibri"/>
                <w:szCs w:val="24"/>
              </w:rPr>
              <w:t xml:space="preserve">Projekto vykdytojas kas du mėnesius (iki antro mėnesio </w:t>
            </w:r>
            <w:r w:rsidR="008B6546" w:rsidRPr="00BE475F">
              <w:rPr>
                <w:rFonts w:eastAsia="Calibri"/>
                <w:szCs w:val="24"/>
              </w:rPr>
              <w:t xml:space="preserve">8 d.) nuo projekto sutarties pasirašymo </w:t>
            </w:r>
            <w:r w:rsidR="008B6546">
              <w:rPr>
                <w:rFonts w:eastAsia="Calibri"/>
                <w:szCs w:val="24"/>
              </w:rPr>
              <w:t xml:space="preserve">turi informuoti </w:t>
            </w:r>
            <w:r w:rsidR="007D6AF8">
              <w:rPr>
                <w:rFonts w:eastAsia="Calibri"/>
                <w:szCs w:val="24"/>
              </w:rPr>
              <w:t xml:space="preserve">Ekonomikos ir inovacijų </w:t>
            </w:r>
            <w:r w:rsidR="007D6AF8" w:rsidRPr="00BE475F">
              <w:rPr>
                <w:rFonts w:eastAsia="Calibri"/>
                <w:szCs w:val="24"/>
              </w:rPr>
              <w:t>m</w:t>
            </w:r>
            <w:r w:rsidR="008B6546" w:rsidRPr="00BE475F">
              <w:rPr>
                <w:rFonts w:eastAsia="Calibri"/>
                <w:szCs w:val="24"/>
              </w:rPr>
              <w:t xml:space="preserve">inisterijos paskirtą atsakingą asmenį </w:t>
            </w:r>
            <w:r w:rsidR="008B6546">
              <w:rPr>
                <w:rFonts w:eastAsia="Calibri"/>
                <w:szCs w:val="24"/>
              </w:rPr>
              <w:t xml:space="preserve">apie projekto veiklų įgyvendinimo pažangą.  </w:t>
            </w:r>
          </w:p>
          <w:p w14:paraId="4B8C459A" w14:textId="68BF1DFE" w:rsidR="008B6546" w:rsidRPr="00BE475F" w:rsidRDefault="00047AD5" w:rsidP="00BE475F">
            <w:pPr>
              <w:pStyle w:val="ListParagraph"/>
              <w:numPr>
                <w:ilvl w:val="0"/>
                <w:numId w:val="3"/>
              </w:numPr>
              <w:tabs>
                <w:tab w:val="left" w:pos="426"/>
                <w:tab w:val="left" w:pos="709"/>
                <w:tab w:val="left" w:pos="910"/>
                <w:tab w:val="left" w:pos="1090"/>
              </w:tabs>
              <w:jc w:val="both"/>
              <w:rPr>
                <w:rFonts w:eastAsia="Calibri"/>
                <w:szCs w:val="24"/>
              </w:rPr>
            </w:pPr>
            <w:r>
              <w:rPr>
                <w:rFonts w:eastAsia="Calibri"/>
                <w:szCs w:val="24"/>
              </w:rPr>
              <w:t xml:space="preserve"> </w:t>
            </w:r>
            <w:r w:rsidR="008B6546" w:rsidRPr="00BE475F">
              <w:rPr>
                <w:rFonts w:eastAsia="Calibri"/>
                <w:szCs w:val="24"/>
              </w:rPr>
              <w:t>Kiti taikomi reikalavimai:</w:t>
            </w:r>
          </w:p>
          <w:p w14:paraId="5F570D78" w14:textId="6A7DBB7B" w:rsidR="00BC7F7B" w:rsidRPr="00BE475F" w:rsidRDefault="008B6546" w:rsidP="00BE475F">
            <w:pPr>
              <w:tabs>
                <w:tab w:val="left" w:pos="426"/>
                <w:tab w:val="left" w:pos="709"/>
                <w:tab w:val="left" w:pos="910"/>
                <w:tab w:val="left" w:pos="1090"/>
              </w:tabs>
              <w:ind w:firstLine="601"/>
              <w:jc w:val="both"/>
              <w:rPr>
                <w:rFonts w:eastAsia="Calibri"/>
                <w:szCs w:val="24"/>
              </w:rPr>
            </w:pPr>
            <w:r w:rsidRPr="00BE475F">
              <w:rPr>
                <w:rFonts w:eastAsia="Calibri"/>
                <w:szCs w:val="24"/>
              </w:rPr>
              <w:t>1</w:t>
            </w:r>
            <w:r w:rsidR="00E40CF0" w:rsidRPr="00BE475F">
              <w:rPr>
                <w:rFonts w:eastAsia="Calibri"/>
                <w:szCs w:val="24"/>
              </w:rPr>
              <w:t>1</w:t>
            </w:r>
            <w:r w:rsidRPr="00BE475F">
              <w:rPr>
                <w:rFonts w:eastAsia="Calibri"/>
                <w:szCs w:val="24"/>
              </w:rPr>
              <w:t>.1.</w:t>
            </w:r>
            <w:r w:rsidRPr="00BE475F">
              <w:rPr>
                <w:rFonts w:eastAsia="Calibri"/>
                <w:szCs w:val="24"/>
              </w:rPr>
              <w:tab/>
              <w:t>Projekto vykdytojas ir partneris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įvykio atveju projekto vykdytojas ir partneris turi atkurti prarastą turtą.</w:t>
            </w:r>
          </w:p>
          <w:p w14:paraId="29AC9D58" w14:textId="7BD10E2C" w:rsidR="00255760" w:rsidRPr="00BE475F" w:rsidRDefault="00255760" w:rsidP="00BE475F">
            <w:pPr>
              <w:tabs>
                <w:tab w:val="left" w:pos="426"/>
                <w:tab w:val="left" w:pos="709"/>
                <w:tab w:val="left" w:pos="910"/>
                <w:tab w:val="left" w:pos="1090"/>
              </w:tabs>
              <w:ind w:firstLine="601"/>
              <w:jc w:val="both"/>
              <w:rPr>
                <w:rFonts w:eastAsia="Calibri"/>
                <w:szCs w:val="24"/>
              </w:rPr>
            </w:pPr>
            <w:r w:rsidRPr="00BE475F">
              <w:rPr>
                <w:rFonts w:eastAsia="Calibri"/>
                <w:szCs w:val="24"/>
              </w:rPr>
              <w:t>1</w:t>
            </w:r>
            <w:r w:rsidR="00E40CF0" w:rsidRPr="00BE475F">
              <w:rPr>
                <w:rFonts w:eastAsia="Calibri"/>
                <w:szCs w:val="24"/>
              </w:rPr>
              <w:t>1</w:t>
            </w:r>
            <w:r w:rsidRPr="00BE475F">
              <w:rPr>
                <w:rFonts w:eastAsia="Calibri"/>
                <w:szCs w:val="24"/>
              </w:rPr>
              <w:t>.</w:t>
            </w:r>
            <w:r w:rsidR="00BC7F7B" w:rsidRPr="00BE475F">
              <w:rPr>
                <w:rFonts w:eastAsia="Calibri"/>
                <w:szCs w:val="24"/>
              </w:rPr>
              <w:t>2</w:t>
            </w:r>
            <w:r w:rsidRPr="00BE475F">
              <w:rPr>
                <w:rFonts w:eastAsia="Calibri"/>
                <w:szCs w:val="24"/>
              </w:rPr>
              <w:t xml:space="preserve"> atsižvelgiant į Lietuvos Respublikos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5E1D1042" w14:textId="6489E2AF" w:rsidR="00255760" w:rsidRPr="00BE475F" w:rsidRDefault="00255760" w:rsidP="00BE475F">
            <w:pPr>
              <w:tabs>
                <w:tab w:val="left" w:pos="426"/>
                <w:tab w:val="left" w:pos="709"/>
                <w:tab w:val="left" w:pos="910"/>
                <w:tab w:val="left" w:pos="1090"/>
              </w:tabs>
              <w:ind w:firstLine="601"/>
              <w:jc w:val="both"/>
              <w:rPr>
                <w:rFonts w:eastAsia="Calibri"/>
                <w:szCs w:val="24"/>
              </w:rPr>
            </w:pPr>
            <w:r w:rsidRPr="00BE475F">
              <w:rPr>
                <w:rFonts w:eastAsia="Calibri"/>
                <w:szCs w:val="24"/>
              </w:rPr>
              <w:t>1</w:t>
            </w:r>
            <w:r w:rsidR="00E40CF0" w:rsidRPr="00BE475F">
              <w:rPr>
                <w:rFonts w:eastAsia="Calibri"/>
                <w:szCs w:val="24"/>
              </w:rPr>
              <w:t>1</w:t>
            </w:r>
            <w:r w:rsidRPr="00BE475F">
              <w:rPr>
                <w:rFonts w:eastAsia="Calibri"/>
                <w:szCs w:val="24"/>
              </w:rPr>
              <w:t>.3 sukūrus ar modernizavus informacinę sistemą, turi būti patvirtintas kuriamos arba modernizuojamos informacinės sistemos priėmimo ir tinkamumo eksploatuoti aktas, kaip tai nustatyta Valstybės informacinių sistemų gyvavimo ciklo valdymo metodikoje.</w:t>
            </w:r>
          </w:p>
          <w:p w14:paraId="1C05A545" w14:textId="0DFD33C4" w:rsidR="00B24201" w:rsidRPr="00BE475F" w:rsidRDefault="00255760" w:rsidP="00BE475F">
            <w:pPr>
              <w:tabs>
                <w:tab w:val="left" w:pos="426"/>
                <w:tab w:val="left" w:pos="709"/>
                <w:tab w:val="left" w:pos="910"/>
                <w:tab w:val="left" w:pos="1090"/>
              </w:tabs>
              <w:ind w:firstLine="601"/>
              <w:jc w:val="both"/>
              <w:rPr>
                <w:rFonts w:eastAsia="Calibri"/>
                <w:szCs w:val="24"/>
              </w:rPr>
            </w:pPr>
            <w:r w:rsidRPr="00BE475F">
              <w:rPr>
                <w:rFonts w:eastAsia="Calibri"/>
                <w:szCs w:val="24"/>
              </w:rPr>
              <w:t>1</w:t>
            </w:r>
            <w:r w:rsidR="00E40CF0" w:rsidRPr="00BE475F">
              <w:rPr>
                <w:rFonts w:eastAsia="Calibri"/>
                <w:szCs w:val="24"/>
              </w:rPr>
              <w:t>1</w:t>
            </w:r>
            <w:r w:rsidRPr="00BE475F">
              <w:rPr>
                <w:rFonts w:eastAsia="Calibri"/>
                <w:szCs w:val="24"/>
              </w:rPr>
              <w:t>.4 projekto įgyvendinimo metu kuriamos ar modernizuojamos informacinės sistemos turi būti kuriamos ar modernizuojamos taip, kad veiktų informacinių technologijų paslaugų teikėjo infrastruktūroje (vadovaujantis Nutarimu dėl valstybės informacinių technologijų infrastruktūros konsolidavimo ir jos valdymo optimizavimo).</w:t>
            </w:r>
          </w:p>
        </w:tc>
      </w:tr>
      <w:tr w:rsidR="00B24201" w14:paraId="70A55825" w14:textId="77777777" w:rsidTr="005323E0">
        <w:trPr>
          <w:gridAfter w:val="1"/>
          <w:wAfter w:w="137" w:type="dxa"/>
        </w:trPr>
        <w:tc>
          <w:tcPr>
            <w:tcW w:w="14709" w:type="dxa"/>
            <w:gridSpan w:val="2"/>
          </w:tcPr>
          <w:p w14:paraId="27EAAAC0" w14:textId="77777777" w:rsidR="00B24201" w:rsidRDefault="00B24201" w:rsidP="00B24201">
            <w:pPr>
              <w:jc w:val="both"/>
              <w:rPr>
                <w:iCs/>
                <w:szCs w:val="24"/>
              </w:rPr>
            </w:pPr>
            <w:r>
              <w:rPr>
                <w:b/>
                <w:szCs w:val="24"/>
              </w:rPr>
              <w:lastRenderedPageBreak/>
              <w:t>2.1. Reikalavimai jungtinio projekto projektams</w:t>
            </w:r>
          </w:p>
        </w:tc>
      </w:tr>
      <w:tr w:rsidR="00B24201" w14:paraId="5CBB8935" w14:textId="77777777" w:rsidTr="005323E0">
        <w:trPr>
          <w:gridAfter w:val="1"/>
          <w:wAfter w:w="137" w:type="dxa"/>
          <w:trHeight w:val="447"/>
        </w:trPr>
        <w:tc>
          <w:tcPr>
            <w:tcW w:w="14709" w:type="dxa"/>
            <w:gridSpan w:val="2"/>
          </w:tcPr>
          <w:p w14:paraId="12337FD3" w14:textId="77777777" w:rsidR="00B24201" w:rsidRPr="001713A3" w:rsidRDefault="001713A3" w:rsidP="00B24201">
            <w:pPr>
              <w:ind w:left="720" w:hanging="360"/>
              <w:jc w:val="both"/>
              <w:rPr>
                <w:szCs w:val="24"/>
              </w:rPr>
            </w:pPr>
            <w:r w:rsidRPr="001713A3">
              <w:rPr>
                <w:szCs w:val="24"/>
              </w:rPr>
              <w:t>Netaikoma</w:t>
            </w:r>
          </w:p>
        </w:tc>
      </w:tr>
      <w:tr w:rsidR="00B24201" w14:paraId="04D2BB7C" w14:textId="77777777" w:rsidTr="005323E0">
        <w:trPr>
          <w:gridAfter w:val="1"/>
          <w:wAfter w:w="137" w:type="dxa"/>
          <w:trHeight w:val="285"/>
        </w:trPr>
        <w:tc>
          <w:tcPr>
            <w:tcW w:w="14709" w:type="dxa"/>
            <w:gridSpan w:val="2"/>
          </w:tcPr>
          <w:p w14:paraId="218BA201" w14:textId="77777777" w:rsidR="00B24201" w:rsidRDefault="00B24201" w:rsidP="00B24201">
            <w:pPr>
              <w:rPr>
                <w:sz w:val="22"/>
                <w:szCs w:val="22"/>
              </w:rPr>
            </w:pPr>
            <w:r>
              <w:rPr>
                <w:b/>
                <w:szCs w:val="24"/>
              </w:rPr>
              <w:t>3. Horizontaliųjų principų (toliau – HP) reikalavimai</w:t>
            </w:r>
          </w:p>
        </w:tc>
      </w:tr>
      <w:tr w:rsidR="00A836CE" w14:paraId="2967AB7C" w14:textId="77777777" w:rsidTr="005323E0">
        <w:trPr>
          <w:gridAfter w:val="1"/>
          <w:wAfter w:w="137" w:type="dxa"/>
        </w:trPr>
        <w:tc>
          <w:tcPr>
            <w:tcW w:w="14709" w:type="dxa"/>
            <w:gridSpan w:val="2"/>
          </w:tcPr>
          <w:p w14:paraId="236F4397" w14:textId="77777777" w:rsidR="00B44C35" w:rsidRPr="00B44C35" w:rsidRDefault="00B44C35" w:rsidP="00B44C35">
            <w:pPr>
              <w:jc w:val="both"/>
              <w:rPr>
                <w:szCs w:val="24"/>
              </w:rPr>
            </w:pPr>
            <w:r w:rsidRPr="00B44C35">
              <w:rPr>
                <w:szCs w:val="24"/>
              </w:rPr>
              <w:t>Įgyvendinant Projekt</w:t>
            </w:r>
            <w:r w:rsidR="00237CF6">
              <w:rPr>
                <w:szCs w:val="24"/>
              </w:rPr>
              <w:t>ą</w:t>
            </w:r>
            <w:r w:rsidRPr="00B44C35">
              <w:rPr>
                <w:szCs w:val="24"/>
              </w:rPr>
              <w:t xml:space="preserve"> neturi būti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Neturi būti numatyta projekto įgyvendinimo veiksmų, kurie turėtų neigiamą poveikį įgyvendinant HP. </w:t>
            </w:r>
          </w:p>
          <w:p w14:paraId="7E80AC87" w14:textId="77777777" w:rsidR="00A836CE" w:rsidRDefault="00B44C35" w:rsidP="00B44C35">
            <w:pPr>
              <w:jc w:val="both"/>
              <w:rPr>
                <w:i/>
                <w:iCs/>
                <w:szCs w:val="24"/>
              </w:rPr>
            </w:pPr>
            <w:r w:rsidRPr="00B44C35">
              <w:rPr>
                <w:szCs w:val="24"/>
              </w:rPr>
              <w:t>Projekto atitikties reikšmingos žalos nedarymo HP vertinimo reikalavimai pateikiami Aprašo 1 priede.</w:t>
            </w:r>
          </w:p>
        </w:tc>
      </w:tr>
      <w:tr w:rsidR="00A836CE" w14:paraId="3C64BF3F" w14:textId="77777777" w:rsidTr="005323E0">
        <w:trPr>
          <w:gridAfter w:val="1"/>
          <w:wAfter w:w="137" w:type="dxa"/>
        </w:trPr>
        <w:tc>
          <w:tcPr>
            <w:tcW w:w="14709" w:type="dxa"/>
            <w:gridSpan w:val="2"/>
          </w:tcPr>
          <w:p w14:paraId="092A7204" w14:textId="77777777" w:rsidR="00A836CE" w:rsidRDefault="00A836CE" w:rsidP="00A836CE">
            <w:pPr>
              <w:spacing w:line="259" w:lineRule="auto"/>
              <w:jc w:val="both"/>
              <w:rPr>
                <w:b/>
                <w:iCs/>
                <w:szCs w:val="24"/>
              </w:rPr>
            </w:pPr>
            <w:r>
              <w:rPr>
                <w:b/>
                <w:iCs/>
                <w:szCs w:val="24"/>
              </w:rPr>
              <w:t>3.1. Europos Sąjungos pagrindinių teisių chartijos (toliau – Chartija) reikalavimai</w:t>
            </w:r>
          </w:p>
        </w:tc>
      </w:tr>
      <w:tr w:rsidR="00A836CE" w14:paraId="0E0FCD9C" w14:textId="77777777" w:rsidTr="005323E0">
        <w:trPr>
          <w:gridAfter w:val="1"/>
          <w:wAfter w:w="137" w:type="dxa"/>
        </w:trPr>
        <w:tc>
          <w:tcPr>
            <w:tcW w:w="14709" w:type="dxa"/>
            <w:gridSpan w:val="2"/>
          </w:tcPr>
          <w:p w14:paraId="0009ABC8" w14:textId="77777777" w:rsidR="00A836CE" w:rsidRDefault="00A526D1" w:rsidP="00A526D1">
            <w:pPr>
              <w:jc w:val="both"/>
              <w:rPr>
                <w:i/>
                <w:iCs/>
                <w:szCs w:val="24"/>
              </w:rPr>
            </w:pPr>
            <w:r w:rsidRPr="00A526D1">
              <w:rPr>
                <w:szCs w:val="24"/>
              </w:rPr>
              <w:t>Įgyvendinant projekt</w:t>
            </w:r>
            <w:r w:rsidR="00534124">
              <w:rPr>
                <w:szCs w:val="24"/>
              </w:rPr>
              <w:t>ą</w:t>
            </w:r>
            <w:r w:rsidRPr="00A526D1">
              <w:rPr>
                <w:szCs w:val="24"/>
              </w:rPr>
              <w:t xml:space="preserve"> neturi būti pažeidžiami ES pagrindinių teisių chartijų principai: lygybė prieš įstatymą, nediskriminavimas, moterų ir</w:t>
            </w:r>
            <w:r w:rsidR="00EF4986">
              <w:rPr>
                <w:szCs w:val="24"/>
              </w:rPr>
              <w:t xml:space="preserve"> </w:t>
            </w:r>
            <w:r w:rsidRPr="00A526D1">
              <w:rPr>
                <w:szCs w:val="24"/>
              </w:rPr>
              <w:t>vyrų lygybė, neįgaliųjų integracija, teisė į nuosavybę ir aplinkos apsaugą.</w:t>
            </w:r>
          </w:p>
        </w:tc>
      </w:tr>
      <w:tr w:rsidR="00A836CE" w14:paraId="78A4D89D" w14:textId="77777777" w:rsidTr="005323E0">
        <w:trPr>
          <w:gridAfter w:val="1"/>
          <w:wAfter w:w="137" w:type="dxa"/>
        </w:trPr>
        <w:tc>
          <w:tcPr>
            <w:tcW w:w="14709" w:type="dxa"/>
            <w:gridSpan w:val="2"/>
          </w:tcPr>
          <w:p w14:paraId="0F4F84C3" w14:textId="77777777" w:rsidR="00A836CE" w:rsidRDefault="00A836CE" w:rsidP="00A836CE">
            <w:pPr>
              <w:rPr>
                <w:b/>
                <w:szCs w:val="24"/>
              </w:rPr>
            </w:pPr>
            <w:r>
              <w:rPr>
                <w:b/>
                <w:szCs w:val="24"/>
              </w:rPr>
              <w:t>4. Apskritis, kurioje gali būti įgyvendinami projektai</w:t>
            </w:r>
          </w:p>
        </w:tc>
      </w:tr>
      <w:tr w:rsidR="00A836CE" w14:paraId="77907942" w14:textId="77777777" w:rsidTr="005323E0">
        <w:trPr>
          <w:gridAfter w:val="1"/>
          <w:wAfter w:w="137" w:type="dxa"/>
        </w:trPr>
        <w:tc>
          <w:tcPr>
            <w:tcW w:w="14709" w:type="dxa"/>
            <w:gridSpan w:val="2"/>
          </w:tcPr>
          <w:p w14:paraId="6716FA62" w14:textId="77777777" w:rsidR="00A836CE" w:rsidRPr="00993AE4" w:rsidRDefault="00993AE4" w:rsidP="00A836CE">
            <w:pPr>
              <w:jc w:val="both"/>
              <w:rPr>
                <w:iCs/>
                <w:szCs w:val="24"/>
              </w:rPr>
            </w:pPr>
            <w:r w:rsidRPr="00993AE4">
              <w:rPr>
                <w:iCs/>
                <w:szCs w:val="24"/>
              </w:rPr>
              <w:lastRenderedPageBreak/>
              <w:t>Netaikoma</w:t>
            </w:r>
          </w:p>
        </w:tc>
      </w:tr>
      <w:tr w:rsidR="00A836CE" w14:paraId="29766615" w14:textId="77777777" w:rsidTr="005323E0">
        <w:trPr>
          <w:gridAfter w:val="1"/>
          <w:wAfter w:w="137" w:type="dxa"/>
        </w:trPr>
        <w:tc>
          <w:tcPr>
            <w:tcW w:w="14709" w:type="dxa"/>
            <w:gridSpan w:val="2"/>
          </w:tcPr>
          <w:p w14:paraId="7C88DC3F" w14:textId="77777777" w:rsidR="00A836CE" w:rsidRDefault="00A836CE" w:rsidP="00A836CE">
            <w:pPr>
              <w:jc w:val="both"/>
              <w:rPr>
                <w:b/>
                <w:szCs w:val="24"/>
              </w:rPr>
            </w:pPr>
            <w:r>
              <w:rPr>
                <w:b/>
                <w:szCs w:val="24"/>
              </w:rPr>
              <w:t xml:space="preserve">5. Reikalavimai valstybės pagalbai </w:t>
            </w:r>
          </w:p>
        </w:tc>
      </w:tr>
      <w:tr w:rsidR="00A836CE" w14:paraId="5EAB21AE" w14:textId="77777777" w:rsidTr="005323E0">
        <w:trPr>
          <w:gridAfter w:val="1"/>
          <w:wAfter w:w="137" w:type="dxa"/>
        </w:trPr>
        <w:tc>
          <w:tcPr>
            <w:tcW w:w="14709" w:type="dxa"/>
            <w:gridSpan w:val="2"/>
          </w:tcPr>
          <w:p w14:paraId="3E36FD95" w14:textId="77777777" w:rsidR="00A836CE" w:rsidRPr="00375607" w:rsidRDefault="00AB287C" w:rsidP="00386D23">
            <w:pPr>
              <w:jc w:val="both"/>
              <w:rPr>
                <w:szCs w:val="24"/>
              </w:rPr>
            </w:pPr>
            <w:r w:rsidRPr="00AB287C">
              <w:rPr>
                <w:szCs w:val="24"/>
              </w:rPr>
              <w:t xml:space="preserve">Pagal Aprašą valstybės pagalba, kaip ji apibrėžta Sutarties dėl Europos Sąjungos veikimo (OL 2010 C 83, p. 47) 107 straipsnyje ir </w:t>
            </w:r>
            <w:r w:rsidRPr="00AB287C">
              <w:rPr>
                <w:i/>
                <w:iCs/>
                <w:szCs w:val="24"/>
              </w:rPr>
              <w:t xml:space="preserve">de </w:t>
            </w:r>
            <w:proofErr w:type="spellStart"/>
            <w:r w:rsidRPr="00AB287C">
              <w:rPr>
                <w:i/>
                <w:iCs/>
                <w:szCs w:val="24"/>
              </w:rPr>
              <w:t>minimis</w:t>
            </w:r>
            <w:proofErr w:type="spellEnd"/>
            <w:r w:rsidRPr="00AB287C">
              <w:rPr>
                <w:szCs w:val="24"/>
              </w:rPr>
              <w:t xml:space="preserve"> pagalba, kuri atitinka 2013 m. gruodžio 18 d. Komisijos reglamento (ES) Nr. 1407/2013 dėl Sutarties dėl Europos Sąjungos veikimo 107 ir 108 straipsnių taikymo </w:t>
            </w:r>
            <w:r w:rsidRPr="00AB287C">
              <w:rPr>
                <w:i/>
                <w:iCs/>
                <w:szCs w:val="24"/>
              </w:rPr>
              <w:t xml:space="preserve">de </w:t>
            </w:r>
            <w:proofErr w:type="spellStart"/>
            <w:r w:rsidRPr="00AB287C">
              <w:rPr>
                <w:i/>
                <w:iCs/>
                <w:szCs w:val="24"/>
              </w:rPr>
              <w:t>minimis</w:t>
            </w:r>
            <w:proofErr w:type="spellEnd"/>
            <w:r w:rsidRPr="00AB287C">
              <w:rPr>
                <w:szCs w:val="24"/>
              </w:rPr>
              <w:t xml:space="preserve"> pagalbai (OL 2013 L 352, p. 1) nuostatas, neteikiama.</w:t>
            </w:r>
          </w:p>
        </w:tc>
      </w:tr>
      <w:tr w:rsidR="00A836CE" w14:paraId="0E7BD3F6" w14:textId="77777777" w:rsidTr="005323E0">
        <w:trPr>
          <w:gridAfter w:val="1"/>
          <w:wAfter w:w="137" w:type="dxa"/>
        </w:trPr>
        <w:tc>
          <w:tcPr>
            <w:tcW w:w="14709" w:type="dxa"/>
            <w:gridSpan w:val="2"/>
          </w:tcPr>
          <w:p w14:paraId="66380745" w14:textId="77777777" w:rsidR="00A836CE" w:rsidRDefault="00A836CE" w:rsidP="00A836CE">
            <w:pPr>
              <w:ind w:left="426" w:hanging="426"/>
              <w:jc w:val="both"/>
              <w:rPr>
                <w:i/>
                <w:szCs w:val="24"/>
              </w:rPr>
            </w:pPr>
            <w:r>
              <w:rPr>
                <w:b/>
                <w:szCs w:val="24"/>
              </w:rPr>
              <w:t>6. Projektų atrankos kriterijai</w:t>
            </w:r>
          </w:p>
        </w:tc>
      </w:tr>
      <w:tr w:rsidR="00A836CE" w14:paraId="0F1824F0" w14:textId="77777777" w:rsidTr="005323E0">
        <w:trPr>
          <w:gridAfter w:val="1"/>
          <w:wAfter w:w="137" w:type="dxa"/>
          <w:trHeight w:val="410"/>
        </w:trPr>
        <w:tc>
          <w:tcPr>
            <w:tcW w:w="14709" w:type="dxa"/>
            <w:gridSpan w:val="2"/>
          </w:tcPr>
          <w:p w14:paraId="3F7F3B71" w14:textId="77777777" w:rsidR="00A836CE" w:rsidRPr="00C7145F" w:rsidRDefault="00C7145F" w:rsidP="00A836CE">
            <w:pPr>
              <w:jc w:val="both"/>
              <w:rPr>
                <w:iCs/>
                <w:szCs w:val="24"/>
              </w:rPr>
            </w:pPr>
            <w:r w:rsidRPr="00C7145F">
              <w:rPr>
                <w:iCs/>
                <w:szCs w:val="24"/>
              </w:rPr>
              <w:t>Specialieji ir prioritetiniai projektų atrankos kriterijai nėra nustatomi.</w:t>
            </w:r>
          </w:p>
        </w:tc>
      </w:tr>
      <w:tr w:rsidR="00A836CE" w14:paraId="3CA11C8D" w14:textId="77777777" w:rsidTr="005323E0">
        <w:trPr>
          <w:gridAfter w:val="1"/>
          <w:wAfter w:w="137" w:type="dxa"/>
          <w:trHeight w:val="309"/>
        </w:trPr>
        <w:tc>
          <w:tcPr>
            <w:tcW w:w="14709" w:type="dxa"/>
            <w:gridSpan w:val="2"/>
          </w:tcPr>
          <w:p w14:paraId="2C4DB839" w14:textId="77777777" w:rsidR="00A836CE" w:rsidRDefault="00A836CE" w:rsidP="00A836CE">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rsidR="00A836CE" w14:paraId="7321D37B" w14:textId="77777777" w:rsidTr="005323E0">
        <w:trPr>
          <w:gridAfter w:val="1"/>
          <w:wAfter w:w="137" w:type="dxa"/>
          <w:trHeight w:val="378"/>
        </w:trPr>
        <w:tc>
          <w:tcPr>
            <w:tcW w:w="14709" w:type="dxa"/>
            <w:gridSpan w:val="2"/>
          </w:tcPr>
          <w:p w14:paraId="0BD12FC2" w14:textId="77777777" w:rsidR="00A836CE" w:rsidRPr="008F2FC0" w:rsidRDefault="00B369D1" w:rsidP="00A836CE">
            <w:pPr>
              <w:jc w:val="both"/>
              <w:rPr>
                <w:iCs/>
                <w:szCs w:val="24"/>
              </w:rPr>
            </w:pPr>
            <w:r w:rsidRPr="008F2FC0">
              <w:rPr>
                <w:iCs/>
                <w:szCs w:val="24"/>
              </w:rPr>
              <w:t>Netaikoma</w:t>
            </w:r>
          </w:p>
        </w:tc>
      </w:tr>
      <w:tr w:rsidR="00A836CE" w14:paraId="688BD682" w14:textId="77777777" w:rsidTr="005323E0">
        <w:trPr>
          <w:gridAfter w:val="1"/>
          <w:wAfter w:w="137" w:type="dxa"/>
        </w:trPr>
        <w:tc>
          <w:tcPr>
            <w:tcW w:w="14709" w:type="dxa"/>
            <w:gridSpan w:val="2"/>
          </w:tcPr>
          <w:p w14:paraId="73BB03C0" w14:textId="77777777" w:rsidR="00A836CE" w:rsidRDefault="00A836CE" w:rsidP="00A836CE">
            <w:pPr>
              <w:rPr>
                <w:b/>
                <w:szCs w:val="24"/>
              </w:rPr>
            </w:pPr>
            <w:r>
              <w:rPr>
                <w:b/>
                <w:szCs w:val="24"/>
              </w:rPr>
              <w:t xml:space="preserve">7. Reikalavimai įgyvendinus projektų veiklas </w:t>
            </w:r>
          </w:p>
        </w:tc>
      </w:tr>
      <w:tr w:rsidR="00A836CE" w14:paraId="402C79BA" w14:textId="77777777" w:rsidTr="005323E0">
        <w:trPr>
          <w:gridAfter w:val="1"/>
          <w:wAfter w:w="137" w:type="dxa"/>
        </w:trPr>
        <w:tc>
          <w:tcPr>
            <w:tcW w:w="14709" w:type="dxa"/>
            <w:gridSpan w:val="2"/>
          </w:tcPr>
          <w:p w14:paraId="57B11982" w14:textId="77777777" w:rsidR="008F2FC0" w:rsidRDefault="008F2FC0" w:rsidP="008F2FC0">
            <w:pPr>
              <w:rPr>
                <w:i/>
                <w:szCs w:val="24"/>
              </w:rPr>
            </w:pPr>
            <w:r w:rsidRPr="008F2FC0">
              <w:rPr>
                <w:iCs/>
                <w:szCs w:val="24"/>
              </w:rPr>
              <w:t xml:space="preserve">Papildomi reikalavimai įgyvendinus projekto veiklas, kurios nenurodytos </w:t>
            </w:r>
            <w:r w:rsidR="00255760">
              <w:rPr>
                <w:iCs/>
                <w:szCs w:val="24"/>
              </w:rPr>
              <w:t>Projektų taisyklėse</w:t>
            </w:r>
            <w:r w:rsidRPr="008F2FC0">
              <w:rPr>
                <w:iCs/>
                <w:szCs w:val="24"/>
              </w:rPr>
              <w:t>, netaikomi.</w:t>
            </w:r>
          </w:p>
        </w:tc>
      </w:tr>
      <w:tr w:rsidR="00A836CE" w14:paraId="022DD460" w14:textId="77777777" w:rsidTr="005323E0">
        <w:trPr>
          <w:gridAfter w:val="1"/>
          <w:wAfter w:w="137" w:type="dxa"/>
        </w:trPr>
        <w:tc>
          <w:tcPr>
            <w:tcW w:w="14709" w:type="dxa"/>
            <w:gridSpan w:val="2"/>
          </w:tcPr>
          <w:p w14:paraId="0546A4D3" w14:textId="77777777" w:rsidR="00A836CE" w:rsidRDefault="00A836CE" w:rsidP="00A836CE">
            <w:pPr>
              <w:rPr>
                <w:szCs w:val="24"/>
              </w:rPr>
            </w:pPr>
            <w:r>
              <w:rPr>
                <w:b/>
                <w:szCs w:val="24"/>
              </w:rPr>
              <w:t>8. Kiti reikalavimai</w:t>
            </w:r>
          </w:p>
        </w:tc>
      </w:tr>
      <w:tr w:rsidR="00A836CE" w14:paraId="2F3391B3" w14:textId="77777777" w:rsidTr="005323E0">
        <w:trPr>
          <w:gridAfter w:val="1"/>
          <w:wAfter w:w="137" w:type="dxa"/>
        </w:trPr>
        <w:tc>
          <w:tcPr>
            <w:tcW w:w="14709" w:type="dxa"/>
            <w:gridSpan w:val="2"/>
          </w:tcPr>
          <w:p w14:paraId="33391050" w14:textId="77777777" w:rsidR="00A836CE" w:rsidRPr="00BB7276" w:rsidRDefault="00BB7276" w:rsidP="00A836CE">
            <w:pPr>
              <w:tabs>
                <w:tab w:val="left" w:pos="1134"/>
              </w:tabs>
              <w:jc w:val="both"/>
              <w:rPr>
                <w:iCs/>
                <w:szCs w:val="24"/>
              </w:rPr>
            </w:pPr>
            <w:r w:rsidRPr="00BB7276">
              <w:rPr>
                <w:iCs/>
                <w:szCs w:val="24"/>
              </w:rPr>
              <w:t>Nėra</w:t>
            </w:r>
          </w:p>
        </w:tc>
      </w:tr>
      <w:tr w:rsidR="00A836CE" w14:paraId="2C8F8C7C" w14:textId="77777777" w:rsidTr="005323E0">
        <w:trPr>
          <w:gridAfter w:val="1"/>
          <w:wAfter w:w="137" w:type="dxa"/>
        </w:trPr>
        <w:tc>
          <w:tcPr>
            <w:tcW w:w="14709" w:type="dxa"/>
            <w:gridSpan w:val="2"/>
          </w:tcPr>
          <w:p w14:paraId="68695931" w14:textId="77777777" w:rsidR="00A836CE" w:rsidRDefault="00A836CE" w:rsidP="00A836CE">
            <w:pPr>
              <w:rPr>
                <w:b/>
                <w:szCs w:val="24"/>
              </w:rPr>
            </w:pPr>
            <w:r>
              <w:rPr>
                <w:b/>
                <w:szCs w:val="24"/>
              </w:rPr>
              <w:t>IŠLAIDŲ TINKAMUMO FINANSUOTI REIKALAVIMAI</w:t>
            </w:r>
          </w:p>
        </w:tc>
      </w:tr>
      <w:tr w:rsidR="00A836CE" w14:paraId="0ABC9B1D" w14:textId="77777777" w:rsidTr="005323E0">
        <w:trPr>
          <w:gridAfter w:val="1"/>
          <w:wAfter w:w="137" w:type="dxa"/>
        </w:trPr>
        <w:tc>
          <w:tcPr>
            <w:tcW w:w="14709" w:type="dxa"/>
            <w:gridSpan w:val="2"/>
          </w:tcPr>
          <w:p w14:paraId="1A0D492A" w14:textId="77777777" w:rsidR="00A836CE" w:rsidRDefault="00A836CE" w:rsidP="00A836CE">
            <w:pPr>
              <w:jc w:val="both"/>
              <w:rPr>
                <w:b/>
                <w:szCs w:val="24"/>
              </w:rPr>
            </w:pPr>
            <w:r>
              <w:rPr>
                <w:b/>
                <w:szCs w:val="24"/>
              </w:rPr>
              <w:t>9. Išlaidų tinkamumo finansuoti reikalavimai</w:t>
            </w:r>
          </w:p>
        </w:tc>
      </w:tr>
      <w:tr w:rsidR="00282F0E" w14:paraId="4C2ED55F" w14:textId="77777777" w:rsidTr="005323E0">
        <w:trPr>
          <w:gridAfter w:val="1"/>
          <w:wAfter w:w="137" w:type="dxa"/>
        </w:trPr>
        <w:tc>
          <w:tcPr>
            <w:tcW w:w="14709" w:type="dxa"/>
            <w:gridSpan w:val="2"/>
          </w:tcPr>
          <w:p w14:paraId="00976CA0" w14:textId="77777777" w:rsidR="00282F0E" w:rsidRDefault="00282F0E" w:rsidP="00282F0E">
            <w:pPr>
              <w:jc w:val="both"/>
              <w:rPr>
                <w:b/>
                <w:sz w:val="22"/>
                <w:szCs w:val="22"/>
              </w:rPr>
            </w:pPr>
          </w:p>
        </w:tc>
      </w:tr>
      <w:tr w:rsidR="005A476C" w14:paraId="29D034E2" w14:textId="77777777" w:rsidTr="005323E0">
        <w:trPr>
          <w:gridAfter w:val="1"/>
          <w:wAfter w:w="137" w:type="dxa"/>
        </w:trPr>
        <w:tc>
          <w:tcPr>
            <w:tcW w:w="14709" w:type="dxa"/>
            <w:gridSpan w:val="2"/>
          </w:tcPr>
          <w:p w14:paraId="3BBC6D89" w14:textId="77777777" w:rsidR="005A476C" w:rsidRDefault="005A476C" w:rsidP="004C08EE">
            <w:pPr>
              <w:tabs>
                <w:tab w:val="left" w:pos="850"/>
              </w:tabs>
              <w:ind w:left="174" w:firstLine="425"/>
              <w:jc w:val="both"/>
              <w:rPr>
                <w:color w:val="1F497D"/>
              </w:rPr>
            </w:pPr>
            <w:r>
              <w:rPr>
                <w:bCs/>
                <w:szCs w:val="24"/>
              </w:rPr>
              <w:t>1.</w:t>
            </w:r>
            <w:r>
              <w:rPr>
                <w:bCs/>
                <w:szCs w:val="24"/>
              </w:rPr>
              <w:tab/>
            </w:r>
            <w:r>
              <w:rPr>
                <w:color w:val="000000"/>
                <w:szCs w:val="24"/>
              </w:rPr>
              <w:t xml:space="preserve">Projekto išlaidos turi atitikti </w:t>
            </w:r>
            <w:r w:rsidRPr="00720B73">
              <w:rPr>
                <w:color w:val="000000"/>
                <w:szCs w:val="24"/>
              </w:rPr>
              <w:t xml:space="preserve">Projektų taisyklių VII skyriuje </w:t>
            </w:r>
            <w:r>
              <w:rPr>
                <w:color w:val="000000"/>
                <w:szCs w:val="24"/>
              </w:rPr>
              <w:t>išdėstytus projekto išlaidoms taikomus reikalavimus.</w:t>
            </w:r>
            <w:r>
              <w:rPr>
                <w:szCs w:val="24"/>
              </w:rPr>
              <w:t xml:space="preserve"> </w:t>
            </w:r>
          </w:p>
          <w:p w14:paraId="46C305C6" w14:textId="77777777" w:rsidR="005A476C" w:rsidRDefault="005A476C" w:rsidP="004C08EE">
            <w:pPr>
              <w:tabs>
                <w:tab w:val="left" w:pos="850"/>
              </w:tabs>
              <w:ind w:left="174" w:firstLine="425"/>
              <w:jc w:val="both"/>
              <w:rPr>
                <w:szCs w:val="24"/>
              </w:rPr>
            </w:pPr>
            <w:r>
              <w:rPr>
                <w:bCs/>
                <w:szCs w:val="24"/>
              </w:rPr>
              <w:t>2.</w:t>
            </w:r>
            <w:r>
              <w:rPr>
                <w:bCs/>
                <w:szCs w:val="24"/>
              </w:rPr>
              <w:tab/>
            </w:r>
            <w:r>
              <w:rPr>
                <w:szCs w:val="24"/>
              </w:rPr>
              <w:t xml:space="preserve">Projekto išlaidos gali būti patirtos iki projekto sutarties pasirašymo, nepažeidžiant </w:t>
            </w:r>
            <w:r w:rsidRPr="00D241A7">
              <w:rPr>
                <w:szCs w:val="24"/>
              </w:rPr>
              <w:t xml:space="preserve">Projektų taisyklių 294.2.1.2. </w:t>
            </w:r>
            <w:r>
              <w:rPr>
                <w:szCs w:val="24"/>
              </w:rPr>
              <w:t>papunkčio nuostatų.</w:t>
            </w:r>
          </w:p>
          <w:p w14:paraId="42C15113" w14:textId="77777777" w:rsidR="005A476C" w:rsidRDefault="005A476C" w:rsidP="004C08EE">
            <w:pPr>
              <w:tabs>
                <w:tab w:val="left" w:pos="850"/>
              </w:tabs>
              <w:ind w:left="174" w:firstLine="425"/>
              <w:jc w:val="both"/>
              <w:rPr>
                <w:szCs w:val="24"/>
              </w:rPr>
            </w:pPr>
            <w:r>
              <w:rPr>
                <w:bCs/>
                <w:szCs w:val="24"/>
              </w:rPr>
              <w:t>3.</w:t>
            </w:r>
            <w:r>
              <w:rPr>
                <w:bCs/>
                <w:szCs w:val="24"/>
              </w:rPr>
              <w:tab/>
            </w:r>
            <w:r>
              <w:rPr>
                <w:iCs/>
                <w:szCs w:val="24"/>
              </w:rPr>
              <w:t>Projekto vykdytojui gali būti mokamas avansas.</w:t>
            </w:r>
          </w:p>
          <w:p w14:paraId="0D501F12" w14:textId="77777777" w:rsidR="005A476C" w:rsidRDefault="005A476C" w:rsidP="004C08EE">
            <w:pPr>
              <w:tabs>
                <w:tab w:val="left" w:pos="426"/>
                <w:tab w:val="left" w:pos="709"/>
                <w:tab w:val="left" w:pos="850"/>
              </w:tabs>
              <w:ind w:left="174" w:firstLine="425"/>
              <w:jc w:val="both"/>
            </w:pPr>
            <w:r>
              <w:rPr>
                <w:bCs/>
                <w:szCs w:val="24"/>
              </w:rPr>
              <w:t>4.</w:t>
            </w:r>
            <w:r>
              <w:rPr>
                <w:bCs/>
                <w:szCs w:val="24"/>
              </w:rPr>
              <w:tab/>
            </w:r>
            <w:r>
              <w:t xml:space="preserve">PVM nėra tinkamas finansuoti  EGADP  lėšomis. </w:t>
            </w:r>
            <w:r w:rsidRPr="003F1E6E">
              <w:t xml:space="preserve">PVM gali būti finansuojamas Lietuvos </w:t>
            </w:r>
            <w:r w:rsidR="00A659C1">
              <w:t xml:space="preserve">valstybės </w:t>
            </w:r>
            <w:r w:rsidRPr="003F1E6E">
              <w:t xml:space="preserve">biudžeto lėšomis vadovaujantis Projektų taisyklių </w:t>
            </w:r>
            <w:r>
              <w:t xml:space="preserve">VII skyriaus </w:t>
            </w:r>
            <w:r w:rsidRPr="003F1E6E">
              <w:t>ketvirtajame skirsnyje nustatyta tvarka.</w:t>
            </w:r>
          </w:p>
          <w:p w14:paraId="55C4AEDC" w14:textId="77777777" w:rsidR="005A476C" w:rsidRDefault="005A476C" w:rsidP="004C08EE">
            <w:pPr>
              <w:tabs>
                <w:tab w:val="left" w:pos="426"/>
                <w:tab w:val="left" w:pos="709"/>
                <w:tab w:val="left" w:pos="850"/>
              </w:tabs>
              <w:ind w:left="174" w:firstLine="425"/>
              <w:jc w:val="both"/>
              <w:rPr>
                <w:szCs w:val="24"/>
              </w:rPr>
            </w:pPr>
            <w:r>
              <w:rPr>
                <w:bCs/>
                <w:szCs w:val="24"/>
              </w:rPr>
              <w:t>5.</w:t>
            </w:r>
            <w:r>
              <w:rPr>
                <w:bCs/>
                <w:szCs w:val="24"/>
              </w:rPr>
              <w:tab/>
            </w:r>
            <w:r>
              <w:rPr>
                <w:szCs w:val="24"/>
              </w:rPr>
              <w:t>Netinkamos finansuoti projekto lėšos:</w:t>
            </w:r>
          </w:p>
          <w:p w14:paraId="75750609" w14:textId="77777777" w:rsidR="005A476C" w:rsidRDefault="005A476C" w:rsidP="004C08EE">
            <w:pPr>
              <w:tabs>
                <w:tab w:val="left" w:pos="426"/>
                <w:tab w:val="left" w:pos="599"/>
                <w:tab w:val="left" w:pos="1030"/>
              </w:tabs>
              <w:ind w:left="174" w:firstLine="425"/>
              <w:jc w:val="both"/>
              <w:rPr>
                <w:szCs w:val="24"/>
              </w:rPr>
            </w:pPr>
            <w:r>
              <w:rPr>
                <w:szCs w:val="24"/>
              </w:rPr>
              <w:t>5.1.</w:t>
            </w:r>
            <w:r>
              <w:rPr>
                <w:szCs w:val="24"/>
              </w:rPr>
              <w:tab/>
              <w:t>transporto priemonių pirkimo, lizingo (finansinės nuomos), eksploatavimo ir susijusios išlaidos;</w:t>
            </w:r>
          </w:p>
          <w:p w14:paraId="2575787D" w14:textId="77777777" w:rsidR="005A476C" w:rsidRDefault="005A476C" w:rsidP="004C08EE">
            <w:pPr>
              <w:tabs>
                <w:tab w:val="left" w:pos="599"/>
                <w:tab w:val="left" w:pos="1030"/>
              </w:tabs>
              <w:ind w:left="174" w:firstLine="425"/>
              <w:jc w:val="both"/>
              <w:rPr>
                <w:szCs w:val="24"/>
              </w:rPr>
            </w:pPr>
            <w:r>
              <w:rPr>
                <w:szCs w:val="24"/>
              </w:rPr>
              <w:t>5.2.</w:t>
            </w:r>
            <w:r>
              <w:rPr>
                <w:szCs w:val="24"/>
              </w:rPr>
              <w:tab/>
              <w:t>žemės pirkimo išlaidos;</w:t>
            </w:r>
          </w:p>
          <w:p w14:paraId="269C1892" w14:textId="77777777" w:rsidR="005A476C" w:rsidRDefault="005A476C" w:rsidP="004C08EE">
            <w:pPr>
              <w:tabs>
                <w:tab w:val="left" w:pos="599"/>
                <w:tab w:val="left" w:pos="1030"/>
              </w:tabs>
              <w:ind w:left="174" w:firstLine="425"/>
              <w:jc w:val="both"/>
              <w:rPr>
                <w:szCs w:val="24"/>
              </w:rPr>
            </w:pPr>
            <w:r>
              <w:rPr>
                <w:szCs w:val="24"/>
              </w:rPr>
              <w:t>5.3.</w:t>
            </w:r>
            <w:r>
              <w:rPr>
                <w:szCs w:val="24"/>
              </w:rPr>
              <w:tab/>
            </w:r>
            <w:r>
              <w:rPr>
                <w:color w:val="242424"/>
                <w:szCs w:val="24"/>
              </w:rPr>
              <w:t>įgyvendinant projektą naudojamo ilgalaikio turto nusidėvėjimo (amortizacijos) sąnaudos;</w:t>
            </w:r>
          </w:p>
          <w:p w14:paraId="4D67659E" w14:textId="77777777" w:rsidR="00255760" w:rsidRDefault="005A476C" w:rsidP="004C08EE">
            <w:pPr>
              <w:tabs>
                <w:tab w:val="left" w:pos="599"/>
                <w:tab w:val="left" w:pos="1030"/>
              </w:tabs>
              <w:ind w:left="174" w:firstLine="425"/>
              <w:jc w:val="both"/>
              <w:rPr>
                <w:color w:val="242424"/>
                <w:szCs w:val="24"/>
              </w:rPr>
            </w:pPr>
            <w:r>
              <w:rPr>
                <w:szCs w:val="24"/>
              </w:rPr>
              <w:t>5.4.</w:t>
            </w:r>
            <w:r>
              <w:rPr>
                <w:szCs w:val="24"/>
              </w:rPr>
              <w:tab/>
            </w:r>
            <w:r>
              <w:rPr>
                <w:color w:val="242424"/>
                <w:szCs w:val="24"/>
              </w:rPr>
              <w:t>nepiniginis projekto vykdytojo ir (arba) projekto partnerio įnašas</w:t>
            </w:r>
            <w:r w:rsidR="00255760">
              <w:rPr>
                <w:color w:val="242424"/>
                <w:szCs w:val="24"/>
              </w:rPr>
              <w:t>;</w:t>
            </w:r>
          </w:p>
          <w:p w14:paraId="12B22A4E" w14:textId="498AC349" w:rsidR="005A476C" w:rsidRDefault="00255760" w:rsidP="00255760">
            <w:pPr>
              <w:tabs>
                <w:tab w:val="left" w:pos="599"/>
                <w:tab w:val="left" w:pos="1030"/>
              </w:tabs>
              <w:ind w:left="174" w:firstLine="425"/>
              <w:jc w:val="both"/>
              <w:rPr>
                <w:color w:val="242424"/>
                <w:szCs w:val="24"/>
              </w:rPr>
            </w:pPr>
            <w:r>
              <w:rPr>
                <w:color w:val="242424"/>
                <w:szCs w:val="24"/>
                <w:lang w:val="en-US"/>
              </w:rPr>
              <w:t xml:space="preserve">5.5. </w:t>
            </w:r>
            <w:r w:rsidRPr="00994483">
              <w:rPr>
                <w:color w:val="242424"/>
                <w:szCs w:val="24"/>
              </w:rPr>
              <w:t>Įrangos, infrastruktūros ir programinės įrangos įsigijimas konsolidavimo ir optimizavimo procese dalyvaujančioms institucijoms (</w:t>
            </w:r>
            <w:r w:rsidR="00BB28DA">
              <w:rPr>
                <w:color w:val="242424"/>
                <w:szCs w:val="24"/>
              </w:rPr>
              <w:t xml:space="preserve"> </w:t>
            </w:r>
            <w:r w:rsidR="00BB28DA">
              <w:rPr>
                <w:bCs/>
                <w:szCs w:val="24"/>
                <w:lang w:eastAsia="lt-LT"/>
              </w:rPr>
              <w:t>Nutarimas dėl valstybės informacinių technologijų infrastruktūros konsolidavimo ir jos valdymo optimizavimo</w:t>
            </w:r>
            <w:r w:rsidRPr="00994483">
              <w:rPr>
                <w:color w:val="242424"/>
                <w:szCs w:val="24"/>
              </w:rPr>
              <w:t>), kuri yra/bus teikiama Valstybės debesijos paslaugų teikimo infrastruktūroje.</w:t>
            </w:r>
          </w:p>
          <w:p w14:paraId="580DA5E3" w14:textId="77777777" w:rsidR="00BB28DA" w:rsidRDefault="00BB28DA" w:rsidP="00255760">
            <w:pPr>
              <w:tabs>
                <w:tab w:val="left" w:pos="599"/>
                <w:tab w:val="left" w:pos="1030"/>
              </w:tabs>
              <w:ind w:left="174" w:firstLine="425"/>
              <w:jc w:val="both"/>
              <w:rPr>
                <w:szCs w:val="24"/>
              </w:rPr>
            </w:pPr>
            <w:r>
              <w:rPr>
                <w:bCs/>
                <w:szCs w:val="24"/>
                <w:lang w:val="en-US"/>
              </w:rPr>
              <w:t>5</w:t>
            </w:r>
            <w:r>
              <w:rPr>
                <w:bCs/>
                <w:szCs w:val="24"/>
              </w:rPr>
              <w:t>.6.</w:t>
            </w:r>
            <w:r>
              <w:rPr>
                <w:bCs/>
                <w:szCs w:val="24"/>
              </w:rPr>
              <w:tab/>
              <w:t xml:space="preserve">apmokėjimo už informacinių technologijų paslaugų teikėjo centralizuotai teikiamas informacinių technologijų paslaugas, numatytas </w:t>
            </w:r>
            <w:r>
              <w:rPr>
                <w:bCs/>
                <w:szCs w:val="24"/>
                <w:lang w:eastAsia="lt-LT"/>
              </w:rPr>
              <w:t>Nutarime dėl valstybės informacinių technologijų infrastruktūros konsolidavimo ir jos valdymo optimizavimo</w:t>
            </w:r>
            <w:r>
              <w:rPr>
                <w:bCs/>
                <w:szCs w:val="24"/>
              </w:rPr>
              <w:t>, išlaidos.</w:t>
            </w:r>
          </w:p>
          <w:p w14:paraId="1EA1CE1B" w14:textId="77777777" w:rsidR="005A476C" w:rsidRDefault="005A476C" w:rsidP="004C08EE">
            <w:pPr>
              <w:tabs>
                <w:tab w:val="left" w:pos="709"/>
                <w:tab w:val="left" w:pos="850"/>
                <w:tab w:val="left" w:pos="1030"/>
              </w:tabs>
              <w:ind w:left="174" w:firstLine="425"/>
              <w:jc w:val="both"/>
              <w:rPr>
                <w:b/>
                <w:sz w:val="22"/>
                <w:szCs w:val="22"/>
              </w:rPr>
            </w:pPr>
            <w:r>
              <w:rPr>
                <w:bCs/>
                <w:szCs w:val="24"/>
              </w:rPr>
              <w:lastRenderedPageBreak/>
              <w:t>6.</w:t>
            </w:r>
            <w:r>
              <w:rPr>
                <w:bCs/>
                <w:szCs w:val="24"/>
              </w:rPr>
              <w:tab/>
            </w:r>
            <w:r>
              <w:rPr>
                <w:szCs w:val="24"/>
              </w:rPr>
              <w:t>Kryžminis finansavimas netaikomas.</w:t>
            </w:r>
          </w:p>
          <w:p w14:paraId="406CB714" w14:textId="77777777" w:rsidR="005A476C" w:rsidRDefault="005A476C" w:rsidP="004C08EE">
            <w:pPr>
              <w:tabs>
                <w:tab w:val="left" w:pos="850"/>
              </w:tabs>
              <w:ind w:left="174" w:firstLine="425"/>
              <w:jc w:val="both"/>
              <w:rPr>
                <w:b/>
                <w:sz w:val="22"/>
                <w:szCs w:val="22"/>
              </w:rPr>
            </w:pPr>
            <w:r>
              <w:rPr>
                <w:bCs/>
                <w:szCs w:val="24"/>
              </w:rPr>
              <w:t>7.</w:t>
            </w:r>
            <w:r>
              <w:rPr>
                <w:bCs/>
                <w:szCs w:val="24"/>
              </w:rPr>
              <w:tab/>
            </w:r>
            <w:r>
              <w:rPr>
                <w:color w:val="000000"/>
                <w:szCs w:val="24"/>
              </w:rPr>
              <w:t xml:space="preserve">Didžiausia galima finansuoti projekto dalis sudaro 100 proc. visų tinkamų finansuoti projekto išlaidų. </w:t>
            </w:r>
            <w:r>
              <w:rPr>
                <w:szCs w:val="24"/>
                <w:lang w:eastAsia="lt-LT"/>
              </w:rPr>
              <w:t>Netinkamos finansuoti išlaidos ir projekto tinkamų finansuoti išlaidų dalis, kurios nepadengia projektui skiriamo finansavimo lėšos, turi būti finansuojamos iš projekto vykdytojo lėšų.</w:t>
            </w:r>
          </w:p>
          <w:p w14:paraId="25B848DE" w14:textId="77777777" w:rsidR="005A476C" w:rsidRDefault="005A476C" w:rsidP="00407795">
            <w:pPr>
              <w:tabs>
                <w:tab w:val="left" w:pos="850"/>
              </w:tabs>
              <w:ind w:left="174" w:firstLine="425"/>
              <w:jc w:val="both"/>
              <w:rPr>
                <w:b/>
                <w:sz w:val="22"/>
                <w:szCs w:val="22"/>
              </w:rPr>
            </w:pPr>
            <w:r>
              <w:rPr>
                <w:bCs/>
                <w:szCs w:val="24"/>
              </w:rPr>
              <w:t>8.</w:t>
            </w:r>
            <w:r>
              <w:rPr>
                <w:bCs/>
                <w:szCs w:val="24"/>
              </w:rPr>
              <w:tab/>
            </w:r>
            <w:r>
              <w:rPr>
                <w:szCs w:val="24"/>
                <w:lang w:eastAsia="lt-LT"/>
              </w:rPr>
              <w:t>Pareiškėjas ir partneris savo iniciatyva bei savo ir (arba) kitų šaltinių lėšomis gali prisidėti prie projekto įgyvendinimo.</w:t>
            </w:r>
          </w:p>
        </w:tc>
      </w:tr>
      <w:tr w:rsidR="00282F0E" w14:paraId="3C05F9B7" w14:textId="77777777" w:rsidTr="005323E0">
        <w:trPr>
          <w:gridAfter w:val="1"/>
          <w:wAfter w:w="137" w:type="dxa"/>
          <w:trHeight w:val="349"/>
        </w:trPr>
        <w:tc>
          <w:tcPr>
            <w:tcW w:w="14709" w:type="dxa"/>
            <w:gridSpan w:val="2"/>
          </w:tcPr>
          <w:p w14:paraId="3389797A" w14:textId="77777777" w:rsidR="00282F0E" w:rsidRDefault="00282F0E" w:rsidP="00282F0E">
            <w:pPr>
              <w:jc w:val="both"/>
              <w:rPr>
                <w:szCs w:val="24"/>
              </w:rPr>
            </w:pPr>
            <w:r>
              <w:rPr>
                <w:b/>
                <w:szCs w:val="24"/>
              </w:rPr>
              <w:lastRenderedPageBreak/>
              <w:t>10. Projektų veiklų ir jungtinio projekto projektų įgyvendinimui taikomi supaprastintai apmokamų išlaidų dydžiai</w:t>
            </w:r>
          </w:p>
        </w:tc>
      </w:tr>
      <w:tr w:rsidR="005323E0" w14:paraId="7337CEDD" w14:textId="77777777" w:rsidTr="005323E0">
        <w:tc>
          <w:tcPr>
            <w:tcW w:w="14610" w:type="dxa"/>
          </w:tcPr>
          <w:tbl>
            <w:tblPr>
              <w:tblW w:w="1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gridCol w:w="50"/>
              <w:gridCol w:w="50"/>
            </w:tblGrid>
            <w:tr w:rsidR="005323E0" w14:paraId="370797B7" w14:textId="77777777" w:rsidTr="005323E0">
              <w:trPr>
                <w:gridAfter w:val="2"/>
                <w:wAfter w:w="100" w:type="dxa"/>
              </w:trPr>
              <w:tc>
                <w:tcPr>
                  <w:tcW w:w="14449" w:type="dxa"/>
                  <w:gridSpan w:val="5"/>
                  <w:tcBorders>
                    <w:top w:val="single" w:sz="8" w:space="0" w:color="auto"/>
                    <w:left w:val="single" w:sz="8" w:space="0" w:color="auto"/>
                    <w:bottom w:val="single" w:sz="8" w:space="0" w:color="auto"/>
                    <w:right w:val="single" w:sz="8" w:space="0" w:color="auto"/>
                  </w:tcBorders>
                </w:tcPr>
                <w:p w14:paraId="05830A9B" w14:textId="77777777" w:rsidR="00854C4C" w:rsidRDefault="00854C4C" w:rsidP="00282F0E">
                  <w:pPr>
                    <w:jc w:val="both"/>
                    <w:rPr>
                      <w:b/>
                      <w:bCs/>
                      <w:sz w:val="22"/>
                      <w:szCs w:val="22"/>
                    </w:rPr>
                  </w:pPr>
                  <w:r>
                    <w:rPr>
                      <w:b/>
                      <w:bCs/>
                      <w:sz w:val="22"/>
                      <w:szCs w:val="22"/>
                    </w:rPr>
                    <w:t xml:space="preserve">X   </w:t>
                  </w:r>
                  <w:r w:rsidR="005323E0">
                    <w:rPr>
                      <w:b/>
                      <w:bCs/>
                      <w:sz w:val="22"/>
                      <w:szCs w:val="22"/>
                    </w:rPr>
                    <w:t>Indeksuojama</w:t>
                  </w:r>
                </w:p>
                <w:p w14:paraId="40347209" w14:textId="6619C40D" w:rsidR="005323E0" w:rsidRDefault="00854C4C" w:rsidP="00282F0E">
                  <w:pPr>
                    <w:jc w:val="both"/>
                    <w:rPr>
                      <w:b/>
                      <w:bCs/>
                      <w:sz w:val="22"/>
                      <w:szCs w:val="22"/>
                    </w:rPr>
                  </w:pPr>
                  <w:r w:rsidRPr="00854C4C">
                    <w:rPr>
                      <w:rFonts w:ascii="MS Gothic" w:eastAsia="MS Gothic" w:hAnsi="MS Gothic" w:cs="MS Gothic"/>
                      <w:b/>
                      <w:bCs/>
                      <w:sz w:val="22"/>
                      <w:szCs w:val="22"/>
                    </w:rPr>
                    <w:t>☐</w:t>
                  </w:r>
                  <w:r w:rsidR="005323E0">
                    <w:rPr>
                      <w:b/>
                      <w:bCs/>
                      <w:sz w:val="22"/>
                      <w:szCs w:val="22"/>
                    </w:rPr>
                    <w:t xml:space="preserve"> Neindeksuojama</w:t>
                  </w:r>
                </w:p>
              </w:tc>
            </w:tr>
            <w:tr w:rsidR="005323E0" w14:paraId="0CEE14DD" w14:textId="77777777" w:rsidTr="005323E0">
              <w:trPr>
                <w:gridAfter w:val="2"/>
                <w:wAfter w:w="100" w:type="dxa"/>
              </w:trPr>
              <w:tc>
                <w:tcPr>
                  <w:tcW w:w="2889" w:type="dxa"/>
                  <w:tcBorders>
                    <w:top w:val="single" w:sz="8" w:space="0" w:color="auto"/>
                    <w:left w:val="single" w:sz="8" w:space="0" w:color="auto"/>
                    <w:bottom w:val="single" w:sz="8" w:space="0" w:color="auto"/>
                    <w:right w:val="single" w:sz="8" w:space="0" w:color="auto"/>
                  </w:tcBorders>
                  <w:vAlign w:val="center"/>
                </w:tcPr>
                <w:p w14:paraId="39541628" w14:textId="77777777" w:rsidR="005323E0" w:rsidRDefault="005323E0" w:rsidP="00282F0E">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69E2CBBA" w14:textId="77777777" w:rsidR="005323E0" w:rsidRDefault="005323E0" w:rsidP="00282F0E">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3CAE9E8C" w14:textId="77777777" w:rsidR="005323E0" w:rsidRDefault="005323E0" w:rsidP="00282F0E">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20543FE" w14:textId="77777777" w:rsidR="005323E0" w:rsidRDefault="005323E0" w:rsidP="00282F0E">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6F0E26A9" w14:textId="77777777" w:rsidR="005323E0" w:rsidRDefault="005323E0" w:rsidP="00282F0E">
                  <w:pPr>
                    <w:jc w:val="center"/>
                    <w:rPr>
                      <w:b/>
                      <w:bCs/>
                      <w:sz w:val="22"/>
                      <w:szCs w:val="22"/>
                    </w:rPr>
                  </w:pPr>
                  <w:r>
                    <w:rPr>
                      <w:b/>
                      <w:bCs/>
                      <w:sz w:val="22"/>
                      <w:szCs w:val="22"/>
                    </w:rPr>
                    <w:t>Papildoma informacija</w:t>
                  </w:r>
                </w:p>
              </w:tc>
            </w:tr>
            <w:tr w:rsidR="005323E0" w14:paraId="577C48E9" w14:textId="77777777" w:rsidTr="005323E0">
              <w:trPr>
                <w:gridAfter w:val="2"/>
                <w:wAfter w:w="100" w:type="dxa"/>
              </w:trPr>
              <w:tc>
                <w:tcPr>
                  <w:tcW w:w="2889" w:type="dxa"/>
                  <w:tcBorders>
                    <w:top w:val="single" w:sz="8" w:space="0" w:color="auto"/>
                    <w:left w:val="single" w:sz="8" w:space="0" w:color="auto"/>
                    <w:bottom w:val="single" w:sz="8" w:space="0" w:color="auto"/>
                    <w:right w:val="single" w:sz="8" w:space="0" w:color="auto"/>
                  </w:tcBorders>
                </w:tcPr>
                <w:p w14:paraId="24A31251" w14:textId="03743FC9" w:rsidR="005323E0" w:rsidRPr="004845A1" w:rsidRDefault="00051D35" w:rsidP="00BB45CD">
                  <w:pPr>
                    <w:jc w:val="center"/>
                    <w:rPr>
                      <w:i/>
                      <w:iCs/>
                      <w:sz w:val="20"/>
                      <w:lang w:val="en-US"/>
                    </w:rPr>
                  </w:pPr>
                  <w:r>
                    <w:rPr>
                      <w:szCs w:val="24"/>
                      <w:shd w:val="clear" w:color="auto" w:fill="FFFFFF"/>
                      <w:lang w:val="en-US"/>
                    </w:rPr>
                    <w:t>7 proc.</w:t>
                  </w:r>
                </w:p>
              </w:tc>
              <w:tc>
                <w:tcPr>
                  <w:tcW w:w="2890" w:type="dxa"/>
                  <w:tcBorders>
                    <w:top w:val="single" w:sz="8" w:space="0" w:color="auto"/>
                    <w:left w:val="single" w:sz="8" w:space="0" w:color="auto"/>
                    <w:bottom w:val="single" w:sz="8" w:space="0" w:color="auto"/>
                    <w:right w:val="single" w:sz="8" w:space="0" w:color="auto"/>
                  </w:tcBorders>
                </w:tcPr>
                <w:p w14:paraId="1F027177" w14:textId="77777777" w:rsidR="005323E0" w:rsidRDefault="005323E0" w:rsidP="00BB45CD">
                  <w:pPr>
                    <w:jc w:val="center"/>
                    <w:rPr>
                      <w:i/>
                      <w:iCs/>
                      <w:sz w:val="20"/>
                    </w:rPr>
                  </w:pPr>
                  <w:r w:rsidRPr="00E53008">
                    <w:rPr>
                      <w:szCs w:val="24"/>
                      <w:shd w:val="clear" w:color="auto" w:fill="FFFFFF"/>
                    </w:rPr>
                    <w:t>FN-01</w:t>
                  </w:r>
                </w:p>
              </w:tc>
              <w:tc>
                <w:tcPr>
                  <w:tcW w:w="2890" w:type="dxa"/>
                  <w:tcBorders>
                    <w:top w:val="single" w:sz="8" w:space="0" w:color="auto"/>
                    <w:left w:val="single" w:sz="8" w:space="0" w:color="auto"/>
                    <w:bottom w:val="single" w:sz="8" w:space="0" w:color="auto"/>
                    <w:right w:val="single" w:sz="8" w:space="0" w:color="auto"/>
                  </w:tcBorders>
                </w:tcPr>
                <w:p w14:paraId="3BC79302" w14:textId="063E4169" w:rsidR="005323E0" w:rsidRDefault="00937E7F" w:rsidP="00BB45CD">
                  <w:pPr>
                    <w:jc w:val="center"/>
                    <w:rPr>
                      <w:i/>
                      <w:iCs/>
                      <w:sz w:val="20"/>
                    </w:rPr>
                  </w:pPr>
                  <w:r>
                    <w:rPr>
                      <w:i/>
                      <w:iCs/>
                      <w:sz w:val="20"/>
                    </w:rPr>
                    <w:t>-</w:t>
                  </w:r>
                </w:p>
              </w:tc>
              <w:tc>
                <w:tcPr>
                  <w:tcW w:w="2890" w:type="dxa"/>
                  <w:tcBorders>
                    <w:top w:val="single" w:sz="8" w:space="0" w:color="auto"/>
                    <w:left w:val="single" w:sz="8" w:space="0" w:color="auto"/>
                    <w:bottom w:val="single" w:sz="8" w:space="0" w:color="auto"/>
                    <w:right w:val="single" w:sz="8" w:space="0" w:color="auto"/>
                  </w:tcBorders>
                </w:tcPr>
                <w:p w14:paraId="725F9714" w14:textId="77777777" w:rsidR="005323E0" w:rsidRDefault="005323E0" w:rsidP="00BB45CD">
                  <w:pPr>
                    <w:jc w:val="center"/>
                    <w:rPr>
                      <w:i/>
                      <w:iCs/>
                      <w:sz w:val="20"/>
                    </w:rPr>
                  </w:pPr>
                  <w:r w:rsidRPr="00E53008">
                    <w:rPr>
                      <w:szCs w:val="24"/>
                      <w:shd w:val="clear" w:color="auto" w:fill="FFFFFF"/>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833D4EC" w14:textId="77777777" w:rsidR="005323E0" w:rsidRPr="005B60C4" w:rsidRDefault="005323E0" w:rsidP="00BB45CD">
                  <w:pPr>
                    <w:jc w:val="center"/>
                    <w:rPr>
                      <w:b/>
                      <w:bCs/>
                      <w:sz w:val="20"/>
                    </w:rPr>
                  </w:pPr>
                </w:p>
              </w:tc>
            </w:tr>
            <w:tr w:rsidR="005323E0" w14:paraId="62E9A9C6" w14:textId="77777777" w:rsidTr="005323E0">
              <w:trPr>
                <w:gridAfter w:val="2"/>
                <w:wAfter w:w="100" w:type="dxa"/>
              </w:trPr>
              <w:tc>
                <w:tcPr>
                  <w:tcW w:w="2889" w:type="dxa"/>
                  <w:tcBorders>
                    <w:top w:val="single" w:sz="8" w:space="0" w:color="auto"/>
                    <w:left w:val="single" w:sz="8" w:space="0" w:color="auto"/>
                    <w:bottom w:val="single" w:sz="8" w:space="0" w:color="auto"/>
                    <w:right w:val="single" w:sz="8" w:space="0" w:color="auto"/>
                  </w:tcBorders>
                </w:tcPr>
                <w:p w14:paraId="5605F10E" w14:textId="128373D4" w:rsidR="005323E0" w:rsidRPr="00F00DF2" w:rsidRDefault="00051D35" w:rsidP="00BB45CD">
                  <w:pPr>
                    <w:jc w:val="center"/>
                  </w:pPr>
                  <w:r>
                    <w:rPr>
                      <w:szCs w:val="24"/>
                      <w:shd w:val="clear" w:color="auto" w:fill="FFFFFF"/>
                    </w:rPr>
                    <w:t>1357,09 EUR</w:t>
                  </w:r>
                </w:p>
              </w:tc>
              <w:tc>
                <w:tcPr>
                  <w:tcW w:w="2890" w:type="dxa"/>
                  <w:tcBorders>
                    <w:top w:val="single" w:sz="8" w:space="0" w:color="auto"/>
                    <w:left w:val="single" w:sz="8" w:space="0" w:color="auto"/>
                    <w:bottom w:val="single" w:sz="8" w:space="0" w:color="auto"/>
                    <w:right w:val="single" w:sz="8" w:space="0" w:color="auto"/>
                  </w:tcBorders>
                </w:tcPr>
                <w:p w14:paraId="3CFD7AD5" w14:textId="77777777" w:rsidR="005323E0" w:rsidRPr="00F00DF2" w:rsidRDefault="005323E0" w:rsidP="00BB45CD">
                  <w:pPr>
                    <w:jc w:val="center"/>
                  </w:pPr>
                  <w:r w:rsidRPr="00E53008">
                    <w:rPr>
                      <w:szCs w:val="24"/>
                      <w:shd w:val="clear" w:color="auto" w:fill="FFFFFF"/>
                    </w:rPr>
                    <w:t>FS-01-04</w:t>
                  </w:r>
                </w:p>
              </w:tc>
              <w:tc>
                <w:tcPr>
                  <w:tcW w:w="2890" w:type="dxa"/>
                  <w:tcBorders>
                    <w:top w:val="single" w:sz="8" w:space="0" w:color="auto"/>
                    <w:left w:val="single" w:sz="8" w:space="0" w:color="auto"/>
                    <w:bottom w:val="single" w:sz="8" w:space="0" w:color="auto"/>
                    <w:right w:val="single" w:sz="8" w:space="0" w:color="auto"/>
                  </w:tcBorders>
                </w:tcPr>
                <w:p w14:paraId="635E0190" w14:textId="72585062" w:rsidR="005323E0" w:rsidRPr="00F00DF2" w:rsidRDefault="00937E7F" w:rsidP="00BB45CD">
                  <w:pPr>
                    <w:jc w:val="center"/>
                  </w:pPr>
                  <w:r>
                    <w:rPr>
                      <w:szCs w:val="24"/>
                      <w:shd w:val="clear" w:color="auto" w:fill="FFFFFF"/>
                    </w:rPr>
                    <w:t>-</w:t>
                  </w:r>
                </w:p>
              </w:tc>
              <w:tc>
                <w:tcPr>
                  <w:tcW w:w="2890" w:type="dxa"/>
                  <w:tcBorders>
                    <w:top w:val="single" w:sz="8" w:space="0" w:color="auto"/>
                    <w:left w:val="single" w:sz="8" w:space="0" w:color="auto"/>
                    <w:bottom w:val="single" w:sz="8" w:space="0" w:color="auto"/>
                    <w:right w:val="single" w:sz="8" w:space="0" w:color="auto"/>
                  </w:tcBorders>
                </w:tcPr>
                <w:p w14:paraId="286ED664" w14:textId="77777777" w:rsidR="005323E0" w:rsidRDefault="005323E0" w:rsidP="00BB45CD">
                  <w:pPr>
                    <w:jc w:val="center"/>
                    <w:rPr>
                      <w:szCs w:val="24"/>
                      <w:shd w:val="clear" w:color="auto" w:fill="FFFFFF"/>
                    </w:rPr>
                  </w:pPr>
                  <w:r w:rsidRPr="00CD284C">
                    <w:rPr>
                      <w:szCs w:val="24"/>
                      <w:shd w:val="clear" w:color="auto" w:fill="FFFFFF"/>
                    </w:rPr>
                    <w:t>1357,09 EUR</w:t>
                  </w:r>
                </w:p>
                <w:p w14:paraId="3F239571" w14:textId="77777777" w:rsidR="005323E0" w:rsidRPr="00F00DF2" w:rsidRDefault="005323E0" w:rsidP="00BB45CD">
                  <w:pPr>
                    <w:jc w:val="center"/>
                  </w:pPr>
                  <w:r w:rsidRPr="00E53008">
                    <w:rPr>
                      <w:szCs w:val="24"/>
                      <w:shd w:val="clear" w:color="auto" w:fill="FFFFFF"/>
                    </w:rPr>
                    <w:t>Įgyvendintų privalomų informavimo apie ES fondų investicijų veiklas priemonių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328E518" w14:textId="77777777" w:rsidR="005323E0" w:rsidRPr="00F00DF2" w:rsidRDefault="005323E0" w:rsidP="00BB45CD">
                  <w:pPr>
                    <w:jc w:val="center"/>
                  </w:pPr>
                </w:p>
              </w:tc>
            </w:tr>
            <w:tr w:rsidR="005323E0" w14:paraId="1528C9C2" w14:textId="77777777" w:rsidTr="005323E0">
              <w:trPr>
                <w:gridAfter w:val="2"/>
                <w:wAfter w:w="100" w:type="dxa"/>
              </w:trPr>
              <w:tc>
                <w:tcPr>
                  <w:tcW w:w="2889" w:type="dxa"/>
                  <w:tcBorders>
                    <w:top w:val="single" w:sz="8" w:space="0" w:color="auto"/>
                    <w:left w:val="single" w:sz="8" w:space="0" w:color="auto"/>
                    <w:bottom w:val="single" w:sz="8" w:space="0" w:color="auto"/>
                    <w:right w:val="single" w:sz="8" w:space="0" w:color="auto"/>
                  </w:tcBorders>
                </w:tcPr>
                <w:p w14:paraId="39230BE3" w14:textId="5B34AE8B" w:rsidR="005323E0" w:rsidRPr="00F00DF2" w:rsidRDefault="00051D35" w:rsidP="00BB45CD">
                  <w:pPr>
                    <w:jc w:val="center"/>
                  </w:pPr>
                  <w:r>
                    <w:rPr>
                      <w:szCs w:val="24"/>
                      <w:shd w:val="clear" w:color="auto" w:fill="FFFFFF"/>
                    </w:rPr>
                    <w:t>1121,56 EUR</w:t>
                  </w:r>
                </w:p>
              </w:tc>
              <w:tc>
                <w:tcPr>
                  <w:tcW w:w="2890" w:type="dxa"/>
                  <w:tcBorders>
                    <w:top w:val="single" w:sz="8" w:space="0" w:color="auto"/>
                    <w:left w:val="single" w:sz="8" w:space="0" w:color="auto"/>
                    <w:bottom w:val="single" w:sz="8" w:space="0" w:color="auto"/>
                    <w:right w:val="single" w:sz="8" w:space="0" w:color="auto"/>
                  </w:tcBorders>
                </w:tcPr>
                <w:p w14:paraId="108BE014" w14:textId="77777777" w:rsidR="005323E0" w:rsidRPr="00F00DF2" w:rsidRDefault="005323E0" w:rsidP="00BB45CD">
                  <w:pPr>
                    <w:jc w:val="center"/>
                  </w:pPr>
                  <w:r w:rsidRPr="00E53008">
                    <w:rPr>
                      <w:szCs w:val="24"/>
                      <w:shd w:val="clear" w:color="auto" w:fill="FFFFFF"/>
                    </w:rPr>
                    <w:t>FS-01-03</w:t>
                  </w:r>
                </w:p>
              </w:tc>
              <w:tc>
                <w:tcPr>
                  <w:tcW w:w="2890" w:type="dxa"/>
                  <w:tcBorders>
                    <w:top w:val="single" w:sz="8" w:space="0" w:color="auto"/>
                    <w:left w:val="single" w:sz="8" w:space="0" w:color="auto"/>
                    <w:bottom w:val="single" w:sz="8" w:space="0" w:color="auto"/>
                    <w:right w:val="single" w:sz="8" w:space="0" w:color="auto"/>
                  </w:tcBorders>
                </w:tcPr>
                <w:p w14:paraId="61202639" w14:textId="44A3266F" w:rsidR="005323E0" w:rsidRPr="00F00DF2" w:rsidRDefault="00937E7F" w:rsidP="00BB45CD">
                  <w:pPr>
                    <w:jc w:val="center"/>
                  </w:pPr>
                  <w:r>
                    <w:rPr>
                      <w:szCs w:val="24"/>
                      <w:shd w:val="clear" w:color="auto" w:fill="FFFFFF"/>
                    </w:rPr>
                    <w:t>-</w:t>
                  </w:r>
                </w:p>
              </w:tc>
              <w:tc>
                <w:tcPr>
                  <w:tcW w:w="2890" w:type="dxa"/>
                  <w:tcBorders>
                    <w:top w:val="single" w:sz="8" w:space="0" w:color="auto"/>
                    <w:left w:val="single" w:sz="8" w:space="0" w:color="auto"/>
                    <w:bottom w:val="single" w:sz="8" w:space="0" w:color="auto"/>
                    <w:right w:val="single" w:sz="8" w:space="0" w:color="auto"/>
                  </w:tcBorders>
                </w:tcPr>
                <w:p w14:paraId="29673312" w14:textId="77777777" w:rsidR="005323E0" w:rsidRPr="00E53008" w:rsidRDefault="005323E0" w:rsidP="00BB45CD">
                  <w:pPr>
                    <w:jc w:val="center"/>
                    <w:rPr>
                      <w:szCs w:val="24"/>
                      <w:shd w:val="clear" w:color="auto" w:fill="FFFFFF"/>
                    </w:rPr>
                  </w:pPr>
                  <w:r w:rsidRPr="00E53008">
                    <w:rPr>
                      <w:szCs w:val="24"/>
                      <w:shd w:val="clear" w:color="auto" w:fill="FFFFFF"/>
                    </w:rPr>
                    <w:t>1121,56 EUR</w:t>
                  </w:r>
                </w:p>
                <w:p w14:paraId="771F159F" w14:textId="77777777" w:rsidR="005323E0" w:rsidRPr="00F00DF2" w:rsidRDefault="005323E0" w:rsidP="00BB45CD">
                  <w:pPr>
                    <w:jc w:val="center"/>
                  </w:pPr>
                  <w:r w:rsidRPr="00E53008">
                    <w:rPr>
                      <w:szCs w:val="24"/>
                      <w:shd w:val="clear" w:color="auto" w:fill="FFFFFF"/>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7E8D7E07" w14:textId="77777777" w:rsidR="005323E0" w:rsidRPr="00F00DF2" w:rsidRDefault="005323E0" w:rsidP="00BB45CD">
                  <w:pPr>
                    <w:jc w:val="center"/>
                  </w:pPr>
                </w:p>
              </w:tc>
            </w:tr>
            <w:tr w:rsidR="005323E0" w14:paraId="2FF1FD45" w14:textId="77777777" w:rsidTr="005323E0">
              <w:trPr>
                <w:gridAfter w:val="2"/>
                <w:wAfter w:w="100" w:type="dxa"/>
              </w:trPr>
              <w:tc>
                <w:tcPr>
                  <w:tcW w:w="2889" w:type="dxa"/>
                </w:tcPr>
                <w:p w14:paraId="58D0CAA7" w14:textId="2716605C" w:rsidR="005323E0" w:rsidRPr="00F00DF2" w:rsidRDefault="00051D35" w:rsidP="00BB45CD">
                  <w:pPr>
                    <w:jc w:val="center"/>
                  </w:pPr>
                  <w:r>
                    <w:rPr>
                      <w:szCs w:val="24"/>
                      <w:shd w:val="clear" w:color="auto" w:fill="FFFFFF"/>
                    </w:rPr>
                    <w:t xml:space="preserve"> 8,63 proc.</w:t>
                  </w:r>
                </w:p>
              </w:tc>
              <w:tc>
                <w:tcPr>
                  <w:tcW w:w="2890" w:type="dxa"/>
                </w:tcPr>
                <w:p w14:paraId="5CFB44D4" w14:textId="77777777" w:rsidR="005323E0" w:rsidRPr="00F00DF2" w:rsidRDefault="005323E0" w:rsidP="00BB45CD">
                  <w:pPr>
                    <w:jc w:val="center"/>
                  </w:pPr>
                  <w:r w:rsidRPr="001E65BD">
                    <w:rPr>
                      <w:szCs w:val="24"/>
                      <w:shd w:val="clear" w:color="auto" w:fill="FFFFFF"/>
                    </w:rPr>
                    <w:t>FN-05-01</w:t>
                  </w:r>
                </w:p>
              </w:tc>
              <w:tc>
                <w:tcPr>
                  <w:tcW w:w="2890" w:type="dxa"/>
                </w:tcPr>
                <w:p w14:paraId="2E8C62E4" w14:textId="4F566166" w:rsidR="005323E0" w:rsidRPr="00F00DF2" w:rsidRDefault="00937E7F" w:rsidP="00BB45CD">
                  <w:pPr>
                    <w:jc w:val="center"/>
                  </w:pPr>
                  <w:r>
                    <w:rPr>
                      <w:szCs w:val="24"/>
                      <w:shd w:val="clear" w:color="auto" w:fill="FFFFFF"/>
                    </w:rPr>
                    <w:t>-</w:t>
                  </w:r>
                </w:p>
              </w:tc>
              <w:tc>
                <w:tcPr>
                  <w:tcW w:w="2890" w:type="dxa"/>
                </w:tcPr>
                <w:p w14:paraId="5ABA918E" w14:textId="77777777" w:rsidR="005323E0" w:rsidRPr="00F00DF2" w:rsidRDefault="005323E0" w:rsidP="00BB45CD">
                  <w:pPr>
                    <w:jc w:val="center"/>
                  </w:pPr>
                  <w:r w:rsidRPr="001E65BD">
                    <w:rPr>
                      <w:szCs w:val="24"/>
                      <w:shd w:val="clear" w:color="auto" w:fill="FFFFFF"/>
                    </w:rPr>
                    <w:t xml:space="preserve">Fiksuotoji norma, taikoma, kai priklauso 20 d. d. (jeigu dirbama 5 d. d. per savaitę) arba 24 d. d. (jeigu dirbama </w:t>
                  </w:r>
                  <w:r w:rsidRPr="001E65BD">
                    <w:rPr>
                      <w:szCs w:val="24"/>
                      <w:shd w:val="clear" w:color="auto" w:fill="FFFFFF"/>
                    </w:rPr>
                    <w:lastRenderedPageBreak/>
                    <w:t>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426ECE6D" w14:textId="77777777" w:rsidR="005323E0" w:rsidRPr="00F00DF2" w:rsidRDefault="005323E0" w:rsidP="00BB45CD">
                  <w:pPr>
                    <w:jc w:val="center"/>
                  </w:pPr>
                </w:p>
              </w:tc>
            </w:tr>
            <w:tr w:rsidR="005323E0" w:rsidRPr="00E53008" w14:paraId="1881293E" w14:textId="77777777" w:rsidTr="005323E0">
              <w:trPr>
                <w:gridAfter w:val="2"/>
                <w:wAfter w:w="100" w:type="dxa"/>
              </w:trPr>
              <w:tc>
                <w:tcPr>
                  <w:tcW w:w="2889" w:type="dxa"/>
                </w:tcPr>
                <w:p w14:paraId="718E1974" w14:textId="697960EA" w:rsidR="005323E0" w:rsidRDefault="00051D35" w:rsidP="00BB45CD">
                  <w:pPr>
                    <w:rPr>
                      <w:szCs w:val="24"/>
                      <w:shd w:val="clear" w:color="auto" w:fill="FFFFFF"/>
                    </w:rPr>
                  </w:pPr>
                  <w:r>
                    <w:rPr>
                      <w:szCs w:val="24"/>
                      <w:shd w:val="clear" w:color="auto" w:fill="FFFFFF"/>
                    </w:rPr>
                    <w:t xml:space="preserve"> 10,44 proc.</w:t>
                  </w:r>
                </w:p>
              </w:tc>
              <w:tc>
                <w:tcPr>
                  <w:tcW w:w="2890" w:type="dxa"/>
                </w:tcPr>
                <w:p w14:paraId="73736BBA" w14:textId="77777777" w:rsidR="005323E0" w:rsidRPr="001E65BD" w:rsidRDefault="005323E0" w:rsidP="00BB45CD">
                  <w:pPr>
                    <w:jc w:val="center"/>
                    <w:rPr>
                      <w:szCs w:val="24"/>
                      <w:shd w:val="clear" w:color="auto" w:fill="FFFFFF"/>
                    </w:rPr>
                  </w:pPr>
                  <w:r w:rsidRPr="001E65BD">
                    <w:rPr>
                      <w:szCs w:val="24"/>
                      <w:shd w:val="clear" w:color="auto" w:fill="FFFFFF"/>
                    </w:rPr>
                    <w:t>FN-05-02</w:t>
                  </w:r>
                </w:p>
              </w:tc>
              <w:tc>
                <w:tcPr>
                  <w:tcW w:w="2890" w:type="dxa"/>
                </w:tcPr>
                <w:p w14:paraId="2DF8B0B0" w14:textId="3DC7E148"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389F1BFE" w14:textId="77777777" w:rsidR="005323E0" w:rsidRPr="001E65BD" w:rsidRDefault="005323E0" w:rsidP="00BB45CD">
                  <w:pPr>
                    <w:jc w:val="center"/>
                    <w:rPr>
                      <w:szCs w:val="24"/>
                      <w:shd w:val="clear" w:color="auto" w:fill="FFFFFF"/>
                    </w:rPr>
                  </w:pPr>
                  <w:r w:rsidRPr="001E65BD">
                    <w:rPr>
                      <w:szCs w:val="24"/>
                      <w:shd w:val="clear" w:color="auto" w:fill="FFFFFF"/>
                    </w:rPr>
                    <w:t>Fiksuotoji norma, taikoma, kai priklauso nuo 21 iki 25 d. d. (jeigu dirbama 5 d. d. per savaitę) arba nuo 25 iki 30 d. d. (jeigu dirbama 6 d. d. per savaitę) kasmetinės atostogos</w:t>
                  </w:r>
                </w:p>
              </w:tc>
              <w:tc>
                <w:tcPr>
                  <w:tcW w:w="2890" w:type="dxa"/>
                  <w:shd w:val="clear" w:color="auto" w:fill="auto"/>
                </w:tcPr>
                <w:p w14:paraId="4B01A0C3" w14:textId="77777777" w:rsidR="005323E0" w:rsidRPr="00E53008" w:rsidRDefault="005323E0">
                  <w:pPr>
                    <w:rPr>
                      <w:szCs w:val="24"/>
                      <w:shd w:val="clear" w:color="auto" w:fill="FFFFFF"/>
                    </w:rPr>
                  </w:pPr>
                </w:p>
              </w:tc>
            </w:tr>
            <w:tr w:rsidR="005323E0" w:rsidRPr="00E53008" w14:paraId="6C1EB9E0" w14:textId="77777777" w:rsidTr="005323E0">
              <w:trPr>
                <w:gridAfter w:val="3"/>
                <w:wAfter w:w="2990" w:type="dxa"/>
              </w:trPr>
              <w:tc>
                <w:tcPr>
                  <w:tcW w:w="2889" w:type="dxa"/>
                </w:tcPr>
                <w:p w14:paraId="2E17DF2E" w14:textId="5260FF52" w:rsidR="005323E0" w:rsidRDefault="00051D35" w:rsidP="00BB45CD">
                  <w:pPr>
                    <w:rPr>
                      <w:szCs w:val="24"/>
                      <w:shd w:val="clear" w:color="auto" w:fill="FFFFFF"/>
                    </w:rPr>
                  </w:pPr>
                  <w:r>
                    <w:rPr>
                      <w:szCs w:val="24"/>
                      <w:shd w:val="clear" w:color="auto" w:fill="FFFFFF"/>
                    </w:rPr>
                    <w:t xml:space="preserve"> 12,35 proc.</w:t>
                  </w:r>
                </w:p>
              </w:tc>
              <w:tc>
                <w:tcPr>
                  <w:tcW w:w="2890" w:type="dxa"/>
                </w:tcPr>
                <w:p w14:paraId="64D9AF44" w14:textId="77777777" w:rsidR="005323E0" w:rsidRPr="001E65BD" w:rsidRDefault="005323E0" w:rsidP="00BB45CD">
                  <w:pPr>
                    <w:jc w:val="center"/>
                    <w:rPr>
                      <w:szCs w:val="24"/>
                      <w:shd w:val="clear" w:color="auto" w:fill="FFFFFF"/>
                    </w:rPr>
                  </w:pPr>
                  <w:r w:rsidRPr="001E65BD">
                    <w:rPr>
                      <w:szCs w:val="24"/>
                      <w:shd w:val="clear" w:color="auto" w:fill="FFFFFF"/>
                    </w:rPr>
                    <w:t>FN-05-03</w:t>
                  </w:r>
                </w:p>
              </w:tc>
              <w:tc>
                <w:tcPr>
                  <w:tcW w:w="2890" w:type="dxa"/>
                </w:tcPr>
                <w:p w14:paraId="0E25AF74" w14:textId="1F137FF8"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56C8B042" w14:textId="77777777" w:rsidR="005323E0" w:rsidRPr="001E65BD" w:rsidRDefault="005323E0" w:rsidP="00BB45CD">
                  <w:pPr>
                    <w:jc w:val="center"/>
                    <w:rPr>
                      <w:szCs w:val="24"/>
                      <w:shd w:val="clear" w:color="auto" w:fill="FFFFFF"/>
                    </w:rPr>
                  </w:pPr>
                  <w:r w:rsidRPr="001E65BD">
                    <w:rPr>
                      <w:szCs w:val="24"/>
                      <w:shd w:val="clear" w:color="auto" w:fill="FFFFFF"/>
                    </w:rPr>
                    <w:t>Fiksuotoji norma, taikoma, kai priklauso nuo 26 iki 30 d. d. (jeigu dirbama 5 d. d. per savaitę) arba nuo 31 iki 36 d. d. (jeigu dirbama 6 d. d. per savaitę) kasmetinės atostogos</w:t>
                  </w:r>
                </w:p>
              </w:tc>
            </w:tr>
            <w:tr w:rsidR="005323E0" w:rsidRPr="00E53008" w14:paraId="61E13BFC" w14:textId="77777777" w:rsidTr="005323E0">
              <w:tc>
                <w:tcPr>
                  <w:tcW w:w="2889" w:type="dxa"/>
                </w:tcPr>
                <w:p w14:paraId="71CDC7C6" w14:textId="77777777" w:rsidR="005323E0" w:rsidRPr="00E53008" w:rsidRDefault="00051D35" w:rsidP="00BB45CD">
                  <w:pPr>
                    <w:rPr>
                      <w:szCs w:val="24"/>
                      <w:shd w:val="clear" w:color="auto" w:fill="FFFFFF"/>
                    </w:rPr>
                  </w:pPr>
                  <w:r>
                    <w:rPr>
                      <w:szCs w:val="24"/>
                      <w:shd w:val="clear" w:color="auto" w:fill="FFFFFF"/>
                    </w:rPr>
                    <w:t>14,99 proc.</w:t>
                  </w:r>
                </w:p>
              </w:tc>
              <w:tc>
                <w:tcPr>
                  <w:tcW w:w="2890" w:type="dxa"/>
                </w:tcPr>
                <w:p w14:paraId="7E75EB71" w14:textId="77777777" w:rsidR="005323E0" w:rsidRPr="001E65BD" w:rsidRDefault="005323E0" w:rsidP="00BB45CD">
                  <w:pPr>
                    <w:jc w:val="center"/>
                    <w:rPr>
                      <w:szCs w:val="24"/>
                      <w:shd w:val="clear" w:color="auto" w:fill="FFFFFF"/>
                    </w:rPr>
                  </w:pPr>
                  <w:r w:rsidRPr="001E65BD">
                    <w:rPr>
                      <w:szCs w:val="24"/>
                      <w:shd w:val="clear" w:color="auto" w:fill="FFFFFF"/>
                    </w:rPr>
                    <w:t>FN-05-04</w:t>
                  </w:r>
                </w:p>
              </w:tc>
              <w:tc>
                <w:tcPr>
                  <w:tcW w:w="2890" w:type="dxa"/>
                </w:tcPr>
                <w:p w14:paraId="0CD63947" w14:textId="65C940B4"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11600993" w14:textId="77777777" w:rsidR="005323E0" w:rsidRPr="001E65BD" w:rsidRDefault="005323E0" w:rsidP="00BB45CD">
                  <w:pPr>
                    <w:jc w:val="center"/>
                    <w:rPr>
                      <w:szCs w:val="24"/>
                      <w:shd w:val="clear" w:color="auto" w:fill="FFFFFF"/>
                    </w:rPr>
                  </w:pPr>
                  <w:r w:rsidRPr="001E65BD">
                    <w:rPr>
                      <w:szCs w:val="24"/>
                      <w:shd w:val="clear" w:color="auto" w:fill="FFFFFF"/>
                    </w:rPr>
                    <w:t>Fiksuotoji norma, taikoma, kai priklauso nuo 31 iki 36 d. d. (jeigu dirbama 5 d. d. per savaitę) arba nuo 37 iki 42 d. d. (jeigu dirbama 6 d. d. per savaitę) kasmetinės atostogos</w:t>
                  </w:r>
                </w:p>
              </w:tc>
              <w:tc>
                <w:tcPr>
                  <w:tcW w:w="2990" w:type="dxa"/>
                  <w:gridSpan w:val="3"/>
                  <w:shd w:val="clear" w:color="auto" w:fill="auto"/>
                </w:tcPr>
                <w:p w14:paraId="2C5C0965" w14:textId="77777777" w:rsidR="005323E0" w:rsidRPr="00E53008" w:rsidRDefault="005323E0">
                  <w:pPr>
                    <w:rPr>
                      <w:szCs w:val="24"/>
                      <w:shd w:val="clear" w:color="auto" w:fill="FFFFFF"/>
                    </w:rPr>
                  </w:pPr>
                </w:p>
              </w:tc>
            </w:tr>
            <w:tr w:rsidR="005323E0" w:rsidRPr="00E53008" w14:paraId="0BE628D6" w14:textId="77777777" w:rsidTr="005323E0">
              <w:trPr>
                <w:gridAfter w:val="3"/>
                <w:wAfter w:w="2990" w:type="dxa"/>
              </w:trPr>
              <w:tc>
                <w:tcPr>
                  <w:tcW w:w="2889" w:type="dxa"/>
                </w:tcPr>
                <w:p w14:paraId="18C719A7" w14:textId="185ACD25" w:rsidR="005323E0" w:rsidRDefault="00051D35" w:rsidP="00051D35">
                  <w:pPr>
                    <w:rPr>
                      <w:szCs w:val="24"/>
                      <w:shd w:val="clear" w:color="auto" w:fill="FFFFFF"/>
                    </w:rPr>
                  </w:pPr>
                  <w:r>
                    <w:rPr>
                      <w:szCs w:val="24"/>
                      <w:shd w:val="clear" w:color="auto" w:fill="FFFFFF"/>
                    </w:rPr>
                    <w:t xml:space="preserve"> 17,25 proc.</w:t>
                  </w:r>
                </w:p>
              </w:tc>
              <w:tc>
                <w:tcPr>
                  <w:tcW w:w="2890" w:type="dxa"/>
                </w:tcPr>
                <w:p w14:paraId="292FCCBF" w14:textId="77777777" w:rsidR="005323E0" w:rsidRPr="001E65BD" w:rsidRDefault="005323E0" w:rsidP="00BB45CD">
                  <w:pPr>
                    <w:jc w:val="center"/>
                    <w:rPr>
                      <w:szCs w:val="24"/>
                      <w:shd w:val="clear" w:color="auto" w:fill="FFFFFF"/>
                    </w:rPr>
                  </w:pPr>
                  <w:r w:rsidRPr="001E65BD">
                    <w:rPr>
                      <w:szCs w:val="24"/>
                      <w:shd w:val="clear" w:color="auto" w:fill="FFFFFF"/>
                    </w:rPr>
                    <w:t>FN-05-05</w:t>
                  </w:r>
                </w:p>
              </w:tc>
              <w:tc>
                <w:tcPr>
                  <w:tcW w:w="2890" w:type="dxa"/>
                </w:tcPr>
                <w:p w14:paraId="29CE9441" w14:textId="0CFB9842"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751A456C" w14:textId="77777777" w:rsidR="005323E0" w:rsidRPr="001E65BD" w:rsidRDefault="005323E0" w:rsidP="00BB45CD">
                  <w:pPr>
                    <w:jc w:val="center"/>
                    <w:rPr>
                      <w:szCs w:val="24"/>
                      <w:shd w:val="clear" w:color="auto" w:fill="FFFFFF"/>
                    </w:rPr>
                  </w:pPr>
                  <w:r w:rsidRPr="001E65BD">
                    <w:rPr>
                      <w:szCs w:val="24"/>
                      <w:shd w:val="clear" w:color="auto" w:fill="FFFFFF"/>
                    </w:rPr>
                    <w:t>Fiksuotoji norma, taikoma, kai priklauso nuo 37 iki 39 d. d. (jeigu dirbama 5 d. d. per savaitę) arba nuo 43 iki 47 d. d. (jeigu dirbama 6 d. d. per savaitę) kasmetinės atostogos</w:t>
                  </w:r>
                </w:p>
              </w:tc>
            </w:tr>
            <w:tr w:rsidR="005323E0" w:rsidRPr="00E53008" w14:paraId="1F23892A" w14:textId="77777777" w:rsidTr="005323E0">
              <w:trPr>
                <w:gridAfter w:val="3"/>
                <w:wAfter w:w="2990" w:type="dxa"/>
              </w:trPr>
              <w:tc>
                <w:tcPr>
                  <w:tcW w:w="2889" w:type="dxa"/>
                </w:tcPr>
                <w:p w14:paraId="17B9631A" w14:textId="34EB49EB" w:rsidR="005323E0" w:rsidRDefault="00051D35" w:rsidP="00BB45CD">
                  <w:pPr>
                    <w:rPr>
                      <w:szCs w:val="24"/>
                      <w:shd w:val="clear" w:color="auto" w:fill="FFFFFF"/>
                    </w:rPr>
                  </w:pPr>
                  <w:r>
                    <w:rPr>
                      <w:szCs w:val="24"/>
                      <w:shd w:val="clear" w:color="auto" w:fill="FFFFFF"/>
                    </w:rPr>
                    <w:t xml:space="preserve"> 18,89 proc.</w:t>
                  </w:r>
                </w:p>
              </w:tc>
              <w:tc>
                <w:tcPr>
                  <w:tcW w:w="2890" w:type="dxa"/>
                </w:tcPr>
                <w:p w14:paraId="3E1B8941" w14:textId="77777777" w:rsidR="005323E0" w:rsidRPr="001E65BD" w:rsidRDefault="005323E0" w:rsidP="00BB45CD">
                  <w:pPr>
                    <w:jc w:val="center"/>
                    <w:rPr>
                      <w:szCs w:val="24"/>
                      <w:shd w:val="clear" w:color="auto" w:fill="FFFFFF"/>
                    </w:rPr>
                  </w:pPr>
                  <w:r w:rsidRPr="001E65BD">
                    <w:rPr>
                      <w:szCs w:val="24"/>
                      <w:shd w:val="clear" w:color="auto" w:fill="FFFFFF"/>
                    </w:rPr>
                    <w:t>FN-05-06</w:t>
                  </w:r>
                </w:p>
              </w:tc>
              <w:tc>
                <w:tcPr>
                  <w:tcW w:w="2890" w:type="dxa"/>
                </w:tcPr>
                <w:p w14:paraId="416D4DEB" w14:textId="51C2FBE1"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1952F8E8" w14:textId="77777777" w:rsidR="005323E0" w:rsidRPr="001E65BD" w:rsidRDefault="005323E0" w:rsidP="00BB45CD">
                  <w:pPr>
                    <w:jc w:val="center"/>
                    <w:rPr>
                      <w:szCs w:val="24"/>
                      <w:shd w:val="clear" w:color="auto" w:fill="FFFFFF"/>
                    </w:rPr>
                  </w:pPr>
                  <w:r w:rsidRPr="001E65BD">
                    <w:rPr>
                      <w:szCs w:val="24"/>
                      <w:shd w:val="clear" w:color="auto" w:fill="FFFFFF"/>
                    </w:rPr>
                    <w:t xml:space="preserve">Fiksuotoji norma, taikoma, kai priklauso 40 d. d. (jeigu </w:t>
                  </w:r>
                  <w:r w:rsidRPr="001E65BD">
                    <w:rPr>
                      <w:szCs w:val="24"/>
                      <w:shd w:val="clear" w:color="auto" w:fill="FFFFFF"/>
                    </w:rPr>
                    <w:lastRenderedPageBreak/>
                    <w:t>dirbama 5 d. d. per savaitę) arba 48 d. d. (jeigu dirbama 6 d. d. per savaitę) kasmetinės atostogos</w:t>
                  </w:r>
                </w:p>
              </w:tc>
            </w:tr>
            <w:tr w:rsidR="005323E0" w:rsidRPr="00E53008" w14:paraId="13C1A49A" w14:textId="77777777" w:rsidTr="005323E0">
              <w:trPr>
                <w:gridAfter w:val="1"/>
                <w:wAfter w:w="50" w:type="dxa"/>
              </w:trPr>
              <w:tc>
                <w:tcPr>
                  <w:tcW w:w="2889" w:type="dxa"/>
                </w:tcPr>
                <w:p w14:paraId="3151E288" w14:textId="568BF97E" w:rsidR="005323E0" w:rsidRDefault="00051D35" w:rsidP="00051D35">
                  <w:pPr>
                    <w:rPr>
                      <w:szCs w:val="24"/>
                      <w:shd w:val="clear" w:color="auto" w:fill="FFFFFF"/>
                    </w:rPr>
                  </w:pPr>
                  <w:r>
                    <w:rPr>
                      <w:szCs w:val="24"/>
                      <w:shd w:val="clear" w:color="auto" w:fill="FFFFFF"/>
                    </w:rPr>
                    <w:lastRenderedPageBreak/>
                    <w:t xml:space="preserve"> 20,02 proc.</w:t>
                  </w:r>
                </w:p>
              </w:tc>
              <w:tc>
                <w:tcPr>
                  <w:tcW w:w="2890" w:type="dxa"/>
                </w:tcPr>
                <w:p w14:paraId="2D6C3FD1" w14:textId="77777777" w:rsidR="005323E0" w:rsidRPr="001E65BD" w:rsidRDefault="005323E0" w:rsidP="00BB45CD">
                  <w:pPr>
                    <w:jc w:val="center"/>
                    <w:rPr>
                      <w:szCs w:val="24"/>
                      <w:shd w:val="clear" w:color="auto" w:fill="FFFFFF"/>
                    </w:rPr>
                  </w:pPr>
                  <w:r w:rsidRPr="001E65BD">
                    <w:rPr>
                      <w:szCs w:val="24"/>
                      <w:shd w:val="clear" w:color="auto" w:fill="FFFFFF"/>
                    </w:rPr>
                    <w:t>FN-05-07</w:t>
                  </w:r>
                </w:p>
              </w:tc>
              <w:tc>
                <w:tcPr>
                  <w:tcW w:w="2890" w:type="dxa"/>
                </w:tcPr>
                <w:p w14:paraId="2CD9088C" w14:textId="582DD2FD" w:rsidR="005323E0" w:rsidRPr="00E53008" w:rsidRDefault="00937E7F" w:rsidP="00BB45CD">
                  <w:pPr>
                    <w:jc w:val="center"/>
                    <w:rPr>
                      <w:szCs w:val="24"/>
                      <w:shd w:val="clear" w:color="auto" w:fill="FFFFFF"/>
                    </w:rPr>
                  </w:pPr>
                  <w:r>
                    <w:rPr>
                      <w:szCs w:val="24"/>
                      <w:shd w:val="clear" w:color="auto" w:fill="FFFFFF"/>
                    </w:rPr>
                    <w:t>-</w:t>
                  </w:r>
                </w:p>
              </w:tc>
              <w:tc>
                <w:tcPr>
                  <w:tcW w:w="2890" w:type="dxa"/>
                </w:tcPr>
                <w:p w14:paraId="1D29B19D" w14:textId="77777777" w:rsidR="005323E0" w:rsidRPr="001E65BD" w:rsidRDefault="005323E0" w:rsidP="00BB45CD">
                  <w:pPr>
                    <w:jc w:val="center"/>
                    <w:rPr>
                      <w:szCs w:val="24"/>
                      <w:shd w:val="clear" w:color="auto" w:fill="FFFFFF"/>
                    </w:rPr>
                  </w:pPr>
                  <w:r w:rsidRPr="001E65BD">
                    <w:rPr>
                      <w:szCs w:val="24"/>
                      <w:shd w:val="clear" w:color="auto" w:fill="FFFFFF"/>
                    </w:rPr>
                    <w:t>Fiksuotoji norma, taikoma, kai priklauso nuo 41 d. d. (jeigu dirbama 5 d. d. per savaitę) arba nuo 49 d. d. (jeigu dirbama 6 d. d. per savaitę) kasmetinės atostogos</w:t>
                  </w:r>
                </w:p>
              </w:tc>
              <w:tc>
                <w:tcPr>
                  <w:tcW w:w="2940" w:type="dxa"/>
                  <w:gridSpan w:val="2"/>
                  <w:shd w:val="clear" w:color="auto" w:fill="auto"/>
                </w:tcPr>
                <w:p w14:paraId="638F83D6" w14:textId="77777777" w:rsidR="005323E0" w:rsidRPr="00E53008" w:rsidRDefault="005323E0">
                  <w:pPr>
                    <w:rPr>
                      <w:szCs w:val="24"/>
                      <w:shd w:val="clear" w:color="auto" w:fill="FFFFFF"/>
                    </w:rPr>
                  </w:pPr>
                </w:p>
              </w:tc>
            </w:tr>
          </w:tbl>
          <w:p w14:paraId="06D46517" w14:textId="77777777" w:rsidR="005323E0" w:rsidRDefault="005323E0" w:rsidP="00282F0E">
            <w:pPr>
              <w:jc w:val="both"/>
              <w:rPr>
                <w:i/>
                <w:iCs/>
                <w:szCs w:val="24"/>
              </w:rPr>
            </w:pPr>
          </w:p>
          <w:p w14:paraId="1D36DF3A" w14:textId="77777777" w:rsidR="005323E0" w:rsidRDefault="005323E0" w:rsidP="00282F0E">
            <w:pPr>
              <w:jc w:val="both"/>
              <w:rPr>
                <w:i/>
                <w:iCs/>
                <w:sz w:val="22"/>
                <w:szCs w:val="22"/>
              </w:rPr>
            </w:pPr>
          </w:p>
        </w:tc>
        <w:tc>
          <w:tcPr>
            <w:tcW w:w="236" w:type="dxa"/>
            <w:gridSpan w:val="2"/>
          </w:tcPr>
          <w:p w14:paraId="5D1E6C91" w14:textId="77777777" w:rsidR="005323E0" w:rsidRDefault="005323E0" w:rsidP="00282F0E">
            <w:pPr>
              <w:jc w:val="both"/>
              <w:rPr>
                <w:i/>
                <w:iCs/>
                <w:sz w:val="22"/>
                <w:szCs w:val="22"/>
              </w:rPr>
            </w:pPr>
          </w:p>
        </w:tc>
      </w:tr>
    </w:tbl>
    <w:p w14:paraId="3F07EC78" w14:textId="77777777" w:rsidR="00FC1CD5" w:rsidRDefault="00FC1CD5">
      <w:pPr>
        <w:spacing w:line="276" w:lineRule="auto"/>
        <w:jc w:val="center"/>
        <w:rPr>
          <w:rFonts w:eastAsia="Calibri"/>
          <w:sz w:val="22"/>
          <w:szCs w:val="22"/>
        </w:rPr>
      </w:pPr>
    </w:p>
    <w:p w14:paraId="2E079EEC" w14:textId="77777777" w:rsidR="00FC1CD5" w:rsidRDefault="00FC1CD5">
      <w:pPr>
        <w:rPr>
          <w:sz w:val="18"/>
          <w:szCs w:val="18"/>
        </w:rPr>
      </w:pPr>
    </w:p>
    <w:p w14:paraId="756889B7" w14:textId="77777777" w:rsidR="00FC1CD5" w:rsidRDefault="003D72F6">
      <w:pPr>
        <w:spacing w:line="276" w:lineRule="auto"/>
        <w:jc w:val="center"/>
        <w:rPr>
          <w:rFonts w:eastAsia="Calibri"/>
          <w:szCs w:val="24"/>
        </w:rPr>
      </w:pPr>
      <w:r>
        <w:rPr>
          <w:rFonts w:eastAsia="Calibri"/>
          <w:szCs w:val="24"/>
        </w:rPr>
        <w:t>________________</w:t>
      </w:r>
    </w:p>
    <w:p w14:paraId="46782458" w14:textId="77777777" w:rsidR="00460B0A" w:rsidRDefault="00460B0A">
      <w:pPr>
        <w:spacing w:line="276" w:lineRule="auto"/>
        <w:jc w:val="center"/>
        <w:rPr>
          <w:szCs w:val="24"/>
        </w:rPr>
      </w:pPr>
    </w:p>
    <w:p w14:paraId="0A172F58" w14:textId="77777777" w:rsidR="00460B0A" w:rsidRDefault="00460B0A">
      <w:pPr>
        <w:spacing w:line="276" w:lineRule="auto"/>
        <w:jc w:val="center"/>
        <w:rPr>
          <w:szCs w:val="24"/>
        </w:rPr>
      </w:pPr>
    </w:p>
    <w:p w14:paraId="3680019C" w14:textId="77777777" w:rsidR="00460B0A" w:rsidRDefault="00460B0A">
      <w:pPr>
        <w:spacing w:line="276" w:lineRule="auto"/>
        <w:jc w:val="center"/>
        <w:rPr>
          <w:szCs w:val="24"/>
        </w:rPr>
      </w:pPr>
    </w:p>
    <w:p w14:paraId="67CA91D0" w14:textId="77777777" w:rsidR="00460B0A" w:rsidRDefault="00460B0A" w:rsidP="00460B0A">
      <w:pPr>
        <w:ind w:left="9639"/>
        <w:jc w:val="both"/>
        <w:rPr>
          <w:szCs w:val="24"/>
        </w:rPr>
      </w:pPr>
      <w:r w:rsidRPr="003241E3">
        <w:rPr>
          <w:szCs w:val="24"/>
          <w:shd w:val="clear" w:color="auto" w:fill="FFFFFF"/>
        </w:rPr>
        <w:t>2021–2030 m</w:t>
      </w:r>
      <w:r>
        <w:rPr>
          <w:szCs w:val="24"/>
          <w:shd w:val="clear" w:color="auto" w:fill="FFFFFF"/>
        </w:rPr>
        <w:t>etų</w:t>
      </w:r>
      <w:r w:rsidRPr="003241E3">
        <w:rPr>
          <w:szCs w:val="24"/>
          <w:shd w:val="clear" w:color="auto" w:fill="FFFFFF"/>
        </w:rPr>
        <w:t xml:space="preserve"> </w:t>
      </w:r>
      <w:r>
        <w:rPr>
          <w:szCs w:val="24"/>
          <w:shd w:val="clear" w:color="auto" w:fill="FFFFFF"/>
        </w:rPr>
        <w:t>L</w:t>
      </w:r>
      <w:r w:rsidRPr="003241E3">
        <w:rPr>
          <w:szCs w:val="24"/>
          <w:shd w:val="clear" w:color="auto" w:fill="FFFFFF"/>
        </w:rPr>
        <w:t xml:space="preserve">ietuvos </w:t>
      </w:r>
      <w:r>
        <w:rPr>
          <w:szCs w:val="24"/>
          <w:shd w:val="clear" w:color="auto" w:fill="FFFFFF"/>
        </w:rPr>
        <w:t>R</w:t>
      </w:r>
      <w:r w:rsidRPr="003241E3">
        <w:rPr>
          <w:szCs w:val="24"/>
          <w:shd w:val="clear" w:color="auto" w:fill="FFFFFF"/>
        </w:rPr>
        <w:t xml:space="preserve">espublikos ekonomikos ir inovacijų ministerijos </w:t>
      </w:r>
      <w:r>
        <w:rPr>
          <w:szCs w:val="24"/>
          <w:shd w:val="clear" w:color="auto" w:fill="FFFFFF"/>
        </w:rPr>
        <w:t>v</w:t>
      </w:r>
      <w:r w:rsidRPr="003241E3">
        <w:rPr>
          <w:szCs w:val="24"/>
          <w:shd w:val="clear" w:color="auto" w:fill="FFFFFF"/>
        </w:rPr>
        <w:t xml:space="preserve">alstybės skaitmeninimo </w:t>
      </w:r>
      <w:r>
        <w:rPr>
          <w:szCs w:val="24"/>
          <w:shd w:val="clear" w:color="auto" w:fill="FFFFFF"/>
        </w:rPr>
        <w:t>p</w:t>
      </w:r>
      <w:r w:rsidRPr="009A6BE6">
        <w:rPr>
          <w:szCs w:val="24"/>
        </w:rPr>
        <w:t>lėtros programos pažangos priemonės N</w:t>
      </w:r>
      <w:r>
        <w:rPr>
          <w:szCs w:val="24"/>
        </w:rPr>
        <w:t>r</w:t>
      </w:r>
      <w:r w:rsidRPr="009A6BE6">
        <w:rPr>
          <w:szCs w:val="24"/>
        </w:rPr>
        <w:t xml:space="preserve">. </w:t>
      </w:r>
      <w:r w:rsidRPr="009A6BE6">
        <w:rPr>
          <w:szCs w:val="24"/>
          <w:lang w:eastAsia="lt-LT"/>
        </w:rPr>
        <w:t>05-002-01-07-0</w:t>
      </w:r>
      <w:r>
        <w:rPr>
          <w:szCs w:val="24"/>
          <w:lang w:eastAsia="lt-LT"/>
        </w:rPr>
        <w:t>8</w:t>
      </w:r>
      <w:r w:rsidRPr="009A6BE6">
        <w:rPr>
          <w:szCs w:val="24"/>
          <w:lang w:eastAsia="lt-LT"/>
        </w:rPr>
        <w:t xml:space="preserve"> </w:t>
      </w:r>
      <w:r w:rsidRPr="009A6BE6">
        <w:rPr>
          <w:szCs w:val="24"/>
        </w:rPr>
        <w:t>„</w:t>
      </w:r>
      <w:r>
        <w:rPr>
          <w:szCs w:val="24"/>
          <w:shd w:val="clear" w:color="auto" w:fill="FFFFFF"/>
        </w:rPr>
        <w:t>K</w:t>
      </w:r>
      <w:r w:rsidRPr="00A16886">
        <w:rPr>
          <w:szCs w:val="24"/>
          <w:shd w:val="clear" w:color="auto" w:fill="FFFFFF"/>
        </w:rPr>
        <w:t xml:space="preserve">urti technologinius sprendimus ir įrankius, leidžiančius saugiai ir patogiai naudotis paslaugomis“ </w:t>
      </w:r>
      <w:r w:rsidR="00BF5874" w:rsidRPr="00BF5874">
        <w:rPr>
          <w:szCs w:val="24"/>
        </w:rPr>
        <w:t>veiklos „</w:t>
      </w:r>
      <w:r w:rsidR="00A81805">
        <w:rPr>
          <w:szCs w:val="24"/>
        </w:rPr>
        <w:t>V</w:t>
      </w:r>
      <w:r w:rsidR="00BF5874" w:rsidRPr="00BF5874">
        <w:rPr>
          <w:color w:val="000000"/>
          <w:szCs w:val="24"/>
        </w:rPr>
        <w:t>alstybės informacinių išteklių integracija į duomenų ežerą</w:t>
      </w:r>
      <w:r w:rsidR="00BF5874" w:rsidRPr="00BF5874">
        <w:rPr>
          <w:szCs w:val="24"/>
        </w:rPr>
        <w:t>“</w:t>
      </w:r>
      <w:r w:rsidR="00BF5874">
        <w:rPr>
          <w:szCs w:val="24"/>
        </w:rPr>
        <w:t xml:space="preserve"> </w:t>
      </w:r>
      <w:r w:rsidRPr="009A6BE6">
        <w:rPr>
          <w:szCs w:val="24"/>
        </w:rPr>
        <w:t xml:space="preserve">projektų finansavimo sąlygų aprašo </w:t>
      </w:r>
    </w:p>
    <w:p w14:paraId="6148D817" w14:textId="77777777" w:rsidR="00460B0A" w:rsidRDefault="00460B0A" w:rsidP="00BF5874">
      <w:pPr>
        <w:ind w:left="9639"/>
        <w:rPr>
          <w:rFonts w:eastAsia="Calibri"/>
          <w:b/>
          <w:bCs/>
          <w:szCs w:val="24"/>
        </w:rPr>
      </w:pPr>
      <w:r>
        <w:rPr>
          <w:szCs w:val="24"/>
        </w:rPr>
        <w:t>1 priedas</w:t>
      </w:r>
    </w:p>
    <w:p w14:paraId="4296CA0A" w14:textId="77777777" w:rsidR="00460B0A" w:rsidRDefault="00460B0A" w:rsidP="00460B0A">
      <w:pPr>
        <w:jc w:val="center"/>
        <w:rPr>
          <w:rFonts w:eastAsia="Calibri"/>
          <w:b/>
          <w:bCs/>
          <w:szCs w:val="24"/>
        </w:rPr>
      </w:pPr>
    </w:p>
    <w:p w14:paraId="2DD1B9C0" w14:textId="77777777" w:rsidR="00460B0A" w:rsidRDefault="00460B0A" w:rsidP="00460B0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1CFC59A" w14:textId="77777777" w:rsidR="00460B0A" w:rsidRDefault="00460B0A" w:rsidP="00460B0A">
      <w:pPr>
        <w:jc w:val="center"/>
        <w:rPr>
          <w:rFonts w:eastAsia="Calibri"/>
          <w:b/>
          <w:bCs/>
          <w:szCs w:val="24"/>
        </w:rPr>
      </w:pPr>
    </w:p>
    <w:p w14:paraId="7ADC9064" w14:textId="77777777" w:rsidR="00460B0A" w:rsidRDefault="00460B0A" w:rsidP="00460B0A">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7A9C384C" w14:textId="77777777" w:rsidR="00460B0A" w:rsidRDefault="00460B0A" w:rsidP="00460B0A">
      <w:pPr>
        <w:spacing w:line="276" w:lineRule="auto"/>
        <w:jc w:val="both"/>
        <w:rPr>
          <w:rFonts w:eastAsia="Calibri"/>
          <w:bCs/>
          <w:szCs w:val="24"/>
        </w:rPr>
      </w:pPr>
      <w:r>
        <w:lastRenderedPageBreak/>
        <w:t xml:space="preserve">X </w:t>
      </w:r>
      <w:r>
        <w:rPr>
          <w:rFonts w:eastAsia="Calibri"/>
          <w:bCs/>
          <w:szCs w:val="24"/>
        </w:rPr>
        <w:t>Ekonomikos gaivinimo ir atsparumo didinimo priemonė (toliau – EGADP)</w:t>
      </w:r>
    </w:p>
    <w:p w14:paraId="5628B212" w14:textId="77777777" w:rsidR="00460B0A" w:rsidRDefault="00460B0A" w:rsidP="00460B0A">
      <w:pPr>
        <w:spacing w:line="276" w:lineRule="auto"/>
        <w:jc w:val="both"/>
        <w:rPr>
          <w:rFonts w:eastAsia="Calibri"/>
          <w:bCs/>
          <w:szCs w:val="24"/>
        </w:rPr>
      </w:pPr>
      <w:r>
        <w:sym w:font="Wingdings 2" w:char="00A3"/>
      </w:r>
      <w:r>
        <w:t xml:space="preserve"> Europos Sąjungos fondų i</w:t>
      </w:r>
      <w:r>
        <w:rPr>
          <w:rFonts w:eastAsia="Calibri"/>
          <w:bCs/>
          <w:szCs w:val="24"/>
        </w:rPr>
        <w:t>nvesticijų programa (toliau – ESIP)</w:t>
      </w:r>
    </w:p>
    <w:p w14:paraId="72443D1E" w14:textId="77777777" w:rsidR="00460B0A" w:rsidRDefault="00460B0A" w:rsidP="00460B0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gridCol w:w="5331"/>
      </w:tblGrid>
      <w:tr w:rsidR="00460B0A" w14:paraId="63535D71" w14:textId="77777777" w:rsidTr="004C08EE">
        <w:tc>
          <w:tcPr>
            <w:tcW w:w="3686" w:type="dxa"/>
          </w:tcPr>
          <w:p w14:paraId="3EE9AD45" w14:textId="77777777" w:rsidR="00460B0A" w:rsidRDefault="00460B0A" w:rsidP="004C08EE">
            <w:pPr>
              <w:jc w:val="center"/>
              <w:rPr>
                <w:rFonts w:eastAsia="Calibri"/>
                <w:b/>
                <w:szCs w:val="24"/>
              </w:rPr>
            </w:pPr>
            <w:r>
              <w:rPr>
                <w:rFonts w:eastAsia="Calibri"/>
                <w:b/>
                <w:szCs w:val="24"/>
              </w:rPr>
              <w:t>Aplinkos tikslai</w:t>
            </w:r>
          </w:p>
          <w:p w14:paraId="25A91632" w14:textId="77777777" w:rsidR="00460B0A" w:rsidRDefault="00460B0A" w:rsidP="004C08EE">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5670" w:type="dxa"/>
          </w:tcPr>
          <w:p w14:paraId="62C545BE" w14:textId="77777777" w:rsidR="00460B0A" w:rsidRDefault="00460B0A" w:rsidP="004C08EE">
            <w:pPr>
              <w:jc w:val="center"/>
              <w:rPr>
                <w:rFonts w:eastAsia="Calibri"/>
                <w:b/>
                <w:szCs w:val="24"/>
              </w:rPr>
            </w:pPr>
            <w:r>
              <w:rPr>
                <w:rFonts w:eastAsia="Calibri"/>
                <w:b/>
                <w:szCs w:val="24"/>
              </w:rPr>
              <w:t>Pagrindimas</w:t>
            </w:r>
          </w:p>
          <w:p w14:paraId="45117219" w14:textId="77777777" w:rsidR="00460B0A" w:rsidRDefault="00460B0A" w:rsidP="004C08EE">
            <w:pPr>
              <w:jc w:val="both"/>
              <w:rPr>
                <w:rFonts w:eastAsia="Calibri"/>
                <w:b/>
                <w:szCs w:val="24"/>
              </w:rPr>
            </w:pPr>
            <w:r>
              <w:rPr>
                <w:rFonts w:eastAsia="Calibri"/>
                <w:bCs/>
                <w:i/>
                <w:szCs w:val="24"/>
              </w:rPr>
              <w:t>(remiantis priemonių (kai finansavimo šaltinis EGADP) arba veiksmų (veiklų) (kai finansavimo šaltinis ESIFP) vertinimo klausimynais)</w:t>
            </w:r>
          </w:p>
        </w:tc>
        <w:tc>
          <w:tcPr>
            <w:tcW w:w="5331" w:type="dxa"/>
          </w:tcPr>
          <w:p w14:paraId="49530E63" w14:textId="77777777" w:rsidR="00460B0A" w:rsidRDefault="00460B0A" w:rsidP="004C08EE">
            <w:pPr>
              <w:jc w:val="center"/>
              <w:rPr>
                <w:rFonts w:eastAsia="Calibri"/>
                <w:i/>
                <w:sz w:val="20"/>
              </w:rPr>
            </w:pPr>
            <w:r>
              <w:rPr>
                <w:rFonts w:eastAsia="Calibri"/>
                <w:b/>
                <w:szCs w:val="24"/>
              </w:rPr>
              <w:t>Pagrindimo dokumentai</w:t>
            </w:r>
          </w:p>
          <w:p w14:paraId="125BB59F" w14:textId="77777777" w:rsidR="00460B0A" w:rsidRDefault="00460B0A" w:rsidP="004C08EE">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460B0A" w14:paraId="1A049801" w14:textId="77777777" w:rsidTr="004C08EE">
        <w:tc>
          <w:tcPr>
            <w:tcW w:w="3686" w:type="dxa"/>
          </w:tcPr>
          <w:p w14:paraId="1034993C" w14:textId="77777777" w:rsidR="00460B0A" w:rsidRDefault="00460B0A" w:rsidP="004C08EE">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670" w:type="dxa"/>
          </w:tcPr>
          <w:p w14:paraId="4CE75CD3" w14:textId="77777777" w:rsidR="00923A46" w:rsidRPr="00923A46" w:rsidRDefault="00923A46" w:rsidP="00923A46">
            <w:pPr>
              <w:jc w:val="both"/>
              <w:rPr>
                <w:bCs/>
                <w:szCs w:val="24"/>
              </w:rPr>
            </w:pPr>
            <w:r w:rsidRPr="00923A46">
              <w:rPr>
                <w:bCs/>
                <w:szCs w:val="24"/>
              </w:rPr>
              <w:t xml:space="preserve">Vertinama, kad </w:t>
            </w:r>
            <w:r w:rsidRPr="004845A1">
              <w:rPr>
                <w:bCs/>
                <w:szCs w:val="24"/>
              </w:rPr>
              <w:t>planuojama įgyvendinti reforma</w:t>
            </w:r>
            <w:r w:rsidRPr="00923A46">
              <w:rPr>
                <w:bCs/>
                <w:szCs w:val="24"/>
              </w:rPr>
              <w:t xml:space="preserve"> neturi jokio numatomo poveikio šiam aplinkos tikslui arba numatomas jos poveikis yra nereikšmingas, t. y. neplanuojama, kad investicijos lems išmetamų šiltnamio efektą sukeliančių dujų išsiskyrimą, nes nenumatoma kurti jokia infrastruktūra, kuri galėtų turėti poveikį ženkliam klimato kaitos švelninimui: bus investuojama į duomenų architektūros modelį, kuris užtikrins patikimų viešojo sektoriaus duomenų prieinamumą, galimybę dalytis jais tarp ekonomikos sektorių, taip pat pakartotinio duomenų panaudojimo galimybes bei sukurs prielaidas viešojo sektoriaus institucijoms priimti duomenimis pagrįstus sprendimus, o verslui kurti skaitmenines inovacijas.</w:t>
            </w:r>
          </w:p>
          <w:p w14:paraId="62E0F62C" w14:textId="77777777" w:rsidR="00460B0A" w:rsidRPr="00761406" w:rsidRDefault="00923A46" w:rsidP="00923A46">
            <w:pPr>
              <w:jc w:val="both"/>
              <w:rPr>
                <w:szCs w:val="24"/>
              </w:rPr>
            </w:pPr>
            <w:r w:rsidRPr="00923A46">
              <w:rPr>
                <w:bCs/>
                <w:szCs w:val="24"/>
              </w:rPr>
              <w:t>Šios veiklos (pagal savo pobūdį) neturi jokio tiesioginio ar netiesioginio neigiamo poveikio klimato kaitos švelninimo tikslui.</w:t>
            </w:r>
          </w:p>
        </w:tc>
        <w:tc>
          <w:tcPr>
            <w:tcW w:w="5331" w:type="dxa"/>
          </w:tcPr>
          <w:p w14:paraId="6B50E8EC" w14:textId="77777777" w:rsidR="00460B0A" w:rsidRDefault="00363320" w:rsidP="001E6E81">
            <w:pPr>
              <w:jc w:val="both"/>
              <w:rPr>
                <w:rFonts w:eastAsia="Calibri"/>
                <w:i/>
                <w:sz w:val="20"/>
              </w:rPr>
            </w:pPr>
            <w:r>
              <w:rPr>
                <w:rFonts w:eastAsia="Calibri"/>
                <w:bCs/>
                <w:szCs w:val="24"/>
              </w:rPr>
              <w:t xml:space="preserve">Netaikoma, nes įgyvendinant veiklas, kurių metu </w:t>
            </w:r>
            <w:r w:rsidR="004B7EC3">
              <w:rPr>
                <w:rFonts w:eastAsia="Calibri"/>
                <w:bCs/>
                <w:szCs w:val="24"/>
              </w:rPr>
              <w:t>v</w:t>
            </w:r>
            <w:r w:rsidR="004B7EC3" w:rsidRPr="004B7EC3">
              <w:rPr>
                <w:rFonts w:eastAsia="Calibri"/>
                <w:bCs/>
                <w:szCs w:val="24"/>
              </w:rPr>
              <w:t>alstybės informacini</w:t>
            </w:r>
            <w:r w:rsidR="004B7EC3">
              <w:rPr>
                <w:rFonts w:eastAsia="Calibri"/>
                <w:bCs/>
                <w:szCs w:val="24"/>
              </w:rPr>
              <w:t>ai</w:t>
            </w:r>
            <w:r w:rsidR="004B7EC3" w:rsidRPr="004B7EC3">
              <w:rPr>
                <w:rFonts w:eastAsia="Calibri"/>
                <w:bCs/>
                <w:szCs w:val="24"/>
              </w:rPr>
              <w:t xml:space="preserve"> ištekli</w:t>
            </w:r>
            <w:r w:rsidR="004B7EC3">
              <w:rPr>
                <w:rFonts w:eastAsia="Calibri"/>
                <w:bCs/>
                <w:szCs w:val="24"/>
              </w:rPr>
              <w:t xml:space="preserve">ai bus </w:t>
            </w:r>
            <w:r w:rsidR="004B7EC3" w:rsidRPr="004B7EC3">
              <w:rPr>
                <w:rFonts w:eastAsia="Calibri"/>
                <w:bCs/>
                <w:szCs w:val="24"/>
              </w:rPr>
              <w:t>integr</w:t>
            </w:r>
            <w:r w:rsidR="004B7EC3">
              <w:rPr>
                <w:rFonts w:eastAsia="Calibri"/>
                <w:bCs/>
                <w:szCs w:val="24"/>
              </w:rPr>
              <w:t>uoti</w:t>
            </w:r>
            <w:r w:rsidR="004B7EC3" w:rsidRPr="004B7EC3">
              <w:rPr>
                <w:rFonts w:eastAsia="Calibri"/>
                <w:bCs/>
                <w:szCs w:val="24"/>
              </w:rPr>
              <w:t xml:space="preserve"> į duomenų ežerą</w:t>
            </w:r>
            <w:r>
              <w:rPr>
                <w:rFonts w:eastAsia="Calibri"/>
                <w:bCs/>
                <w:szCs w:val="24"/>
              </w:rPr>
              <w:t xml:space="preserve">, nebus kuriama jokia infrastruktūra, </w:t>
            </w:r>
            <w:r w:rsidRPr="00577C38">
              <w:rPr>
                <w:szCs w:val="24"/>
              </w:rPr>
              <w:t>kuri galėtų turėti poveikį ženkliam klimato kaitos švelninimui</w:t>
            </w:r>
            <w:r>
              <w:rPr>
                <w:szCs w:val="24"/>
              </w:rPr>
              <w:t>. Šios veiklos (pagal savo pobūdį) neturi jokio tiesioginio ar netiesioginio neigiamo poveikio klimato kaitos švelninimo tikslui.</w:t>
            </w:r>
          </w:p>
        </w:tc>
      </w:tr>
      <w:tr w:rsidR="00460B0A" w14:paraId="25532D35" w14:textId="77777777" w:rsidTr="004C08EE">
        <w:tc>
          <w:tcPr>
            <w:tcW w:w="3686" w:type="dxa"/>
          </w:tcPr>
          <w:p w14:paraId="3D4811FD" w14:textId="77777777" w:rsidR="00460B0A" w:rsidRDefault="00460B0A" w:rsidP="004C08EE">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5670" w:type="dxa"/>
          </w:tcPr>
          <w:p w14:paraId="10E6F686" w14:textId="77777777" w:rsidR="00460B0A" w:rsidRPr="008543DF" w:rsidRDefault="00E845FE" w:rsidP="004C08EE">
            <w:pPr>
              <w:jc w:val="both"/>
              <w:rPr>
                <w:rFonts w:eastAsia="Calibri"/>
                <w:bCs/>
                <w:szCs w:val="24"/>
              </w:rPr>
            </w:pPr>
            <w:r w:rsidRPr="00E845FE">
              <w:rPr>
                <w:bCs/>
                <w:szCs w:val="24"/>
              </w:rPr>
              <w:t xml:space="preserve">Vertinama, kad planuojama įgyvendinti reforma neturi jokio numatomo poveikio šiam aplinkos tikslui arba numatomas jos poveikis yra nereikšmingas, t. y. neplanuojama, kad numatytos investicijos didina </w:t>
            </w:r>
            <w:r w:rsidRPr="00E845FE">
              <w:rPr>
                <w:bCs/>
                <w:szCs w:val="24"/>
              </w:rPr>
              <w:lastRenderedPageBreak/>
              <w:t>neigiamą dabartinio ir ateities klimato poveikį ar daro neigiamą poveikį žmonėms, gamtai ar turtui: veiklos (pagal savo pobūdį) neturi jokio tiesioginio ar netiesioginio neigiamo poveikio šiam aplinkos tikslui.</w:t>
            </w:r>
          </w:p>
        </w:tc>
        <w:tc>
          <w:tcPr>
            <w:tcW w:w="5331" w:type="dxa"/>
          </w:tcPr>
          <w:p w14:paraId="078C1D78" w14:textId="77777777" w:rsidR="00460B0A" w:rsidRDefault="00957284" w:rsidP="00957284">
            <w:pPr>
              <w:jc w:val="both"/>
              <w:rPr>
                <w:rFonts w:eastAsia="Calibri"/>
                <w:b/>
                <w:szCs w:val="24"/>
              </w:rPr>
            </w:pPr>
            <w:r>
              <w:rPr>
                <w:rFonts w:eastAsia="Calibri"/>
                <w:bCs/>
                <w:szCs w:val="24"/>
              </w:rPr>
              <w:lastRenderedPageBreak/>
              <w:t xml:space="preserve">Netaikoma, nes įgyvendinant veiklas, kurių metu valstybės informaciniai ištekliai bus integruoti į </w:t>
            </w:r>
            <w:r w:rsidR="008F13BE">
              <w:rPr>
                <w:rFonts w:eastAsia="Calibri"/>
                <w:bCs/>
                <w:szCs w:val="24"/>
              </w:rPr>
              <w:t>duomenų ežerą</w:t>
            </w:r>
            <w:r>
              <w:rPr>
                <w:rFonts w:eastAsia="Calibri"/>
                <w:bCs/>
                <w:szCs w:val="24"/>
              </w:rPr>
              <w:t xml:space="preserve">, </w:t>
            </w:r>
            <w:r>
              <w:rPr>
                <w:bCs/>
                <w:szCs w:val="24"/>
              </w:rPr>
              <w:t>nebus kuriama jokia infrastruktūra, kuri</w:t>
            </w:r>
            <w:r w:rsidRPr="00577C38">
              <w:rPr>
                <w:bCs/>
                <w:szCs w:val="24"/>
              </w:rPr>
              <w:t xml:space="preserve"> </w:t>
            </w:r>
            <w:r w:rsidRPr="00577C38">
              <w:rPr>
                <w:rStyle w:val="jlqj4b"/>
                <w:szCs w:val="24"/>
              </w:rPr>
              <w:t>didina neigiamą dabartinio ir ateities klimat</w:t>
            </w:r>
            <w:r>
              <w:rPr>
                <w:rStyle w:val="jlqj4b"/>
                <w:szCs w:val="24"/>
              </w:rPr>
              <w:t xml:space="preserve">o </w:t>
            </w:r>
            <w:r>
              <w:rPr>
                <w:rStyle w:val="jlqj4b"/>
                <w:szCs w:val="24"/>
              </w:rPr>
              <w:lastRenderedPageBreak/>
              <w:t>poveikį</w:t>
            </w:r>
            <w:r w:rsidRPr="00577C38">
              <w:rPr>
                <w:rStyle w:val="jlqj4b"/>
                <w:szCs w:val="24"/>
              </w:rPr>
              <w:t xml:space="preserve"> </w:t>
            </w:r>
            <w:r>
              <w:rPr>
                <w:rStyle w:val="jlqj4b"/>
                <w:szCs w:val="24"/>
              </w:rPr>
              <w:t xml:space="preserve">ar </w:t>
            </w:r>
            <w:r w:rsidRPr="00577C38">
              <w:rPr>
                <w:rStyle w:val="jlqj4b"/>
                <w:szCs w:val="24"/>
              </w:rPr>
              <w:t>daro neigiamą poveikį žmonėms, gamtai ar turtui</w:t>
            </w:r>
            <w:r>
              <w:rPr>
                <w:rStyle w:val="jlqj4b"/>
                <w:szCs w:val="24"/>
              </w:rPr>
              <w:t xml:space="preserve">: </w:t>
            </w:r>
            <w:r w:rsidRPr="00EF4E7D">
              <w:rPr>
                <w:rStyle w:val="jlqj4b"/>
                <w:szCs w:val="24"/>
              </w:rPr>
              <w:t>veiklos (pagal savo pobūdį) neturi jokio tiesioginio ar netiesioginio neigiamo poveikio</w:t>
            </w:r>
            <w:r>
              <w:rPr>
                <w:rStyle w:val="jlqj4b"/>
                <w:szCs w:val="24"/>
              </w:rPr>
              <w:t xml:space="preserve"> šiam aplinkos tikslui.</w:t>
            </w:r>
          </w:p>
        </w:tc>
      </w:tr>
      <w:tr w:rsidR="00460B0A" w14:paraId="0EFA6DE5" w14:textId="77777777" w:rsidTr="004C08EE">
        <w:tc>
          <w:tcPr>
            <w:tcW w:w="3686" w:type="dxa"/>
          </w:tcPr>
          <w:p w14:paraId="02FA0EF8" w14:textId="77777777" w:rsidR="00460B0A" w:rsidRPr="00A67E4F" w:rsidRDefault="00460B0A" w:rsidP="004C08EE">
            <w:pPr>
              <w:tabs>
                <w:tab w:val="left" w:pos="289"/>
              </w:tabs>
              <w:ind w:firstLine="5"/>
              <w:jc w:val="both"/>
              <w:rPr>
                <w:rFonts w:eastAsia="Calibri"/>
                <w:szCs w:val="24"/>
              </w:rPr>
            </w:pPr>
            <w:r w:rsidRPr="00A67E4F">
              <w:rPr>
                <w:rFonts w:eastAsia="Calibri"/>
                <w:szCs w:val="24"/>
              </w:rPr>
              <w:lastRenderedPageBreak/>
              <w:t>3.</w:t>
            </w:r>
            <w:r w:rsidRPr="00A67E4F">
              <w:rPr>
                <w:rFonts w:eastAsia="Calibri"/>
                <w:szCs w:val="24"/>
              </w:rPr>
              <w:tab/>
              <w:t>Tausus vandens ir jūrų išteklių naudojimas ir apsauga</w:t>
            </w:r>
          </w:p>
        </w:tc>
        <w:tc>
          <w:tcPr>
            <w:tcW w:w="5670" w:type="dxa"/>
          </w:tcPr>
          <w:p w14:paraId="4E1CE2DC" w14:textId="77777777" w:rsidR="00460B0A" w:rsidRDefault="00E845FE" w:rsidP="004C08EE">
            <w:pPr>
              <w:jc w:val="both"/>
              <w:rPr>
                <w:rFonts w:eastAsia="Calibri"/>
                <w:b/>
                <w:szCs w:val="24"/>
              </w:rPr>
            </w:pPr>
            <w:r w:rsidRPr="00E845FE">
              <w:rPr>
                <w:bCs/>
                <w:szCs w:val="24"/>
              </w:rPr>
              <w:t>Vertinama, kad planuojamos įgyvendinti reformos ir investicijos neturi jokio numatomo poveikio šiam aplinkos tikslui arba numatomas jos poveikis yra nereikšmingas, t. y. nedaro tiesioginio ir pirminio netiesioginio poveikio per visą gyvavimo ciklą, ir laikoma, kad jos atitinka tausaus išteklių naudojimo ir apsaugos tikslą. Įgyvendinant reformas ir investicijas nenumatoma kurti jokia infrastruktūra, kuri galėtų turėti poveikį tausiam vandens ir jūrų išteklių naudojimui: veiklos (pagal savo pobūdį) neturi jokio tiesioginio ar netiesioginio neigiamo poveikio šiam aplinkos tikslui.</w:t>
            </w:r>
          </w:p>
        </w:tc>
        <w:tc>
          <w:tcPr>
            <w:tcW w:w="5331" w:type="dxa"/>
          </w:tcPr>
          <w:p w14:paraId="4537F68E" w14:textId="77777777" w:rsidR="00460B0A" w:rsidRDefault="00DA10FD" w:rsidP="004C08EE">
            <w:pPr>
              <w:jc w:val="both"/>
              <w:rPr>
                <w:rFonts w:eastAsia="Calibri"/>
                <w:bCs/>
                <w:szCs w:val="24"/>
              </w:rPr>
            </w:pPr>
            <w:r w:rsidRPr="00DA10FD">
              <w:rPr>
                <w:rFonts w:eastAsia="Calibri"/>
                <w:szCs w:val="24"/>
              </w:rPr>
              <w:t>Netaikoma, nes, įgyvendinant veikl</w:t>
            </w:r>
            <w:r w:rsidR="002C32AE">
              <w:rPr>
                <w:rFonts w:eastAsia="Calibri"/>
                <w:szCs w:val="24"/>
              </w:rPr>
              <w:t>ą</w:t>
            </w:r>
            <w:r w:rsidRPr="00DA10FD">
              <w:rPr>
                <w:rFonts w:eastAsia="Calibri"/>
                <w:szCs w:val="24"/>
              </w:rPr>
              <w:t xml:space="preserve"> nebus kuriama jokia infrastruktūra, kuri galėtų turėti poveikį tausiam vandens ir jūrų išteklių naudojimui: veiklos (pagal savo pobūdį) neturi jokio tiesioginio ar netiesioginio neigiamo poveikio šiam aplinkos tikslui.</w:t>
            </w:r>
          </w:p>
        </w:tc>
      </w:tr>
      <w:tr w:rsidR="00460B0A" w14:paraId="7136557D" w14:textId="77777777" w:rsidTr="004C08EE">
        <w:tc>
          <w:tcPr>
            <w:tcW w:w="3686" w:type="dxa"/>
          </w:tcPr>
          <w:p w14:paraId="3856A888" w14:textId="77777777" w:rsidR="00460B0A" w:rsidRDefault="00460B0A" w:rsidP="004C08EE">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670" w:type="dxa"/>
          </w:tcPr>
          <w:p w14:paraId="6F8C480A" w14:textId="77777777" w:rsidR="00460B0A" w:rsidRPr="008C0872" w:rsidRDefault="00E845FE" w:rsidP="004C08EE">
            <w:pPr>
              <w:jc w:val="both"/>
              <w:rPr>
                <w:bCs/>
                <w:szCs w:val="24"/>
              </w:rPr>
            </w:pPr>
            <w:r w:rsidRPr="00E845FE">
              <w:rPr>
                <w:bCs/>
                <w:szCs w:val="24"/>
              </w:rPr>
              <w:t>Vertinama, kad planuojama įgyvendinti reforma neturi jokio numatomo poveikio šiam aplinkos tikslui arba numatomas jos poveikis yra nereikšmingas, t. y. nenumatoma kurti infrastruktūros, kuri daro žalą žiedinei ekonomikai, įskaitant atliekų prevenciją ir perdirbimą: veiklos (pagal savo pobūdį) neturi jokio tiesioginio ar netiesioginio neigiamo poveikio šiam aplinkos tikslui.</w:t>
            </w:r>
          </w:p>
        </w:tc>
        <w:tc>
          <w:tcPr>
            <w:tcW w:w="5331" w:type="dxa"/>
          </w:tcPr>
          <w:p w14:paraId="73B49147" w14:textId="77777777" w:rsidR="00460B0A" w:rsidRDefault="00C20E54" w:rsidP="008F13BE">
            <w:pPr>
              <w:jc w:val="both"/>
              <w:rPr>
                <w:rFonts w:eastAsia="Calibri"/>
                <w:szCs w:val="24"/>
              </w:rPr>
            </w:pPr>
            <w:r w:rsidRPr="00C20E54">
              <w:rPr>
                <w:rFonts w:eastAsia="Calibri"/>
                <w:szCs w:val="24"/>
              </w:rPr>
              <w:t xml:space="preserve">Netaikoma, nes įgyvendinant veiklas, </w:t>
            </w:r>
            <w:r>
              <w:rPr>
                <w:rFonts w:eastAsia="Calibri"/>
                <w:szCs w:val="24"/>
              </w:rPr>
              <w:t>kurių metų valstybės informaciniai ištekliai bus integruoti į duomenų ežerą</w:t>
            </w:r>
            <w:r w:rsidRPr="00C20E54">
              <w:rPr>
                <w:rFonts w:eastAsia="Calibri"/>
                <w:szCs w:val="24"/>
              </w:rPr>
              <w:t>, nenumatoma kurti infrastruktūros, kuri daro žalą žiedinei ekonomikai, įskaitant atliekų prevenciją ir perdirbimą: veiklos (pagal savo pobūdį) neturi jokio tiesioginio ar netiesioginio neigiamo poveikio šiam aplinkos tikslui.</w:t>
            </w:r>
          </w:p>
        </w:tc>
      </w:tr>
      <w:tr w:rsidR="00460B0A" w14:paraId="6EE83C1D" w14:textId="77777777" w:rsidTr="004C08EE">
        <w:tc>
          <w:tcPr>
            <w:tcW w:w="3686" w:type="dxa"/>
          </w:tcPr>
          <w:p w14:paraId="4C7A90A0" w14:textId="77777777" w:rsidR="00460B0A" w:rsidRDefault="00460B0A" w:rsidP="004C08E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5670" w:type="dxa"/>
          </w:tcPr>
          <w:p w14:paraId="150B197A" w14:textId="77777777" w:rsidR="00460B0A" w:rsidRPr="00E575C0" w:rsidRDefault="00B67388" w:rsidP="004C08EE">
            <w:pPr>
              <w:jc w:val="both"/>
              <w:rPr>
                <w:rFonts w:eastAsia="Calibri"/>
                <w:bCs/>
                <w:szCs w:val="24"/>
              </w:rPr>
            </w:pPr>
            <w:r w:rsidRPr="00B67388">
              <w:rPr>
                <w:bCs/>
                <w:szCs w:val="24"/>
              </w:rPr>
              <w:t xml:space="preserve">Vertinama, kad planuojamos įgyvendinti reformos ir investicijos neturi jokio numatomo poveikio šiam aplinkos tikslui arba numatomas jos poveikis yra nereikšmingas, t. y. nedaro tiesioginio ir pirminio netiesioginio poveikio per visą gyvavimo ciklą, ir laikoma, kad jos atitinka oro, vandens ar žemės taršos prevencijos ir kontrolės tikslą: įgyvendinant reformas ir investicijas nenumatoma kurti infrastruktūros, kuri turėtų įtakos ženkliai oro, vandens ir dirvožemio taršai susidaryti: veiklos (pagal savo pobūdį) neturi jokio </w:t>
            </w:r>
            <w:r w:rsidRPr="00B67388">
              <w:rPr>
                <w:bCs/>
                <w:szCs w:val="24"/>
              </w:rPr>
              <w:lastRenderedPageBreak/>
              <w:t>tiesioginio ar netiesioginio neigiamo poveikio šiam aplinkos tikslui.</w:t>
            </w:r>
          </w:p>
        </w:tc>
        <w:tc>
          <w:tcPr>
            <w:tcW w:w="5331" w:type="dxa"/>
          </w:tcPr>
          <w:p w14:paraId="65DD1E82" w14:textId="77777777" w:rsidR="00460B0A" w:rsidRDefault="00E87248" w:rsidP="004C08EE">
            <w:pPr>
              <w:jc w:val="both"/>
              <w:rPr>
                <w:rFonts w:eastAsia="Calibri"/>
                <w:szCs w:val="24"/>
              </w:rPr>
            </w:pPr>
            <w:r w:rsidRPr="00E87248">
              <w:rPr>
                <w:rFonts w:eastAsia="Calibri"/>
                <w:szCs w:val="24"/>
              </w:rPr>
              <w:lastRenderedPageBreak/>
              <w:t>Netaikoma, nes įgyvendinant veiklą nebus kuriama jokia infrastruktūra, kuri galėtų turėti įtakos ženkliai oro, vandens ir dirvožemio taršai susidaryti – veiklos (pagal savo pobūdį) neturi jokio tiesioginio ar netiesioginio neigiamo poveikio šiam tikslui.</w:t>
            </w:r>
          </w:p>
        </w:tc>
      </w:tr>
      <w:tr w:rsidR="00460B0A" w14:paraId="7B1C25BD" w14:textId="77777777" w:rsidTr="004C08EE">
        <w:tc>
          <w:tcPr>
            <w:tcW w:w="3686" w:type="dxa"/>
          </w:tcPr>
          <w:p w14:paraId="5E570B09" w14:textId="77777777" w:rsidR="00460B0A" w:rsidRDefault="00460B0A" w:rsidP="004C08EE">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670" w:type="dxa"/>
          </w:tcPr>
          <w:p w14:paraId="4C4F44B1" w14:textId="77777777" w:rsidR="00460B0A" w:rsidRPr="001B7DF9" w:rsidRDefault="00B67388" w:rsidP="004C08EE">
            <w:pPr>
              <w:jc w:val="both"/>
              <w:rPr>
                <w:rFonts w:eastAsia="Calibri"/>
                <w:bCs/>
                <w:szCs w:val="24"/>
              </w:rPr>
            </w:pPr>
            <w:r w:rsidRPr="00B67388">
              <w:rPr>
                <w:bCs/>
                <w:szCs w:val="24"/>
              </w:rPr>
              <w:t>Vertinama, kad planuojamos įgyvendinti reformos ir investicijos neturi jokio numatomo poveikio šiam aplinkos tikslui arba numatomas jų poveikis yra nereikšmingas, t. y. nedaro tiesioginio ir pirminio netiesioginio poveikio per visą gyvavimo ciklą, ir laikoma, kad šios reformos ir investicijos atitinka biologinės įvairovės ir ekosistemų apsaugos ir atkūrimo tikslą: nenumatoma, kad veiklos turės neigiamą poveikį biologinei įvairovei ar ekosistemų apsaugai, nes kuriama infrastruktūra jau urbanizuotoje teritorijoje.</w:t>
            </w:r>
          </w:p>
        </w:tc>
        <w:tc>
          <w:tcPr>
            <w:tcW w:w="5331" w:type="dxa"/>
          </w:tcPr>
          <w:p w14:paraId="180B0DC6" w14:textId="77777777" w:rsidR="00460B0A" w:rsidRDefault="00E87248" w:rsidP="004C08EE">
            <w:pPr>
              <w:jc w:val="both"/>
              <w:rPr>
                <w:rFonts w:eastAsia="Calibri"/>
                <w:szCs w:val="24"/>
              </w:rPr>
            </w:pPr>
            <w:r w:rsidRPr="00E87248">
              <w:rPr>
                <w:rFonts w:eastAsia="Calibri"/>
                <w:szCs w:val="24"/>
              </w:rPr>
              <w:t xml:space="preserve">Netaikoma, nes įgyvendinant veiklą nebus kuriama jokia infrastruktūra, kuri galėtų turėti neigiamą poveikį biologinei įvairovei ar ekosistemų apsaugai, kadangi infrastruktūra kuriama jau urbanizuotoje teritorijoje. </w:t>
            </w:r>
          </w:p>
        </w:tc>
      </w:tr>
    </w:tbl>
    <w:p w14:paraId="01E0C870" w14:textId="77777777" w:rsidR="00460B0A" w:rsidRDefault="00460B0A" w:rsidP="00460B0A">
      <w:pPr>
        <w:spacing w:line="276" w:lineRule="auto"/>
        <w:jc w:val="center"/>
        <w:rPr>
          <w:rFonts w:ascii="Calibri" w:eastAsia="Calibri" w:hAnsi="Calibri"/>
          <w:sz w:val="22"/>
          <w:szCs w:val="22"/>
        </w:rPr>
      </w:pPr>
    </w:p>
    <w:p w14:paraId="27761F12" w14:textId="77777777" w:rsidR="00460B0A" w:rsidRDefault="00460B0A" w:rsidP="00460B0A">
      <w:pPr>
        <w:rPr>
          <w:sz w:val="18"/>
          <w:szCs w:val="18"/>
        </w:rPr>
      </w:pPr>
    </w:p>
    <w:p w14:paraId="7992B9B9" w14:textId="77777777" w:rsidR="00460B0A" w:rsidRDefault="00460B0A" w:rsidP="00460B0A">
      <w:pPr>
        <w:spacing w:line="276" w:lineRule="auto"/>
        <w:jc w:val="center"/>
        <w:rPr>
          <w:rFonts w:ascii="Calibri" w:eastAsia="Calibri" w:hAnsi="Calibri"/>
          <w:sz w:val="22"/>
          <w:szCs w:val="22"/>
        </w:rPr>
      </w:pPr>
      <w:r>
        <w:rPr>
          <w:rFonts w:ascii="Calibri" w:eastAsia="Calibri" w:hAnsi="Calibri"/>
          <w:sz w:val="22"/>
          <w:szCs w:val="22"/>
        </w:rPr>
        <w:t>________________</w:t>
      </w:r>
    </w:p>
    <w:p w14:paraId="0CEBEA4B" w14:textId="77777777" w:rsidR="00460B0A" w:rsidRDefault="00460B0A" w:rsidP="00460B0A">
      <w:pPr>
        <w:rPr>
          <w:rFonts w:ascii="Calibri" w:eastAsia="Calibri" w:hAnsi="Calibri"/>
          <w:sz w:val="22"/>
          <w:szCs w:val="22"/>
        </w:rPr>
      </w:pPr>
    </w:p>
    <w:p w14:paraId="5187EAEE" w14:textId="77777777" w:rsidR="00460B0A" w:rsidRDefault="00460B0A">
      <w:pPr>
        <w:spacing w:line="276" w:lineRule="auto"/>
        <w:jc w:val="center"/>
        <w:rPr>
          <w:szCs w:val="24"/>
        </w:rPr>
      </w:pPr>
    </w:p>
    <w:p w14:paraId="664C8254" w14:textId="77777777" w:rsidR="00460B0A" w:rsidRDefault="00460B0A">
      <w:pPr>
        <w:spacing w:line="276" w:lineRule="auto"/>
        <w:jc w:val="center"/>
        <w:rPr>
          <w:szCs w:val="24"/>
        </w:rPr>
      </w:pPr>
    </w:p>
    <w:sectPr w:rsidR="00460B0A">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F421" w14:textId="77777777" w:rsidR="00F74E08" w:rsidRDefault="00F74E08">
      <w:pPr>
        <w:rPr>
          <w:sz w:val="22"/>
          <w:szCs w:val="22"/>
        </w:rPr>
      </w:pPr>
      <w:r>
        <w:rPr>
          <w:sz w:val="22"/>
          <w:szCs w:val="22"/>
        </w:rPr>
        <w:separator/>
      </w:r>
    </w:p>
  </w:endnote>
  <w:endnote w:type="continuationSeparator" w:id="0">
    <w:p w14:paraId="17B795B8" w14:textId="77777777" w:rsidR="00F74E08" w:rsidRDefault="00F74E08">
      <w:pPr>
        <w:rPr>
          <w:sz w:val="22"/>
          <w:szCs w:val="22"/>
        </w:rPr>
      </w:pPr>
      <w:r>
        <w:rPr>
          <w:sz w:val="22"/>
          <w:szCs w:val="22"/>
        </w:rPr>
        <w:continuationSeparator/>
      </w:r>
    </w:p>
  </w:endnote>
  <w:endnote w:type="continuationNotice" w:id="1">
    <w:p w14:paraId="4623E7E2" w14:textId="77777777" w:rsidR="00F74E08" w:rsidRDefault="00F74E0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AF3F" w14:textId="77777777" w:rsidR="004C08EE" w:rsidRDefault="004C08E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A425" w14:textId="77777777" w:rsidR="004C08EE" w:rsidRDefault="004C08E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00D1" w14:textId="77777777" w:rsidR="004C08EE" w:rsidRDefault="004C08E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0D2D" w14:textId="77777777" w:rsidR="00F74E08" w:rsidRDefault="00F74E08">
      <w:pPr>
        <w:rPr>
          <w:sz w:val="22"/>
          <w:szCs w:val="22"/>
        </w:rPr>
      </w:pPr>
      <w:r>
        <w:rPr>
          <w:sz w:val="22"/>
          <w:szCs w:val="22"/>
        </w:rPr>
        <w:separator/>
      </w:r>
    </w:p>
  </w:footnote>
  <w:footnote w:type="continuationSeparator" w:id="0">
    <w:p w14:paraId="440610A5" w14:textId="77777777" w:rsidR="00F74E08" w:rsidRDefault="00F74E08">
      <w:pPr>
        <w:rPr>
          <w:sz w:val="22"/>
          <w:szCs w:val="22"/>
        </w:rPr>
      </w:pPr>
      <w:r>
        <w:rPr>
          <w:sz w:val="22"/>
          <w:szCs w:val="22"/>
        </w:rPr>
        <w:continuationSeparator/>
      </w:r>
    </w:p>
  </w:footnote>
  <w:footnote w:type="continuationNotice" w:id="1">
    <w:p w14:paraId="5BDCFC5B" w14:textId="77777777" w:rsidR="00F74E08" w:rsidRDefault="00F74E08">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DD7" w14:textId="77777777" w:rsidR="004C08EE" w:rsidRDefault="004C08E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4426" w14:textId="77777777" w:rsidR="004C08EE" w:rsidRDefault="004C08E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669E7">
      <w:rPr>
        <w:noProof/>
        <w:szCs w:val="22"/>
      </w:rPr>
      <w:t>5</w:t>
    </w:r>
    <w:r>
      <w:rPr>
        <w:szCs w:val="22"/>
      </w:rPr>
      <w:fldChar w:fldCharType="end"/>
    </w:r>
  </w:p>
  <w:p w14:paraId="424554EC" w14:textId="77777777" w:rsidR="004C08EE" w:rsidRDefault="004C08EE">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758A" w14:textId="77777777" w:rsidR="004C08EE" w:rsidRDefault="004C08EE">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125"/>
    <w:multiLevelType w:val="hybridMultilevel"/>
    <w:tmpl w:val="D5F8124C"/>
    <w:lvl w:ilvl="0" w:tplc="0427000F">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396" w:hanging="1080"/>
      </w:pPr>
      <w:rPr>
        <w:rFonts w:hint="default"/>
      </w:rPr>
    </w:lvl>
    <w:lvl w:ilvl="5">
      <w:start w:val="1"/>
      <w:numFmt w:val="decimal"/>
      <w:isLgl/>
      <w:lvlText w:val="%1.%2.%3.%4.%5.%6."/>
      <w:lvlJc w:val="left"/>
      <w:pPr>
        <w:ind w:left="263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73"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33B305D5"/>
    <w:multiLevelType w:val="multilevel"/>
    <w:tmpl w:val="79926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1481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890225">
    <w:abstractNumId w:val="0"/>
  </w:num>
  <w:num w:numId="3" w16cid:durableId="75802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537"/>
    <w:rsid w:val="00001C95"/>
    <w:rsid w:val="00002BFF"/>
    <w:rsid w:val="00004DE9"/>
    <w:rsid w:val="00006AEC"/>
    <w:rsid w:val="0001326F"/>
    <w:rsid w:val="00017BEA"/>
    <w:rsid w:val="00024511"/>
    <w:rsid w:val="00045263"/>
    <w:rsid w:val="000455D5"/>
    <w:rsid w:val="00047AD5"/>
    <w:rsid w:val="00050AFB"/>
    <w:rsid w:val="00051D35"/>
    <w:rsid w:val="0006413E"/>
    <w:rsid w:val="00066059"/>
    <w:rsid w:val="000978EF"/>
    <w:rsid w:val="000A6AAC"/>
    <w:rsid w:val="000B5CFA"/>
    <w:rsid w:val="000D6379"/>
    <w:rsid w:val="000E0D04"/>
    <w:rsid w:val="000E25FC"/>
    <w:rsid w:val="000F1D11"/>
    <w:rsid w:val="000F36E8"/>
    <w:rsid w:val="000F61E7"/>
    <w:rsid w:val="000F6D1D"/>
    <w:rsid w:val="001237AE"/>
    <w:rsid w:val="0012576F"/>
    <w:rsid w:val="00130A34"/>
    <w:rsid w:val="00136BC2"/>
    <w:rsid w:val="00147BBC"/>
    <w:rsid w:val="00150244"/>
    <w:rsid w:val="00151B08"/>
    <w:rsid w:val="001713A3"/>
    <w:rsid w:val="00174090"/>
    <w:rsid w:val="0019002E"/>
    <w:rsid w:val="0019412F"/>
    <w:rsid w:val="00196C33"/>
    <w:rsid w:val="00197242"/>
    <w:rsid w:val="001A37DD"/>
    <w:rsid w:val="001D229B"/>
    <w:rsid w:val="001D5C96"/>
    <w:rsid w:val="001E148D"/>
    <w:rsid w:val="001E3431"/>
    <w:rsid w:val="001E6E81"/>
    <w:rsid w:val="001E7039"/>
    <w:rsid w:val="001F70D1"/>
    <w:rsid w:val="002017BE"/>
    <w:rsid w:val="00201B6C"/>
    <w:rsid w:val="0021158A"/>
    <w:rsid w:val="002334EA"/>
    <w:rsid w:val="002339DC"/>
    <w:rsid w:val="00236818"/>
    <w:rsid w:val="00237CF6"/>
    <w:rsid w:val="0024349B"/>
    <w:rsid w:val="00255760"/>
    <w:rsid w:val="002639DA"/>
    <w:rsid w:val="0026726A"/>
    <w:rsid w:val="00282F0E"/>
    <w:rsid w:val="002A1B0D"/>
    <w:rsid w:val="002A4A3F"/>
    <w:rsid w:val="002A76CB"/>
    <w:rsid w:val="002B7FCA"/>
    <w:rsid w:val="002C0F11"/>
    <w:rsid w:val="002C32AE"/>
    <w:rsid w:val="002C54E1"/>
    <w:rsid w:val="002F0490"/>
    <w:rsid w:val="002F4DC9"/>
    <w:rsid w:val="00303906"/>
    <w:rsid w:val="00303BA2"/>
    <w:rsid w:val="00305549"/>
    <w:rsid w:val="00307DC0"/>
    <w:rsid w:val="003105C2"/>
    <w:rsid w:val="00314E70"/>
    <w:rsid w:val="0031541E"/>
    <w:rsid w:val="00317D85"/>
    <w:rsid w:val="00330FDB"/>
    <w:rsid w:val="00342FA4"/>
    <w:rsid w:val="00347BD2"/>
    <w:rsid w:val="003563E3"/>
    <w:rsid w:val="0036113E"/>
    <w:rsid w:val="00362823"/>
    <w:rsid w:val="00363320"/>
    <w:rsid w:val="00370940"/>
    <w:rsid w:val="00373DDB"/>
    <w:rsid w:val="00375607"/>
    <w:rsid w:val="00381E74"/>
    <w:rsid w:val="00383AE1"/>
    <w:rsid w:val="00386D23"/>
    <w:rsid w:val="0039217D"/>
    <w:rsid w:val="00394A67"/>
    <w:rsid w:val="003951BF"/>
    <w:rsid w:val="003B7DF2"/>
    <w:rsid w:val="003C768F"/>
    <w:rsid w:val="003D40A5"/>
    <w:rsid w:val="003D72F6"/>
    <w:rsid w:val="003F306A"/>
    <w:rsid w:val="003F570E"/>
    <w:rsid w:val="00407795"/>
    <w:rsid w:val="0042127D"/>
    <w:rsid w:val="00425EEB"/>
    <w:rsid w:val="00434ABD"/>
    <w:rsid w:val="004367D4"/>
    <w:rsid w:val="00442E7C"/>
    <w:rsid w:val="00453645"/>
    <w:rsid w:val="00460B0A"/>
    <w:rsid w:val="004619FC"/>
    <w:rsid w:val="00462310"/>
    <w:rsid w:val="0046572E"/>
    <w:rsid w:val="00481764"/>
    <w:rsid w:val="004845A1"/>
    <w:rsid w:val="004909BC"/>
    <w:rsid w:val="00493F00"/>
    <w:rsid w:val="004A241E"/>
    <w:rsid w:val="004A4467"/>
    <w:rsid w:val="004A5D5D"/>
    <w:rsid w:val="004B5C6A"/>
    <w:rsid w:val="004B7EC3"/>
    <w:rsid w:val="004B7F48"/>
    <w:rsid w:val="004C08EE"/>
    <w:rsid w:val="004C4447"/>
    <w:rsid w:val="004D1079"/>
    <w:rsid w:val="004D39E0"/>
    <w:rsid w:val="004D4666"/>
    <w:rsid w:val="004F52E7"/>
    <w:rsid w:val="0050293B"/>
    <w:rsid w:val="00515EF0"/>
    <w:rsid w:val="00520335"/>
    <w:rsid w:val="00521B0A"/>
    <w:rsid w:val="005323E0"/>
    <w:rsid w:val="00534124"/>
    <w:rsid w:val="00543028"/>
    <w:rsid w:val="00544EB4"/>
    <w:rsid w:val="00545416"/>
    <w:rsid w:val="0056196B"/>
    <w:rsid w:val="00572EA7"/>
    <w:rsid w:val="00582F61"/>
    <w:rsid w:val="00583977"/>
    <w:rsid w:val="00585B75"/>
    <w:rsid w:val="005A24E3"/>
    <w:rsid w:val="005A476C"/>
    <w:rsid w:val="005A76EA"/>
    <w:rsid w:val="005B60C4"/>
    <w:rsid w:val="005C219C"/>
    <w:rsid w:val="005C5EDF"/>
    <w:rsid w:val="005D7019"/>
    <w:rsid w:val="005F325B"/>
    <w:rsid w:val="00600C14"/>
    <w:rsid w:val="0060125D"/>
    <w:rsid w:val="00645B5E"/>
    <w:rsid w:val="0065530F"/>
    <w:rsid w:val="00661DD7"/>
    <w:rsid w:val="00663280"/>
    <w:rsid w:val="0066575D"/>
    <w:rsid w:val="006714BF"/>
    <w:rsid w:val="006851E0"/>
    <w:rsid w:val="006906F6"/>
    <w:rsid w:val="006914DA"/>
    <w:rsid w:val="006A0682"/>
    <w:rsid w:val="006A458F"/>
    <w:rsid w:val="006A72DE"/>
    <w:rsid w:val="006A75A2"/>
    <w:rsid w:val="006D5D79"/>
    <w:rsid w:val="006F3DA3"/>
    <w:rsid w:val="007013AA"/>
    <w:rsid w:val="00703177"/>
    <w:rsid w:val="00706B7B"/>
    <w:rsid w:val="00711CF9"/>
    <w:rsid w:val="00730FFB"/>
    <w:rsid w:val="00736F48"/>
    <w:rsid w:val="00742028"/>
    <w:rsid w:val="00747446"/>
    <w:rsid w:val="00752822"/>
    <w:rsid w:val="007577F8"/>
    <w:rsid w:val="007669E7"/>
    <w:rsid w:val="007947C4"/>
    <w:rsid w:val="00794A71"/>
    <w:rsid w:val="007974DE"/>
    <w:rsid w:val="007A48B1"/>
    <w:rsid w:val="007B6D36"/>
    <w:rsid w:val="007C0762"/>
    <w:rsid w:val="007D0068"/>
    <w:rsid w:val="007D198A"/>
    <w:rsid w:val="007D5465"/>
    <w:rsid w:val="007D58E2"/>
    <w:rsid w:val="007D5B31"/>
    <w:rsid w:val="007D6AF8"/>
    <w:rsid w:val="007D742B"/>
    <w:rsid w:val="007E0F57"/>
    <w:rsid w:val="007F2E5B"/>
    <w:rsid w:val="007F35D6"/>
    <w:rsid w:val="008100DA"/>
    <w:rsid w:val="0083528C"/>
    <w:rsid w:val="00846689"/>
    <w:rsid w:val="00850251"/>
    <w:rsid w:val="00851370"/>
    <w:rsid w:val="00854C4C"/>
    <w:rsid w:val="00864600"/>
    <w:rsid w:val="008678E1"/>
    <w:rsid w:val="00872E2E"/>
    <w:rsid w:val="00875A64"/>
    <w:rsid w:val="008852C6"/>
    <w:rsid w:val="00894C97"/>
    <w:rsid w:val="008B2668"/>
    <w:rsid w:val="008B4ADF"/>
    <w:rsid w:val="008B531D"/>
    <w:rsid w:val="008B6546"/>
    <w:rsid w:val="008D7053"/>
    <w:rsid w:val="008E676F"/>
    <w:rsid w:val="008F13BE"/>
    <w:rsid w:val="008F2FC0"/>
    <w:rsid w:val="009057FD"/>
    <w:rsid w:val="009061EC"/>
    <w:rsid w:val="00906648"/>
    <w:rsid w:val="00916378"/>
    <w:rsid w:val="00920E11"/>
    <w:rsid w:val="00923A46"/>
    <w:rsid w:val="00937E7F"/>
    <w:rsid w:val="00957284"/>
    <w:rsid w:val="00960BF1"/>
    <w:rsid w:val="00974BA0"/>
    <w:rsid w:val="009812E6"/>
    <w:rsid w:val="00993AE4"/>
    <w:rsid w:val="009960E1"/>
    <w:rsid w:val="009A0686"/>
    <w:rsid w:val="009B00F2"/>
    <w:rsid w:val="009B757B"/>
    <w:rsid w:val="009B7E1D"/>
    <w:rsid w:val="009E3FB2"/>
    <w:rsid w:val="009F2C64"/>
    <w:rsid w:val="00A22B1D"/>
    <w:rsid w:val="00A361B0"/>
    <w:rsid w:val="00A526D1"/>
    <w:rsid w:val="00A659C1"/>
    <w:rsid w:val="00A75A43"/>
    <w:rsid w:val="00A81805"/>
    <w:rsid w:val="00A836CE"/>
    <w:rsid w:val="00A862F3"/>
    <w:rsid w:val="00A94634"/>
    <w:rsid w:val="00AA1734"/>
    <w:rsid w:val="00AB287C"/>
    <w:rsid w:val="00AC47C9"/>
    <w:rsid w:val="00AD355B"/>
    <w:rsid w:val="00AE75DA"/>
    <w:rsid w:val="00AF2880"/>
    <w:rsid w:val="00B03F14"/>
    <w:rsid w:val="00B065B9"/>
    <w:rsid w:val="00B14C47"/>
    <w:rsid w:val="00B20E52"/>
    <w:rsid w:val="00B24201"/>
    <w:rsid w:val="00B369D1"/>
    <w:rsid w:val="00B43932"/>
    <w:rsid w:val="00B44C35"/>
    <w:rsid w:val="00B54274"/>
    <w:rsid w:val="00B67388"/>
    <w:rsid w:val="00B764B3"/>
    <w:rsid w:val="00B76894"/>
    <w:rsid w:val="00B91AC2"/>
    <w:rsid w:val="00BA0D13"/>
    <w:rsid w:val="00BA1A6E"/>
    <w:rsid w:val="00BA790E"/>
    <w:rsid w:val="00BB28DA"/>
    <w:rsid w:val="00BB2AD1"/>
    <w:rsid w:val="00BB45CD"/>
    <w:rsid w:val="00BB7276"/>
    <w:rsid w:val="00BC7F7B"/>
    <w:rsid w:val="00BE1B5B"/>
    <w:rsid w:val="00BE475F"/>
    <w:rsid w:val="00BF082C"/>
    <w:rsid w:val="00BF1E36"/>
    <w:rsid w:val="00BF489C"/>
    <w:rsid w:val="00BF5874"/>
    <w:rsid w:val="00C0550E"/>
    <w:rsid w:val="00C104B1"/>
    <w:rsid w:val="00C20E54"/>
    <w:rsid w:val="00C36DEA"/>
    <w:rsid w:val="00C41002"/>
    <w:rsid w:val="00C41F24"/>
    <w:rsid w:val="00C46A66"/>
    <w:rsid w:val="00C52505"/>
    <w:rsid w:val="00C539A0"/>
    <w:rsid w:val="00C544F0"/>
    <w:rsid w:val="00C6022B"/>
    <w:rsid w:val="00C63DDF"/>
    <w:rsid w:val="00C70340"/>
    <w:rsid w:val="00C7145F"/>
    <w:rsid w:val="00C81512"/>
    <w:rsid w:val="00C82CBF"/>
    <w:rsid w:val="00C90289"/>
    <w:rsid w:val="00C966A1"/>
    <w:rsid w:val="00CD19DB"/>
    <w:rsid w:val="00CF6FE3"/>
    <w:rsid w:val="00D05535"/>
    <w:rsid w:val="00D11F02"/>
    <w:rsid w:val="00D20375"/>
    <w:rsid w:val="00D20AA6"/>
    <w:rsid w:val="00D22157"/>
    <w:rsid w:val="00D23E60"/>
    <w:rsid w:val="00D32E56"/>
    <w:rsid w:val="00D40A42"/>
    <w:rsid w:val="00D43D7C"/>
    <w:rsid w:val="00D443FE"/>
    <w:rsid w:val="00D60F34"/>
    <w:rsid w:val="00D66B54"/>
    <w:rsid w:val="00DA10FD"/>
    <w:rsid w:val="00DA56BB"/>
    <w:rsid w:val="00DB0988"/>
    <w:rsid w:val="00DB652E"/>
    <w:rsid w:val="00DB7F2F"/>
    <w:rsid w:val="00DF006A"/>
    <w:rsid w:val="00DF13DC"/>
    <w:rsid w:val="00E07A53"/>
    <w:rsid w:val="00E17164"/>
    <w:rsid w:val="00E22047"/>
    <w:rsid w:val="00E27C3A"/>
    <w:rsid w:val="00E30BD1"/>
    <w:rsid w:val="00E315AE"/>
    <w:rsid w:val="00E3738D"/>
    <w:rsid w:val="00E40CF0"/>
    <w:rsid w:val="00E43D78"/>
    <w:rsid w:val="00E6513E"/>
    <w:rsid w:val="00E77E11"/>
    <w:rsid w:val="00E845FE"/>
    <w:rsid w:val="00E87248"/>
    <w:rsid w:val="00EA4520"/>
    <w:rsid w:val="00EB271B"/>
    <w:rsid w:val="00EC43CA"/>
    <w:rsid w:val="00EE2178"/>
    <w:rsid w:val="00EE41D4"/>
    <w:rsid w:val="00EF2F56"/>
    <w:rsid w:val="00EF4415"/>
    <w:rsid w:val="00EF4986"/>
    <w:rsid w:val="00EF54EC"/>
    <w:rsid w:val="00F0372B"/>
    <w:rsid w:val="00F31F43"/>
    <w:rsid w:val="00F3354E"/>
    <w:rsid w:val="00F44CE3"/>
    <w:rsid w:val="00F55651"/>
    <w:rsid w:val="00F57469"/>
    <w:rsid w:val="00F6715D"/>
    <w:rsid w:val="00F671B5"/>
    <w:rsid w:val="00F74E08"/>
    <w:rsid w:val="00F81744"/>
    <w:rsid w:val="00F817B5"/>
    <w:rsid w:val="00FA4BF7"/>
    <w:rsid w:val="00FA501A"/>
    <w:rsid w:val="00FB396B"/>
    <w:rsid w:val="00FC1CD5"/>
    <w:rsid w:val="00FD5506"/>
    <w:rsid w:val="00FE4B0E"/>
    <w:rsid w:val="00FE4F27"/>
    <w:rsid w:val="00FF5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27D07"/>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A5D5D"/>
    <w:rPr>
      <w:sz w:val="16"/>
      <w:szCs w:val="16"/>
    </w:rPr>
  </w:style>
  <w:style w:type="paragraph" w:styleId="CommentText">
    <w:name w:val="annotation text"/>
    <w:aliases w:val=" Char,Char"/>
    <w:basedOn w:val="Normal"/>
    <w:link w:val="CommentTextChar"/>
    <w:uiPriority w:val="99"/>
    <w:unhideWhenUsed/>
    <w:qFormat/>
    <w:rsid w:val="004A5D5D"/>
    <w:rPr>
      <w:sz w:val="20"/>
    </w:rPr>
  </w:style>
  <w:style w:type="character" w:customStyle="1" w:styleId="CommentTextChar">
    <w:name w:val="Comment Text Char"/>
    <w:aliases w:val=" Char Char,Char Char"/>
    <w:basedOn w:val="DefaultParagraphFont"/>
    <w:link w:val="CommentText"/>
    <w:uiPriority w:val="99"/>
    <w:qFormat/>
    <w:rsid w:val="004A5D5D"/>
    <w:rPr>
      <w:sz w:val="20"/>
    </w:rPr>
  </w:style>
  <w:style w:type="paragraph" w:styleId="CommentSubject">
    <w:name w:val="annotation subject"/>
    <w:basedOn w:val="CommentText"/>
    <w:next w:val="CommentText"/>
    <w:link w:val="CommentSubjectChar"/>
    <w:semiHidden/>
    <w:unhideWhenUsed/>
    <w:rsid w:val="004A5D5D"/>
    <w:rPr>
      <w:b/>
      <w:bCs/>
    </w:rPr>
  </w:style>
  <w:style w:type="character" w:customStyle="1" w:styleId="CommentSubjectChar">
    <w:name w:val="Comment Subject Char"/>
    <w:basedOn w:val="CommentTextChar"/>
    <w:link w:val="CommentSubject"/>
    <w:semiHidden/>
    <w:rsid w:val="004A5D5D"/>
    <w:rPr>
      <w:b/>
      <w:bCs/>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7B6D36"/>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7B6D36"/>
    <w:pPr>
      <w:ind w:left="720"/>
      <w:contextualSpacing/>
    </w:pPr>
  </w:style>
  <w:style w:type="character" w:customStyle="1" w:styleId="cf01">
    <w:name w:val="cf01"/>
    <w:basedOn w:val="DefaultParagraphFont"/>
    <w:rsid w:val="00314E70"/>
    <w:rPr>
      <w:rFonts w:ascii="Segoe UI" w:hAnsi="Segoe UI" w:cs="Segoe UI" w:hint="default"/>
      <w:sz w:val="18"/>
      <w:szCs w:val="18"/>
    </w:rPr>
  </w:style>
  <w:style w:type="paragraph" w:styleId="BalloonText">
    <w:name w:val="Balloon Text"/>
    <w:basedOn w:val="Normal"/>
    <w:link w:val="BalloonTextChar"/>
    <w:semiHidden/>
    <w:unhideWhenUsed/>
    <w:rsid w:val="008B4ADF"/>
    <w:rPr>
      <w:rFonts w:ascii="Segoe UI" w:hAnsi="Segoe UI" w:cs="Segoe UI"/>
      <w:sz w:val="18"/>
      <w:szCs w:val="18"/>
    </w:rPr>
  </w:style>
  <w:style w:type="character" w:customStyle="1" w:styleId="BalloonTextChar">
    <w:name w:val="Balloon Text Char"/>
    <w:basedOn w:val="DefaultParagraphFont"/>
    <w:link w:val="BalloonText"/>
    <w:semiHidden/>
    <w:rsid w:val="008B4ADF"/>
    <w:rPr>
      <w:rFonts w:ascii="Segoe UI" w:hAnsi="Segoe UI" w:cs="Segoe UI"/>
      <w:sz w:val="18"/>
      <w:szCs w:val="18"/>
    </w:rPr>
  </w:style>
  <w:style w:type="paragraph" w:styleId="Revision">
    <w:name w:val="Revision"/>
    <w:hidden/>
    <w:semiHidden/>
    <w:rsid w:val="00453645"/>
  </w:style>
  <w:style w:type="character" w:customStyle="1" w:styleId="jlqj4b">
    <w:name w:val="jlqj4b"/>
    <w:basedOn w:val="DefaultParagraphFont"/>
    <w:rsid w:val="00957284"/>
  </w:style>
  <w:style w:type="character" w:styleId="Hyperlink">
    <w:name w:val="Hyperlink"/>
    <w:basedOn w:val="DefaultParagraphFont"/>
    <w:unhideWhenUsed/>
    <w:rsid w:val="00B54274"/>
    <w:rPr>
      <w:color w:val="0563C1" w:themeColor="hyperlink"/>
      <w:u w:val="single"/>
    </w:rPr>
  </w:style>
  <w:style w:type="character" w:customStyle="1" w:styleId="normaltextrun">
    <w:name w:val="normaltextrun"/>
    <w:basedOn w:val="DefaultParagraphFont"/>
    <w:rsid w:val="003D40A5"/>
  </w:style>
  <w:style w:type="paragraph" w:customStyle="1" w:styleId="Default">
    <w:name w:val="Default"/>
    <w:basedOn w:val="Normal"/>
    <w:rsid w:val="00D443FE"/>
    <w:pPr>
      <w:autoSpaceDE w:val="0"/>
      <w:autoSpaceDN w:val="0"/>
    </w:pPr>
    <w:rPr>
      <w:rFonts w:ascii="TimesNewRomanPSMT" w:eastAsiaTheme="minorHAnsi" w:hAnsi="TimesNewRomanPSMT"/>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655">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57888811">
      <w:bodyDiv w:val="1"/>
      <w:marLeft w:val="0"/>
      <w:marRight w:val="0"/>
      <w:marTop w:val="0"/>
      <w:marBottom w:val="0"/>
      <w:divBdr>
        <w:top w:val="none" w:sz="0" w:space="0" w:color="auto"/>
        <w:left w:val="none" w:sz="0" w:space="0" w:color="auto"/>
        <w:bottom w:val="none" w:sz="0" w:space="0" w:color="auto"/>
        <w:right w:val="none" w:sz="0" w:space="0" w:color="auto"/>
      </w:divBdr>
    </w:div>
    <w:div w:id="500589052">
      <w:bodyDiv w:val="1"/>
      <w:marLeft w:val="0"/>
      <w:marRight w:val="0"/>
      <w:marTop w:val="0"/>
      <w:marBottom w:val="0"/>
      <w:divBdr>
        <w:top w:val="none" w:sz="0" w:space="0" w:color="auto"/>
        <w:left w:val="none" w:sz="0" w:space="0" w:color="auto"/>
        <w:bottom w:val="none" w:sz="0" w:space="0" w:color="auto"/>
        <w:right w:val="none" w:sz="0" w:space="0" w:color="auto"/>
      </w:divBdr>
    </w:div>
    <w:div w:id="532695585">
      <w:bodyDiv w:val="1"/>
      <w:marLeft w:val="0"/>
      <w:marRight w:val="0"/>
      <w:marTop w:val="0"/>
      <w:marBottom w:val="0"/>
      <w:divBdr>
        <w:top w:val="none" w:sz="0" w:space="0" w:color="auto"/>
        <w:left w:val="none" w:sz="0" w:space="0" w:color="auto"/>
        <w:bottom w:val="none" w:sz="0" w:space="0" w:color="auto"/>
        <w:right w:val="none" w:sz="0" w:space="0" w:color="auto"/>
      </w:divBdr>
    </w:div>
    <w:div w:id="580139695">
      <w:bodyDiv w:val="1"/>
      <w:marLeft w:val="0"/>
      <w:marRight w:val="0"/>
      <w:marTop w:val="0"/>
      <w:marBottom w:val="0"/>
      <w:divBdr>
        <w:top w:val="none" w:sz="0" w:space="0" w:color="auto"/>
        <w:left w:val="none" w:sz="0" w:space="0" w:color="auto"/>
        <w:bottom w:val="none" w:sz="0" w:space="0" w:color="auto"/>
        <w:right w:val="none" w:sz="0" w:space="0" w:color="auto"/>
      </w:divBdr>
    </w:div>
    <w:div w:id="85800743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409423694">
      <w:bodyDiv w:val="1"/>
      <w:marLeft w:val="0"/>
      <w:marRight w:val="0"/>
      <w:marTop w:val="0"/>
      <w:marBottom w:val="0"/>
      <w:divBdr>
        <w:top w:val="none" w:sz="0" w:space="0" w:color="auto"/>
        <w:left w:val="none" w:sz="0" w:space="0" w:color="auto"/>
        <w:bottom w:val="none" w:sz="0" w:space="0" w:color="auto"/>
        <w:right w:val="none" w:sz="0" w:space="0" w:color="auto"/>
      </w:divBdr>
    </w:div>
    <w:div w:id="161359326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4503EAC1-A315-486A-838A-16D60C0992D2}">
  <ds:schemaRefs>
    <ds:schemaRef ds:uri="http://schemas.openxmlformats.org/officeDocument/2006/bibliography"/>
  </ds:schemaRefs>
</ds:datastoreItem>
</file>

<file path=customXml/itemProps5.xml><?xml version="1.0" encoding="utf-8"?>
<ds:datastoreItem xmlns:ds="http://schemas.openxmlformats.org/officeDocument/2006/customXml" ds:itemID="{56300645-2E68-4F07-921E-85387AF8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16029</Words>
  <Characters>9138</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25117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Lina Giedraitienė</cp:lastModifiedBy>
  <cp:revision>2</cp:revision>
  <dcterms:created xsi:type="dcterms:W3CDTF">2022-11-13T16:49:00Z</dcterms:created>
  <dcterms:modified xsi:type="dcterms:W3CDTF">2022-11-13T16:49:00Z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952137c69f950cb3c968ac8de668f9235a3dca22ab291a44254b466c0fe125cb</vt:lpwstr>
  </property>
</Properties>
</file>