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6DCF" w14:textId="77777777" w:rsidR="00CB0605" w:rsidRPr="00D355B7" w:rsidRDefault="00CB0605" w:rsidP="00D355B7">
      <w:pPr>
        <w:jc w:val="center"/>
        <w:rPr>
          <w:b/>
          <w:bCs/>
          <w:szCs w:val="24"/>
        </w:rPr>
      </w:pPr>
      <w:r w:rsidRPr="00D355B7">
        <w:rPr>
          <w:b/>
          <w:bCs/>
          <w:szCs w:val="24"/>
        </w:rPr>
        <w:t>LIETUVOS RESPUBLIKOS EKONOMIKOS IR INOVACIJŲ MINISTERIJA</w:t>
      </w:r>
    </w:p>
    <w:p w14:paraId="67E08466" w14:textId="77777777" w:rsidR="00CB0605" w:rsidRPr="00D355B7" w:rsidRDefault="00CB0605" w:rsidP="00D355B7">
      <w:pPr>
        <w:jc w:val="center"/>
        <w:rPr>
          <w:b/>
          <w:bCs/>
          <w:szCs w:val="24"/>
        </w:rPr>
      </w:pPr>
    </w:p>
    <w:p w14:paraId="728A6EAF" w14:textId="75145D9E" w:rsidR="00CB0605" w:rsidRDefault="00CB0605" w:rsidP="008E5C59">
      <w:pPr>
        <w:jc w:val="center"/>
        <w:rPr>
          <w:b/>
          <w:bCs/>
          <w:caps/>
          <w:szCs w:val="24"/>
        </w:rPr>
      </w:pPr>
      <w:r w:rsidRPr="003B06E2">
        <w:rPr>
          <w:b/>
          <w:bCs/>
          <w:szCs w:val="24"/>
        </w:rPr>
        <w:t xml:space="preserve">SOCIALINIŲ IR EKONOMINIŲ </w:t>
      </w:r>
      <w:r w:rsidRPr="009830F4">
        <w:rPr>
          <w:b/>
          <w:bCs/>
          <w:caps/>
          <w:szCs w:val="24"/>
        </w:rPr>
        <w:t xml:space="preserve">PARTNERIŲ PATEIKTŲ PASTABŲ IR PASIŪLYMŲ DĖL </w:t>
      </w:r>
      <w:r w:rsidR="009830F4" w:rsidRPr="009830F4">
        <w:rPr>
          <w:b/>
          <w:bCs/>
          <w:caps/>
          <w:szCs w:val="24"/>
        </w:rPr>
        <w:t xml:space="preserve">Ekonomikos transformacijos ir konkurencingumo plėtros programos pažangos priemonės </w:t>
      </w:r>
      <w:r w:rsidR="00B40657" w:rsidRPr="00B40657">
        <w:rPr>
          <w:b/>
          <w:bCs/>
          <w:caps/>
          <w:szCs w:val="24"/>
        </w:rPr>
        <w:t xml:space="preserve">NR. 05-001-01-04-02 „SKATINTI ĮMONES PEREITI LINK NEUTRALIOS KLIMATUI EKONOMIKOS“ </w:t>
      </w:r>
      <w:r w:rsidR="00B40657">
        <w:rPr>
          <w:b/>
          <w:bCs/>
          <w:caps/>
          <w:szCs w:val="24"/>
        </w:rPr>
        <w:t xml:space="preserve"> </w:t>
      </w:r>
      <w:r w:rsidR="000948AA">
        <w:rPr>
          <w:b/>
          <w:bCs/>
          <w:caps/>
          <w:szCs w:val="24"/>
        </w:rPr>
        <w:t xml:space="preserve">poveiklės </w:t>
      </w:r>
      <w:r w:rsidR="00B40657" w:rsidRPr="00B40657">
        <w:rPr>
          <w:b/>
          <w:bCs/>
          <w:caps/>
          <w:szCs w:val="24"/>
        </w:rPr>
        <w:t xml:space="preserve">„SKATINTI APLINKAI PALANKIŲ PRODUKTŲ ARBA TECHNOLOGIJŲ SUKŪRIMĄ IR (AR) DIEGIMĄ“ PROJEKTŲ </w:t>
      </w:r>
      <w:r w:rsidR="000948AA">
        <w:rPr>
          <w:b/>
          <w:bCs/>
          <w:caps/>
          <w:szCs w:val="24"/>
        </w:rPr>
        <w:t xml:space="preserve">finansavimo sąlygų aprašo </w:t>
      </w:r>
      <w:r w:rsidR="00B40657">
        <w:rPr>
          <w:b/>
          <w:bCs/>
          <w:caps/>
          <w:szCs w:val="24"/>
        </w:rPr>
        <w:t>DERINIMO LENTELĖ</w:t>
      </w:r>
    </w:p>
    <w:p w14:paraId="3879F45B" w14:textId="77777777" w:rsidR="00B40657" w:rsidRPr="00B40657" w:rsidRDefault="00B40657" w:rsidP="00B40657">
      <w:pPr>
        <w:jc w:val="both"/>
        <w:rPr>
          <w:b/>
          <w:bCs/>
          <w:caps/>
          <w:szCs w:val="24"/>
        </w:rPr>
      </w:pPr>
    </w:p>
    <w:tbl>
      <w:tblPr>
        <w:tblStyle w:val="TableGrid"/>
        <w:tblW w:w="14742" w:type="dxa"/>
        <w:tblInd w:w="108" w:type="dxa"/>
        <w:tblLook w:val="04A0" w:firstRow="1" w:lastRow="0" w:firstColumn="1" w:lastColumn="0" w:noHBand="0" w:noVBand="1"/>
      </w:tblPr>
      <w:tblGrid>
        <w:gridCol w:w="6804"/>
        <w:gridCol w:w="7938"/>
      </w:tblGrid>
      <w:tr w:rsidR="00D355B7" w:rsidRPr="00D355B7" w14:paraId="2B0A6DB3" w14:textId="77777777" w:rsidTr="00185ACE">
        <w:tc>
          <w:tcPr>
            <w:tcW w:w="6804" w:type="dxa"/>
          </w:tcPr>
          <w:p w14:paraId="43C51541" w14:textId="1ACDE4AE" w:rsidR="00CB0605" w:rsidRPr="00D355B7" w:rsidRDefault="00CB0605" w:rsidP="00D355B7">
            <w:pPr>
              <w:rPr>
                <w:b/>
                <w:szCs w:val="24"/>
              </w:rPr>
            </w:pPr>
            <w:r w:rsidRPr="00D355B7">
              <w:rPr>
                <w:b/>
                <w:szCs w:val="24"/>
              </w:rPr>
              <w:t xml:space="preserve">Paskelbimo </w:t>
            </w:r>
            <w:hyperlink r:id="rId7" w:history="1">
              <w:r w:rsidR="004F017B" w:rsidRPr="00D03DC1">
                <w:rPr>
                  <w:rStyle w:val="Hyperlink"/>
                  <w:szCs w:val="24"/>
                </w:rPr>
                <w:t>www.esinvesticijos.lt</w:t>
              </w:r>
            </w:hyperlink>
            <w:r w:rsidR="004F017B">
              <w:rPr>
                <w:szCs w:val="24"/>
              </w:rPr>
              <w:t xml:space="preserve">, </w:t>
            </w:r>
            <w:hyperlink r:id="rId8" w:history="1">
              <w:r w:rsidR="00F851DD" w:rsidRPr="00D03DC1">
                <w:rPr>
                  <w:rStyle w:val="Hyperlink"/>
                  <w:szCs w:val="24"/>
                </w:rPr>
                <w:t>https://eimin.lrv.lt/</w:t>
              </w:r>
            </w:hyperlink>
            <w:r w:rsidR="00F851DD">
              <w:rPr>
                <w:szCs w:val="24"/>
              </w:rPr>
              <w:t xml:space="preserve"> </w:t>
            </w:r>
            <w:r w:rsidRPr="00D355B7">
              <w:rPr>
                <w:b/>
                <w:szCs w:val="24"/>
              </w:rPr>
              <w:t xml:space="preserve"> data</w:t>
            </w:r>
          </w:p>
        </w:tc>
        <w:tc>
          <w:tcPr>
            <w:tcW w:w="7938" w:type="dxa"/>
          </w:tcPr>
          <w:p w14:paraId="7ACD24D1" w14:textId="7B8EA3C8" w:rsidR="00CB0605" w:rsidRPr="007F37D7" w:rsidRDefault="00CB0605" w:rsidP="00D355B7">
            <w:pPr>
              <w:rPr>
                <w:szCs w:val="24"/>
                <w:lang w:val="en-US"/>
              </w:rPr>
            </w:pPr>
            <w:r w:rsidRPr="00756998">
              <w:rPr>
                <w:szCs w:val="24"/>
              </w:rPr>
              <w:t>202</w:t>
            </w:r>
            <w:r w:rsidR="00686D8C" w:rsidRPr="00756998">
              <w:rPr>
                <w:szCs w:val="24"/>
              </w:rPr>
              <w:t>2</w:t>
            </w:r>
            <w:r w:rsidRPr="00756998">
              <w:rPr>
                <w:szCs w:val="24"/>
              </w:rPr>
              <w:t>-</w:t>
            </w:r>
            <w:r w:rsidR="00B40657">
              <w:rPr>
                <w:szCs w:val="24"/>
              </w:rPr>
              <w:t>1</w:t>
            </w:r>
            <w:r w:rsidR="007F37D7">
              <w:rPr>
                <w:szCs w:val="24"/>
              </w:rPr>
              <w:t>1</w:t>
            </w:r>
            <w:r w:rsidR="00806F2A">
              <w:rPr>
                <w:szCs w:val="24"/>
              </w:rPr>
              <w:t>-</w:t>
            </w:r>
            <w:r w:rsidR="007F37D7">
              <w:rPr>
                <w:szCs w:val="24"/>
                <w:lang w:val="en-US"/>
              </w:rPr>
              <w:t>21</w:t>
            </w:r>
          </w:p>
        </w:tc>
      </w:tr>
      <w:tr w:rsidR="00D355B7" w:rsidRPr="00D355B7" w14:paraId="7CFDEEE8" w14:textId="77777777" w:rsidTr="00185ACE">
        <w:tc>
          <w:tcPr>
            <w:tcW w:w="6804" w:type="dxa"/>
          </w:tcPr>
          <w:p w14:paraId="4A1F2499" w14:textId="77777777" w:rsidR="00CB0605" w:rsidRPr="00D355B7" w:rsidRDefault="00CB0605" w:rsidP="00D355B7">
            <w:pPr>
              <w:rPr>
                <w:b/>
                <w:szCs w:val="24"/>
              </w:rPr>
            </w:pPr>
            <w:r w:rsidRPr="00D355B7">
              <w:rPr>
                <w:b/>
                <w:szCs w:val="24"/>
              </w:rPr>
              <w:t>Ar gauta pastabų ir (ar) pasiūlymų?</w:t>
            </w:r>
          </w:p>
          <w:p w14:paraId="27CBE0BE" w14:textId="77777777" w:rsidR="00CB0605" w:rsidRPr="00D355B7" w:rsidRDefault="00CB0605" w:rsidP="00D355B7">
            <w:pPr>
              <w:rPr>
                <w:szCs w:val="24"/>
              </w:rPr>
            </w:pPr>
            <w:r w:rsidRPr="00D355B7">
              <w:rPr>
                <w:szCs w:val="24"/>
              </w:rPr>
              <w:t>Jei pastabų ir pasiūlymų nebuvo gauta, į kitą klausimą neatsakoma ir žemiau esanti lentelė nepildoma</w:t>
            </w:r>
          </w:p>
        </w:tc>
        <w:tc>
          <w:tcPr>
            <w:tcW w:w="7938" w:type="dxa"/>
          </w:tcPr>
          <w:p w14:paraId="5379A6B9" w14:textId="322B913E" w:rsidR="00CB0605" w:rsidRPr="00D355B7" w:rsidRDefault="00000000" w:rsidP="00D355B7">
            <w:pPr>
              <w:rPr>
                <w:szCs w:val="24"/>
              </w:rPr>
            </w:pPr>
            <w:sdt>
              <w:sdtPr>
                <w:rPr>
                  <w:szCs w:val="24"/>
                </w:rPr>
                <w:id w:val="1312749902"/>
              </w:sdtPr>
              <w:sdtContent>
                <w:bookmarkStart w:id="0" w:name="Check1"/>
                <w:r w:rsidR="00CB0605" w:rsidRPr="00D355B7">
                  <w:rPr>
                    <w:szCs w:val="24"/>
                  </w:rPr>
                  <w:fldChar w:fldCharType="begin">
                    <w:ffData>
                      <w:name w:val="Check1"/>
                      <w:enabled/>
                      <w:calcOnExit w:val="0"/>
                      <w:checkBox>
                        <w:sizeAuto/>
                        <w:default w:val="1"/>
                      </w:checkBox>
                    </w:ffData>
                  </w:fldChar>
                </w:r>
                <w:r w:rsidR="00CB0605" w:rsidRPr="00D355B7">
                  <w:rPr>
                    <w:szCs w:val="24"/>
                  </w:rPr>
                  <w:instrText xml:space="preserve"> FORMCHECKBOX </w:instrText>
                </w:r>
                <w:r>
                  <w:rPr>
                    <w:szCs w:val="24"/>
                  </w:rPr>
                </w:r>
                <w:r>
                  <w:rPr>
                    <w:szCs w:val="24"/>
                  </w:rPr>
                  <w:fldChar w:fldCharType="separate"/>
                </w:r>
                <w:r w:rsidR="00CB0605" w:rsidRPr="00D355B7">
                  <w:rPr>
                    <w:szCs w:val="24"/>
                  </w:rPr>
                  <w:fldChar w:fldCharType="end"/>
                </w:r>
                <w:bookmarkEnd w:id="0"/>
                <w:r w:rsidR="00CB0605" w:rsidRPr="00D355B7">
                  <w:rPr>
                    <w:szCs w:val="24"/>
                  </w:rPr>
                  <w:t xml:space="preserve"> </w:t>
                </w:r>
              </w:sdtContent>
            </w:sdt>
            <w:r w:rsidR="00CB0605" w:rsidRPr="00D355B7">
              <w:rPr>
                <w:szCs w:val="24"/>
              </w:rPr>
              <w:t xml:space="preserve">Taip </w:t>
            </w:r>
            <w:sdt>
              <w:sdtPr>
                <w:rPr>
                  <w:szCs w:val="24"/>
                </w:rPr>
                <w:id w:val="164368749"/>
              </w:sdtPr>
              <w:sdtContent>
                <w:r w:rsidR="00CB0605" w:rsidRPr="00D355B7">
                  <w:rPr>
                    <w:szCs w:val="24"/>
                  </w:rPr>
                  <w:fldChar w:fldCharType="begin">
                    <w:ffData>
                      <w:name w:val="Check1"/>
                      <w:enabled/>
                      <w:calcOnExit w:val="0"/>
                      <w:checkBox>
                        <w:sizeAuto/>
                        <w:default w:val="0"/>
                      </w:checkBox>
                    </w:ffData>
                  </w:fldChar>
                </w:r>
                <w:r w:rsidR="00CB0605" w:rsidRPr="00D355B7">
                  <w:rPr>
                    <w:szCs w:val="24"/>
                  </w:rPr>
                  <w:instrText xml:space="preserve"> FORMCHECKBOX </w:instrText>
                </w:r>
                <w:r>
                  <w:rPr>
                    <w:szCs w:val="24"/>
                  </w:rPr>
                </w:r>
                <w:r>
                  <w:rPr>
                    <w:szCs w:val="24"/>
                  </w:rPr>
                  <w:fldChar w:fldCharType="separate"/>
                </w:r>
                <w:r w:rsidR="00CB0605" w:rsidRPr="00D355B7">
                  <w:rPr>
                    <w:szCs w:val="24"/>
                  </w:rPr>
                  <w:fldChar w:fldCharType="end"/>
                </w:r>
                <w:r w:rsidR="00CB0605" w:rsidRPr="00D355B7">
                  <w:rPr>
                    <w:szCs w:val="24"/>
                  </w:rPr>
                  <w:t xml:space="preserve"> </w:t>
                </w:r>
              </w:sdtContent>
            </w:sdt>
            <w:r w:rsidR="00CB0605" w:rsidRPr="00D355B7">
              <w:rPr>
                <w:szCs w:val="24"/>
              </w:rPr>
              <w:t>Ne</w:t>
            </w:r>
            <w:r w:rsidR="00CB0605" w:rsidRPr="00D355B7">
              <w:rPr>
                <w:szCs w:val="24"/>
              </w:rPr>
              <w:fldChar w:fldCharType="begin"/>
            </w:r>
            <w:r w:rsidR="00CB0605" w:rsidRPr="00D355B7">
              <w:rPr>
                <w:szCs w:val="24"/>
              </w:rPr>
              <w:instrText xml:space="preserve"> FILLIN   \* MERGEFORMAT </w:instrText>
            </w:r>
            <w:r w:rsidR="00CB0605" w:rsidRPr="00D355B7">
              <w:rPr>
                <w:szCs w:val="24"/>
              </w:rPr>
              <w:fldChar w:fldCharType="end"/>
            </w:r>
          </w:p>
        </w:tc>
      </w:tr>
      <w:tr w:rsidR="00CB0605" w:rsidRPr="00D355B7" w14:paraId="5126EAA6" w14:textId="77777777" w:rsidTr="00185ACE">
        <w:tc>
          <w:tcPr>
            <w:tcW w:w="6804" w:type="dxa"/>
          </w:tcPr>
          <w:p w14:paraId="34C3231B" w14:textId="77777777" w:rsidR="00CB0605" w:rsidRPr="00D355B7" w:rsidRDefault="00CB0605" w:rsidP="00D355B7">
            <w:pPr>
              <w:rPr>
                <w:b/>
                <w:szCs w:val="24"/>
              </w:rPr>
            </w:pPr>
            <w:r w:rsidRPr="00D355B7">
              <w:rPr>
                <w:b/>
                <w:szCs w:val="24"/>
              </w:rPr>
              <w:t>Ar į visas pastabas ir (ar) pasiūlymus atsižvelgta?</w:t>
            </w:r>
          </w:p>
          <w:p w14:paraId="3D26A125" w14:textId="77777777" w:rsidR="00CB0605" w:rsidRPr="00D355B7" w:rsidRDefault="00CB0605" w:rsidP="00D355B7">
            <w:pPr>
              <w:rPr>
                <w:szCs w:val="24"/>
              </w:rPr>
            </w:pPr>
            <w:r w:rsidRPr="00D355B7">
              <w:rPr>
                <w:szCs w:val="24"/>
              </w:rPr>
              <w:t>Jei atsižvelgta į visas pastabas ir (ar) pasiūlymus, žemiau esanti lentelė nepildoma</w:t>
            </w:r>
          </w:p>
        </w:tc>
        <w:tc>
          <w:tcPr>
            <w:tcW w:w="7938" w:type="dxa"/>
          </w:tcPr>
          <w:p w14:paraId="0E00D638" w14:textId="4C0D7291" w:rsidR="00CB0605" w:rsidRPr="00D355B7" w:rsidRDefault="00000000" w:rsidP="00D355B7">
            <w:pPr>
              <w:rPr>
                <w:szCs w:val="24"/>
              </w:rPr>
            </w:pPr>
            <w:sdt>
              <w:sdtPr>
                <w:rPr>
                  <w:szCs w:val="24"/>
                </w:rPr>
                <w:id w:val="-1548671976"/>
              </w:sdtPr>
              <w:sdtContent>
                <w:r w:rsidR="006F5831">
                  <w:rPr>
                    <w:szCs w:val="24"/>
                  </w:rPr>
                  <w:fldChar w:fldCharType="begin">
                    <w:ffData>
                      <w:name w:val=""/>
                      <w:enabled/>
                      <w:calcOnExit w:val="0"/>
                      <w:checkBox>
                        <w:sizeAuto/>
                        <w:default w:val="0"/>
                      </w:checkBox>
                    </w:ffData>
                  </w:fldChar>
                </w:r>
                <w:r w:rsidR="006F5831">
                  <w:rPr>
                    <w:szCs w:val="24"/>
                  </w:rPr>
                  <w:instrText xml:space="preserve"> FORMCHECKBOX </w:instrText>
                </w:r>
                <w:r>
                  <w:rPr>
                    <w:szCs w:val="24"/>
                  </w:rPr>
                </w:r>
                <w:r>
                  <w:rPr>
                    <w:szCs w:val="24"/>
                  </w:rPr>
                  <w:fldChar w:fldCharType="separate"/>
                </w:r>
                <w:r w:rsidR="006F5831">
                  <w:rPr>
                    <w:szCs w:val="24"/>
                  </w:rPr>
                  <w:fldChar w:fldCharType="end"/>
                </w:r>
              </w:sdtContent>
            </w:sdt>
            <w:r w:rsidR="00CB0605" w:rsidRPr="00D355B7">
              <w:rPr>
                <w:szCs w:val="24"/>
              </w:rPr>
              <w:t xml:space="preserve"> Taip </w:t>
            </w:r>
            <w:sdt>
              <w:sdtPr>
                <w:rPr>
                  <w:szCs w:val="24"/>
                </w:rPr>
                <w:id w:val="-338542889"/>
              </w:sdtPr>
              <w:sdtContent>
                <w:r w:rsidR="006F5831">
                  <w:rPr>
                    <w:szCs w:val="24"/>
                  </w:rPr>
                  <w:fldChar w:fldCharType="begin">
                    <w:ffData>
                      <w:name w:val=""/>
                      <w:enabled/>
                      <w:calcOnExit w:val="0"/>
                      <w:checkBox>
                        <w:sizeAuto/>
                        <w:default w:val="1"/>
                      </w:checkBox>
                    </w:ffData>
                  </w:fldChar>
                </w:r>
                <w:r w:rsidR="006F5831">
                  <w:rPr>
                    <w:szCs w:val="24"/>
                  </w:rPr>
                  <w:instrText xml:space="preserve"> FORMCHECKBOX </w:instrText>
                </w:r>
                <w:r>
                  <w:rPr>
                    <w:szCs w:val="24"/>
                  </w:rPr>
                </w:r>
                <w:r>
                  <w:rPr>
                    <w:szCs w:val="24"/>
                  </w:rPr>
                  <w:fldChar w:fldCharType="separate"/>
                </w:r>
                <w:r w:rsidR="006F5831">
                  <w:rPr>
                    <w:szCs w:val="24"/>
                  </w:rPr>
                  <w:fldChar w:fldCharType="end"/>
                </w:r>
              </w:sdtContent>
            </w:sdt>
            <w:r w:rsidR="00CB0605" w:rsidRPr="00275020">
              <w:rPr>
                <w:szCs w:val="24"/>
              </w:rPr>
              <w:t xml:space="preserve"> </w:t>
            </w:r>
            <w:r w:rsidR="00CB0605" w:rsidRPr="00380F79">
              <w:rPr>
                <w:szCs w:val="24"/>
              </w:rPr>
              <w:t>Ne</w:t>
            </w:r>
            <w:r w:rsidR="00CB0605" w:rsidRPr="00D355B7">
              <w:rPr>
                <w:szCs w:val="24"/>
              </w:rPr>
              <w:t xml:space="preserve"> </w:t>
            </w:r>
          </w:p>
        </w:tc>
      </w:tr>
    </w:tbl>
    <w:p w14:paraId="5D04C702" w14:textId="1069CB97" w:rsidR="00CB0605" w:rsidRDefault="00CB0605" w:rsidP="00D355B7">
      <w:pPr>
        <w:rPr>
          <w:szCs w:val="24"/>
        </w:rPr>
      </w:pPr>
    </w:p>
    <w:tbl>
      <w:tblPr>
        <w:tblStyle w:val="TableGrid"/>
        <w:tblW w:w="14771" w:type="dxa"/>
        <w:tblInd w:w="108" w:type="dxa"/>
        <w:tblLayout w:type="fixed"/>
        <w:tblLook w:val="04A0" w:firstRow="1" w:lastRow="0" w:firstColumn="1" w:lastColumn="0" w:noHBand="0" w:noVBand="1"/>
      </w:tblPr>
      <w:tblGrid>
        <w:gridCol w:w="567"/>
        <w:gridCol w:w="1985"/>
        <w:gridCol w:w="6407"/>
        <w:gridCol w:w="5812"/>
      </w:tblGrid>
      <w:tr w:rsidR="0008750B" w:rsidRPr="00747A18" w14:paraId="02BCD99E" w14:textId="77777777" w:rsidTr="00F677C5">
        <w:tc>
          <w:tcPr>
            <w:tcW w:w="567" w:type="dxa"/>
          </w:tcPr>
          <w:p w14:paraId="034FF55E" w14:textId="77777777" w:rsidR="0008750B" w:rsidRPr="00747A18" w:rsidRDefault="0008750B" w:rsidP="000057A0">
            <w:pPr>
              <w:jc w:val="center"/>
              <w:rPr>
                <w:b/>
                <w:szCs w:val="24"/>
              </w:rPr>
            </w:pPr>
            <w:r w:rsidRPr="00747A18">
              <w:rPr>
                <w:b/>
                <w:szCs w:val="24"/>
              </w:rPr>
              <w:t>Nr.</w:t>
            </w:r>
          </w:p>
        </w:tc>
        <w:tc>
          <w:tcPr>
            <w:tcW w:w="1985" w:type="dxa"/>
          </w:tcPr>
          <w:p w14:paraId="2D84C4EE" w14:textId="77777777" w:rsidR="0008750B" w:rsidRPr="00747A18" w:rsidRDefault="0008750B" w:rsidP="000057A0">
            <w:pPr>
              <w:jc w:val="center"/>
              <w:rPr>
                <w:b/>
                <w:szCs w:val="24"/>
              </w:rPr>
            </w:pPr>
            <w:r w:rsidRPr="00747A18">
              <w:rPr>
                <w:b/>
                <w:szCs w:val="24"/>
              </w:rPr>
              <w:t>Institucija</w:t>
            </w:r>
          </w:p>
        </w:tc>
        <w:tc>
          <w:tcPr>
            <w:tcW w:w="6407" w:type="dxa"/>
          </w:tcPr>
          <w:p w14:paraId="5983B7A0" w14:textId="77777777" w:rsidR="0008750B" w:rsidRPr="00747A18" w:rsidRDefault="0008750B" w:rsidP="000057A0">
            <w:pPr>
              <w:jc w:val="center"/>
              <w:rPr>
                <w:b/>
                <w:szCs w:val="24"/>
              </w:rPr>
            </w:pPr>
            <w:r w:rsidRPr="00747A18">
              <w:rPr>
                <w:b/>
                <w:bCs/>
                <w:szCs w:val="24"/>
              </w:rPr>
              <w:t>Pastabos ir pasiūlymai</w:t>
            </w:r>
          </w:p>
        </w:tc>
        <w:tc>
          <w:tcPr>
            <w:tcW w:w="5812" w:type="dxa"/>
          </w:tcPr>
          <w:p w14:paraId="2D286BD0" w14:textId="77777777" w:rsidR="0008750B" w:rsidRPr="00747A18" w:rsidRDefault="0008750B" w:rsidP="000057A0">
            <w:pPr>
              <w:jc w:val="center"/>
              <w:rPr>
                <w:b/>
                <w:szCs w:val="24"/>
              </w:rPr>
            </w:pPr>
            <w:r w:rsidRPr="00747A18">
              <w:rPr>
                <w:b/>
                <w:bCs/>
                <w:szCs w:val="24"/>
              </w:rPr>
              <w:t>Pastabų ir pasiūlymų vertinimas ir (jei taikoma) argumentai, kodėl neatsižvelgta į pastabas ar pasiūlymus</w:t>
            </w:r>
          </w:p>
        </w:tc>
      </w:tr>
      <w:tr w:rsidR="005C093E" w:rsidRPr="00747A18" w14:paraId="07E46645" w14:textId="77777777" w:rsidTr="00F677C5">
        <w:tc>
          <w:tcPr>
            <w:tcW w:w="567" w:type="dxa"/>
            <w:vMerge w:val="restart"/>
          </w:tcPr>
          <w:p w14:paraId="61655B13" w14:textId="2572FF17" w:rsidR="005C093E" w:rsidRPr="00747A18" w:rsidRDefault="005C093E" w:rsidP="000057A0">
            <w:pPr>
              <w:jc w:val="center"/>
              <w:rPr>
                <w:b/>
                <w:szCs w:val="24"/>
              </w:rPr>
            </w:pPr>
            <w:r>
              <w:rPr>
                <w:b/>
                <w:szCs w:val="24"/>
              </w:rPr>
              <w:t xml:space="preserve">1. </w:t>
            </w:r>
          </w:p>
          <w:p w14:paraId="21F527B7" w14:textId="0863C75D" w:rsidR="005C093E" w:rsidRPr="00747A18" w:rsidRDefault="005C093E" w:rsidP="006E48AE">
            <w:pPr>
              <w:jc w:val="left"/>
              <w:rPr>
                <w:b/>
                <w:szCs w:val="24"/>
              </w:rPr>
            </w:pPr>
            <w:r>
              <w:rPr>
                <w:b/>
                <w:szCs w:val="24"/>
                <w:lang w:val="en-US"/>
              </w:rPr>
              <w:t xml:space="preserve"> </w:t>
            </w:r>
          </w:p>
        </w:tc>
        <w:tc>
          <w:tcPr>
            <w:tcW w:w="1985" w:type="dxa"/>
            <w:vMerge w:val="restart"/>
          </w:tcPr>
          <w:p w14:paraId="55015C7E" w14:textId="05341551" w:rsidR="005C093E" w:rsidRPr="00FC295B" w:rsidRDefault="005C093E" w:rsidP="000057A0">
            <w:pPr>
              <w:rPr>
                <w:b/>
                <w:bCs/>
                <w:szCs w:val="24"/>
                <w:shd w:val="clear" w:color="auto" w:fill="FFFFFF"/>
              </w:rPr>
            </w:pPr>
            <w:r>
              <w:rPr>
                <w:b/>
                <w:bCs/>
                <w:szCs w:val="24"/>
                <w:shd w:val="clear" w:color="auto" w:fill="FFFFFF"/>
              </w:rPr>
              <w:t>Lietuvos pramonininkų konfederacija ir Lietuvos inovacijų centras</w:t>
            </w:r>
          </w:p>
        </w:tc>
        <w:tc>
          <w:tcPr>
            <w:tcW w:w="6407" w:type="dxa"/>
          </w:tcPr>
          <w:p w14:paraId="513ED7A0" w14:textId="500BAC1E" w:rsidR="005C093E" w:rsidRDefault="005C093E" w:rsidP="000057A0">
            <w:pPr>
              <w:tabs>
                <w:tab w:val="left" w:pos="483"/>
              </w:tabs>
            </w:pPr>
            <w:r w:rsidRPr="00C06F0D">
              <w:t>2.5. Galimi pareiškėjai vykdyti Aprašo veiklą – ne pramonės srityje veiklą vykdantys SVV subjektai.</w:t>
            </w:r>
          </w:p>
          <w:p w14:paraId="6AD6CD64" w14:textId="77777777" w:rsidR="00C06F0D" w:rsidRPr="00C06F0D" w:rsidRDefault="00C06F0D" w:rsidP="000057A0">
            <w:pPr>
              <w:tabs>
                <w:tab w:val="left" w:pos="483"/>
              </w:tabs>
            </w:pPr>
          </w:p>
          <w:p w14:paraId="67D7595E" w14:textId="77777777" w:rsidR="005C093E" w:rsidRPr="000B2A55" w:rsidRDefault="005C093E" w:rsidP="000B2A55">
            <w:pPr>
              <w:tabs>
                <w:tab w:val="left" w:pos="483"/>
              </w:tabs>
              <w:rPr>
                <w:i/>
                <w:iCs/>
              </w:rPr>
            </w:pPr>
            <w:r w:rsidRPr="000B2A55">
              <w:rPr>
                <w:i/>
                <w:iCs/>
              </w:rPr>
              <w:t>Nėra pagrįsta, kodėl taikomas apribojimas ir pagal kokius kriterijus bus vertinama, ar pareiškėjas yra ne pramonės srityje veiklą vykdantys SVV.</w:t>
            </w:r>
          </w:p>
          <w:p w14:paraId="4B8C6595" w14:textId="77777777" w:rsidR="005C093E" w:rsidRPr="000B2A55" w:rsidRDefault="005C093E" w:rsidP="000B2A55">
            <w:pPr>
              <w:tabs>
                <w:tab w:val="left" w:pos="483"/>
              </w:tabs>
              <w:rPr>
                <w:i/>
                <w:iCs/>
              </w:rPr>
            </w:pPr>
            <w:r w:rsidRPr="000B2A55">
              <w:rPr>
                <w:i/>
                <w:iCs/>
              </w:rPr>
              <w:t>Siūlome:</w:t>
            </w:r>
          </w:p>
          <w:p w14:paraId="6421D753" w14:textId="77777777" w:rsidR="005C093E" w:rsidRPr="000B2A55" w:rsidRDefault="005C093E" w:rsidP="000B2A55">
            <w:pPr>
              <w:tabs>
                <w:tab w:val="left" w:pos="483"/>
              </w:tabs>
              <w:rPr>
                <w:i/>
                <w:iCs/>
              </w:rPr>
            </w:pPr>
            <w:r w:rsidRPr="000B2A55">
              <w:rPr>
                <w:i/>
                <w:iCs/>
              </w:rPr>
              <w:t>-</w:t>
            </w:r>
            <w:r w:rsidRPr="000B2A55">
              <w:rPr>
                <w:i/>
                <w:iCs/>
              </w:rPr>
              <w:tab/>
              <w:t>Atsisakyti apribojimo, numatant, kad “Galimi pareiškėjai vykdyti Aprašo veiklą –SVV subjektai”</w:t>
            </w:r>
          </w:p>
          <w:p w14:paraId="014E6EF6" w14:textId="77777777" w:rsidR="005C093E" w:rsidRPr="000B2A55" w:rsidRDefault="005C093E" w:rsidP="000B2A55">
            <w:pPr>
              <w:tabs>
                <w:tab w:val="left" w:pos="483"/>
              </w:tabs>
              <w:rPr>
                <w:i/>
                <w:iCs/>
              </w:rPr>
            </w:pPr>
            <w:r w:rsidRPr="000B2A55">
              <w:rPr>
                <w:i/>
                <w:iCs/>
              </w:rPr>
              <w:t>arba</w:t>
            </w:r>
          </w:p>
          <w:p w14:paraId="3046236B" w14:textId="0B51553B" w:rsidR="005C093E" w:rsidRPr="00734732" w:rsidRDefault="005C093E" w:rsidP="000B2A55">
            <w:pPr>
              <w:tabs>
                <w:tab w:val="left" w:pos="483"/>
              </w:tabs>
              <w:rPr>
                <w:i/>
                <w:iCs/>
              </w:rPr>
            </w:pPr>
            <w:r w:rsidRPr="000B2A55">
              <w:rPr>
                <w:i/>
                <w:iCs/>
              </w:rPr>
              <w:t>-</w:t>
            </w:r>
            <w:r w:rsidRPr="000B2A55">
              <w:rPr>
                <w:i/>
                <w:iCs/>
              </w:rPr>
              <w:tab/>
              <w:t xml:space="preserve">Pateikus pagrindimą, kad apribojimas yra reikalingas ir </w:t>
            </w:r>
            <w:r w:rsidR="004855AE" w:rsidRPr="000B2A55">
              <w:rPr>
                <w:i/>
                <w:iCs/>
              </w:rPr>
              <w:t>apibrėžus</w:t>
            </w:r>
            <w:r w:rsidRPr="000B2A55">
              <w:rPr>
                <w:i/>
                <w:iCs/>
              </w:rPr>
              <w:t xml:space="preserve"> pagal kokius kriterijus bus vertinama, ar pareiškėjas yra ne pramonės srityje veiklą vykdantys, papildomai suderinti su socialiniais partneriais.</w:t>
            </w:r>
          </w:p>
        </w:tc>
        <w:tc>
          <w:tcPr>
            <w:tcW w:w="5812" w:type="dxa"/>
          </w:tcPr>
          <w:p w14:paraId="2D06DF1F" w14:textId="77777777" w:rsidR="005C093E" w:rsidRDefault="00DF2307" w:rsidP="00E246D2">
            <w:pPr>
              <w:rPr>
                <w:szCs w:val="24"/>
              </w:rPr>
            </w:pPr>
            <w:r>
              <w:rPr>
                <w:b/>
                <w:bCs/>
                <w:szCs w:val="24"/>
              </w:rPr>
              <w:t>Atsižvelgta</w:t>
            </w:r>
            <w:r w:rsidR="005526B4">
              <w:rPr>
                <w:b/>
                <w:bCs/>
                <w:szCs w:val="24"/>
              </w:rPr>
              <w:t xml:space="preserve"> iš dalies.</w:t>
            </w:r>
            <w:r>
              <w:rPr>
                <w:b/>
                <w:bCs/>
                <w:szCs w:val="24"/>
              </w:rPr>
              <w:t xml:space="preserve"> </w:t>
            </w:r>
            <w:r>
              <w:rPr>
                <w:szCs w:val="24"/>
              </w:rPr>
              <w:t xml:space="preserve">Patikslinta ir aiškiau apibrėžta, kad </w:t>
            </w:r>
            <w:r w:rsidR="0071526D">
              <w:rPr>
                <w:szCs w:val="24"/>
              </w:rPr>
              <w:t>galimi pareiškėjai –</w:t>
            </w:r>
            <w:r w:rsidR="00E246D2">
              <w:t xml:space="preserve"> </w:t>
            </w:r>
            <w:r w:rsidR="00E246D2" w:rsidRPr="00842E7D">
              <w:rPr>
                <w:szCs w:val="24"/>
              </w:rPr>
              <w:t xml:space="preserve">ne pramonės srityje </w:t>
            </w:r>
            <w:r w:rsidR="00E246D2" w:rsidRPr="00E246D2">
              <w:rPr>
                <w:szCs w:val="24"/>
              </w:rPr>
              <w:t>(</w:t>
            </w:r>
            <w:r w:rsidR="00F677C5" w:rsidRPr="00F677C5">
              <w:rPr>
                <w:szCs w:val="24"/>
              </w:rPr>
              <w:t xml:space="preserve">pagal Ekonominės veiklos rūšių klasifikatorių (EVRK 2 red.), patvirtintą Statistikos departamento prie Lietuvos Respublikos Vyriausybės generalinio direktoriaus 2007 m. spalio 31 d. įsakymu Nr. DĮ-226 „Dėl Ekonominės veiklos rūšių klasifikatoriaus patvirtinimo“ išskyrus, vykdančius veiklą priskirtiną B sekcijai „Kasyba ir karjerų eksploatavimas“ ir C sekcijos „Apdirbamoji gamyba“ ir de </w:t>
            </w:r>
            <w:proofErr w:type="spellStart"/>
            <w:r w:rsidR="00F677C5" w:rsidRPr="00F677C5">
              <w:rPr>
                <w:szCs w:val="24"/>
              </w:rPr>
              <w:t>minimis</w:t>
            </w:r>
            <w:proofErr w:type="spellEnd"/>
            <w:r w:rsidR="00F677C5" w:rsidRPr="00F677C5">
              <w:rPr>
                <w:szCs w:val="24"/>
              </w:rPr>
              <w:t xml:space="preserve"> reglamente numatytus sektorius) ir kurios pajamos iš ne pramonės veiklos (-ų) sudaro ne mažiau kaip 51 procentą visų veiklų</w:t>
            </w:r>
            <w:r w:rsidR="00F677C5">
              <w:rPr>
                <w:szCs w:val="24"/>
              </w:rPr>
              <w:t xml:space="preserve">. </w:t>
            </w:r>
            <w:r w:rsidR="00E246D2" w:rsidRPr="00E246D2">
              <w:rPr>
                <w:szCs w:val="24"/>
              </w:rPr>
              <w:t xml:space="preserve">Vienas pareiškėjas pagal Aprašą paskelbtą kvietimą gali įgyvendinti ne daugiau kaip vieną projektą.  Įgyvendinant projektą gali būti vykdoma ne daugiau kaip viena </w:t>
            </w:r>
            <w:proofErr w:type="spellStart"/>
            <w:r w:rsidR="00E246D2" w:rsidRPr="00E246D2">
              <w:rPr>
                <w:szCs w:val="24"/>
              </w:rPr>
              <w:t>poveiklė</w:t>
            </w:r>
            <w:proofErr w:type="spellEnd"/>
            <w:r w:rsidR="00E246D2" w:rsidRPr="00E246D2">
              <w:rPr>
                <w:szCs w:val="24"/>
              </w:rPr>
              <w:t xml:space="preserve">, kuriant ne daugiau kaip 1 </w:t>
            </w:r>
            <w:r w:rsidR="00E246D2" w:rsidRPr="00E246D2">
              <w:rPr>
                <w:szCs w:val="24"/>
              </w:rPr>
              <w:lastRenderedPageBreak/>
              <w:t xml:space="preserve">aplinkai palankus produkto prototipą, arba kuriant ir diegiant ne daugiau kaip 1 aplinkai palankų produktą, arba diegiant ne daugiau kaip 1 aplinkai palankų produktą.   </w:t>
            </w:r>
          </w:p>
          <w:p w14:paraId="245E7DF2" w14:textId="77777777" w:rsidR="006E4CB5" w:rsidRDefault="00F677C5" w:rsidP="00E246D2">
            <w:pPr>
              <w:rPr>
                <w:szCs w:val="24"/>
              </w:rPr>
            </w:pPr>
            <w:r>
              <w:rPr>
                <w:szCs w:val="24"/>
              </w:rPr>
              <w:t xml:space="preserve">Atkreiptinas dėmesys, kad iš NKL lėšų finansuojama būtent ne pramonės srityje veikiantys SVV subjektai. </w:t>
            </w:r>
          </w:p>
          <w:p w14:paraId="54284C94" w14:textId="77777777" w:rsidR="006E4CB5" w:rsidRDefault="006E4CB5" w:rsidP="00E246D2">
            <w:pPr>
              <w:rPr>
                <w:szCs w:val="24"/>
              </w:rPr>
            </w:pPr>
          </w:p>
          <w:p w14:paraId="0E69BB90" w14:textId="77777777" w:rsidR="00F677C5" w:rsidRDefault="00F677C5" w:rsidP="00E246D2">
            <w:pPr>
              <w:rPr>
                <w:szCs w:val="24"/>
              </w:rPr>
            </w:pPr>
            <w:r>
              <w:rPr>
                <w:szCs w:val="24"/>
              </w:rPr>
              <w:t xml:space="preserve">Pramonės </w:t>
            </w:r>
            <w:r w:rsidR="00600247">
              <w:rPr>
                <w:szCs w:val="24"/>
              </w:rPr>
              <w:t xml:space="preserve">subjektai, vykdantys panašias veiklas, bus finansuojami </w:t>
            </w:r>
            <w:r w:rsidR="006E4CB5">
              <w:rPr>
                <w:szCs w:val="24"/>
              </w:rPr>
              <w:t>P</w:t>
            </w:r>
            <w:r w:rsidR="006E4CB5" w:rsidRPr="006E4CB5">
              <w:rPr>
                <w:szCs w:val="24"/>
              </w:rPr>
              <w:t>ažangos priemonės Nr. 05-001-01-04 „Skatinti įmones pereiti link neutralios klimatui ekonomikos“</w:t>
            </w:r>
            <w:r w:rsidR="006E4CB5">
              <w:rPr>
                <w:szCs w:val="24"/>
              </w:rPr>
              <w:t xml:space="preserve"> veikl</w:t>
            </w:r>
            <w:r w:rsidR="003B1393">
              <w:rPr>
                <w:szCs w:val="24"/>
              </w:rPr>
              <w:t>omis „</w:t>
            </w:r>
            <w:r w:rsidR="003B1393" w:rsidRPr="003B1393">
              <w:rPr>
                <w:szCs w:val="24"/>
              </w:rPr>
              <w:t>Skatinti inovatyvių aplinkai draugiškų, t. y. tvarių produktų gamybą skatinančių, technologijų kūrimą, demonstravimą MVĮ, veikiančiose S4 srityse</w:t>
            </w:r>
            <w:r w:rsidR="003B1393">
              <w:rPr>
                <w:szCs w:val="24"/>
              </w:rPr>
              <w:t>“ ir</w:t>
            </w:r>
            <w:r w:rsidR="006E4CB5">
              <w:rPr>
                <w:szCs w:val="24"/>
              </w:rPr>
              <w:t xml:space="preserve"> „</w:t>
            </w:r>
            <w:r w:rsidR="006E4CB5" w:rsidRPr="006E4CB5">
              <w:rPr>
                <w:szCs w:val="24"/>
              </w:rPr>
              <w:t>Skatinti inovatyvių aplinkai draugiškų, t. y. tvarių produktų gamybą skatinančių, technologijų kūrimą, demonstravimą MVĮ, veikiančiose S4 srityse</w:t>
            </w:r>
            <w:r w:rsidR="006E4CB5">
              <w:rPr>
                <w:szCs w:val="24"/>
              </w:rPr>
              <w:t xml:space="preserve">“ finansuojamų iš Europos struktūrinių fondų lėšų. </w:t>
            </w:r>
          </w:p>
          <w:p w14:paraId="7501B51C" w14:textId="77777777" w:rsidR="003B1393" w:rsidRDefault="003B1393" w:rsidP="00E246D2">
            <w:pPr>
              <w:rPr>
                <w:szCs w:val="24"/>
              </w:rPr>
            </w:pPr>
          </w:p>
          <w:p w14:paraId="0DC98AF4" w14:textId="15723E2A" w:rsidR="003B1393" w:rsidRPr="003B1393" w:rsidRDefault="003B1393" w:rsidP="00E246D2">
            <w:pPr>
              <w:rPr>
                <w:szCs w:val="24"/>
                <w:lang w:val="en-US"/>
              </w:rPr>
            </w:pPr>
            <w:r>
              <w:rPr>
                <w:szCs w:val="24"/>
              </w:rPr>
              <w:t>Pramonės subjektai taip pat bus finansuojami kita NKL finansuojama P</w:t>
            </w:r>
            <w:r w:rsidRPr="006E4CB5">
              <w:rPr>
                <w:szCs w:val="24"/>
              </w:rPr>
              <w:t>ažangos priemonės Nr. 05-001-01-04 „Skatinti įmones pereiti link neutralios klimatui ekonomikos“</w:t>
            </w:r>
            <w:r>
              <w:rPr>
                <w:szCs w:val="24"/>
              </w:rPr>
              <w:t xml:space="preserve"> </w:t>
            </w:r>
            <w:proofErr w:type="spellStart"/>
            <w:r>
              <w:rPr>
                <w:szCs w:val="24"/>
              </w:rPr>
              <w:t>poveikle</w:t>
            </w:r>
            <w:proofErr w:type="spellEnd"/>
            <w:r>
              <w:rPr>
                <w:szCs w:val="24"/>
              </w:rPr>
              <w:t xml:space="preserve"> „</w:t>
            </w:r>
            <w:proofErr w:type="spellStart"/>
            <w:r>
              <w:rPr>
                <w:szCs w:val="24"/>
              </w:rPr>
              <w:t>Industry</w:t>
            </w:r>
            <w:proofErr w:type="spellEnd"/>
            <w:r>
              <w:rPr>
                <w:szCs w:val="24"/>
              </w:rPr>
              <w:t xml:space="preserve"> </w:t>
            </w:r>
            <w:r>
              <w:rPr>
                <w:szCs w:val="24"/>
                <w:lang w:val="en-US"/>
              </w:rPr>
              <w:t>4.0 Lab” .</w:t>
            </w:r>
          </w:p>
        </w:tc>
      </w:tr>
      <w:tr w:rsidR="005C093E" w:rsidRPr="00747A18" w14:paraId="7DFD0C96" w14:textId="77777777" w:rsidTr="00F677C5">
        <w:tc>
          <w:tcPr>
            <w:tcW w:w="567" w:type="dxa"/>
            <w:vMerge/>
          </w:tcPr>
          <w:p w14:paraId="60341E4F" w14:textId="0A25A631" w:rsidR="005C093E" w:rsidRPr="006E48AE" w:rsidRDefault="005C093E" w:rsidP="006E48AE">
            <w:pPr>
              <w:jc w:val="left"/>
              <w:rPr>
                <w:b/>
                <w:szCs w:val="24"/>
                <w:lang w:val="en-US"/>
              </w:rPr>
            </w:pPr>
          </w:p>
        </w:tc>
        <w:tc>
          <w:tcPr>
            <w:tcW w:w="1985" w:type="dxa"/>
            <w:vMerge/>
          </w:tcPr>
          <w:p w14:paraId="4A7BB436" w14:textId="14D7483E" w:rsidR="005C093E" w:rsidRPr="00331808" w:rsidRDefault="005C093E" w:rsidP="001103A9">
            <w:pPr>
              <w:rPr>
                <w:b/>
                <w:bCs/>
                <w:szCs w:val="24"/>
                <w:shd w:val="clear" w:color="auto" w:fill="FFFFFF"/>
              </w:rPr>
            </w:pPr>
          </w:p>
        </w:tc>
        <w:tc>
          <w:tcPr>
            <w:tcW w:w="6407" w:type="dxa"/>
          </w:tcPr>
          <w:p w14:paraId="6CCC2E2B" w14:textId="77777777" w:rsidR="005C093E" w:rsidRPr="00C06F0D" w:rsidRDefault="005C093E" w:rsidP="006E48AE">
            <w:pPr>
              <w:rPr>
                <w:rFonts w:eastAsiaTheme="minorHAnsi"/>
                <w:color w:val="000000"/>
                <w:szCs w:val="24"/>
                <w:lang w:eastAsia="en-US"/>
              </w:rPr>
            </w:pPr>
            <w:r w:rsidRPr="00C06F0D">
              <w:rPr>
                <w:rFonts w:eastAsiaTheme="minorHAnsi"/>
                <w:color w:val="000000"/>
                <w:szCs w:val="24"/>
                <w:lang w:eastAsia="en-US"/>
              </w:rPr>
              <w:t xml:space="preserve">Projektu vykdomos </w:t>
            </w:r>
            <w:proofErr w:type="spellStart"/>
            <w:r w:rsidRPr="00C06F0D">
              <w:rPr>
                <w:rFonts w:eastAsiaTheme="minorHAnsi"/>
                <w:color w:val="000000"/>
                <w:szCs w:val="24"/>
                <w:lang w:eastAsia="en-US"/>
              </w:rPr>
              <w:t>poveiklės</w:t>
            </w:r>
            <w:proofErr w:type="spellEnd"/>
            <w:r w:rsidRPr="00C06F0D">
              <w:rPr>
                <w:rFonts w:eastAsiaTheme="minorHAnsi"/>
                <w:color w:val="000000"/>
                <w:szCs w:val="24"/>
                <w:lang w:eastAsia="en-US"/>
              </w:rPr>
              <w:t xml:space="preserve"> vertinimas klasifikuojamas į tris grupes:</w:t>
            </w:r>
          </w:p>
          <w:p w14:paraId="701422A7" w14:textId="5386CDE7" w:rsidR="005C093E" w:rsidRPr="00C06F0D" w:rsidRDefault="005C093E" w:rsidP="006E48AE">
            <w:pPr>
              <w:rPr>
                <w:rFonts w:eastAsiaTheme="minorHAnsi"/>
                <w:color w:val="000000"/>
                <w:szCs w:val="24"/>
                <w:lang w:eastAsia="en-US"/>
              </w:rPr>
            </w:pPr>
            <w:r w:rsidRPr="00C06F0D">
              <w:rPr>
                <w:rFonts w:eastAsiaTheme="minorHAnsi"/>
                <w:color w:val="000000"/>
                <w:szCs w:val="24"/>
                <w:lang w:eastAsia="en-US"/>
              </w:rPr>
              <w:t xml:space="preserve">-projektu vykdoma Aprašo 2.1.3 </w:t>
            </w:r>
            <w:proofErr w:type="spellStart"/>
            <w:r w:rsidRPr="00C06F0D">
              <w:rPr>
                <w:rFonts w:eastAsiaTheme="minorHAnsi"/>
                <w:color w:val="000000"/>
                <w:szCs w:val="24"/>
                <w:lang w:eastAsia="en-US"/>
              </w:rPr>
              <w:t>poveiklė</w:t>
            </w:r>
            <w:proofErr w:type="spellEnd"/>
            <w:r w:rsidRPr="00C06F0D">
              <w:rPr>
                <w:rFonts w:eastAsiaTheme="minorHAnsi"/>
                <w:color w:val="000000"/>
                <w:szCs w:val="24"/>
                <w:lang w:eastAsia="en-US"/>
              </w:rPr>
              <w:t xml:space="preserve"> (aplinkai palankių produktų įdiegimas SVV subjekte arba rinkoje) – skiriami 5 balai,</w:t>
            </w:r>
          </w:p>
          <w:p w14:paraId="1EABBDD1" w14:textId="77777777" w:rsidR="005C093E" w:rsidRPr="00C06F0D" w:rsidRDefault="005C093E" w:rsidP="006E48AE">
            <w:pPr>
              <w:rPr>
                <w:rFonts w:eastAsiaTheme="minorHAnsi"/>
                <w:color w:val="000000"/>
                <w:szCs w:val="24"/>
                <w:lang w:eastAsia="en-US"/>
              </w:rPr>
            </w:pPr>
            <w:r w:rsidRPr="00C06F0D">
              <w:rPr>
                <w:rFonts w:eastAsiaTheme="minorHAnsi"/>
                <w:color w:val="000000"/>
                <w:szCs w:val="24"/>
                <w:lang w:eastAsia="en-US"/>
              </w:rPr>
              <w:t xml:space="preserve">-projektu vykdoma Aprašo 2.1.1 </w:t>
            </w:r>
            <w:proofErr w:type="spellStart"/>
            <w:r w:rsidRPr="00C06F0D">
              <w:rPr>
                <w:rFonts w:eastAsiaTheme="minorHAnsi"/>
                <w:color w:val="000000"/>
                <w:szCs w:val="24"/>
                <w:lang w:eastAsia="en-US"/>
              </w:rPr>
              <w:t>poveiklė</w:t>
            </w:r>
            <w:proofErr w:type="spellEnd"/>
            <w:r w:rsidRPr="00C06F0D">
              <w:rPr>
                <w:rFonts w:eastAsiaTheme="minorHAnsi"/>
                <w:color w:val="000000"/>
                <w:szCs w:val="24"/>
                <w:lang w:eastAsia="en-US"/>
              </w:rPr>
              <w:t xml:space="preserve"> (aplinkai palankių produktų prototipų kūrimas arba esminis patobulinimas) – skiriama 15 balų;</w:t>
            </w:r>
          </w:p>
          <w:p w14:paraId="69FE2020" w14:textId="77777777" w:rsidR="005C093E" w:rsidRDefault="005C093E" w:rsidP="006E48AE">
            <w:pPr>
              <w:rPr>
                <w:rFonts w:eastAsiaTheme="minorHAnsi"/>
                <w:i/>
                <w:iCs/>
                <w:color w:val="000000"/>
                <w:szCs w:val="24"/>
                <w:lang w:eastAsia="en-US"/>
              </w:rPr>
            </w:pPr>
          </w:p>
          <w:p w14:paraId="1DF5CD05" w14:textId="77777777" w:rsidR="005C093E" w:rsidRPr="005C093E" w:rsidRDefault="005C093E" w:rsidP="006E48AE">
            <w:pPr>
              <w:rPr>
                <w:rFonts w:eastAsiaTheme="minorHAnsi"/>
                <w:i/>
                <w:iCs/>
                <w:color w:val="000000"/>
                <w:szCs w:val="24"/>
                <w:lang w:eastAsia="en-US"/>
              </w:rPr>
            </w:pPr>
            <w:r w:rsidRPr="005C093E">
              <w:rPr>
                <w:rFonts w:eastAsiaTheme="minorHAnsi"/>
                <w:i/>
                <w:iCs/>
                <w:color w:val="000000"/>
                <w:szCs w:val="24"/>
                <w:lang w:eastAsia="en-US"/>
              </w:rPr>
              <w:t xml:space="preserve">“Prototipas” -  dar toli nuo inovacijos (įdiegtos ir/arba pateiktos į rinką). Santykinai daug balų skyrimas už tik prototipo sukūrimą </w:t>
            </w:r>
            <w:r w:rsidRPr="005C093E">
              <w:rPr>
                <w:rFonts w:eastAsiaTheme="minorHAnsi"/>
                <w:i/>
                <w:iCs/>
                <w:color w:val="000000"/>
                <w:szCs w:val="24"/>
                <w:lang w:eastAsia="en-US"/>
              </w:rPr>
              <w:lastRenderedPageBreak/>
              <w:t>neskatina įdiegimo ir didina ir taip didelį taip vadinamą “mirties slėnį” tarp MTEP ir inovacijų.</w:t>
            </w:r>
          </w:p>
          <w:p w14:paraId="79C701DE" w14:textId="77777777" w:rsidR="005C093E" w:rsidRPr="005C093E" w:rsidRDefault="005C093E" w:rsidP="006E48AE">
            <w:pPr>
              <w:rPr>
                <w:rFonts w:eastAsiaTheme="minorHAnsi"/>
                <w:i/>
                <w:iCs/>
                <w:color w:val="000000"/>
                <w:szCs w:val="24"/>
                <w:lang w:eastAsia="en-US"/>
              </w:rPr>
            </w:pPr>
            <w:r w:rsidRPr="005C093E">
              <w:rPr>
                <w:rFonts w:eastAsiaTheme="minorHAnsi"/>
                <w:i/>
                <w:iCs/>
                <w:color w:val="000000"/>
                <w:szCs w:val="24"/>
                <w:lang w:eastAsia="en-US"/>
              </w:rPr>
              <w:t>Siūloma balų proporcija taip pat nepagrindžia kodėl prototipo sukūrimas yra labiau skatintinas už jau kitų sukurto inovatyvaus produkto įdiegimą.</w:t>
            </w:r>
          </w:p>
          <w:p w14:paraId="629FA5AC" w14:textId="7C2440FD" w:rsidR="005C093E" w:rsidRPr="005C093E" w:rsidRDefault="005C093E" w:rsidP="006E48AE">
            <w:pPr>
              <w:rPr>
                <w:rFonts w:eastAsiaTheme="minorHAnsi"/>
                <w:i/>
                <w:iCs/>
                <w:color w:val="000000"/>
                <w:szCs w:val="24"/>
                <w:lang w:eastAsia="en-US"/>
              </w:rPr>
            </w:pPr>
            <w:r w:rsidRPr="005C093E">
              <w:rPr>
                <w:rFonts w:eastAsiaTheme="minorHAnsi"/>
                <w:i/>
                <w:iCs/>
                <w:color w:val="000000"/>
                <w:szCs w:val="24"/>
                <w:lang w:eastAsia="en-US"/>
              </w:rPr>
              <w:t>Siūlome patikslinti vertinimo kriter</w:t>
            </w:r>
            <w:r w:rsidR="00A15B37">
              <w:rPr>
                <w:rFonts w:eastAsiaTheme="minorHAnsi"/>
                <w:i/>
                <w:iCs/>
                <w:color w:val="000000"/>
                <w:szCs w:val="24"/>
                <w:lang w:eastAsia="en-US"/>
              </w:rPr>
              <w:t>ij</w:t>
            </w:r>
            <w:r w:rsidRPr="005C093E">
              <w:rPr>
                <w:rFonts w:eastAsiaTheme="minorHAnsi"/>
                <w:i/>
                <w:iCs/>
                <w:color w:val="000000"/>
                <w:szCs w:val="24"/>
                <w:lang w:eastAsia="en-US"/>
              </w:rPr>
              <w:t>ų taip:</w:t>
            </w:r>
          </w:p>
          <w:p w14:paraId="21A3936C" w14:textId="77777777" w:rsidR="005C093E" w:rsidRPr="005C093E" w:rsidRDefault="005C093E" w:rsidP="006E48AE">
            <w:pPr>
              <w:rPr>
                <w:rFonts w:eastAsiaTheme="minorHAnsi"/>
                <w:i/>
                <w:iCs/>
                <w:color w:val="000000"/>
                <w:szCs w:val="24"/>
                <w:lang w:eastAsia="en-US"/>
              </w:rPr>
            </w:pPr>
            <w:r w:rsidRPr="005C093E">
              <w:rPr>
                <w:rFonts w:eastAsiaTheme="minorHAnsi"/>
                <w:i/>
                <w:iCs/>
                <w:color w:val="000000"/>
                <w:szCs w:val="24"/>
                <w:lang w:eastAsia="en-US"/>
              </w:rPr>
              <w:t>-</w:t>
            </w:r>
            <w:r w:rsidRPr="005C093E">
              <w:rPr>
                <w:rFonts w:eastAsiaTheme="minorHAnsi"/>
                <w:i/>
                <w:iCs/>
                <w:color w:val="000000"/>
                <w:szCs w:val="24"/>
                <w:lang w:eastAsia="en-US"/>
              </w:rPr>
              <w:tab/>
              <w:t xml:space="preserve">projektu vykdoma Aprašo 2.1.1 </w:t>
            </w:r>
            <w:proofErr w:type="spellStart"/>
            <w:r w:rsidRPr="005C093E">
              <w:rPr>
                <w:rFonts w:eastAsiaTheme="minorHAnsi"/>
                <w:i/>
                <w:iCs/>
                <w:color w:val="000000"/>
                <w:szCs w:val="24"/>
                <w:lang w:eastAsia="en-US"/>
              </w:rPr>
              <w:t>poveiklė</w:t>
            </w:r>
            <w:proofErr w:type="spellEnd"/>
            <w:r w:rsidRPr="005C093E">
              <w:rPr>
                <w:rFonts w:eastAsiaTheme="minorHAnsi"/>
                <w:i/>
                <w:iCs/>
                <w:color w:val="000000"/>
                <w:szCs w:val="24"/>
                <w:lang w:eastAsia="en-US"/>
              </w:rPr>
              <w:t xml:space="preserve"> (aplinkai palankių produktų prototipų kūrimas arba esminis patobulinimas) – skiriama 10 balų;</w:t>
            </w:r>
          </w:p>
          <w:p w14:paraId="06BD4A98" w14:textId="790EAAF0" w:rsidR="005C093E" w:rsidRPr="005C093E" w:rsidRDefault="005C093E" w:rsidP="006E48AE">
            <w:pPr>
              <w:rPr>
                <w:rFonts w:eastAsiaTheme="minorHAnsi"/>
                <w:i/>
                <w:iCs/>
                <w:color w:val="000000"/>
                <w:szCs w:val="24"/>
                <w:lang w:eastAsia="en-US"/>
              </w:rPr>
            </w:pPr>
            <w:r w:rsidRPr="005C093E">
              <w:rPr>
                <w:rFonts w:eastAsiaTheme="minorHAnsi"/>
                <w:i/>
                <w:iCs/>
                <w:color w:val="000000"/>
                <w:szCs w:val="24"/>
                <w:lang w:eastAsia="en-US"/>
              </w:rPr>
              <w:t>-</w:t>
            </w:r>
            <w:r w:rsidRPr="005C093E">
              <w:rPr>
                <w:rFonts w:eastAsiaTheme="minorHAnsi"/>
                <w:i/>
                <w:iCs/>
                <w:color w:val="000000"/>
                <w:szCs w:val="24"/>
                <w:lang w:eastAsia="en-US"/>
              </w:rPr>
              <w:tab/>
              <w:t xml:space="preserve">projektu vykdoma Aprašo 2.1.3 </w:t>
            </w:r>
            <w:proofErr w:type="spellStart"/>
            <w:r w:rsidRPr="005C093E">
              <w:rPr>
                <w:rFonts w:eastAsiaTheme="minorHAnsi"/>
                <w:i/>
                <w:iCs/>
                <w:color w:val="000000"/>
                <w:szCs w:val="24"/>
                <w:lang w:eastAsia="en-US"/>
              </w:rPr>
              <w:t>poveiklė</w:t>
            </w:r>
            <w:proofErr w:type="spellEnd"/>
            <w:r w:rsidRPr="005C093E">
              <w:rPr>
                <w:rFonts w:eastAsiaTheme="minorHAnsi"/>
                <w:i/>
                <w:iCs/>
                <w:color w:val="000000"/>
                <w:szCs w:val="24"/>
                <w:lang w:eastAsia="en-US"/>
              </w:rPr>
              <w:t xml:space="preserve"> (aplinkai palankių produktų įdiegimas SVV subjekte arba rinkoje) – skiriami 20 balų.</w:t>
            </w:r>
          </w:p>
        </w:tc>
        <w:tc>
          <w:tcPr>
            <w:tcW w:w="5812" w:type="dxa"/>
          </w:tcPr>
          <w:p w14:paraId="2C695670" w14:textId="77777777" w:rsidR="00E308A3" w:rsidRDefault="00917B14" w:rsidP="009844BB">
            <w:pPr>
              <w:rPr>
                <w:szCs w:val="24"/>
              </w:rPr>
            </w:pPr>
            <w:r>
              <w:rPr>
                <w:b/>
                <w:bCs/>
                <w:szCs w:val="24"/>
              </w:rPr>
              <w:lastRenderedPageBreak/>
              <w:t>Neatsižvelgta.</w:t>
            </w:r>
            <w:r w:rsidR="006C0772">
              <w:rPr>
                <w:b/>
                <w:bCs/>
                <w:szCs w:val="24"/>
              </w:rPr>
              <w:t xml:space="preserve"> </w:t>
            </w:r>
            <w:r w:rsidR="00E308A3">
              <w:rPr>
                <w:szCs w:val="24"/>
              </w:rPr>
              <w:t>P</w:t>
            </w:r>
            <w:r w:rsidR="00B10EC9" w:rsidRPr="00B10EC9">
              <w:rPr>
                <w:szCs w:val="24"/>
              </w:rPr>
              <w:t xml:space="preserve">riemonėje didesnis prioritetas skiriamas aplinkai palankių produktų sukūrimui, siekiant didinti investicijas į MTEP, kas yra nustatyta LRV programoje, </w:t>
            </w:r>
            <w:r w:rsidR="00E308A3">
              <w:rPr>
                <w:szCs w:val="24"/>
              </w:rPr>
              <w:t>Nacionaliniame pažangos plane.</w:t>
            </w:r>
          </w:p>
          <w:p w14:paraId="7EBEB55C" w14:textId="77777777" w:rsidR="00E308A3" w:rsidRDefault="00B10EC9" w:rsidP="009844BB">
            <w:pPr>
              <w:rPr>
                <w:szCs w:val="24"/>
              </w:rPr>
            </w:pPr>
            <w:r w:rsidRPr="00B10EC9">
              <w:rPr>
                <w:szCs w:val="24"/>
              </w:rPr>
              <w:t xml:space="preserve">Priemone taip pat skatinamas rizikingų projektų vykdymas, siekiant pasidalinti finansine našta su verslu, kuris, neskiriant prioriteto rizikingesniems projektams, jų </w:t>
            </w:r>
            <w:r w:rsidR="00E308A3">
              <w:rPr>
                <w:szCs w:val="24"/>
              </w:rPr>
              <w:t>apskritai</w:t>
            </w:r>
            <w:r w:rsidRPr="00B10EC9">
              <w:rPr>
                <w:szCs w:val="24"/>
              </w:rPr>
              <w:t xml:space="preserve"> neįgyvendintų.</w:t>
            </w:r>
          </w:p>
          <w:p w14:paraId="26E36DEE" w14:textId="69CDC2C9" w:rsidR="005C093E" w:rsidRPr="00205171" w:rsidRDefault="00B10EC9" w:rsidP="009844BB">
            <w:pPr>
              <w:rPr>
                <w:b/>
                <w:bCs/>
                <w:szCs w:val="24"/>
              </w:rPr>
            </w:pPr>
            <w:r w:rsidRPr="00B10EC9">
              <w:rPr>
                <w:szCs w:val="24"/>
              </w:rPr>
              <w:t>Planuojama, kad sėkmingų projektų rezultatus, kurie bus pasiekti sukūrus prototipą, bus galima vystyti toliau pagal kitas priemones</w:t>
            </w:r>
            <w:r w:rsidR="00E308A3">
              <w:rPr>
                <w:szCs w:val="24"/>
              </w:rPr>
              <w:t xml:space="preserve">. </w:t>
            </w:r>
          </w:p>
        </w:tc>
      </w:tr>
      <w:tr w:rsidR="005C093E" w:rsidRPr="00747A18" w14:paraId="222E8895" w14:textId="77777777" w:rsidTr="00F677C5">
        <w:tc>
          <w:tcPr>
            <w:tcW w:w="567" w:type="dxa"/>
            <w:vMerge/>
          </w:tcPr>
          <w:p w14:paraId="650D7F53" w14:textId="77777777" w:rsidR="005C093E" w:rsidRPr="00747A18" w:rsidRDefault="005C093E" w:rsidP="00786380">
            <w:pPr>
              <w:jc w:val="center"/>
              <w:rPr>
                <w:b/>
                <w:szCs w:val="24"/>
              </w:rPr>
            </w:pPr>
          </w:p>
        </w:tc>
        <w:tc>
          <w:tcPr>
            <w:tcW w:w="1985" w:type="dxa"/>
            <w:vMerge/>
          </w:tcPr>
          <w:p w14:paraId="51DA832B" w14:textId="77777777" w:rsidR="005C093E" w:rsidRPr="00331808" w:rsidRDefault="005C093E" w:rsidP="00786380">
            <w:pPr>
              <w:rPr>
                <w:b/>
                <w:bCs/>
                <w:szCs w:val="24"/>
                <w:shd w:val="clear" w:color="auto" w:fill="FFFFFF"/>
              </w:rPr>
            </w:pPr>
          </w:p>
        </w:tc>
        <w:tc>
          <w:tcPr>
            <w:tcW w:w="6407" w:type="dxa"/>
          </w:tcPr>
          <w:p w14:paraId="148C2F10" w14:textId="77777777" w:rsidR="005C093E" w:rsidRPr="00C06F0D" w:rsidRDefault="005C093E" w:rsidP="005C093E">
            <w:pPr>
              <w:rPr>
                <w:rFonts w:eastAsiaTheme="minorHAnsi"/>
                <w:color w:val="000000"/>
                <w:szCs w:val="24"/>
                <w:lang w:eastAsia="en-US"/>
              </w:rPr>
            </w:pPr>
            <w:r w:rsidRPr="00C06F0D">
              <w:rPr>
                <w:rFonts w:eastAsiaTheme="minorHAnsi"/>
                <w:color w:val="000000"/>
                <w:szCs w:val="24"/>
                <w:lang w:eastAsia="en-US"/>
              </w:rPr>
              <w:t xml:space="preserve">Naujumas klasifikuojamas į tris grupes, kaip nurodyta Oslo vadove: </w:t>
            </w:r>
          </w:p>
          <w:p w14:paraId="60F636B4" w14:textId="2C80B94C" w:rsidR="005C093E" w:rsidRPr="00C06F0D" w:rsidRDefault="005C093E" w:rsidP="005C093E">
            <w:pPr>
              <w:rPr>
                <w:rFonts w:eastAsiaTheme="minorHAnsi"/>
                <w:color w:val="000000"/>
                <w:szCs w:val="24"/>
                <w:lang w:eastAsia="en-US"/>
              </w:rPr>
            </w:pPr>
            <w:r w:rsidRPr="00C06F0D">
              <w:rPr>
                <w:rFonts w:eastAsiaTheme="minorHAnsi"/>
                <w:color w:val="000000"/>
                <w:szCs w:val="24"/>
                <w:lang w:eastAsia="en-US"/>
              </w:rPr>
              <w:t>-</w:t>
            </w:r>
            <w:r w:rsidR="00C06F0D">
              <w:rPr>
                <w:rFonts w:eastAsiaTheme="minorHAnsi"/>
                <w:color w:val="000000"/>
                <w:szCs w:val="24"/>
                <w:lang w:eastAsia="en-US"/>
              </w:rPr>
              <w:t xml:space="preserve"> </w:t>
            </w:r>
            <w:r w:rsidRPr="00C06F0D">
              <w:rPr>
                <w:rFonts w:eastAsiaTheme="minorHAnsi"/>
                <w:color w:val="000000"/>
                <w:szCs w:val="24"/>
                <w:lang w:eastAsia="en-US"/>
              </w:rPr>
              <w:t xml:space="preserve">produktas naujas įmonės lygiu – skiriama 10 balų, </w:t>
            </w:r>
          </w:p>
          <w:p w14:paraId="609D7294" w14:textId="0B9AE339" w:rsidR="005C093E" w:rsidRPr="00C06F0D" w:rsidRDefault="005C093E" w:rsidP="005C093E">
            <w:pPr>
              <w:rPr>
                <w:rFonts w:eastAsiaTheme="minorHAnsi"/>
                <w:color w:val="000000"/>
                <w:szCs w:val="24"/>
                <w:lang w:eastAsia="en-US"/>
              </w:rPr>
            </w:pPr>
            <w:r w:rsidRPr="00C06F0D">
              <w:rPr>
                <w:rFonts w:eastAsiaTheme="minorHAnsi"/>
                <w:color w:val="000000"/>
                <w:szCs w:val="24"/>
                <w:lang w:eastAsia="en-US"/>
              </w:rPr>
              <w:t>-</w:t>
            </w:r>
            <w:r w:rsidR="00C06F0D">
              <w:rPr>
                <w:rFonts w:eastAsiaTheme="minorHAnsi"/>
                <w:color w:val="000000"/>
                <w:szCs w:val="24"/>
                <w:lang w:eastAsia="en-US"/>
              </w:rPr>
              <w:t xml:space="preserve"> </w:t>
            </w:r>
            <w:r w:rsidRPr="00C06F0D">
              <w:rPr>
                <w:rFonts w:eastAsiaTheme="minorHAnsi"/>
                <w:color w:val="000000"/>
                <w:szCs w:val="24"/>
                <w:lang w:eastAsia="en-US"/>
              </w:rPr>
              <w:t xml:space="preserve">produktas naujas rinkos lygiu – skiriama 15 balų, </w:t>
            </w:r>
          </w:p>
          <w:p w14:paraId="44FB8CFA" w14:textId="77777777" w:rsidR="005C093E" w:rsidRPr="00C06F0D" w:rsidRDefault="005C093E" w:rsidP="005C093E">
            <w:pPr>
              <w:rPr>
                <w:rFonts w:eastAsiaTheme="minorHAnsi"/>
                <w:color w:val="000000"/>
                <w:szCs w:val="24"/>
                <w:lang w:eastAsia="en-US"/>
              </w:rPr>
            </w:pPr>
            <w:r w:rsidRPr="00C06F0D">
              <w:rPr>
                <w:rFonts w:eastAsiaTheme="minorHAnsi"/>
                <w:color w:val="000000"/>
                <w:szCs w:val="24"/>
                <w:lang w:eastAsia="en-US"/>
              </w:rPr>
              <w:t>produktas naujas pasaulio lygiu – skiriama 20 balų.</w:t>
            </w:r>
          </w:p>
          <w:p w14:paraId="29137B80" w14:textId="77777777" w:rsidR="00C06F0D" w:rsidRDefault="00C06F0D" w:rsidP="00C06F0D">
            <w:pPr>
              <w:rPr>
                <w:rFonts w:eastAsiaTheme="minorHAnsi"/>
                <w:i/>
                <w:iCs/>
                <w:color w:val="000000"/>
                <w:szCs w:val="24"/>
                <w:lang w:eastAsia="en-US"/>
              </w:rPr>
            </w:pPr>
          </w:p>
          <w:p w14:paraId="12F05341" w14:textId="351606E6" w:rsidR="00C06F0D" w:rsidRPr="00C06F0D" w:rsidRDefault="00C06F0D" w:rsidP="00C06F0D">
            <w:pPr>
              <w:rPr>
                <w:rFonts w:eastAsiaTheme="minorHAnsi"/>
                <w:i/>
                <w:iCs/>
                <w:color w:val="000000"/>
                <w:szCs w:val="24"/>
                <w:lang w:eastAsia="en-US"/>
              </w:rPr>
            </w:pPr>
            <w:r w:rsidRPr="00C06F0D">
              <w:rPr>
                <w:rFonts w:eastAsiaTheme="minorHAnsi"/>
                <w:i/>
                <w:iCs/>
                <w:color w:val="000000"/>
                <w:szCs w:val="24"/>
                <w:lang w:eastAsia="en-US"/>
              </w:rPr>
              <w:t>Pagal PFSA produktas visais atvejais bus naujas įmonei (priešingu atveju projektas bus netinkamas finansuoti), todėl nėra logiška suteikti visiems santykinai daug balų už tai kas privaloma.</w:t>
            </w:r>
          </w:p>
          <w:p w14:paraId="28B691F2" w14:textId="77777777" w:rsidR="00C06F0D" w:rsidRPr="00C06F0D" w:rsidRDefault="00C06F0D" w:rsidP="00C06F0D">
            <w:pPr>
              <w:rPr>
                <w:rFonts w:eastAsiaTheme="minorHAnsi"/>
                <w:i/>
                <w:iCs/>
                <w:color w:val="000000"/>
                <w:szCs w:val="24"/>
                <w:lang w:eastAsia="en-US"/>
              </w:rPr>
            </w:pPr>
            <w:r w:rsidRPr="00C06F0D">
              <w:rPr>
                <w:rFonts w:eastAsiaTheme="minorHAnsi"/>
                <w:i/>
                <w:iCs/>
                <w:color w:val="000000"/>
                <w:szCs w:val="24"/>
                <w:lang w:eastAsia="en-US"/>
              </w:rPr>
              <w:t>Siūlome patikslinti vertinimo kriterijus taip:</w:t>
            </w:r>
          </w:p>
          <w:p w14:paraId="46E6F7AA" w14:textId="7F09C6A1" w:rsidR="005C093E" w:rsidRPr="005C093E" w:rsidRDefault="00C06F0D" w:rsidP="00C06F0D">
            <w:pPr>
              <w:rPr>
                <w:rFonts w:eastAsiaTheme="minorHAnsi"/>
                <w:i/>
                <w:iCs/>
                <w:color w:val="000000"/>
                <w:szCs w:val="24"/>
                <w:lang w:eastAsia="en-US"/>
              </w:rPr>
            </w:pPr>
            <w:r w:rsidRPr="00C06F0D">
              <w:rPr>
                <w:rFonts w:eastAsiaTheme="minorHAnsi"/>
                <w:i/>
                <w:iCs/>
                <w:color w:val="000000"/>
                <w:szCs w:val="24"/>
                <w:lang w:eastAsia="en-US"/>
              </w:rPr>
              <w:t>-</w:t>
            </w:r>
            <w:r w:rsidRPr="00C06F0D">
              <w:rPr>
                <w:rFonts w:eastAsiaTheme="minorHAnsi"/>
                <w:i/>
                <w:iCs/>
                <w:color w:val="000000"/>
                <w:szCs w:val="24"/>
                <w:lang w:eastAsia="en-US"/>
              </w:rPr>
              <w:tab/>
              <w:t>produktas naujas įmonės lygiu – skiriami 5 balai,</w:t>
            </w:r>
          </w:p>
        </w:tc>
        <w:tc>
          <w:tcPr>
            <w:tcW w:w="5812" w:type="dxa"/>
          </w:tcPr>
          <w:p w14:paraId="25B815F1" w14:textId="477CA6BD" w:rsidR="005C093E" w:rsidRPr="007333FE" w:rsidRDefault="007333FE" w:rsidP="00786380">
            <w:pPr>
              <w:rPr>
                <w:szCs w:val="24"/>
              </w:rPr>
            </w:pPr>
            <w:r w:rsidRPr="007333FE">
              <w:rPr>
                <w:b/>
                <w:bCs/>
                <w:szCs w:val="24"/>
              </w:rPr>
              <w:t>Atsižvelgta</w:t>
            </w:r>
            <w:r w:rsidR="00E308A3">
              <w:rPr>
                <w:szCs w:val="24"/>
              </w:rPr>
              <w:t xml:space="preserve"> </w:t>
            </w:r>
            <w:r w:rsidR="00E308A3" w:rsidRPr="00E308A3">
              <w:rPr>
                <w:b/>
                <w:bCs/>
                <w:szCs w:val="24"/>
              </w:rPr>
              <w:t>iš dalies.</w:t>
            </w:r>
            <w:r w:rsidR="00E308A3">
              <w:rPr>
                <w:szCs w:val="24"/>
              </w:rPr>
              <w:t xml:space="preserve"> </w:t>
            </w:r>
            <w:r>
              <w:rPr>
                <w:szCs w:val="24"/>
              </w:rPr>
              <w:t xml:space="preserve"> </w:t>
            </w:r>
            <w:r w:rsidR="00E308A3">
              <w:rPr>
                <w:szCs w:val="24"/>
              </w:rPr>
              <w:t xml:space="preserve">Atsisakyta </w:t>
            </w:r>
            <w:r w:rsidR="002B033B">
              <w:rPr>
                <w:szCs w:val="24"/>
              </w:rPr>
              <w:t xml:space="preserve">naujumo klasifikacijos į tris grupes. Naujumas įmonės lygmeniu – nevertinamas. </w:t>
            </w:r>
            <w:r>
              <w:rPr>
                <w:szCs w:val="24"/>
              </w:rPr>
              <w:t xml:space="preserve"> </w:t>
            </w:r>
          </w:p>
        </w:tc>
      </w:tr>
      <w:tr w:rsidR="005C093E" w:rsidRPr="00747A18" w14:paraId="3A0BF331" w14:textId="77777777" w:rsidTr="00F677C5">
        <w:tc>
          <w:tcPr>
            <w:tcW w:w="567" w:type="dxa"/>
            <w:vMerge/>
          </w:tcPr>
          <w:p w14:paraId="6FD8E17B" w14:textId="77777777" w:rsidR="005C093E" w:rsidRPr="00747A18" w:rsidRDefault="005C093E" w:rsidP="00D1464F">
            <w:pPr>
              <w:jc w:val="center"/>
              <w:rPr>
                <w:b/>
                <w:szCs w:val="24"/>
              </w:rPr>
            </w:pPr>
          </w:p>
        </w:tc>
        <w:tc>
          <w:tcPr>
            <w:tcW w:w="1985" w:type="dxa"/>
            <w:vMerge/>
          </w:tcPr>
          <w:p w14:paraId="6E4F29C9" w14:textId="77777777" w:rsidR="005C093E" w:rsidRPr="00CF785F" w:rsidRDefault="005C093E" w:rsidP="00D1464F">
            <w:pPr>
              <w:rPr>
                <w:b/>
                <w:bCs/>
                <w:szCs w:val="24"/>
                <w:shd w:val="clear" w:color="auto" w:fill="FFFFFF"/>
              </w:rPr>
            </w:pPr>
          </w:p>
        </w:tc>
        <w:tc>
          <w:tcPr>
            <w:tcW w:w="6407" w:type="dxa"/>
          </w:tcPr>
          <w:p w14:paraId="09930659" w14:textId="77777777" w:rsidR="00C06F0D" w:rsidRPr="00C06F0D" w:rsidRDefault="00C06F0D" w:rsidP="00C06F0D">
            <w:r w:rsidRPr="00C06F0D">
              <w:t>Prioritetinis kriterijus. Privačių investicijų dalis</w:t>
            </w:r>
          </w:p>
          <w:p w14:paraId="68674285" w14:textId="77777777" w:rsidR="00C06F0D" w:rsidRPr="00C06F0D" w:rsidRDefault="00C06F0D" w:rsidP="00C06F0D">
            <w:r w:rsidRPr="00C06F0D">
              <w:t>Privačių investicijų dalies vertinimas klasifikuojamas į tris grupes:</w:t>
            </w:r>
          </w:p>
          <w:p w14:paraId="5C6FDF60" w14:textId="77777777" w:rsidR="00C06F0D" w:rsidRPr="00C06F0D" w:rsidRDefault="00C06F0D" w:rsidP="00C06F0D">
            <w:r w:rsidRPr="00C06F0D">
              <w:t>-</w:t>
            </w:r>
            <w:r w:rsidRPr="00C06F0D">
              <w:tab/>
              <w:t xml:space="preserve">jeigu pareiškėjas prisideda prie projekto įgyvendinimo nuo 10 iki 19,99 proc. bendros projekto vertės – skiriama 10 balų, </w:t>
            </w:r>
          </w:p>
          <w:p w14:paraId="4AD957C4" w14:textId="77777777" w:rsidR="00C06F0D" w:rsidRPr="00C06F0D" w:rsidRDefault="00C06F0D" w:rsidP="00C06F0D">
            <w:r w:rsidRPr="00C06F0D">
              <w:t>-</w:t>
            </w:r>
            <w:r w:rsidRPr="00C06F0D">
              <w:tab/>
              <w:t>jeigu pareiškėjas prisideda prie projekto įgyvendinimo nuo 20 iki 29,99 proc. bendros projekto vertės – skiriama 15 balų,</w:t>
            </w:r>
          </w:p>
          <w:p w14:paraId="40B80343" w14:textId="77777777" w:rsidR="005C093E" w:rsidRPr="00C06F0D" w:rsidRDefault="00C06F0D" w:rsidP="00C06F0D">
            <w:r w:rsidRPr="00C06F0D">
              <w:lastRenderedPageBreak/>
              <w:t>-</w:t>
            </w:r>
            <w:r w:rsidRPr="00C06F0D">
              <w:tab/>
              <w:t>jeigu pareiškėjas prisideda prie projekto įgyvendinimo 30 arba daugiau proc. nuo bendros projekto vertės – skiriama 20 balų.</w:t>
            </w:r>
          </w:p>
          <w:p w14:paraId="40E23A64" w14:textId="77777777" w:rsidR="00C06F0D" w:rsidRPr="00C06F0D" w:rsidRDefault="00C06F0D" w:rsidP="00C06F0D">
            <w:pPr>
              <w:rPr>
                <w:i/>
                <w:iCs/>
              </w:rPr>
            </w:pPr>
          </w:p>
          <w:p w14:paraId="12D35B08" w14:textId="5895D328" w:rsidR="00C06F0D" w:rsidRPr="00C06F0D" w:rsidRDefault="00C06F0D" w:rsidP="00C06F0D">
            <w:pPr>
              <w:rPr>
                <w:i/>
                <w:iCs/>
              </w:rPr>
            </w:pPr>
            <w:r w:rsidRPr="00C06F0D">
              <w:rPr>
                <w:i/>
                <w:iCs/>
              </w:rPr>
              <w:t>Bet kokios valstybės pagalbos paskirtis – skatinamas poveikis, nu</w:t>
            </w:r>
            <w:r w:rsidR="00AC3D49">
              <w:rPr>
                <w:i/>
                <w:iCs/>
              </w:rPr>
              <w:t>k</w:t>
            </w:r>
            <w:r w:rsidRPr="00C06F0D">
              <w:rPr>
                <w:i/>
                <w:iCs/>
              </w:rPr>
              <w:t>reiptas į rizikos mažinimą investuojant į atitinkamas veiklas. Jei valstybė investuoja 90-100 proc. tai ji praktiškai prisiima visą investavimo riziką ir neskatina multiplikacinio efekto. Dabar siūlomu atveju, verslui privaloma investuoti 10 proc. ir už tai automatiškai skiriama 10 balų. Ir tik už papildomą procentą virš 19,99 skiriami papildomi balai.</w:t>
            </w:r>
          </w:p>
          <w:p w14:paraId="515802A5" w14:textId="77777777" w:rsidR="00C06F0D" w:rsidRPr="00C06F0D" w:rsidRDefault="00C06F0D" w:rsidP="00C06F0D">
            <w:pPr>
              <w:rPr>
                <w:i/>
                <w:iCs/>
              </w:rPr>
            </w:pPr>
            <w:r w:rsidRPr="00C06F0D">
              <w:rPr>
                <w:i/>
                <w:iCs/>
              </w:rPr>
              <w:t>Be to “prisidėjimas prie projekto” yra deklaratyvus ir teisiškai neįpareigojantis, nes realiai pagrįstai patikrinamos yra tik “Tinkamos finansuoti išlaidos”</w:t>
            </w:r>
          </w:p>
          <w:p w14:paraId="386A4B62" w14:textId="77777777" w:rsidR="00C06F0D" w:rsidRPr="00C06F0D" w:rsidRDefault="00C06F0D" w:rsidP="00C06F0D">
            <w:pPr>
              <w:rPr>
                <w:i/>
                <w:iCs/>
              </w:rPr>
            </w:pPr>
            <w:r w:rsidRPr="00C06F0D">
              <w:rPr>
                <w:i/>
                <w:iCs/>
              </w:rPr>
              <w:t>Siūlome patikslinti vertinimo kriterijus taip:</w:t>
            </w:r>
          </w:p>
          <w:p w14:paraId="60DAC777" w14:textId="77777777" w:rsidR="00C06F0D" w:rsidRPr="00C06F0D" w:rsidRDefault="00C06F0D" w:rsidP="00C06F0D">
            <w:pPr>
              <w:rPr>
                <w:i/>
                <w:iCs/>
              </w:rPr>
            </w:pPr>
            <w:r w:rsidRPr="00C06F0D">
              <w:rPr>
                <w:i/>
                <w:iCs/>
              </w:rPr>
              <w:t>Privačių investicijų dalies tinkamose finansuoti išlaidose vertinimas klasifikuojamas į penkias grupes:</w:t>
            </w:r>
          </w:p>
          <w:p w14:paraId="44230A67" w14:textId="77777777" w:rsidR="00C06F0D" w:rsidRPr="00C06F0D" w:rsidRDefault="00C06F0D" w:rsidP="00C06F0D">
            <w:pPr>
              <w:rPr>
                <w:i/>
                <w:iCs/>
              </w:rPr>
            </w:pPr>
            <w:r w:rsidRPr="00C06F0D">
              <w:rPr>
                <w:i/>
                <w:iCs/>
              </w:rPr>
              <w:t>-</w:t>
            </w:r>
            <w:r w:rsidRPr="00C06F0D">
              <w:rPr>
                <w:i/>
                <w:iCs/>
              </w:rPr>
              <w:tab/>
              <w:t xml:space="preserve">jeigu pareiškėjas prisideda prie projekto įgyvendinimo iki 10,00 proc. tinkamų finansuoti išlaidų dalies – skiriama 0 balų, </w:t>
            </w:r>
          </w:p>
          <w:p w14:paraId="0F52FA05" w14:textId="77777777" w:rsidR="00C06F0D" w:rsidRPr="00C06F0D" w:rsidRDefault="00C06F0D" w:rsidP="00C06F0D">
            <w:pPr>
              <w:rPr>
                <w:i/>
                <w:iCs/>
              </w:rPr>
            </w:pPr>
            <w:r w:rsidRPr="00C06F0D">
              <w:rPr>
                <w:i/>
                <w:iCs/>
              </w:rPr>
              <w:t>-</w:t>
            </w:r>
            <w:r w:rsidRPr="00C06F0D">
              <w:rPr>
                <w:i/>
                <w:iCs/>
              </w:rPr>
              <w:tab/>
              <w:t xml:space="preserve">jeigu pareiškėjas prisideda prie projekto įgyvendinimo nuo 10,01 iki 19,99 proc. tinkamų finansuoti išlaidų dalies – skiriama 5 balai, </w:t>
            </w:r>
          </w:p>
          <w:p w14:paraId="7D4E5B2B" w14:textId="77777777" w:rsidR="00C06F0D" w:rsidRPr="00C06F0D" w:rsidRDefault="00C06F0D" w:rsidP="00C06F0D">
            <w:pPr>
              <w:rPr>
                <w:i/>
                <w:iCs/>
              </w:rPr>
            </w:pPr>
            <w:r w:rsidRPr="00C06F0D">
              <w:rPr>
                <w:i/>
                <w:iCs/>
              </w:rPr>
              <w:t>-</w:t>
            </w:r>
            <w:r w:rsidRPr="00C06F0D">
              <w:rPr>
                <w:i/>
                <w:iCs/>
              </w:rPr>
              <w:tab/>
              <w:t>jeigu pareiškėjas prisideda prie projekto įgyvendinimo nuo 20 iki 29,99 proc. tinkamų finansuoti išlaidų dalies – skiriama 10 balų,</w:t>
            </w:r>
          </w:p>
          <w:p w14:paraId="420C7A28" w14:textId="77777777" w:rsidR="00C06F0D" w:rsidRPr="00C06F0D" w:rsidRDefault="00C06F0D" w:rsidP="00C06F0D">
            <w:pPr>
              <w:rPr>
                <w:i/>
                <w:iCs/>
              </w:rPr>
            </w:pPr>
            <w:r w:rsidRPr="00C06F0D">
              <w:rPr>
                <w:i/>
                <w:iCs/>
              </w:rPr>
              <w:t>-</w:t>
            </w:r>
            <w:r w:rsidRPr="00C06F0D">
              <w:rPr>
                <w:i/>
                <w:iCs/>
              </w:rPr>
              <w:tab/>
              <w:t>jeigu pareiškėjas prisideda prie projekto įgyvendinimo nuo 30 iki 39,99 proc. tinkamų finansuoti išlaidų dalies – skiriama 15 balų.</w:t>
            </w:r>
          </w:p>
          <w:p w14:paraId="6E02F8D5" w14:textId="73B71BFB" w:rsidR="00C06F0D" w:rsidRPr="00C06F0D" w:rsidRDefault="00C06F0D" w:rsidP="00C06F0D">
            <w:pPr>
              <w:rPr>
                <w:i/>
                <w:iCs/>
              </w:rPr>
            </w:pPr>
            <w:r w:rsidRPr="00C06F0D">
              <w:rPr>
                <w:i/>
                <w:iCs/>
              </w:rPr>
              <w:t>-</w:t>
            </w:r>
            <w:r w:rsidRPr="00C06F0D">
              <w:rPr>
                <w:i/>
                <w:iCs/>
              </w:rPr>
              <w:tab/>
              <w:t>jeigu pareiškėjas prisideda prie projekto įgyvendinimo 40 arba daugiau proc. tinkamų finansuoti išlaidų dalies – skiriama 20 balų</w:t>
            </w:r>
          </w:p>
        </w:tc>
        <w:tc>
          <w:tcPr>
            <w:tcW w:w="5812" w:type="dxa"/>
          </w:tcPr>
          <w:p w14:paraId="0310E41E" w14:textId="6FACAA24" w:rsidR="005C093E" w:rsidRPr="00747A18" w:rsidRDefault="007333FE" w:rsidP="00D1464F">
            <w:pPr>
              <w:rPr>
                <w:szCs w:val="24"/>
              </w:rPr>
            </w:pPr>
            <w:r>
              <w:rPr>
                <w:b/>
                <w:bCs/>
                <w:szCs w:val="24"/>
              </w:rPr>
              <w:lastRenderedPageBreak/>
              <w:t>Nea</w:t>
            </w:r>
            <w:r w:rsidRPr="007333FE">
              <w:rPr>
                <w:b/>
                <w:bCs/>
                <w:szCs w:val="24"/>
              </w:rPr>
              <w:t>tsižvelgta</w:t>
            </w:r>
            <w:r>
              <w:rPr>
                <w:szCs w:val="24"/>
              </w:rPr>
              <w:t>.</w:t>
            </w:r>
            <w:r w:rsidR="001475D2">
              <w:rPr>
                <w:szCs w:val="24"/>
              </w:rPr>
              <w:t xml:space="preserve"> Šiuo projektu siekiame </w:t>
            </w:r>
            <w:r w:rsidR="00F82B69">
              <w:rPr>
                <w:szCs w:val="24"/>
              </w:rPr>
              <w:t>skatinti smulkiojo ir vidutinio verslo (SVV) subjektus kurti/diegti aplinkai palankius produktus ir (ar) technologijas. Veikla nėra orientuota į didelius verslus generuojančius dideles pajamas ir galinči</w:t>
            </w:r>
            <w:r w:rsidR="00DC375C">
              <w:rPr>
                <w:szCs w:val="24"/>
              </w:rPr>
              <w:t>u</w:t>
            </w:r>
            <w:r w:rsidR="00F82B69">
              <w:rPr>
                <w:szCs w:val="24"/>
              </w:rPr>
              <w:t xml:space="preserve">s didele </w:t>
            </w:r>
            <w:r w:rsidR="009615D5">
              <w:rPr>
                <w:szCs w:val="24"/>
              </w:rPr>
              <w:t xml:space="preserve">dalimi prisidėti prie tokių produktų ar technologijų kūrimo. Todėl prisidėjimas privačiomis lėšomis – svarbus, bet ne pats svarbiausias kriterijus. </w:t>
            </w:r>
          </w:p>
        </w:tc>
      </w:tr>
      <w:tr w:rsidR="00D1464F" w:rsidRPr="00747A18" w14:paraId="1B13EF66" w14:textId="77777777" w:rsidTr="00F677C5">
        <w:tc>
          <w:tcPr>
            <w:tcW w:w="567" w:type="dxa"/>
          </w:tcPr>
          <w:p w14:paraId="320B14F5" w14:textId="502AA5EC" w:rsidR="00D1464F" w:rsidRPr="00747A18" w:rsidRDefault="005D3E38" w:rsidP="00D1464F">
            <w:pPr>
              <w:jc w:val="center"/>
              <w:rPr>
                <w:b/>
                <w:szCs w:val="24"/>
              </w:rPr>
            </w:pPr>
            <w:r>
              <w:rPr>
                <w:b/>
                <w:szCs w:val="24"/>
              </w:rPr>
              <w:lastRenderedPageBreak/>
              <w:t>2.</w:t>
            </w:r>
          </w:p>
        </w:tc>
        <w:tc>
          <w:tcPr>
            <w:tcW w:w="1985" w:type="dxa"/>
          </w:tcPr>
          <w:p w14:paraId="6E2FC76E" w14:textId="31F9E435" w:rsidR="00D1464F" w:rsidRPr="00CF785F" w:rsidRDefault="00943903" w:rsidP="00D1464F">
            <w:pPr>
              <w:rPr>
                <w:b/>
                <w:bCs/>
                <w:szCs w:val="24"/>
                <w:shd w:val="clear" w:color="auto" w:fill="FFFFFF"/>
              </w:rPr>
            </w:pPr>
            <w:r w:rsidRPr="00943903">
              <w:rPr>
                <w:b/>
                <w:bCs/>
                <w:szCs w:val="24"/>
                <w:shd w:val="clear" w:color="auto" w:fill="FFFFFF"/>
              </w:rPr>
              <w:t>"</w:t>
            </w:r>
            <w:proofErr w:type="spellStart"/>
            <w:r w:rsidRPr="00943903">
              <w:rPr>
                <w:b/>
                <w:bCs/>
                <w:szCs w:val="24"/>
                <w:shd w:val="clear" w:color="auto" w:fill="FFFFFF"/>
              </w:rPr>
              <w:t>Sintesi</w:t>
            </w:r>
            <w:proofErr w:type="spellEnd"/>
            <w:r w:rsidRPr="00943903">
              <w:rPr>
                <w:b/>
                <w:bCs/>
                <w:szCs w:val="24"/>
                <w:shd w:val="clear" w:color="auto" w:fill="FFFFFF"/>
              </w:rPr>
              <w:t xml:space="preserve"> </w:t>
            </w:r>
            <w:proofErr w:type="spellStart"/>
            <w:r w:rsidRPr="00943903">
              <w:rPr>
                <w:b/>
                <w:bCs/>
                <w:szCs w:val="24"/>
                <w:shd w:val="clear" w:color="auto" w:fill="FFFFFF"/>
              </w:rPr>
              <w:t>consulting</w:t>
            </w:r>
            <w:proofErr w:type="spellEnd"/>
            <w:r w:rsidRPr="00943903">
              <w:rPr>
                <w:b/>
                <w:bCs/>
                <w:szCs w:val="24"/>
                <w:shd w:val="clear" w:color="auto" w:fill="FFFFFF"/>
              </w:rPr>
              <w:t>"</w:t>
            </w:r>
          </w:p>
        </w:tc>
        <w:tc>
          <w:tcPr>
            <w:tcW w:w="6407" w:type="dxa"/>
          </w:tcPr>
          <w:p w14:paraId="6331BF03" w14:textId="77777777" w:rsidR="00943903" w:rsidRPr="00943903" w:rsidRDefault="00943903" w:rsidP="00943903">
            <w:pPr>
              <w:rPr>
                <w:i/>
                <w:iCs/>
              </w:rPr>
            </w:pPr>
            <w:r w:rsidRPr="00943903">
              <w:rPr>
                <w:i/>
                <w:iCs/>
              </w:rPr>
              <w:t xml:space="preserve">Įvardinti galimi priemonės ,,Skatinti aplinkai palankių produktų arba technologijų sukūrimą ir (ar) diegimą“ pareiškėjai: ne pramonės srityje veiklą vykdantys SVV subjektai. Tačiau atsižvelgiant į 1.2.1. punkte pateiktą aplinkai palankaus produkto arba technologijos apibrėžimą (Aplinkai palankus produktas arba technologija: produktas arba technologija, skirti tausoti gamtos išteklius, skatinti beatliekę gamybą, atliekų pakartotinį naudojimą ir (ar) perdirbimą, mažinti neigiamą poveikį aplinkai dėl oro taršos, nuotekų taršos ir atliekų susidarymo arba kurių neigiamas poveikis aplinkai yra mažesnis nei alternatyvių produktų ar technologijų (kuriems pagaminti mažėja sunaudojamų žaliavų kiekis arba kurių taikymas padeda sumažinti sunaudojamų žaliavų kiekį; kurie sunaudoja mažiau energijos arba kurių taikymas padeda sunaudoti mažiau energijos; kuriems pagaminti naudojamas mažesnis kenksmingų medžiagų kiekis arba iš viso nenaudojama jokių kenksmingų medžiagų, arba aplinkai palankių produktų taikymas padeda sumažinti gamyboje naudojamų kenksmingų medžiagų kiekį, arba padeda iš viso išvengti kenksmingų medžiagų naudojimo; kuriuos galima perdirbti suėjus jų galiojimo terminui arba kurių taikymas padeda perdirbti produktus suėjus jų galiojimo terminui), kuris leidžią suprasti, kad pareiškėjas turi kurti arba diegti technologiją skirtą pramonės įmonei arba pats pradėti vykdyti gamybinę veiklą) panašų, kad pareiškėjas arba turėtų vykdyti gamybinę veiklą arba turėtų kurti/ diegti produktus/ technologijas skirtas pramonės veiklą vykdančioms įmonėms. </w:t>
            </w:r>
          </w:p>
          <w:p w14:paraId="0679CA9B" w14:textId="77777777" w:rsidR="00943903" w:rsidRPr="00943903" w:rsidRDefault="00943903" w:rsidP="00943903">
            <w:pPr>
              <w:rPr>
                <w:i/>
                <w:iCs/>
              </w:rPr>
            </w:pPr>
          </w:p>
          <w:p w14:paraId="3A02AB4A" w14:textId="095E6119" w:rsidR="00D1464F" w:rsidRPr="00943903" w:rsidRDefault="00943903" w:rsidP="00943903">
            <w:pPr>
              <w:rPr>
                <w:i/>
                <w:iCs/>
              </w:rPr>
            </w:pPr>
            <w:r w:rsidRPr="00943903">
              <w:rPr>
                <w:i/>
                <w:iCs/>
              </w:rPr>
              <w:t xml:space="preserve">Atsižvelgiant į tai, prašome patikslinti galimus šios priemonės pareiškėjus </w:t>
            </w:r>
            <w:proofErr w:type="spellStart"/>
            <w:r w:rsidRPr="00943903">
              <w:rPr>
                <w:i/>
                <w:iCs/>
              </w:rPr>
              <w:t>t.y</w:t>
            </w:r>
            <w:proofErr w:type="spellEnd"/>
            <w:r w:rsidRPr="00943903">
              <w:rPr>
                <w:i/>
                <w:iCs/>
              </w:rPr>
              <w:t>. nurodyti kokią veiklą pagal EVRK. vykdančios įmonės būtų netinkamos šios priemonės pareiškėjos.</w:t>
            </w:r>
          </w:p>
        </w:tc>
        <w:tc>
          <w:tcPr>
            <w:tcW w:w="5812" w:type="dxa"/>
          </w:tcPr>
          <w:p w14:paraId="5AF0D1F0" w14:textId="10DD8CAC" w:rsidR="00842E7D" w:rsidRPr="00842E7D" w:rsidRDefault="00D92AD4" w:rsidP="00842E7D">
            <w:pPr>
              <w:rPr>
                <w:szCs w:val="24"/>
              </w:rPr>
            </w:pPr>
            <w:r w:rsidRPr="00D92AD4">
              <w:rPr>
                <w:b/>
                <w:bCs/>
                <w:szCs w:val="24"/>
              </w:rPr>
              <w:t>Atsižvelgta</w:t>
            </w:r>
            <w:r>
              <w:rPr>
                <w:szCs w:val="24"/>
              </w:rPr>
              <w:t xml:space="preserve">. </w:t>
            </w:r>
            <w:r w:rsidR="00842E7D" w:rsidRPr="00842E7D">
              <w:rPr>
                <w:szCs w:val="24"/>
              </w:rPr>
              <w:t xml:space="preserve">Patikslinta ir aiškiau apibrėžta, kad galimi pareiškėjai – ne pramonės srityje (pagal Ekonominės veiklos rūšių klasifikatorių (EVRK 2 red.), patvirtintą Statistikos departamento prie Lietuvos Respublikos Vyriausybės generalinio direktoriaus 2007 m. spalio 31 d. įsakymu Nr. DĮ-226 „Dėl Ekonominės veiklos rūšių klasifikatoriaus patvirtinimo“ išskyrus, vykdančius veiklą priskirtiną B sekcijai „Kasyba ir karjerų eksploatavimas“ ir C sekcijos „Apdirbamoji gamyba“ ir de </w:t>
            </w:r>
            <w:proofErr w:type="spellStart"/>
            <w:r w:rsidR="00842E7D" w:rsidRPr="00842E7D">
              <w:rPr>
                <w:szCs w:val="24"/>
              </w:rPr>
              <w:t>minimis</w:t>
            </w:r>
            <w:proofErr w:type="spellEnd"/>
            <w:r w:rsidR="00842E7D" w:rsidRPr="00842E7D">
              <w:rPr>
                <w:szCs w:val="24"/>
              </w:rPr>
              <w:t xml:space="preserve"> reglamente numatytus sektorius) ir kurios pajamos iš ne pramonės veiklos (-ų) sudaro ne mažiau kaip 51 procentą visų veiklų. Vienas pareiškėjas pagal Aprašą paskelbtą kvietimą gali įgyvendinti ne daugiau kaip vieną projektą.  Įgyvendinant projektą gali būti vykdoma ne daugiau kaip viena </w:t>
            </w:r>
            <w:proofErr w:type="spellStart"/>
            <w:r w:rsidR="00842E7D" w:rsidRPr="00842E7D">
              <w:rPr>
                <w:szCs w:val="24"/>
              </w:rPr>
              <w:t>poveiklė</w:t>
            </w:r>
            <w:proofErr w:type="spellEnd"/>
            <w:r w:rsidR="00842E7D" w:rsidRPr="00842E7D">
              <w:rPr>
                <w:szCs w:val="24"/>
              </w:rPr>
              <w:t xml:space="preserve">, kuriant ne daugiau kaip 1 aplinkai palankus produkto prototipą, arba kuriant ir diegiant ne daugiau kaip 1 aplinkai palankų produktą, arba diegiant ne daugiau kaip 1 aplinkai palankų produktą.   </w:t>
            </w:r>
          </w:p>
          <w:p w14:paraId="19E12AB3" w14:textId="5BD65171" w:rsidR="00842E7D" w:rsidRPr="00842E7D" w:rsidRDefault="00842E7D" w:rsidP="00842E7D">
            <w:pPr>
              <w:rPr>
                <w:szCs w:val="24"/>
              </w:rPr>
            </w:pPr>
            <w:r w:rsidRPr="00842E7D">
              <w:rPr>
                <w:szCs w:val="24"/>
              </w:rPr>
              <w:t>Atkreiptinas dėmesys, kad iš NKL lėšų finansuojama būtent ne pramonės srityje veikiantys SVV subjektai</w:t>
            </w:r>
            <w:r>
              <w:rPr>
                <w:szCs w:val="24"/>
              </w:rPr>
              <w:t>, tačiau</w:t>
            </w:r>
            <w:r w:rsidRPr="00842E7D">
              <w:rPr>
                <w:szCs w:val="24"/>
              </w:rPr>
              <w:t xml:space="preserve"> dalies pagal priemonę įgyvendinamų projektų rezultatai bus pritaikomi ir aktualūs ir pramonės įmonėms</w:t>
            </w:r>
            <w:r>
              <w:rPr>
                <w:szCs w:val="24"/>
              </w:rPr>
              <w:t xml:space="preserve">. </w:t>
            </w:r>
          </w:p>
          <w:p w14:paraId="1372181E" w14:textId="47FF4BD8" w:rsidR="007628D2" w:rsidRPr="00997A38" w:rsidRDefault="007628D2" w:rsidP="00842E7D">
            <w:pPr>
              <w:rPr>
                <w:szCs w:val="24"/>
              </w:rPr>
            </w:pPr>
          </w:p>
        </w:tc>
      </w:tr>
      <w:tr w:rsidR="00842E7D" w:rsidRPr="00747A18" w14:paraId="60B3FB52" w14:textId="77777777" w:rsidTr="00F677C5">
        <w:tc>
          <w:tcPr>
            <w:tcW w:w="567" w:type="dxa"/>
          </w:tcPr>
          <w:p w14:paraId="5236DCAC" w14:textId="2CC98A03" w:rsidR="00842E7D" w:rsidRDefault="003C1BF1" w:rsidP="00D1464F">
            <w:pPr>
              <w:jc w:val="center"/>
              <w:rPr>
                <w:b/>
                <w:szCs w:val="24"/>
              </w:rPr>
            </w:pPr>
            <w:r>
              <w:rPr>
                <w:b/>
                <w:szCs w:val="24"/>
              </w:rPr>
              <w:t>3.</w:t>
            </w:r>
          </w:p>
        </w:tc>
        <w:tc>
          <w:tcPr>
            <w:tcW w:w="1985" w:type="dxa"/>
          </w:tcPr>
          <w:p w14:paraId="1DBC843C" w14:textId="79AF0560" w:rsidR="00842E7D" w:rsidRPr="00943903" w:rsidRDefault="003C1BF1" w:rsidP="00D1464F">
            <w:pPr>
              <w:rPr>
                <w:b/>
                <w:bCs/>
                <w:szCs w:val="24"/>
                <w:shd w:val="clear" w:color="auto" w:fill="FFFFFF"/>
              </w:rPr>
            </w:pPr>
            <w:proofErr w:type="spellStart"/>
            <w:r>
              <w:rPr>
                <w:b/>
                <w:bCs/>
                <w:szCs w:val="24"/>
                <w:shd w:val="clear" w:color="auto" w:fill="FFFFFF"/>
              </w:rPr>
              <w:t>Ferox</w:t>
            </w:r>
            <w:proofErr w:type="spellEnd"/>
            <w:r>
              <w:rPr>
                <w:b/>
                <w:bCs/>
                <w:szCs w:val="24"/>
                <w:shd w:val="clear" w:color="auto" w:fill="FFFFFF"/>
              </w:rPr>
              <w:t xml:space="preserve"> </w:t>
            </w:r>
            <w:r w:rsidR="009D4661">
              <w:rPr>
                <w:b/>
                <w:bCs/>
                <w:szCs w:val="24"/>
                <w:shd w:val="clear" w:color="auto" w:fill="FFFFFF"/>
              </w:rPr>
              <w:t>Baltic</w:t>
            </w:r>
          </w:p>
        </w:tc>
        <w:tc>
          <w:tcPr>
            <w:tcW w:w="6407" w:type="dxa"/>
          </w:tcPr>
          <w:p w14:paraId="6429ABCA" w14:textId="29CB7FBD" w:rsidR="00842E7D" w:rsidRPr="00943903" w:rsidRDefault="009D4661" w:rsidP="00943903">
            <w:pPr>
              <w:rPr>
                <w:i/>
                <w:iCs/>
              </w:rPr>
            </w:pPr>
            <w:r>
              <w:rPr>
                <w:i/>
                <w:iCs/>
              </w:rPr>
              <w:t>Dėl 2.14.4. „</w:t>
            </w:r>
            <w:r w:rsidR="003C1BF1" w:rsidRPr="003C1BF1">
              <w:rPr>
                <w:i/>
                <w:iCs/>
              </w:rPr>
              <w:t>paskutinių finansinių metų patvirtintos finansinės atskaitomybės dokumentai</w:t>
            </w:r>
            <w:r>
              <w:rPr>
                <w:i/>
                <w:iCs/>
              </w:rPr>
              <w:t xml:space="preserve">“. </w:t>
            </w:r>
            <w:r w:rsidRPr="009D4661">
              <w:rPr>
                <w:i/>
                <w:iCs/>
              </w:rPr>
              <w:t xml:space="preserve">Manome, kad tai perteklinis reikalavimas, nes šiuos duomenis galite matyti </w:t>
            </w:r>
            <w:r w:rsidR="00CE2F1C">
              <w:rPr>
                <w:i/>
                <w:iCs/>
              </w:rPr>
              <w:t>R</w:t>
            </w:r>
            <w:r w:rsidRPr="009D4661">
              <w:rPr>
                <w:i/>
                <w:iCs/>
              </w:rPr>
              <w:t>egistrų centre.</w:t>
            </w:r>
          </w:p>
        </w:tc>
        <w:tc>
          <w:tcPr>
            <w:tcW w:w="5812" w:type="dxa"/>
          </w:tcPr>
          <w:p w14:paraId="2DB054DA" w14:textId="559A7973" w:rsidR="00842E7D" w:rsidRPr="00D92AD4" w:rsidRDefault="008241AC" w:rsidP="00842E7D">
            <w:pPr>
              <w:rPr>
                <w:b/>
                <w:bCs/>
                <w:szCs w:val="24"/>
              </w:rPr>
            </w:pPr>
            <w:r>
              <w:rPr>
                <w:b/>
                <w:bCs/>
                <w:szCs w:val="24"/>
              </w:rPr>
              <w:t xml:space="preserve">Atsižvelgta. </w:t>
            </w:r>
            <w:r w:rsidRPr="008241AC">
              <w:rPr>
                <w:szCs w:val="24"/>
              </w:rPr>
              <w:t>Perteklinės nuostatos atsisakyta.</w:t>
            </w:r>
          </w:p>
        </w:tc>
      </w:tr>
    </w:tbl>
    <w:p w14:paraId="209EDF8F" w14:textId="4206EF66" w:rsidR="00E16CA7" w:rsidRPr="00D355B7" w:rsidRDefault="00E16CA7" w:rsidP="00142313">
      <w:pPr>
        <w:rPr>
          <w:szCs w:val="24"/>
        </w:rPr>
      </w:pPr>
    </w:p>
    <w:sectPr w:rsidR="00E16CA7" w:rsidRPr="00D355B7" w:rsidSect="008E5C59">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350BF" w14:textId="77777777" w:rsidR="002C7FB5" w:rsidRDefault="002C7FB5" w:rsidP="00894881">
      <w:r>
        <w:separator/>
      </w:r>
    </w:p>
  </w:endnote>
  <w:endnote w:type="continuationSeparator" w:id="0">
    <w:p w14:paraId="54CAC842" w14:textId="77777777" w:rsidR="002C7FB5" w:rsidRDefault="002C7FB5" w:rsidP="0089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DEB6" w14:textId="77777777" w:rsidR="0014759D" w:rsidRDefault="00147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3291" w14:textId="77777777" w:rsidR="0014759D" w:rsidRDefault="00147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D4E2" w14:textId="77777777" w:rsidR="0014759D" w:rsidRDefault="00147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4DC80" w14:textId="77777777" w:rsidR="002C7FB5" w:rsidRDefault="002C7FB5" w:rsidP="00894881">
      <w:r>
        <w:separator/>
      </w:r>
    </w:p>
  </w:footnote>
  <w:footnote w:type="continuationSeparator" w:id="0">
    <w:p w14:paraId="1F1A9925" w14:textId="77777777" w:rsidR="002C7FB5" w:rsidRDefault="002C7FB5" w:rsidP="0089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E11A2" w14:textId="77777777" w:rsidR="0014759D" w:rsidRDefault="00147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058505"/>
      <w:docPartObj>
        <w:docPartGallery w:val="Page Numbers (Top of Page)"/>
        <w:docPartUnique/>
      </w:docPartObj>
    </w:sdtPr>
    <w:sdtContent>
      <w:p w14:paraId="3E178D09" w14:textId="61D81A8A" w:rsidR="0014759D" w:rsidRDefault="0014759D">
        <w:pPr>
          <w:pStyle w:val="Header"/>
          <w:jc w:val="center"/>
        </w:pPr>
        <w:r>
          <w:fldChar w:fldCharType="begin"/>
        </w:r>
        <w:r>
          <w:instrText>PAGE   \* MERGEFORMAT</w:instrText>
        </w:r>
        <w:r>
          <w:fldChar w:fldCharType="separate"/>
        </w:r>
        <w:r>
          <w:t>2</w:t>
        </w:r>
        <w:r>
          <w:fldChar w:fldCharType="end"/>
        </w:r>
      </w:p>
    </w:sdtContent>
  </w:sdt>
  <w:p w14:paraId="48250123" w14:textId="77777777" w:rsidR="0014759D" w:rsidRDefault="00147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9C68" w14:textId="77777777" w:rsidR="0014759D" w:rsidRDefault="00147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666"/>
    <w:multiLevelType w:val="hybridMultilevel"/>
    <w:tmpl w:val="869A34F6"/>
    <w:lvl w:ilvl="0" w:tplc="2C8C3FD6">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E7E58"/>
    <w:multiLevelType w:val="hybridMultilevel"/>
    <w:tmpl w:val="686C85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BE3AC1"/>
    <w:multiLevelType w:val="hybridMultilevel"/>
    <w:tmpl w:val="75E8D7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4C2F1C"/>
    <w:multiLevelType w:val="hybridMultilevel"/>
    <w:tmpl w:val="109C90B6"/>
    <w:lvl w:ilvl="0" w:tplc="BB961A3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17F11"/>
    <w:multiLevelType w:val="hybridMultilevel"/>
    <w:tmpl w:val="C0EA69E2"/>
    <w:lvl w:ilvl="0" w:tplc="2CD2DF8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676D76"/>
    <w:multiLevelType w:val="hybridMultilevel"/>
    <w:tmpl w:val="7DEA0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1744486"/>
    <w:multiLevelType w:val="hybridMultilevel"/>
    <w:tmpl w:val="C1E2A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1C03A9"/>
    <w:multiLevelType w:val="hybridMultilevel"/>
    <w:tmpl w:val="C2B664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52060F"/>
    <w:multiLevelType w:val="hybridMultilevel"/>
    <w:tmpl w:val="85A0E76C"/>
    <w:lvl w:ilvl="0" w:tplc="B3DEE1F4">
      <w:start w:val="1"/>
      <w:numFmt w:val="decimal"/>
      <w:lvlText w:val="%1."/>
      <w:lvlJc w:val="left"/>
      <w:pPr>
        <w:ind w:left="384" w:hanging="360"/>
      </w:pPr>
      <w:rPr>
        <w:rFonts w:ascii="Times New Roman" w:hAnsi="Times New Roman" w:cs="Times New Roman" w:hint="default"/>
        <w:color w:val="000000"/>
        <w:sz w:val="24"/>
        <w:szCs w:val="24"/>
      </w:rPr>
    </w:lvl>
    <w:lvl w:ilvl="1" w:tplc="04270019">
      <w:start w:val="1"/>
      <w:numFmt w:val="lowerLetter"/>
      <w:lvlText w:val="%2."/>
      <w:lvlJc w:val="left"/>
      <w:pPr>
        <w:ind w:left="1104" w:hanging="360"/>
      </w:pPr>
    </w:lvl>
    <w:lvl w:ilvl="2" w:tplc="0427001B">
      <w:start w:val="1"/>
      <w:numFmt w:val="lowerRoman"/>
      <w:lvlText w:val="%3."/>
      <w:lvlJc w:val="right"/>
      <w:pPr>
        <w:ind w:left="1824" w:hanging="180"/>
      </w:pPr>
    </w:lvl>
    <w:lvl w:ilvl="3" w:tplc="0427000F">
      <w:start w:val="1"/>
      <w:numFmt w:val="decimal"/>
      <w:lvlText w:val="%4."/>
      <w:lvlJc w:val="left"/>
      <w:pPr>
        <w:ind w:left="2544" w:hanging="360"/>
      </w:pPr>
    </w:lvl>
    <w:lvl w:ilvl="4" w:tplc="04270019">
      <w:start w:val="1"/>
      <w:numFmt w:val="lowerLetter"/>
      <w:lvlText w:val="%5."/>
      <w:lvlJc w:val="left"/>
      <w:pPr>
        <w:ind w:left="3264" w:hanging="360"/>
      </w:pPr>
    </w:lvl>
    <w:lvl w:ilvl="5" w:tplc="0427001B">
      <w:start w:val="1"/>
      <w:numFmt w:val="lowerRoman"/>
      <w:lvlText w:val="%6."/>
      <w:lvlJc w:val="right"/>
      <w:pPr>
        <w:ind w:left="3984" w:hanging="180"/>
      </w:pPr>
    </w:lvl>
    <w:lvl w:ilvl="6" w:tplc="0427000F">
      <w:start w:val="1"/>
      <w:numFmt w:val="decimal"/>
      <w:lvlText w:val="%7."/>
      <w:lvlJc w:val="left"/>
      <w:pPr>
        <w:ind w:left="4704" w:hanging="360"/>
      </w:pPr>
    </w:lvl>
    <w:lvl w:ilvl="7" w:tplc="04270019">
      <w:start w:val="1"/>
      <w:numFmt w:val="lowerLetter"/>
      <w:lvlText w:val="%8."/>
      <w:lvlJc w:val="left"/>
      <w:pPr>
        <w:ind w:left="5424" w:hanging="360"/>
      </w:pPr>
    </w:lvl>
    <w:lvl w:ilvl="8" w:tplc="0427001B">
      <w:start w:val="1"/>
      <w:numFmt w:val="lowerRoman"/>
      <w:lvlText w:val="%9."/>
      <w:lvlJc w:val="right"/>
      <w:pPr>
        <w:ind w:left="6144" w:hanging="180"/>
      </w:pPr>
    </w:lvl>
  </w:abstractNum>
  <w:abstractNum w:abstractNumId="9" w15:restartNumberingAfterBreak="0">
    <w:nsid w:val="550D095A"/>
    <w:multiLevelType w:val="hybridMultilevel"/>
    <w:tmpl w:val="DD2A1E3E"/>
    <w:lvl w:ilvl="0" w:tplc="C562B568">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DB5C8B"/>
    <w:multiLevelType w:val="hybridMultilevel"/>
    <w:tmpl w:val="54DE1C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751E3E9A"/>
    <w:multiLevelType w:val="hybridMultilevel"/>
    <w:tmpl w:val="BC464D0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0268322">
    <w:abstractNumId w:val="11"/>
  </w:num>
  <w:num w:numId="2" w16cid:durableId="6142921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0354333">
    <w:abstractNumId w:val="9"/>
  </w:num>
  <w:num w:numId="4" w16cid:durableId="13174197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8253936">
    <w:abstractNumId w:val="4"/>
  </w:num>
  <w:num w:numId="6" w16cid:durableId="132144886">
    <w:abstractNumId w:val="7"/>
  </w:num>
  <w:num w:numId="7" w16cid:durableId="519245560">
    <w:abstractNumId w:val="3"/>
  </w:num>
  <w:num w:numId="8" w16cid:durableId="73012793">
    <w:abstractNumId w:val="2"/>
  </w:num>
  <w:num w:numId="9" w16cid:durableId="1900705892">
    <w:abstractNumId w:val="0"/>
  </w:num>
  <w:num w:numId="10" w16cid:durableId="803161532">
    <w:abstractNumId w:val="6"/>
  </w:num>
  <w:num w:numId="11" w16cid:durableId="231695486">
    <w:abstractNumId w:val="1"/>
  </w:num>
  <w:num w:numId="12" w16cid:durableId="321206560">
    <w:abstractNumId w:val="12"/>
  </w:num>
  <w:num w:numId="13" w16cid:durableId="3923945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605"/>
    <w:rsid w:val="00000653"/>
    <w:rsid w:val="00010658"/>
    <w:rsid w:val="00013054"/>
    <w:rsid w:val="00015068"/>
    <w:rsid w:val="00020D23"/>
    <w:rsid w:val="00045E69"/>
    <w:rsid w:val="000536D4"/>
    <w:rsid w:val="00053C7A"/>
    <w:rsid w:val="00062388"/>
    <w:rsid w:val="000730AA"/>
    <w:rsid w:val="0008750B"/>
    <w:rsid w:val="000948AA"/>
    <w:rsid w:val="000A6128"/>
    <w:rsid w:val="000B2A55"/>
    <w:rsid w:val="000B35DB"/>
    <w:rsid w:val="000B55D2"/>
    <w:rsid w:val="000B6EA2"/>
    <w:rsid w:val="000C2206"/>
    <w:rsid w:val="000D4E4F"/>
    <w:rsid w:val="000D5600"/>
    <w:rsid w:val="000E5A8F"/>
    <w:rsid w:val="000E6F2F"/>
    <w:rsid w:val="000F0C94"/>
    <w:rsid w:val="00104983"/>
    <w:rsid w:val="001103A9"/>
    <w:rsid w:val="00110740"/>
    <w:rsid w:val="0011391D"/>
    <w:rsid w:val="0011578A"/>
    <w:rsid w:val="00116AE7"/>
    <w:rsid w:val="00117301"/>
    <w:rsid w:val="00117C47"/>
    <w:rsid w:val="00123275"/>
    <w:rsid w:val="00124D1C"/>
    <w:rsid w:val="0012676A"/>
    <w:rsid w:val="00127E12"/>
    <w:rsid w:val="00131AA7"/>
    <w:rsid w:val="00142313"/>
    <w:rsid w:val="001439A5"/>
    <w:rsid w:val="00145073"/>
    <w:rsid w:val="0014569B"/>
    <w:rsid w:val="0014759D"/>
    <w:rsid w:val="001475D2"/>
    <w:rsid w:val="00152C34"/>
    <w:rsid w:val="001554D9"/>
    <w:rsid w:val="00155B00"/>
    <w:rsid w:val="00155B5D"/>
    <w:rsid w:val="00162BEF"/>
    <w:rsid w:val="00163022"/>
    <w:rsid w:val="001650DB"/>
    <w:rsid w:val="00170E84"/>
    <w:rsid w:val="001720A6"/>
    <w:rsid w:val="00173E88"/>
    <w:rsid w:val="00181163"/>
    <w:rsid w:val="001814BE"/>
    <w:rsid w:val="00185ACE"/>
    <w:rsid w:val="00186546"/>
    <w:rsid w:val="001A1469"/>
    <w:rsid w:val="001A521C"/>
    <w:rsid w:val="001B6BBE"/>
    <w:rsid w:val="001E04E5"/>
    <w:rsid w:val="001E1211"/>
    <w:rsid w:val="001E2AA0"/>
    <w:rsid w:val="001E2CD3"/>
    <w:rsid w:val="001E4D90"/>
    <w:rsid w:val="001E6EC2"/>
    <w:rsid w:val="001F0F6C"/>
    <w:rsid w:val="001F2B4C"/>
    <w:rsid w:val="001F56F0"/>
    <w:rsid w:val="0020152F"/>
    <w:rsid w:val="00205171"/>
    <w:rsid w:val="0021244E"/>
    <w:rsid w:val="00216C47"/>
    <w:rsid w:val="00232144"/>
    <w:rsid w:val="00234EB2"/>
    <w:rsid w:val="0023615F"/>
    <w:rsid w:val="00246AA5"/>
    <w:rsid w:val="00256F6B"/>
    <w:rsid w:val="002612C9"/>
    <w:rsid w:val="002659C2"/>
    <w:rsid w:val="00273F4A"/>
    <w:rsid w:val="00275020"/>
    <w:rsid w:val="0027519B"/>
    <w:rsid w:val="00276B62"/>
    <w:rsid w:val="00281E18"/>
    <w:rsid w:val="002863A2"/>
    <w:rsid w:val="00287B51"/>
    <w:rsid w:val="00294375"/>
    <w:rsid w:val="002B033B"/>
    <w:rsid w:val="002C0820"/>
    <w:rsid w:val="002C0F70"/>
    <w:rsid w:val="002C5400"/>
    <w:rsid w:val="002C7FB5"/>
    <w:rsid w:val="002D0937"/>
    <w:rsid w:val="002D0CCE"/>
    <w:rsid w:val="002D1711"/>
    <w:rsid w:val="002D5614"/>
    <w:rsid w:val="002E1E85"/>
    <w:rsid w:val="002E317A"/>
    <w:rsid w:val="002F10C3"/>
    <w:rsid w:val="002F2C73"/>
    <w:rsid w:val="002F4052"/>
    <w:rsid w:val="002F6CD7"/>
    <w:rsid w:val="00307804"/>
    <w:rsid w:val="00313F9B"/>
    <w:rsid w:val="00320578"/>
    <w:rsid w:val="00320FD7"/>
    <w:rsid w:val="003237E3"/>
    <w:rsid w:val="00326977"/>
    <w:rsid w:val="00331808"/>
    <w:rsid w:val="0033308A"/>
    <w:rsid w:val="003443BC"/>
    <w:rsid w:val="003454D6"/>
    <w:rsid w:val="0035346A"/>
    <w:rsid w:val="00353ADF"/>
    <w:rsid w:val="00357F3E"/>
    <w:rsid w:val="00361F64"/>
    <w:rsid w:val="00364F0F"/>
    <w:rsid w:val="00380F79"/>
    <w:rsid w:val="00381EBE"/>
    <w:rsid w:val="0038229F"/>
    <w:rsid w:val="00386CCB"/>
    <w:rsid w:val="00392B7C"/>
    <w:rsid w:val="00396C23"/>
    <w:rsid w:val="003A3CB2"/>
    <w:rsid w:val="003B06E2"/>
    <w:rsid w:val="003B1393"/>
    <w:rsid w:val="003C1BF1"/>
    <w:rsid w:val="003D0A5C"/>
    <w:rsid w:val="003D50E6"/>
    <w:rsid w:val="003E442E"/>
    <w:rsid w:val="003E6AA6"/>
    <w:rsid w:val="003F6BF9"/>
    <w:rsid w:val="00414D65"/>
    <w:rsid w:val="004166F8"/>
    <w:rsid w:val="00425468"/>
    <w:rsid w:val="0042781D"/>
    <w:rsid w:val="00430029"/>
    <w:rsid w:val="00436D84"/>
    <w:rsid w:val="00436E99"/>
    <w:rsid w:val="004408C7"/>
    <w:rsid w:val="00442C5E"/>
    <w:rsid w:val="004646C8"/>
    <w:rsid w:val="00480F67"/>
    <w:rsid w:val="00482558"/>
    <w:rsid w:val="00483458"/>
    <w:rsid w:val="004855AE"/>
    <w:rsid w:val="00492D85"/>
    <w:rsid w:val="00493A0D"/>
    <w:rsid w:val="00494151"/>
    <w:rsid w:val="0049542C"/>
    <w:rsid w:val="00496D0E"/>
    <w:rsid w:val="004A602A"/>
    <w:rsid w:val="004B148D"/>
    <w:rsid w:val="004B321F"/>
    <w:rsid w:val="004B4F04"/>
    <w:rsid w:val="004C34E6"/>
    <w:rsid w:val="004D1EBF"/>
    <w:rsid w:val="004D4D15"/>
    <w:rsid w:val="004E527A"/>
    <w:rsid w:val="004F017B"/>
    <w:rsid w:val="004F65EB"/>
    <w:rsid w:val="00505F73"/>
    <w:rsid w:val="005140D6"/>
    <w:rsid w:val="00521964"/>
    <w:rsid w:val="0053369A"/>
    <w:rsid w:val="005347E8"/>
    <w:rsid w:val="005462D5"/>
    <w:rsid w:val="00547CA6"/>
    <w:rsid w:val="00547DBC"/>
    <w:rsid w:val="005526B4"/>
    <w:rsid w:val="00565EA9"/>
    <w:rsid w:val="00573D80"/>
    <w:rsid w:val="00582739"/>
    <w:rsid w:val="00595C81"/>
    <w:rsid w:val="005B0F3F"/>
    <w:rsid w:val="005C093E"/>
    <w:rsid w:val="005C162B"/>
    <w:rsid w:val="005C1CC3"/>
    <w:rsid w:val="005C4B5D"/>
    <w:rsid w:val="005C790F"/>
    <w:rsid w:val="005D3E38"/>
    <w:rsid w:val="005D62EF"/>
    <w:rsid w:val="005E2B34"/>
    <w:rsid w:val="005E69D5"/>
    <w:rsid w:val="005F2F62"/>
    <w:rsid w:val="005F59AE"/>
    <w:rsid w:val="00600247"/>
    <w:rsid w:val="00605BDE"/>
    <w:rsid w:val="0061299A"/>
    <w:rsid w:val="0063028C"/>
    <w:rsid w:val="00633094"/>
    <w:rsid w:val="00633AE5"/>
    <w:rsid w:val="00642B13"/>
    <w:rsid w:val="006635ED"/>
    <w:rsid w:val="0066362E"/>
    <w:rsid w:val="00664183"/>
    <w:rsid w:val="006650EF"/>
    <w:rsid w:val="00667FC1"/>
    <w:rsid w:val="00686D8C"/>
    <w:rsid w:val="006931C6"/>
    <w:rsid w:val="0069328D"/>
    <w:rsid w:val="006942F9"/>
    <w:rsid w:val="006A02DE"/>
    <w:rsid w:val="006B24C5"/>
    <w:rsid w:val="006C0772"/>
    <w:rsid w:val="006C528B"/>
    <w:rsid w:val="006D17F9"/>
    <w:rsid w:val="006E0D5F"/>
    <w:rsid w:val="006E48AE"/>
    <w:rsid w:val="006E4CB5"/>
    <w:rsid w:val="006F0098"/>
    <w:rsid w:val="006F05B0"/>
    <w:rsid w:val="006F175F"/>
    <w:rsid w:val="006F5831"/>
    <w:rsid w:val="007017BD"/>
    <w:rsid w:val="0071526D"/>
    <w:rsid w:val="007155AD"/>
    <w:rsid w:val="007159AE"/>
    <w:rsid w:val="007217E3"/>
    <w:rsid w:val="00721F60"/>
    <w:rsid w:val="007245E8"/>
    <w:rsid w:val="0072526B"/>
    <w:rsid w:val="007333FE"/>
    <w:rsid w:val="00734732"/>
    <w:rsid w:val="00736067"/>
    <w:rsid w:val="00737F4E"/>
    <w:rsid w:val="007400E2"/>
    <w:rsid w:val="00743836"/>
    <w:rsid w:val="00745810"/>
    <w:rsid w:val="007471D8"/>
    <w:rsid w:val="00747A18"/>
    <w:rsid w:val="00750081"/>
    <w:rsid w:val="00753FA2"/>
    <w:rsid w:val="00756026"/>
    <w:rsid w:val="00756986"/>
    <w:rsid w:val="00756998"/>
    <w:rsid w:val="00757133"/>
    <w:rsid w:val="007628D2"/>
    <w:rsid w:val="0076376B"/>
    <w:rsid w:val="0077637A"/>
    <w:rsid w:val="00777673"/>
    <w:rsid w:val="007776D6"/>
    <w:rsid w:val="00783BAC"/>
    <w:rsid w:val="00786380"/>
    <w:rsid w:val="00790344"/>
    <w:rsid w:val="0079065E"/>
    <w:rsid w:val="0079627A"/>
    <w:rsid w:val="007B16C6"/>
    <w:rsid w:val="007C5068"/>
    <w:rsid w:val="007C60ED"/>
    <w:rsid w:val="007D02FF"/>
    <w:rsid w:val="007D2FCE"/>
    <w:rsid w:val="007E2838"/>
    <w:rsid w:val="007E2BF1"/>
    <w:rsid w:val="007E4498"/>
    <w:rsid w:val="007E4500"/>
    <w:rsid w:val="007F1949"/>
    <w:rsid w:val="007F37D7"/>
    <w:rsid w:val="007F629A"/>
    <w:rsid w:val="0080234D"/>
    <w:rsid w:val="00805714"/>
    <w:rsid w:val="00806F2A"/>
    <w:rsid w:val="0081566F"/>
    <w:rsid w:val="00816821"/>
    <w:rsid w:val="008241AC"/>
    <w:rsid w:val="00824773"/>
    <w:rsid w:val="008259F8"/>
    <w:rsid w:val="008302BD"/>
    <w:rsid w:val="0083284B"/>
    <w:rsid w:val="00832C87"/>
    <w:rsid w:val="00841208"/>
    <w:rsid w:val="00842E7D"/>
    <w:rsid w:val="0084611C"/>
    <w:rsid w:val="00854536"/>
    <w:rsid w:val="008558DB"/>
    <w:rsid w:val="00863C9F"/>
    <w:rsid w:val="008817CE"/>
    <w:rsid w:val="0088422B"/>
    <w:rsid w:val="00884FFB"/>
    <w:rsid w:val="00885642"/>
    <w:rsid w:val="00886996"/>
    <w:rsid w:val="00894881"/>
    <w:rsid w:val="008A3938"/>
    <w:rsid w:val="008C326F"/>
    <w:rsid w:val="008C3FA1"/>
    <w:rsid w:val="008C4B03"/>
    <w:rsid w:val="008C6627"/>
    <w:rsid w:val="008C73B6"/>
    <w:rsid w:val="008D03CE"/>
    <w:rsid w:val="008E5C59"/>
    <w:rsid w:val="008F64EF"/>
    <w:rsid w:val="00901EE7"/>
    <w:rsid w:val="00904715"/>
    <w:rsid w:val="00911257"/>
    <w:rsid w:val="00917B14"/>
    <w:rsid w:val="0092708D"/>
    <w:rsid w:val="00927DBD"/>
    <w:rsid w:val="00933A93"/>
    <w:rsid w:val="009351DC"/>
    <w:rsid w:val="00943903"/>
    <w:rsid w:val="00945BA5"/>
    <w:rsid w:val="00947FF7"/>
    <w:rsid w:val="009615D5"/>
    <w:rsid w:val="00964F3B"/>
    <w:rsid w:val="00973235"/>
    <w:rsid w:val="009830F4"/>
    <w:rsid w:val="0098422B"/>
    <w:rsid w:val="009844BB"/>
    <w:rsid w:val="00987139"/>
    <w:rsid w:val="00987AEB"/>
    <w:rsid w:val="009953E4"/>
    <w:rsid w:val="00997A38"/>
    <w:rsid w:val="009A7582"/>
    <w:rsid w:val="009B0143"/>
    <w:rsid w:val="009B1FE3"/>
    <w:rsid w:val="009B3D3F"/>
    <w:rsid w:val="009B6549"/>
    <w:rsid w:val="009C1F10"/>
    <w:rsid w:val="009D0F31"/>
    <w:rsid w:val="009D4661"/>
    <w:rsid w:val="009E6337"/>
    <w:rsid w:val="009F521D"/>
    <w:rsid w:val="00A10243"/>
    <w:rsid w:val="00A10958"/>
    <w:rsid w:val="00A1126A"/>
    <w:rsid w:val="00A1296C"/>
    <w:rsid w:val="00A131E8"/>
    <w:rsid w:val="00A15B37"/>
    <w:rsid w:val="00A32013"/>
    <w:rsid w:val="00A53484"/>
    <w:rsid w:val="00A6632F"/>
    <w:rsid w:val="00A67BCB"/>
    <w:rsid w:val="00A75CDE"/>
    <w:rsid w:val="00A80A31"/>
    <w:rsid w:val="00A92414"/>
    <w:rsid w:val="00A96E96"/>
    <w:rsid w:val="00A973CC"/>
    <w:rsid w:val="00AA54A1"/>
    <w:rsid w:val="00AC3D49"/>
    <w:rsid w:val="00AC4678"/>
    <w:rsid w:val="00AC75D7"/>
    <w:rsid w:val="00AD108D"/>
    <w:rsid w:val="00AD2D71"/>
    <w:rsid w:val="00AF2994"/>
    <w:rsid w:val="00AF3B0E"/>
    <w:rsid w:val="00AF3BA7"/>
    <w:rsid w:val="00AF6363"/>
    <w:rsid w:val="00AF75FE"/>
    <w:rsid w:val="00B00B28"/>
    <w:rsid w:val="00B10EC9"/>
    <w:rsid w:val="00B24033"/>
    <w:rsid w:val="00B33E07"/>
    <w:rsid w:val="00B40657"/>
    <w:rsid w:val="00B41DF2"/>
    <w:rsid w:val="00B44EA2"/>
    <w:rsid w:val="00B459AE"/>
    <w:rsid w:val="00B50679"/>
    <w:rsid w:val="00B52740"/>
    <w:rsid w:val="00B542AA"/>
    <w:rsid w:val="00B559B7"/>
    <w:rsid w:val="00B6016A"/>
    <w:rsid w:val="00B626CC"/>
    <w:rsid w:val="00B640A9"/>
    <w:rsid w:val="00B64867"/>
    <w:rsid w:val="00B64B9F"/>
    <w:rsid w:val="00B66FDF"/>
    <w:rsid w:val="00B847BD"/>
    <w:rsid w:val="00B90B79"/>
    <w:rsid w:val="00B93E15"/>
    <w:rsid w:val="00B941D1"/>
    <w:rsid w:val="00BA01EC"/>
    <w:rsid w:val="00BA2343"/>
    <w:rsid w:val="00BA6368"/>
    <w:rsid w:val="00BB6D88"/>
    <w:rsid w:val="00BB77E3"/>
    <w:rsid w:val="00BC1CF2"/>
    <w:rsid w:val="00BC6174"/>
    <w:rsid w:val="00BC6BF2"/>
    <w:rsid w:val="00BC6F1F"/>
    <w:rsid w:val="00BD71D3"/>
    <w:rsid w:val="00BF3750"/>
    <w:rsid w:val="00C06F0D"/>
    <w:rsid w:val="00C07124"/>
    <w:rsid w:val="00C14CC7"/>
    <w:rsid w:val="00C15022"/>
    <w:rsid w:val="00C31E45"/>
    <w:rsid w:val="00C43283"/>
    <w:rsid w:val="00C4423A"/>
    <w:rsid w:val="00C45BF0"/>
    <w:rsid w:val="00C47B33"/>
    <w:rsid w:val="00C5347A"/>
    <w:rsid w:val="00C54AA5"/>
    <w:rsid w:val="00C607E3"/>
    <w:rsid w:val="00C61431"/>
    <w:rsid w:val="00C663F1"/>
    <w:rsid w:val="00C74A26"/>
    <w:rsid w:val="00C865F8"/>
    <w:rsid w:val="00CB0605"/>
    <w:rsid w:val="00CB1FE8"/>
    <w:rsid w:val="00CB5659"/>
    <w:rsid w:val="00CB74F8"/>
    <w:rsid w:val="00CD2529"/>
    <w:rsid w:val="00CD45A2"/>
    <w:rsid w:val="00CD5748"/>
    <w:rsid w:val="00CE0597"/>
    <w:rsid w:val="00CE2F1C"/>
    <w:rsid w:val="00CE4110"/>
    <w:rsid w:val="00CF2F90"/>
    <w:rsid w:val="00CF3C91"/>
    <w:rsid w:val="00CF3F49"/>
    <w:rsid w:val="00CF4D84"/>
    <w:rsid w:val="00CF785F"/>
    <w:rsid w:val="00CF7FB9"/>
    <w:rsid w:val="00D07780"/>
    <w:rsid w:val="00D110C2"/>
    <w:rsid w:val="00D1464F"/>
    <w:rsid w:val="00D163E1"/>
    <w:rsid w:val="00D16B37"/>
    <w:rsid w:val="00D20760"/>
    <w:rsid w:val="00D21308"/>
    <w:rsid w:val="00D27DA9"/>
    <w:rsid w:val="00D355B7"/>
    <w:rsid w:val="00D373F2"/>
    <w:rsid w:val="00D37D1E"/>
    <w:rsid w:val="00D40E83"/>
    <w:rsid w:val="00D54885"/>
    <w:rsid w:val="00D578FA"/>
    <w:rsid w:val="00D606B6"/>
    <w:rsid w:val="00D63E18"/>
    <w:rsid w:val="00D6441C"/>
    <w:rsid w:val="00D73AC5"/>
    <w:rsid w:val="00D76A92"/>
    <w:rsid w:val="00D90617"/>
    <w:rsid w:val="00D91B15"/>
    <w:rsid w:val="00D92095"/>
    <w:rsid w:val="00D92AD4"/>
    <w:rsid w:val="00D97059"/>
    <w:rsid w:val="00DA7A6D"/>
    <w:rsid w:val="00DB179D"/>
    <w:rsid w:val="00DB436D"/>
    <w:rsid w:val="00DB53C9"/>
    <w:rsid w:val="00DC010F"/>
    <w:rsid w:val="00DC375C"/>
    <w:rsid w:val="00DC636E"/>
    <w:rsid w:val="00DD0D05"/>
    <w:rsid w:val="00DD39A9"/>
    <w:rsid w:val="00DE0982"/>
    <w:rsid w:val="00DE132A"/>
    <w:rsid w:val="00DF0B9B"/>
    <w:rsid w:val="00DF2307"/>
    <w:rsid w:val="00E02302"/>
    <w:rsid w:val="00E02DE5"/>
    <w:rsid w:val="00E036D5"/>
    <w:rsid w:val="00E03DA3"/>
    <w:rsid w:val="00E04C97"/>
    <w:rsid w:val="00E068CF"/>
    <w:rsid w:val="00E116D5"/>
    <w:rsid w:val="00E11B5C"/>
    <w:rsid w:val="00E16CA7"/>
    <w:rsid w:val="00E22FA6"/>
    <w:rsid w:val="00E23C29"/>
    <w:rsid w:val="00E246D2"/>
    <w:rsid w:val="00E24C98"/>
    <w:rsid w:val="00E25859"/>
    <w:rsid w:val="00E30088"/>
    <w:rsid w:val="00E308A3"/>
    <w:rsid w:val="00E313DD"/>
    <w:rsid w:val="00E33052"/>
    <w:rsid w:val="00E349D0"/>
    <w:rsid w:val="00E375D3"/>
    <w:rsid w:val="00E470C8"/>
    <w:rsid w:val="00E5117A"/>
    <w:rsid w:val="00E5521E"/>
    <w:rsid w:val="00E609C2"/>
    <w:rsid w:val="00E61933"/>
    <w:rsid w:val="00E61FBD"/>
    <w:rsid w:val="00E719CB"/>
    <w:rsid w:val="00E724CE"/>
    <w:rsid w:val="00E72D55"/>
    <w:rsid w:val="00E77C62"/>
    <w:rsid w:val="00E849FC"/>
    <w:rsid w:val="00E9027E"/>
    <w:rsid w:val="00E95ACE"/>
    <w:rsid w:val="00EC69A5"/>
    <w:rsid w:val="00EE28DC"/>
    <w:rsid w:val="00EE52D5"/>
    <w:rsid w:val="00EE595C"/>
    <w:rsid w:val="00EF6072"/>
    <w:rsid w:val="00EF7466"/>
    <w:rsid w:val="00F01873"/>
    <w:rsid w:val="00F04F89"/>
    <w:rsid w:val="00F11E49"/>
    <w:rsid w:val="00F1745B"/>
    <w:rsid w:val="00F206F4"/>
    <w:rsid w:val="00F2088E"/>
    <w:rsid w:val="00F32D65"/>
    <w:rsid w:val="00F33992"/>
    <w:rsid w:val="00F43C97"/>
    <w:rsid w:val="00F46119"/>
    <w:rsid w:val="00F51350"/>
    <w:rsid w:val="00F54622"/>
    <w:rsid w:val="00F55932"/>
    <w:rsid w:val="00F677C5"/>
    <w:rsid w:val="00F710F1"/>
    <w:rsid w:val="00F72C34"/>
    <w:rsid w:val="00F73DED"/>
    <w:rsid w:val="00F75FF9"/>
    <w:rsid w:val="00F767D9"/>
    <w:rsid w:val="00F7774C"/>
    <w:rsid w:val="00F82311"/>
    <w:rsid w:val="00F82798"/>
    <w:rsid w:val="00F82B69"/>
    <w:rsid w:val="00F851DD"/>
    <w:rsid w:val="00F91B87"/>
    <w:rsid w:val="00F92C11"/>
    <w:rsid w:val="00F93EED"/>
    <w:rsid w:val="00FA16F3"/>
    <w:rsid w:val="00FB3C48"/>
    <w:rsid w:val="00FB7C98"/>
    <w:rsid w:val="00FC163E"/>
    <w:rsid w:val="00FC295B"/>
    <w:rsid w:val="00FD0891"/>
    <w:rsid w:val="00FD0CF2"/>
    <w:rsid w:val="00FD0D00"/>
    <w:rsid w:val="00FD2219"/>
    <w:rsid w:val="00FE0B0C"/>
    <w:rsid w:val="00FE46E4"/>
    <w:rsid w:val="00FE7D90"/>
    <w:rsid w:val="00FF0A8C"/>
    <w:rsid w:val="00FF19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6AF9"/>
  <w15:chartTrackingRefBased/>
  <w15:docId w15:val="{DE4DE5EC-4B77-400B-93A9-2C6FB8C8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605"/>
    <w:pPr>
      <w:spacing w:after="0" w:line="240" w:lineRule="auto"/>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uiPriority w:val="9"/>
    <w:semiHidden/>
    <w:unhideWhenUsed/>
    <w:qFormat/>
    <w:rsid w:val="00CD25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1st elvel bullet green,1st level - Bullet List Paragraph,Lettre d'introduction,Paragrafo elenco,l"/>
    <w:basedOn w:val="Normal"/>
    <w:link w:val="ListParagraphChar"/>
    <w:uiPriority w:val="34"/>
    <w:qFormat/>
    <w:rsid w:val="00CB0605"/>
    <w:pPr>
      <w:ind w:left="720"/>
      <w:contextualSpacing/>
    </w:pPr>
  </w:style>
  <w:style w:type="table" w:styleId="TableGrid">
    <w:name w:val="Table Grid"/>
    <w:basedOn w:val="TableNormal"/>
    <w:uiPriority w:val="59"/>
    <w:rsid w:val="00CB0605"/>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0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605"/>
    <w:rPr>
      <w:rFonts w:ascii="Segoe UI" w:eastAsia="Times New Roman" w:hAnsi="Segoe UI" w:cs="Segoe UI"/>
      <w:sz w:val="18"/>
      <w:szCs w:val="18"/>
      <w:lang w:eastAsia="lt-LT"/>
    </w:rPr>
  </w:style>
  <w:style w:type="character" w:styleId="Hyperlink">
    <w:name w:val="Hyperlink"/>
    <w:basedOn w:val="DefaultParagraphFont"/>
    <w:uiPriority w:val="99"/>
    <w:unhideWhenUsed/>
    <w:rsid w:val="00CB0605"/>
    <w:rPr>
      <w:color w:val="0000FF"/>
      <w:u w:val="single"/>
    </w:rPr>
  </w:style>
  <w:style w:type="paragraph" w:customStyle="1" w:styleId="2">
    <w:name w:val="2"/>
    <w:basedOn w:val="Normal"/>
    <w:rsid w:val="00595C81"/>
    <w:pPr>
      <w:spacing w:after="160" w:line="240" w:lineRule="exact"/>
    </w:pPr>
    <w:rPr>
      <w:rFonts w:ascii="Tahoma" w:hAnsi="Tahoma"/>
      <w:sz w:val="20"/>
      <w:lang w:val="en-US" w:eastAsia="en-US"/>
    </w:rPr>
  </w:style>
  <w:style w:type="character" w:styleId="CommentReference">
    <w:name w:val="annotation reference"/>
    <w:basedOn w:val="DefaultParagraphFont"/>
    <w:uiPriority w:val="99"/>
    <w:semiHidden/>
    <w:unhideWhenUsed/>
    <w:rsid w:val="001E2AA0"/>
    <w:rPr>
      <w:sz w:val="16"/>
      <w:szCs w:val="16"/>
    </w:rPr>
  </w:style>
  <w:style w:type="paragraph" w:styleId="CommentText">
    <w:name w:val="annotation text"/>
    <w:aliases w:val=" Char"/>
    <w:basedOn w:val="Normal"/>
    <w:link w:val="CommentTextChar"/>
    <w:uiPriority w:val="99"/>
    <w:unhideWhenUsed/>
    <w:rsid w:val="001E2AA0"/>
    <w:rPr>
      <w:sz w:val="20"/>
    </w:rPr>
  </w:style>
  <w:style w:type="character" w:customStyle="1" w:styleId="CommentTextChar">
    <w:name w:val="Comment Text Char"/>
    <w:aliases w:val=" Char Char"/>
    <w:basedOn w:val="DefaultParagraphFont"/>
    <w:link w:val="CommentText"/>
    <w:uiPriority w:val="99"/>
    <w:rsid w:val="001E2AA0"/>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E2AA0"/>
    <w:rPr>
      <w:b/>
      <w:bCs/>
    </w:rPr>
  </w:style>
  <w:style w:type="character" w:customStyle="1" w:styleId="CommentSubjectChar">
    <w:name w:val="Comment Subject Char"/>
    <w:basedOn w:val="CommentTextChar"/>
    <w:link w:val="CommentSubject"/>
    <w:uiPriority w:val="99"/>
    <w:semiHidden/>
    <w:rsid w:val="001E2AA0"/>
    <w:rPr>
      <w:rFonts w:ascii="Times New Roman" w:eastAsia="Times New Roman" w:hAnsi="Times New Roman" w:cs="Times New Roman"/>
      <w:b/>
      <w:bCs/>
      <w:sz w:val="20"/>
      <w:szCs w:val="20"/>
      <w:lang w:eastAsia="lt-LT"/>
    </w:rPr>
  </w:style>
  <w:style w:type="paragraph" w:styleId="NormalWeb">
    <w:name w:val="Normal (Web)"/>
    <w:basedOn w:val="Normal"/>
    <w:uiPriority w:val="99"/>
    <w:semiHidden/>
    <w:unhideWhenUsed/>
    <w:rsid w:val="00D355B7"/>
    <w:pPr>
      <w:spacing w:before="100" w:beforeAutospacing="1" w:after="100" w:afterAutospacing="1"/>
    </w:pPr>
    <w:rPr>
      <w:rFonts w:ascii="Calibri" w:eastAsiaTheme="minorHAnsi" w:hAnsi="Calibri" w:cs="Calibri"/>
      <w:sz w:val="22"/>
      <w:szCs w:val="22"/>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1st elvel bullet green Char,Paragrafo elenco Char"/>
    <w:link w:val="ListParagraph"/>
    <w:uiPriority w:val="34"/>
    <w:qFormat/>
    <w:locked/>
    <w:rsid w:val="009D0F31"/>
    <w:rPr>
      <w:rFonts w:ascii="Times New Roman" w:eastAsia="Times New Roman" w:hAnsi="Times New Roman" w:cs="Times New Roman"/>
      <w:sz w:val="24"/>
      <w:szCs w:val="20"/>
      <w:lang w:eastAsia="lt-LT"/>
    </w:rPr>
  </w:style>
  <w:style w:type="paragraph" w:customStyle="1" w:styleId="Stilius1">
    <w:name w:val="Stilius1"/>
    <w:basedOn w:val="Header"/>
    <w:next w:val="Heading4"/>
    <w:link w:val="Stilius1Diagrama"/>
    <w:qFormat/>
    <w:rsid w:val="00CD2529"/>
    <w:pPr>
      <w:spacing w:before="120" w:after="120"/>
    </w:pPr>
    <w:rPr>
      <w:b/>
      <w:i/>
      <w:color w:val="44546A" w:themeColor="text2"/>
    </w:rPr>
  </w:style>
  <w:style w:type="character" w:customStyle="1" w:styleId="Stilius1Diagrama">
    <w:name w:val="Stilius1 Diagrama"/>
    <w:basedOn w:val="HeaderChar"/>
    <w:link w:val="Stilius1"/>
    <w:rsid w:val="00CD2529"/>
    <w:rPr>
      <w:rFonts w:ascii="Times New Roman" w:eastAsia="Times New Roman" w:hAnsi="Times New Roman" w:cs="Times New Roman"/>
      <w:b/>
      <w:i/>
      <w:color w:val="44546A" w:themeColor="text2"/>
      <w:sz w:val="24"/>
      <w:szCs w:val="20"/>
      <w:lang w:eastAsia="lt-LT"/>
    </w:rPr>
  </w:style>
  <w:style w:type="paragraph" w:styleId="Header">
    <w:name w:val="header"/>
    <w:basedOn w:val="Normal"/>
    <w:link w:val="HeaderChar"/>
    <w:uiPriority w:val="99"/>
    <w:unhideWhenUsed/>
    <w:rsid w:val="00CD2529"/>
    <w:pPr>
      <w:tabs>
        <w:tab w:val="center" w:pos="4819"/>
        <w:tab w:val="right" w:pos="9638"/>
      </w:tabs>
    </w:pPr>
  </w:style>
  <w:style w:type="character" w:customStyle="1" w:styleId="HeaderChar">
    <w:name w:val="Header Char"/>
    <w:basedOn w:val="DefaultParagraphFont"/>
    <w:link w:val="Header"/>
    <w:uiPriority w:val="99"/>
    <w:rsid w:val="00CD2529"/>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
    <w:semiHidden/>
    <w:rsid w:val="00CD2529"/>
    <w:rPr>
      <w:rFonts w:asciiTheme="majorHAnsi" w:eastAsiaTheme="majorEastAsia" w:hAnsiTheme="majorHAnsi" w:cstheme="majorBidi"/>
      <w:i/>
      <w:iCs/>
      <w:color w:val="2F5496" w:themeColor="accent1" w:themeShade="BF"/>
      <w:sz w:val="24"/>
      <w:szCs w:val="20"/>
      <w:lang w:eastAsia="lt-LT"/>
    </w:rPr>
  </w:style>
  <w:style w:type="paragraph" w:customStyle="1" w:styleId="pf0">
    <w:name w:val="pf0"/>
    <w:basedOn w:val="Normal"/>
    <w:rsid w:val="00CD2529"/>
    <w:pPr>
      <w:spacing w:before="100" w:beforeAutospacing="1" w:after="100" w:afterAutospacing="1"/>
    </w:pPr>
    <w:rPr>
      <w:szCs w:val="24"/>
    </w:rPr>
  </w:style>
  <w:style w:type="character" w:customStyle="1" w:styleId="cf01">
    <w:name w:val="cf01"/>
    <w:basedOn w:val="DefaultParagraphFont"/>
    <w:rsid w:val="00CD2529"/>
    <w:rPr>
      <w:rFonts w:ascii="Segoe UI" w:hAnsi="Segoe UI" w:cs="Segoe UI" w:hint="default"/>
      <w:sz w:val="18"/>
      <w:szCs w:val="18"/>
    </w:rPr>
  </w:style>
  <w:style w:type="character" w:customStyle="1" w:styleId="cf11">
    <w:name w:val="cf11"/>
    <w:basedOn w:val="DefaultParagraphFont"/>
    <w:rsid w:val="007F1949"/>
    <w:rPr>
      <w:rFonts w:ascii="Segoe UI" w:hAnsi="Segoe UI" w:cs="Segoe UI" w:hint="default"/>
      <w:sz w:val="18"/>
      <w:szCs w:val="18"/>
    </w:rPr>
  </w:style>
  <w:style w:type="character" w:customStyle="1" w:styleId="cf21">
    <w:name w:val="cf21"/>
    <w:basedOn w:val="DefaultParagraphFont"/>
    <w:rsid w:val="007F1949"/>
    <w:rPr>
      <w:rFonts w:ascii="Segoe UI" w:hAnsi="Segoe UI" w:cs="Segoe UI" w:hint="default"/>
      <w:sz w:val="18"/>
      <w:szCs w:val="18"/>
    </w:rPr>
  </w:style>
  <w:style w:type="paragraph" w:styleId="Revision">
    <w:name w:val="Revision"/>
    <w:hidden/>
    <w:uiPriority w:val="99"/>
    <w:semiHidden/>
    <w:rsid w:val="00756986"/>
    <w:pPr>
      <w:spacing w:after="0" w:line="240" w:lineRule="auto"/>
    </w:pPr>
    <w:rPr>
      <w:rFonts w:ascii="Times New Roman" w:eastAsia="Times New Roman" w:hAnsi="Times New Roman" w:cs="Times New Roman"/>
      <w:sz w:val="24"/>
      <w:szCs w:val="20"/>
      <w:lang w:eastAsia="lt-LT"/>
    </w:rPr>
  </w:style>
  <w:style w:type="character" w:customStyle="1" w:styleId="AntratDiagrama">
    <w:name w:val="Antraštė Diagrama"/>
    <w:aliases w:val="Caption-tables Diagrama,Tasks Diagrama,Beschriftung Char2 Diagrama,Beschriftung Char1 Char1 Diagrama,Beschriftung Char Char Char1 Diagrama,Beschriftung Char1 Char Char Diagrama,Beschriftung Char Char Char Char Diagrama,Eco Diagrama"/>
    <w:basedOn w:val="DefaultParagraphFont"/>
    <w:link w:val="Antrat1"/>
    <w:uiPriority w:val="35"/>
    <w:locked/>
    <w:rsid w:val="00D54885"/>
    <w:rPr>
      <w:rFonts w:ascii="Trebuchet MS" w:hAnsi="Trebuchet MS"/>
      <w:b/>
      <w:bCs/>
      <w:color w:val="005962"/>
    </w:rPr>
  </w:style>
  <w:style w:type="paragraph" w:customStyle="1" w:styleId="Antrat1">
    <w:name w:val="Antraštė1"/>
    <w:aliases w:val="Caption-tables,Tasks,Beschriftung Char2,Beschriftung Char1 Char1,Beschriftung Char Char Char1,Beschriftung Char1 Char Char,Beschriftung Char Char Char Char,Beschriftung Char Char1 Char,Beschriftung Char Char2,Beschriftung Char1 Cha...,Eco"/>
    <w:basedOn w:val="Normal"/>
    <w:link w:val="AntratDiagrama"/>
    <w:uiPriority w:val="35"/>
    <w:rsid w:val="00D54885"/>
    <w:pPr>
      <w:spacing w:after="120"/>
      <w:ind w:left="567"/>
    </w:pPr>
    <w:rPr>
      <w:rFonts w:ascii="Trebuchet MS" w:eastAsiaTheme="minorHAnsi" w:hAnsi="Trebuchet MS" w:cstheme="minorBidi"/>
      <w:b/>
      <w:bCs/>
      <w:color w:val="005962"/>
      <w:sz w:val="22"/>
      <w:szCs w:val="22"/>
      <w:lang w:eastAsia="en-US"/>
    </w:rPr>
  </w:style>
  <w:style w:type="character" w:customStyle="1" w:styleId="Neapdorotaspaminjimas1">
    <w:name w:val="Neapdorotas paminėjimas1"/>
    <w:basedOn w:val="DefaultParagraphFont"/>
    <w:uiPriority w:val="99"/>
    <w:semiHidden/>
    <w:unhideWhenUsed/>
    <w:rsid w:val="00E04C97"/>
    <w:rPr>
      <w:color w:val="605E5C"/>
      <w:shd w:val="clear" w:color="auto" w:fill="E1DFDD"/>
    </w:rPr>
  </w:style>
  <w:style w:type="paragraph" w:styleId="FootnoteText">
    <w:name w:val="footnote text"/>
    <w:basedOn w:val="Normal"/>
    <w:link w:val="FootnoteTextChar"/>
    <w:uiPriority w:val="99"/>
    <w:semiHidden/>
    <w:unhideWhenUsed/>
    <w:rsid w:val="00894881"/>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894881"/>
    <w:rPr>
      <w:sz w:val="20"/>
      <w:szCs w:val="20"/>
    </w:rPr>
  </w:style>
  <w:style w:type="character" w:styleId="FootnoteReference">
    <w:name w:val="footnote reference"/>
    <w:basedOn w:val="DefaultParagraphFont"/>
    <w:uiPriority w:val="99"/>
    <w:semiHidden/>
    <w:unhideWhenUsed/>
    <w:rsid w:val="00894881"/>
    <w:rPr>
      <w:vertAlign w:val="superscript"/>
    </w:rPr>
  </w:style>
  <w:style w:type="paragraph" w:customStyle="1" w:styleId="rfrenceinstitutionnelle">
    <w:name w:val="rfrenceinstitutionnelle"/>
    <w:basedOn w:val="Normal"/>
    <w:rsid w:val="00894881"/>
    <w:pPr>
      <w:spacing w:before="100" w:beforeAutospacing="1" w:after="100" w:afterAutospacing="1"/>
    </w:pPr>
    <w:rPr>
      <w:szCs w:val="24"/>
    </w:rPr>
  </w:style>
  <w:style w:type="paragraph" w:customStyle="1" w:styleId="Hyperlink1">
    <w:name w:val="Hyperlink1"/>
    <w:basedOn w:val="Normal"/>
    <w:qFormat/>
    <w:rsid w:val="00331808"/>
    <w:pPr>
      <w:ind w:left="720"/>
      <w:contextualSpacing/>
    </w:pPr>
    <w:rPr>
      <w:szCs w:val="24"/>
      <w:lang w:val="en-US" w:eastAsia="en-US"/>
    </w:rPr>
  </w:style>
  <w:style w:type="paragraph" w:styleId="Footer">
    <w:name w:val="footer"/>
    <w:basedOn w:val="Normal"/>
    <w:link w:val="FooterChar"/>
    <w:uiPriority w:val="99"/>
    <w:unhideWhenUsed/>
    <w:rsid w:val="0014759D"/>
    <w:pPr>
      <w:tabs>
        <w:tab w:val="center" w:pos="4819"/>
        <w:tab w:val="right" w:pos="9638"/>
      </w:tabs>
    </w:pPr>
  </w:style>
  <w:style w:type="character" w:customStyle="1" w:styleId="FooterChar">
    <w:name w:val="Footer Char"/>
    <w:basedOn w:val="DefaultParagraphFont"/>
    <w:link w:val="Footer"/>
    <w:uiPriority w:val="99"/>
    <w:rsid w:val="0014759D"/>
    <w:rPr>
      <w:rFonts w:ascii="Times New Roman" w:eastAsia="Times New Roman" w:hAnsi="Times New Roman" w:cs="Times New Roman"/>
      <w:sz w:val="24"/>
      <w:szCs w:val="20"/>
      <w:lang w:eastAsia="lt-LT"/>
    </w:rPr>
  </w:style>
  <w:style w:type="paragraph" w:customStyle="1" w:styleId="Default">
    <w:name w:val="Default"/>
    <w:rsid w:val="00E724C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4F0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2229">
      <w:bodyDiv w:val="1"/>
      <w:marLeft w:val="0"/>
      <w:marRight w:val="0"/>
      <w:marTop w:val="0"/>
      <w:marBottom w:val="0"/>
      <w:divBdr>
        <w:top w:val="none" w:sz="0" w:space="0" w:color="auto"/>
        <w:left w:val="none" w:sz="0" w:space="0" w:color="auto"/>
        <w:bottom w:val="none" w:sz="0" w:space="0" w:color="auto"/>
        <w:right w:val="none" w:sz="0" w:space="0" w:color="auto"/>
      </w:divBdr>
    </w:div>
    <w:div w:id="34237692">
      <w:bodyDiv w:val="1"/>
      <w:marLeft w:val="0"/>
      <w:marRight w:val="0"/>
      <w:marTop w:val="0"/>
      <w:marBottom w:val="0"/>
      <w:divBdr>
        <w:top w:val="none" w:sz="0" w:space="0" w:color="auto"/>
        <w:left w:val="none" w:sz="0" w:space="0" w:color="auto"/>
        <w:bottom w:val="none" w:sz="0" w:space="0" w:color="auto"/>
        <w:right w:val="none" w:sz="0" w:space="0" w:color="auto"/>
      </w:divBdr>
    </w:div>
    <w:div w:id="180051544">
      <w:bodyDiv w:val="1"/>
      <w:marLeft w:val="0"/>
      <w:marRight w:val="0"/>
      <w:marTop w:val="0"/>
      <w:marBottom w:val="0"/>
      <w:divBdr>
        <w:top w:val="none" w:sz="0" w:space="0" w:color="auto"/>
        <w:left w:val="none" w:sz="0" w:space="0" w:color="auto"/>
        <w:bottom w:val="none" w:sz="0" w:space="0" w:color="auto"/>
        <w:right w:val="none" w:sz="0" w:space="0" w:color="auto"/>
      </w:divBdr>
    </w:div>
    <w:div w:id="321814106">
      <w:bodyDiv w:val="1"/>
      <w:marLeft w:val="0"/>
      <w:marRight w:val="0"/>
      <w:marTop w:val="0"/>
      <w:marBottom w:val="0"/>
      <w:divBdr>
        <w:top w:val="none" w:sz="0" w:space="0" w:color="auto"/>
        <w:left w:val="none" w:sz="0" w:space="0" w:color="auto"/>
        <w:bottom w:val="none" w:sz="0" w:space="0" w:color="auto"/>
        <w:right w:val="none" w:sz="0" w:space="0" w:color="auto"/>
      </w:divBdr>
    </w:div>
    <w:div w:id="333267280">
      <w:bodyDiv w:val="1"/>
      <w:marLeft w:val="0"/>
      <w:marRight w:val="0"/>
      <w:marTop w:val="0"/>
      <w:marBottom w:val="0"/>
      <w:divBdr>
        <w:top w:val="none" w:sz="0" w:space="0" w:color="auto"/>
        <w:left w:val="none" w:sz="0" w:space="0" w:color="auto"/>
        <w:bottom w:val="none" w:sz="0" w:space="0" w:color="auto"/>
        <w:right w:val="none" w:sz="0" w:space="0" w:color="auto"/>
      </w:divBdr>
    </w:div>
    <w:div w:id="358969220">
      <w:bodyDiv w:val="1"/>
      <w:marLeft w:val="0"/>
      <w:marRight w:val="0"/>
      <w:marTop w:val="0"/>
      <w:marBottom w:val="0"/>
      <w:divBdr>
        <w:top w:val="none" w:sz="0" w:space="0" w:color="auto"/>
        <w:left w:val="none" w:sz="0" w:space="0" w:color="auto"/>
        <w:bottom w:val="none" w:sz="0" w:space="0" w:color="auto"/>
        <w:right w:val="none" w:sz="0" w:space="0" w:color="auto"/>
      </w:divBdr>
    </w:div>
    <w:div w:id="361168973">
      <w:bodyDiv w:val="1"/>
      <w:marLeft w:val="0"/>
      <w:marRight w:val="0"/>
      <w:marTop w:val="0"/>
      <w:marBottom w:val="0"/>
      <w:divBdr>
        <w:top w:val="none" w:sz="0" w:space="0" w:color="auto"/>
        <w:left w:val="none" w:sz="0" w:space="0" w:color="auto"/>
        <w:bottom w:val="none" w:sz="0" w:space="0" w:color="auto"/>
        <w:right w:val="none" w:sz="0" w:space="0" w:color="auto"/>
      </w:divBdr>
    </w:div>
    <w:div w:id="413862797">
      <w:bodyDiv w:val="1"/>
      <w:marLeft w:val="0"/>
      <w:marRight w:val="0"/>
      <w:marTop w:val="0"/>
      <w:marBottom w:val="0"/>
      <w:divBdr>
        <w:top w:val="none" w:sz="0" w:space="0" w:color="auto"/>
        <w:left w:val="none" w:sz="0" w:space="0" w:color="auto"/>
        <w:bottom w:val="none" w:sz="0" w:space="0" w:color="auto"/>
        <w:right w:val="none" w:sz="0" w:space="0" w:color="auto"/>
      </w:divBdr>
    </w:div>
    <w:div w:id="473453561">
      <w:bodyDiv w:val="1"/>
      <w:marLeft w:val="0"/>
      <w:marRight w:val="0"/>
      <w:marTop w:val="0"/>
      <w:marBottom w:val="0"/>
      <w:divBdr>
        <w:top w:val="none" w:sz="0" w:space="0" w:color="auto"/>
        <w:left w:val="none" w:sz="0" w:space="0" w:color="auto"/>
        <w:bottom w:val="none" w:sz="0" w:space="0" w:color="auto"/>
        <w:right w:val="none" w:sz="0" w:space="0" w:color="auto"/>
      </w:divBdr>
    </w:div>
    <w:div w:id="507063786">
      <w:bodyDiv w:val="1"/>
      <w:marLeft w:val="0"/>
      <w:marRight w:val="0"/>
      <w:marTop w:val="0"/>
      <w:marBottom w:val="0"/>
      <w:divBdr>
        <w:top w:val="none" w:sz="0" w:space="0" w:color="auto"/>
        <w:left w:val="none" w:sz="0" w:space="0" w:color="auto"/>
        <w:bottom w:val="none" w:sz="0" w:space="0" w:color="auto"/>
        <w:right w:val="none" w:sz="0" w:space="0" w:color="auto"/>
      </w:divBdr>
    </w:div>
    <w:div w:id="593902799">
      <w:bodyDiv w:val="1"/>
      <w:marLeft w:val="0"/>
      <w:marRight w:val="0"/>
      <w:marTop w:val="0"/>
      <w:marBottom w:val="0"/>
      <w:divBdr>
        <w:top w:val="none" w:sz="0" w:space="0" w:color="auto"/>
        <w:left w:val="none" w:sz="0" w:space="0" w:color="auto"/>
        <w:bottom w:val="none" w:sz="0" w:space="0" w:color="auto"/>
        <w:right w:val="none" w:sz="0" w:space="0" w:color="auto"/>
      </w:divBdr>
    </w:div>
    <w:div w:id="645283882">
      <w:bodyDiv w:val="1"/>
      <w:marLeft w:val="0"/>
      <w:marRight w:val="0"/>
      <w:marTop w:val="0"/>
      <w:marBottom w:val="0"/>
      <w:divBdr>
        <w:top w:val="none" w:sz="0" w:space="0" w:color="auto"/>
        <w:left w:val="none" w:sz="0" w:space="0" w:color="auto"/>
        <w:bottom w:val="none" w:sz="0" w:space="0" w:color="auto"/>
        <w:right w:val="none" w:sz="0" w:space="0" w:color="auto"/>
      </w:divBdr>
    </w:div>
    <w:div w:id="823929367">
      <w:bodyDiv w:val="1"/>
      <w:marLeft w:val="0"/>
      <w:marRight w:val="0"/>
      <w:marTop w:val="0"/>
      <w:marBottom w:val="0"/>
      <w:divBdr>
        <w:top w:val="none" w:sz="0" w:space="0" w:color="auto"/>
        <w:left w:val="none" w:sz="0" w:space="0" w:color="auto"/>
        <w:bottom w:val="none" w:sz="0" w:space="0" w:color="auto"/>
        <w:right w:val="none" w:sz="0" w:space="0" w:color="auto"/>
      </w:divBdr>
    </w:div>
    <w:div w:id="908151191">
      <w:bodyDiv w:val="1"/>
      <w:marLeft w:val="0"/>
      <w:marRight w:val="0"/>
      <w:marTop w:val="0"/>
      <w:marBottom w:val="0"/>
      <w:divBdr>
        <w:top w:val="none" w:sz="0" w:space="0" w:color="auto"/>
        <w:left w:val="none" w:sz="0" w:space="0" w:color="auto"/>
        <w:bottom w:val="none" w:sz="0" w:space="0" w:color="auto"/>
        <w:right w:val="none" w:sz="0" w:space="0" w:color="auto"/>
      </w:divBdr>
    </w:div>
    <w:div w:id="927152211">
      <w:bodyDiv w:val="1"/>
      <w:marLeft w:val="0"/>
      <w:marRight w:val="0"/>
      <w:marTop w:val="0"/>
      <w:marBottom w:val="0"/>
      <w:divBdr>
        <w:top w:val="none" w:sz="0" w:space="0" w:color="auto"/>
        <w:left w:val="none" w:sz="0" w:space="0" w:color="auto"/>
        <w:bottom w:val="none" w:sz="0" w:space="0" w:color="auto"/>
        <w:right w:val="none" w:sz="0" w:space="0" w:color="auto"/>
      </w:divBdr>
    </w:div>
    <w:div w:id="988248369">
      <w:bodyDiv w:val="1"/>
      <w:marLeft w:val="0"/>
      <w:marRight w:val="0"/>
      <w:marTop w:val="0"/>
      <w:marBottom w:val="0"/>
      <w:divBdr>
        <w:top w:val="none" w:sz="0" w:space="0" w:color="auto"/>
        <w:left w:val="none" w:sz="0" w:space="0" w:color="auto"/>
        <w:bottom w:val="none" w:sz="0" w:space="0" w:color="auto"/>
        <w:right w:val="none" w:sz="0" w:space="0" w:color="auto"/>
      </w:divBdr>
    </w:div>
    <w:div w:id="1028800071">
      <w:bodyDiv w:val="1"/>
      <w:marLeft w:val="0"/>
      <w:marRight w:val="0"/>
      <w:marTop w:val="0"/>
      <w:marBottom w:val="0"/>
      <w:divBdr>
        <w:top w:val="none" w:sz="0" w:space="0" w:color="auto"/>
        <w:left w:val="none" w:sz="0" w:space="0" w:color="auto"/>
        <w:bottom w:val="none" w:sz="0" w:space="0" w:color="auto"/>
        <w:right w:val="none" w:sz="0" w:space="0" w:color="auto"/>
      </w:divBdr>
    </w:div>
    <w:div w:id="1066148234">
      <w:bodyDiv w:val="1"/>
      <w:marLeft w:val="0"/>
      <w:marRight w:val="0"/>
      <w:marTop w:val="0"/>
      <w:marBottom w:val="0"/>
      <w:divBdr>
        <w:top w:val="none" w:sz="0" w:space="0" w:color="auto"/>
        <w:left w:val="none" w:sz="0" w:space="0" w:color="auto"/>
        <w:bottom w:val="none" w:sz="0" w:space="0" w:color="auto"/>
        <w:right w:val="none" w:sz="0" w:space="0" w:color="auto"/>
      </w:divBdr>
    </w:div>
    <w:div w:id="1103570954">
      <w:bodyDiv w:val="1"/>
      <w:marLeft w:val="0"/>
      <w:marRight w:val="0"/>
      <w:marTop w:val="0"/>
      <w:marBottom w:val="0"/>
      <w:divBdr>
        <w:top w:val="none" w:sz="0" w:space="0" w:color="auto"/>
        <w:left w:val="none" w:sz="0" w:space="0" w:color="auto"/>
        <w:bottom w:val="none" w:sz="0" w:space="0" w:color="auto"/>
        <w:right w:val="none" w:sz="0" w:space="0" w:color="auto"/>
      </w:divBdr>
    </w:div>
    <w:div w:id="1288050596">
      <w:bodyDiv w:val="1"/>
      <w:marLeft w:val="0"/>
      <w:marRight w:val="0"/>
      <w:marTop w:val="0"/>
      <w:marBottom w:val="0"/>
      <w:divBdr>
        <w:top w:val="none" w:sz="0" w:space="0" w:color="auto"/>
        <w:left w:val="none" w:sz="0" w:space="0" w:color="auto"/>
        <w:bottom w:val="none" w:sz="0" w:space="0" w:color="auto"/>
        <w:right w:val="none" w:sz="0" w:space="0" w:color="auto"/>
      </w:divBdr>
    </w:div>
    <w:div w:id="1305699942">
      <w:bodyDiv w:val="1"/>
      <w:marLeft w:val="0"/>
      <w:marRight w:val="0"/>
      <w:marTop w:val="0"/>
      <w:marBottom w:val="0"/>
      <w:divBdr>
        <w:top w:val="none" w:sz="0" w:space="0" w:color="auto"/>
        <w:left w:val="none" w:sz="0" w:space="0" w:color="auto"/>
        <w:bottom w:val="none" w:sz="0" w:space="0" w:color="auto"/>
        <w:right w:val="none" w:sz="0" w:space="0" w:color="auto"/>
      </w:divBdr>
    </w:div>
    <w:div w:id="1345784685">
      <w:bodyDiv w:val="1"/>
      <w:marLeft w:val="0"/>
      <w:marRight w:val="0"/>
      <w:marTop w:val="0"/>
      <w:marBottom w:val="0"/>
      <w:divBdr>
        <w:top w:val="none" w:sz="0" w:space="0" w:color="auto"/>
        <w:left w:val="none" w:sz="0" w:space="0" w:color="auto"/>
        <w:bottom w:val="none" w:sz="0" w:space="0" w:color="auto"/>
        <w:right w:val="none" w:sz="0" w:space="0" w:color="auto"/>
      </w:divBdr>
    </w:div>
    <w:div w:id="1346592538">
      <w:bodyDiv w:val="1"/>
      <w:marLeft w:val="0"/>
      <w:marRight w:val="0"/>
      <w:marTop w:val="0"/>
      <w:marBottom w:val="0"/>
      <w:divBdr>
        <w:top w:val="none" w:sz="0" w:space="0" w:color="auto"/>
        <w:left w:val="none" w:sz="0" w:space="0" w:color="auto"/>
        <w:bottom w:val="none" w:sz="0" w:space="0" w:color="auto"/>
        <w:right w:val="none" w:sz="0" w:space="0" w:color="auto"/>
      </w:divBdr>
    </w:div>
    <w:div w:id="1377504873">
      <w:bodyDiv w:val="1"/>
      <w:marLeft w:val="0"/>
      <w:marRight w:val="0"/>
      <w:marTop w:val="0"/>
      <w:marBottom w:val="0"/>
      <w:divBdr>
        <w:top w:val="none" w:sz="0" w:space="0" w:color="auto"/>
        <w:left w:val="none" w:sz="0" w:space="0" w:color="auto"/>
        <w:bottom w:val="none" w:sz="0" w:space="0" w:color="auto"/>
        <w:right w:val="none" w:sz="0" w:space="0" w:color="auto"/>
      </w:divBdr>
    </w:div>
    <w:div w:id="1397631258">
      <w:bodyDiv w:val="1"/>
      <w:marLeft w:val="0"/>
      <w:marRight w:val="0"/>
      <w:marTop w:val="0"/>
      <w:marBottom w:val="0"/>
      <w:divBdr>
        <w:top w:val="none" w:sz="0" w:space="0" w:color="auto"/>
        <w:left w:val="none" w:sz="0" w:space="0" w:color="auto"/>
        <w:bottom w:val="none" w:sz="0" w:space="0" w:color="auto"/>
        <w:right w:val="none" w:sz="0" w:space="0" w:color="auto"/>
      </w:divBdr>
    </w:div>
    <w:div w:id="1419011891">
      <w:bodyDiv w:val="1"/>
      <w:marLeft w:val="0"/>
      <w:marRight w:val="0"/>
      <w:marTop w:val="0"/>
      <w:marBottom w:val="0"/>
      <w:divBdr>
        <w:top w:val="none" w:sz="0" w:space="0" w:color="auto"/>
        <w:left w:val="none" w:sz="0" w:space="0" w:color="auto"/>
        <w:bottom w:val="none" w:sz="0" w:space="0" w:color="auto"/>
        <w:right w:val="none" w:sz="0" w:space="0" w:color="auto"/>
      </w:divBdr>
    </w:div>
    <w:div w:id="1443836502">
      <w:bodyDiv w:val="1"/>
      <w:marLeft w:val="0"/>
      <w:marRight w:val="0"/>
      <w:marTop w:val="0"/>
      <w:marBottom w:val="0"/>
      <w:divBdr>
        <w:top w:val="none" w:sz="0" w:space="0" w:color="auto"/>
        <w:left w:val="none" w:sz="0" w:space="0" w:color="auto"/>
        <w:bottom w:val="none" w:sz="0" w:space="0" w:color="auto"/>
        <w:right w:val="none" w:sz="0" w:space="0" w:color="auto"/>
      </w:divBdr>
    </w:div>
    <w:div w:id="1446465927">
      <w:bodyDiv w:val="1"/>
      <w:marLeft w:val="0"/>
      <w:marRight w:val="0"/>
      <w:marTop w:val="0"/>
      <w:marBottom w:val="0"/>
      <w:divBdr>
        <w:top w:val="none" w:sz="0" w:space="0" w:color="auto"/>
        <w:left w:val="none" w:sz="0" w:space="0" w:color="auto"/>
        <w:bottom w:val="none" w:sz="0" w:space="0" w:color="auto"/>
        <w:right w:val="none" w:sz="0" w:space="0" w:color="auto"/>
      </w:divBdr>
    </w:div>
    <w:div w:id="1466966876">
      <w:bodyDiv w:val="1"/>
      <w:marLeft w:val="0"/>
      <w:marRight w:val="0"/>
      <w:marTop w:val="0"/>
      <w:marBottom w:val="0"/>
      <w:divBdr>
        <w:top w:val="none" w:sz="0" w:space="0" w:color="auto"/>
        <w:left w:val="none" w:sz="0" w:space="0" w:color="auto"/>
        <w:bottom w:val="none" w:sz="0" w:space="0" w:color="auto"/>
        <w:right w:val="none" w:sz="0" w:space="0" w:color="auto"/>
      </w:divBdr>
    </w:div>
    <w:div w:id="1509785182">
      <w:bodyDiv w:val="1"/>
      <w:marLeft w:val="0"/>
      <w:marRight w:val="0"/>
      <w:marTop w:val="0"/>
      <w:marBottom w:val="0"/>
      <w:divBdr>
        <w:top w:val="none" w:sz="0" w:space="0" w:color="auto"/>
        <w:left w:val="none" w:sz="0" w:space="0" w:color="auto"/>
        <w:bottom w:val="none" w:sz="0" w:space="0" w:color="auto"/>
        <w:right w:val="none" w:sz="0" w:space="0" w:color="auto"/>
      </w:divBdr>
    </w:div>
    <w:div w:id="1534727797">
      <w:bodyDiv w:val="1"/>
      <w:marLeft w:val="0"/>
      <w:marRight w:val="0"/>
      <w:marTop w:val="0"/>
      <w:marBottom w:val="0"/>
      <w:divBdr>
        <w:top w:val="none" w:sz="0" w:space="0" w:color="auto"/>
        <w:left w:val="none" w:sz="0" w:space="0" w:color="auto"/>
        <w:bottom w:val="none" w:sz="0" w:space="0" w:color="auto"/>
        <w:right w:val="none" w:sz="0" w:space="0" w:color="auto"/>
      </w:divBdr>
    </w:div>
    <w:div w:id="1539076611">
      <w:bodyDiv w:val="1"/>
      <w:marLeft w:val="0"/>
      <w:marRight w:val="0"/>
      <w:marTop w:val="0"/>
      <w:marBottom w:val="0"/>
      <w:divBdr>
        <w:top w:val="none" w:sz="0" w:space="0" w:color="auto"/>
        <w:left w:val="none" w:sz="0" w:space="0" w:color="auto"/>
        <w:bottom w:val="none" w:sz="0" w:space="0" w:color="auto"/>
        <w:right w:val="none" w:sz="0" w:space="0" w:color="auto"/>
      </w:divBdr>
    </w:div>
    <w:div w:id="1567718416">
      <w:bodyDiv w:val="1"/>
      <w:marLeft w:val="0"/>
      <w:marRight w:val="0"/>
      <w:marTop w:val="0"/>
      <w:marBottom w:val="0"/>
      <w:divBdr>
        <w:top w:val="none" w:sz="0" w:space="0" w:color="auto"/>
        <w:left w:val="none" w:sz="0" w:space="0" w:color="auto"/>
        <w:bottom w:val="none" w:sz="0" w:space="0" w:color="auto"/>
        <w:right w:val="none" w:sz="0" w:space="0" w:color="auto"/>
      </w:divBdr>
    </w:div>
    <w:div w:id="1572353815">
      <w:bodyDiv w:val="1"/>
      <w:marLeft w:val="0"/>
      <w:marRight w:val="0"/>
      <w:marTop w:val="0"/>
      <w:marBottom w:val="0"/>
      <w:divBdr>
        <w:top w:val="none" w:sz="0" w:space="0" w:color="auto"/>
        <w:left w:val="none" w:sz="0" w:space="0" w:color="auto"/>
        <w:bottom w:val="none" w:sz="0" w:space="0" w:color="auto"/>
        <w:right w:val="none" w:sz="0" w:space="0" w:color="auto"/>
      </w:divBdr>
    </w:div>
    <w:div w:id="1595894272">
      <w:bodyDiv w:val="1"/>
      <w:marLeft w:val="0"/>
      <w:marRight w:val="0"/>
      <w:marTop w:val="0"/>
      <w:marBottom w:val="0"/>
      <w:divBdr>
        <w:top w:val="none" w:sz="0" w:space="0" w:color="auto"/>
        <w:left w:val="none" w:sz="0" w:space="0" w:color="auto"/>
        <w:bottom w:val="none" w:sz="0" w:space="0" w:color="auto"/>
        <w:right w:val="none" w:sz="0" w:space="0" w:color="auto"/>
      </w:divBdr>
    </w:div>
    <w:div w:id="1630087785">
      <w:bodyDiv w:val="1"/>
      <w:marLeft w:val="0"/>
      <w:marRight w:val="0"/>
      <w:marTop w:val="0"/>
      <w:marBottom w:val="0"/>
      <w:divBdr>
        <w:top w:val="none" w:sz="0" w:space="0" w:color="auto"/>
        <w:left w:val="none" w:sz="0" w:space="0" w:color="auto"/>
        <w:bottom w:val="none" w:sz="0" w:space="0" w:color="auto"/>
        <w:right w:val="none" w:sz="0" w:space="0" w:color="auto"/>
      </w:divBdr>
    </w:div>
    <w:div w:id="1631939210">
      <w:bodyDiv w:val="1"/>
      <w:marLeft w:val="0"/>
      <w:marRight w:val="0"/>
      <w:marTop w:val="0"/>
      <w:marBottom w:val="0"/>
      <w:divBdr>
        <w:top w:val="none" w:sz="0" w:space="0" w:color="auto"/>
        <w:left w:val="none" w:sz="0" w:space="0" w:color="auto"/>
        <w:bottom w:val="none" w:sz="0" w:space="0" w:color="auto"/>
        <w:right w:val="none" w:sz="0" w:space="0" w:color="auto"/>
      </w:divBdr>
    </w:div>
    <w:div w:id="1661813730">
      <w:bodyDiv w:val="1"/>
      <w:marLeft w:val="0"/>
      <w:marRight w:val="0"/>
      <w:marTop w:val="0"/>
      <w:marBottom w:val="0"/>
      <w:divBdr>
        <w:top w:val="none" w:sz="0" w:space="0" w:color="auto"/>
        <w:left w:val="none" w:sz="0" w:space="0" w:color="auto"/>
        <w:bottom w:val="none" w:sz="0" w:space="0" w:color="auto"/>
        <w:right w:val="none" w:sz="0" w:space="0" w:color="auto"/>
      </w:divBdr>
    </w:div>
    <w:div w:id="1662662579">
      <w:bodyDiv w:val="1"/>
      <w:marLeft w:val="0"/>
      <w:marRight w:val="0"/>
      <w:marTop w:val="0"/>
      <w:marBottom w:val="0"/>
      <w:divBdr>
        <w:top w:val="none" w:sz="0" w:space="0" w:color="auto"/>
        <w:left w:val="none" w:sz="0" w:space="0" w:color="auto"/>
        <w:bottom w:val="none" w:sz="0" w:space="0" w:color="auto"/>
        <w:right w:val="none" w:sz="0" w:space="0" w:color="auto"/>
      </w:divBdr>
    </w:div>
    <w:div w:id="1783574244">
      <w:bodyDiv w:val="1"/>
      <w:marLeft w:val="0"/>
      <w:marRight w:val="0"/>
      <w:marTop w:val="0"/>
      <w:marBottom w:val="0"/>
      <w:divBdr>
        <w:top w:val="none" w:sz="0" w:space="0" w:color="auto"/>
        <w:left w:val="none" w:sz="0" w:space="0" w:color="auto"/>
        <w:bottom w:val="none" w:sz="0" w:space="0" w:color="auto"/>
        <w:right w:val="none" w:sz="0" w:space="0" w:color="auto"/>
      </w:divBdr>
    </w:div>
    <w:div w:id="1792429913">
      <w:bodyDiv w:val="1"/>
      <w:marLeft w:val="0"/>
      <w:marRight w:val="0"/>
      <w:marTop w:val="0"/>
      <w:marBottom w:val="0"/>
      <w:divBdr>
        <w:top w:val="none" w:sz="0" w:space="0" w:color="auto"/>
        <w:left w:val="none" w:sz="0" w:space="0" w:color="auto"/>
        <w:bottom w:val="none" w:sz="0" w:space="0" w:color="auto"/>
        <w:right w:val="none" w:sz="0" w:space="0" w:color="auto"/>
      </w:divBdr>
    </w:div>
    <w:div w:id="1811824596">
      <w:bodyDiv w:val="1"/>
      <w:marLeft w:val="0"/>
      <w:marRight w:val="0"/>
      <w:marTop w:val="0"/>
      <w:marBottom w:val="0"/>
      <w:divBdr>
        <w:top w:val="none" w:sz="0" w:space="0" w:color="auto"/>
        <w:left w:val="none" w:sz="0" w:space="0" w:color="auto"/>
        <w:bottom w:val="none" w:sz="0" w:space="0" w:color="auto"/>
        <w:right w:val="none" w:sz="0" w:space="0" w:color="auto"/>
      </w:divBdr>
    </w:div>
    <w:div w:id="1909339970">
      <w:bodyDiv w:val="1"/>
      <w:marLeft w:val="0"/>
      <w:marRight w:val="0"/>
      <w:marTop w:val="0"/>
      <w:marBottom w:val="0"/>
      <w:divBdr>
        <w:top w:val="none" w:sz="0" w:space="0" w:color="auto"/>
        <w:left w:val="none" w:sz="0" w:space="0" w:color="auto"/>
        <w:bottom w:val="none" w:sz="0" w:space="0" w:color="auto"/>
        <w:right w:val="none" w:sz="0" w:space="0" w:color="auto"/>
      </w:divBdr>
    </w:div>
    <w:div w:id="1943802385">
      <w:bodyDiv w:val="1"/>
      <w:marLeft w:val="0"/>
      <w:marRight w:val="0"/>
      <w:marTop w:val="0"/>
      <w:marBottom w:val="0"/>
      <w:divBdr>
        <w:top w:val="none" w:sz="0" w:space="0" w:color="auto"/>
        <w:left w:val="none" w:sz="0" w:space="0" w:color="auto"/>
        <w:bottom w:val="none" w:sz="0" w:space="0" w:color="auto"/>
        <w:right w:val="none" w:sz="0" w:space="0" w:color="auto"/>
      </w:divBdr>
    </w:div>
    <w:div w:id="2027631164">
      <w:bodyDiv w:val="1"/>
      <w:marLeft w:val="0"/>
      <w:marRight w:val="0"/>
      <w:marTop w:val="0"/>
      <w:marBottom w:val="0"/>
      <w:divBdr>
        <w:top w:val="none" w:sz="0" w:space="0" w:color="auto"/>
        <w:left w:val="none" w:sz="0" w:space="0" w:color="auto"/>
        <w:bottom w:val="none" w:sz="0" w:space="0" w:color="auto"/>
        <w:right w:val="none" w:sz="0" w:space="0" w:color="auto"/>
      </w:divBdr>
    </w:div>
    <w:div w:id="2028677536">
      <w:bodyDiv w:val="1"/>
      <w:marLeft w:val="0"/>
      <w:marRight w:val="0"/>
      <w:marTop w:val="0"/>
      <w:marBottom w:val="0"/>
      <w:divBdr>
        <w:top w:val="none" w:sz="0" w:space="0" w:color="auto"/>
        <w:left w:val="none" w:sz="0" w:space="0" w:color="auto"/>
        <w:bottom w:val="none" w:sz="0" w:space="0" w:color="auto"/>
        <w:right w:val="none" w:sz="0" w:space="0" w:color="auto"/>
      </w:divBdr>
    </w:div>
    <w:div w:id="2035492804">
      <w:bodyDiv w:val="1"/>
      <w:marLeft w:val="0"/>
      <w:marRight w:val="0"/>
      <w:marTop w:val="0"/>
      <w:marBottom w:val="0"/>
      <w:divBdr>
        <w:top w:val="none" w:sz="0" w:space="0" w:color="auto"/>
        <w:left w:val="none" w:sz="0" w:space="0" w:color="auto"/>
        <w:bottom w:val="none" w:sz="0" w:space="0" w:color="auto"/>
        <w:right w:val="none" w:sz="0" w:space="0" w:color="auto"/>
      </w:divBdr>
    </w:div>
    <w:div w:id="208810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min.lrv.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sinvesticijos.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7192</Words>
  <Characters>4100</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Kazlauskienė Aurelija</dc:creator>
  <cp:keywords/>
  <dc:description/>
  <cp:lastModifiedBy>Lina Rušinė</cp:lastModifiedBy>
  <cp:revision>2</cp:revision>
  <cp:lastPrinted>2022-06-21T13:38:00Z</cp:lastPrinted>
  <dcterms:created xsi:type="dcterms:W3CDTF">2022-12-01T11:48:00Z</dcterms:created>
  <dcterms:modified xsi:type="dcterms:W3CDTF">2022-12-01T11:48:00Z</dcterms:modified>
</cp:coreProperties>
</file>