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5BE71BDE" w:rsidR="00CB0605" w:rsidRDefault="00CB0605" w:rsidP="00D355B7">
      <w:pPr>
        <w:jc w:val="center"/>
        <w:rPr>
          <w:b/>
          <w:bCs/>
          <w:szCs w:val="24"/>
        </w:rPr>
      </w:pPr>
      <w:r w:rsidRPr="00D355B7">
        <w:rPr>
          <w:b/>
          <w:bCs/>
          <w:szCs w:val="24"/>
        </w:rPr>
        <w:t>LIETUVOS RESPUBLIKOS EKONOMIKOS IR INOVACIJŲ MINISTERIJA</w:t>
      </w:r>
    </w:p>
    <w:p w14:paraId="4C24ED6A" w14:textId="71A091B0" w:rsidR="002B25B8" w:rsidRPr="00D355B7" w:rsidRDefault="002B25B8" w:rsidP="00D355B7">
      <w:pPr>
        <w:jc w:val="center"/>
        <w:rPr>
          <w:b/>
          <w:bCs/>
          <w:szCs w:val="24"/>
        </w:rPr>
      </w:pPr>
      <w:r>
        <w:rPr>
          <w:b/>
          <w:bCs/>
          <w:szCs w:val="24"/>
        </w:rPr>
        <w:t>LIETUVOS RESPUBLIKOS ŠVIETIMO, MOKSLO IR SPORTO MINISTERIJA</w:t>
      </w:r>
    </w:p>
    <w:p w14:paraId="67E08466" w14:textId="77777777" w:rsidR="00CB0605" w:rsidRPr="00D355B7" w:rsidRDefault="00CB0605" w:rsidP="00D355B7">
      <w:pPr>
        <w:jc w:val="center"/>
        <w:rPr>
          <w:b/>
          <w:bCs/>
          <w:szCs w:val="24"/>
        </w:rPr>
      </w:pPr>
    </w:p>
    <w:p w14:paraId="728A6EAF" w14:textId="21459754" w:rsidR="00CB0605" w:rsidRDefault="002B25B8" w:rsidP="00B40657">
      <w:pPr>
        <w:jc w:val="both"/>
        <w:rPr>
          <w:b/>
          <w:bCs/>
          <w:caps/>
          <w:szCs w:val="24"/>
        </w:rPr>
      </w:pPr>
      <w:r w:rsidRPr="002B25B8">
        <w:rPr>
          <w:b/>
          <w:bCs/>
          <w:szCs w:val="24"/>
        </w:rPr>
        <w:t>EKONOMIKOS IR INOVACIJŲ MINISTRO IR ŠVIETIMO, MOKSLO IR SPORTO MINISTRO 2022 M. RUGPJŪČIO 17 D. ĮSAKYMO NR. 4-926/V-1258 „DĖL 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w:t>
      </w:r>
      <w:r>
        <w:rPr>
          <w:b/>
          <w:bCs/>
          <w:szCs w:val="24"/>
        </w:rPr>
        <w:t xml:space="preserve">“ </w:t>
      </w:r>
      <w:r>
        <w:rPr>
          <w:b/>
          <w:bCs/>
          <w:szCs w:val="24"/>
          <w:shd w:val="clear" w:color="auto" w:fill="FFFFFF"/>
        </w:rPr>
        <w:t>APRAŠO PATVIRTINIMO“ PAKEITIMO</w:t>
      </w:r>
      <w:r w:rsidRPr="00B40657">
        <w:rPr>
          <w:b/>
          <w:bCs/>
          <w:caps/>
          <w:szCs w:val="24"/>
        </w:rPr>
        <w:t xml:space="preserve"> </w:t>
      </w:r>
      <w:r w:rsidR="00B40657">
        <w:rPr>
          <w:b/>
          <w:bCs/>
          <w:caps/>
          <w:szCs w:val="24"/>
        </w:rPr>
        <w:t>DERINIMO LENTELĖ</w:t>
      </w:r>
    </w:p>
    <w:p w14:paraId="3879F45B" w14:textId="77777777" w:rsidR="00B40657" w:rsidRPr="00B40657" w:rsidRDefault="00B40657" w:rsidP="00B40657">
      <w:pPr>
        <w:jc w:val="both"/>
        <w:rPr>
          <w:b/>
          <w:bCs/>
          <w:cap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D355B7" w14:paraId="2B0A6DB3" w14:textId="77777777" w:rsidTr="00185ACE">
        <w:tc>
          <w:tcPr>
            <w:tcW w:w="6804" w:type="dxa"/>
          </w:tcPr>
          <w:p w14:paraId="43C51541" w14:textId="3B279E8A" w:rsidR="00CB0605" w:rsidRPr="00D355B7" w:rsidRDefault="00CB0605" w:rsidP="00D355B7">
            <w:pPr>
              <w:rPr>
                <w:b/>
                <w:szCs w:val="24"/>
              </w:rPr>
            </w:pPr>
            <w:r w:rsidRPr="00D355B7">
              <w:rPr>
                <w:b/>
                <w:szCs w:val="24"/>
              </w:rPr>
              <w:t>Paskelbim</w:t>
            </w:r>
            <w:r w:rsidR="00995886">
              <w:rPr>
                <w:b/>
                <w:szCs w:val="24"/>
              </w:rPr>
              <w:t>o</w:t>
            </w:r>
            <w:r w:rsidR="00F851DD">
              <w:rPr>
                <w:szCs w:val="24"/>
              </w:rPr>
              <w:t xml:space="preserve"> </w:t>
            </w:r>
            <w:r w:rsidRPr="00D355B7">
              <w:rPr>
                <w:b/>
                <w:szCs w:val="24"/>
              </w:rPr>
              <w:t xml:space="preserve"> data</w:t>
            </w:r>
            <w:r w:rsidR="00995886">
              <w:rPr>
                <w:b/>
                <w:szCs w:val="24"/>
              </w:rPr>
              <w:t xml:space="preserve"> </w:t>
            </w:r>
            <w:r w:rsidR="00995886" w:rsidRPr="00057B1D">
              <w:rPr>
                <w:b/>
                <w:color w:val="002060"/>
                <w:szCs w:val="24"/>
              </w:rPr>
              <w:t>TAIS</w:t>
            </w:r>
          </w:p>
        </w:tc>
        <w:tc>
          <w:tcPr>
            <w:tcW w:w="7938" w:type="dxa"/>
          </w:tcPr>
          <w:p w14:paraId="7ACD24D1" w14:textId="14436137" w:rsidR="00CB0605" w:rsidRPr="00D355B7" w:rsidRDefault="00CB0605" w:rsidP="00D355B7">
            <w:pPr>
              <w:rPr>
                <w:szCs w:val="24"/>
              </w:rPr>
            </w:pPr>
            <w:r w:rsidRPr="00756998">
              <w:rPr>
                <w:szCs w:val="24"/>
              </w:rPr>
              <w:t>202</w:t>
            </w:r>
            <w:r w:rsidR="00686D8C" w:rsidRPr="00756998">
              <w:rPr>
                <w:szCs w:val="24"/>
              </w:rPr>
              <w:t>2</w:t>
            </w:r>
            <w:r w:rsidRPr="00756998">
              <w:rPr>
                <w:szCs w:val="24"/>
              </w:rPr>
              <w:t>-</w:t>
            </w:r>
            <w:r w:rsidR="00B40657">
              <w:rPr>
                <w:szCs w:val="24"/>
              </w:rPr>
              <w:t>1</w:t>
            </w:r>
            <w:r w:rsidR="00995886">
              <w:rPr>
                <w:szCs w:val="24"/>
              </w:rPr>
              <w:t>0</w:t>
            </w:r>
            <w:r w:rsidR="00806F2A">
              <w:rPr>
                <w:szCs w:val="24"/>
              </w:rPr>
              <w:t>-</w:t>
            </w:r>
            <w:r w:rsidR="00995886">
              <w:rPr>
                <w:szCs w:val="24"/>
              </w:rPr>
              <w:t>18</w:t>
            </w:r>
          </w:p>
        </w:tc>
      </w:tr>
      <w:tr w:rsidR="00D355B7" w:rsidRPr="00D355B7" w14:paraId="7CFDEEE8" w14:textId="77777777" w:rsidTr="00185ACE">
        <w:tc>
          <w:tcPr>
            <w:tcW w:w="6804" w:type="dxa"/>
          </w:tcPr>
          <w:p w14:paraId="4A1F2499" w14:textId="77777777" w:rsidR="00CB0605" w:rsidRPr="00D355B7" w:rsidRDefault="00CB0605" w:rsidP="00D355B7">
            <w:pPr>
              <w:rPr>
                <w:b/>
                <w:szCs w:val="24"/>
              </w:rPr>
            </w:pPr>
            <w:r w:rsidRPr="00D355B7">
              <w:rPr>
                <w:b/>
                <w:szCs w:val="24"/>
              </w:rPr>
              <w:t>Ar gauta pastabų ir (ar) pasiūlymų?</w:t>
            </w:r>
          </w:p>
          <w:p w14:paraId="27CBE0BE"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5379A6B9" w14:textId="322B913E" w:rsidR="00CB0605" w:rsidRPr="00D355B7" w:rsidRDefault="007A78E3" w:rsidP="00D355B7">
            <w:pPr>
              <w:rPr>
                <w:szCs w:val="24"/>
              </w:rPr>
            </w:pPr>
            <w:sdt>
              <w:sdtPr>
                <w:rPr>
                  <w:szCs w:val="24"/>
                </w:rPr>
                <w:id w:val="1312749902"/>
              </w:sdtPr>
              <w:sdtEndPr/>
              <w:sdtContent>
                <w:bookmarkStart w:id="0"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0"/>
                <w:r w:rsidR="00CB0605" w:rsidRPr="00D355B7">
                  <w:rPr>
                    <w:szCs w:val="24"/>
                  </w:rPr>
                  <w:t xml:space="preserve"> </w:t>
                </w:r>
              </w:sdtContent>
            </w:sdt>
            <w:r w:rsidR="00CB0605" w:rsidRPr="00D355B7">
              <w:rPr>
                <w:szCs w:val="24"/>
              </w:rPr>
              <w:t xml:space="preserve">Taip </w:t>
            </w:r>
            <w:sdt>
              <w:sdtPr>
                <w:rPr>
                  <w:szCs w:val="24"/>
                </w:rPr>
                <w:id w:val="164368749"/>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126EAA6" w14:textId="77777777" w:rsidTr="00185ACE">
        <w:tc>
          <w:tcPr>
            <w:tcW w:w="6804" w:type="dxa"/>
          </w:tcPr>
          <w:p w14:paraId="34C3231B" w14:textId="77777777" w:rsidR="00CB0605" w:rsidRPr="00D355B7" w:rsidRDefault="00CB0605" w:rsidP="00D355B7">
            <w:pPr>
              <w:rPr>
                <w:b/>
                <w:szCs w:val="24"/>
              </w:rPr>
            </w:pPr>
            <w:r w:rsidRPr="00D355B7">
              <w:rPr>
                <w:b/>
                <w:szCs w:val="24"/>
              </w:rPr>
              <w:t>Ar į visas pastabas ir (ar) pasiūlymus atsižvelgta?</w:t>
            </w:r>
          </w:p>
          <w:p w14:paraId="3D26A125"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0E00D638" w14:textId="6C940F11" w:rsidR="00CB0605" w:rsidRPr="00D355B7" w:rsidRDefault="007A78E3" w:rsidP="00D355B7">
            <w:pPr>
              <w:rPr>
                <w:szCs w:val="24"/>
              </w:rPr>
            </w:pPr>
            <w:sdt>
              <w:sdtPr>
                <w:rPr>
                  <w:szCs w:val="24"/>
                </w:rPr>
                <w:id w:val="-1548671976"/>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sdtContent>
            </w:sdt>
            <w:r w:rsidR="00CB0605" w:rsidRPr="00D355B7">
              <w:rPr>
                <w:szCs w:val="24"/>
              </w:rPr>
              <w:t xml:space="preserve"> Taip </w:t>
            </w:r>
            <w:sdt>
              <w:sdtPr>
                <w:rPr>
                  <w:szCs w:val="24"/>
                </w:rPr>
                <w:id w:val="-338542889"/>
              </w:sdtPr>
              <w:sdtEndPr/>
              <w:sdtContent>
                <w:r w:rsidR="005C162B" w:rsidRPr="00275020">
                  <w:rPr>
                    <w:szCs w:val="24"/>
                  </w:rPr>
                  <w:fldChar w:fldCharType="begin">
                    <w:ffData>
                      <w:name w:val=""/>
                      <w:enabled/>
                      <w:calcOnExit w:val="0"/>
                      <w:checkBox>
                        <w:sizeAuto/>
                        <w:default w:val="1"/>
                      </w:checkBox>
                    </w:ffData>
                  </w:fldChar>
                </w:r>
                <w:r w:rsidR="005C162B" w:rsidRPr="00275020">
                  <w:rPr>
                    <w:szCs w:val="24"/>
                  </w:rPr>
                  <w:instrText xml:space="preserve"> FORMCHECKBOX </w:instrText>
                </w:r>
                <w:r>
                  <w:rPr>
                    <w:szCs w:val="24"/>
                  </w:rPr>
                </w:r>
                <w:r>
                  <w:rPr>
                    <w:szCs w:val="24"/>
                  </w:rPr>
                  <w:fldChar w:fldCharType="separate"/>
                </w:r>
                <w:r w:rsidR="005C162B" w:rsidRPr="00275020">
                  <w:rPr>
                    <w:szCs w:val="24"/>
                  </w:rPr>
                  <w:fldChar w:fldCharType="end"/>
                </w:r>
              </w:sdtContent>
            </w:sdt>
            <w:r w:rsidR="00CB0605" w:rsidRPr="00275020">
              <w:rPr>
                <w:szCs w:val="24"/>
              </w:rPr>
              <w:t xml:space="preserve"> </w:t>
            </w:r>
            <w:r w:rsidR="00CB0605" w:rsidRPr="00380F79">
              <w:rPr>
                <w:szCs w:val="24"/>
              </w:rPr>
              <w:t>Ne</w:t>
            </w:r>
            <w:r w:rsidR="00CB0605" w:rsidRPr="00D355B7">
              <w:rPr>
                <w:szCs w:val="24"/>
              </w:rPr>
              <w:t xml:space="preserve"> </w:t>
            </w:r>
          </w:p>
        </w:tc>
      </w:tr>
    </w:tbl>
    <w:p w14:paraId="5D04C702" w14:textId="1069CB97" w:rsidR="00CB0605" w:rsidRDefault="00CB0605" w:rsidP="00D355B7">
      <w:pPr>
        <w:rPr>
          <w:szCs w:val="24"/>
        </w:rPr>
      </w:pPr>
    </w:p>
    <w:tbl>
      <w:tblPr>
        <w:tblStyle w:val="TableGrid"/>
        <w:tblW w:w="14771" w:type="dxa"/>
        <w:tblInd w:w="108" w:type="dxa"/>
        <w:tblLayout w:type="fixed"/>
        <w:tblLook w:val="04A0" w:firstRow="1" w:lastRow="0" w:firstColumn="1" w:lastColumn="0" w:noHBand="0" w:noVBand="1"/>
      </w:tblPr>
      <w:tblGrid>
        <w:gridCol w:w="567"/>
        <w:gridCol w:w="1985"/>
        <w:gridCol w:w="7541"/>
        <w:gridCol w:w="4678"/>
      </w:tblGrid>
      <w:tr w:rsidR="0008750B" w:rsidRPr="00747A18" w14:paraId="02BCD99E" w14:textId="77777777" w:rsidTr="00152C34">
        <w:tc>
          <w:tcPr>
            <w:tcW w:w="567" w:type="dxa"/>
          </w:tcPr>
          <w:p w14:paraId="034FF55E" w14:textId="77777777" w:rsidR="0008750B" w:rsidRPr="00747A18" w:rsidRDefault="0008750B" w:rsidP="000057A0">
            <w:pPr>
              <w:jc w:val="center"/>
              <w:rPr>
                <w:b/>
                <w:szCs w:val="24"/>
              </w:rPr>
            </w:pPr>
            <w:r w:rsidRPr="00747A18">
              <w:rPr>
                <w:b/>
                <w:szCs w:val="24"/>
              </w:rPr>
              <w:t>Nr.</w:t>
            </w:r>
          </w:p>
        </w:tc>
        <w:tc>
          <w:tcPr>
            <w:tcW w:w="1985" w:type="dxa"/>
          </w:tcPr>
          <w:p w14:paraId="2D84C4EE" w14:textId="77777777" w:rsidR="0008750B" w:rsidRPr="00747A18" w:rsidRDefault="0008750B" w:rsidP="000057A0">
            <w:pPr>
              <w:jc w:val="center"/>
              <w:rPr>
                <w:b/>
                <w:szCs w:val="24"/>
              </w:rPr>
            </w:pPr>
            <w:r w:rsidRPr="00747A18">
              <w:rPr>
                <w:b/>
                <w:szCs w:val="24"/>
              </w:rPr>
              <w:t>Institucija</w:t>
            </w:r>
          </w:p>
        </w:tc>
        <w:tc>
          <w:tcPr>
            <w:tcW w:w="7541" w:type="dxa"/>
          </w:tcPr>
          <w:p w14:paraId="5983B7A0" w14:textId="77777777" w:rsidR="0008750B" w:rsidRPr="00747A18" w:rsidRDefault="0008750B" w:rsidP="000057A0">
            <w:pPr>
              <w:jc w:val="center"/>
              <w:rPr>
                <w:b/>
                <w:szCs w:val="24"/>
              </w:rPr>
            </w:pPr>
            <w:r w:rsidRPr="00747A18">
              <w:rPr>
                <w:b/>
                <w:bCs/>
                <w:szCs w:val="24"/>
              </w:rPr>
              <w:t>Pastabos ir pasiūlymai</w:t>
            </w:r>
          </w:p>
        </w:tc>
        <w:tc>
          <w:tcPr>
            <w:tcW w:w="4678" w:type="dxa"/>
          </w:tcPr>
          <w:p w14:paraId="2D286BD0" w14:textId="77777777" w:rsidR="0008750B" w:rsidRPr="00747A18" w:rsidRDefault="0008750B" w:rsidP="000057A0">
            <w:pPr>
              <w:jc w:val="center"/>
              <w:rPr>
                <w:b/>
                <w:szCs w:val="24"/>
              </w:rPr>
            </w:pPr>
            <w:r w:rsidRPr="00747A18">
              <w:rPr>
                <w:b/>
                <w:bCs/>
                <w:szCs w:val="24"/>
              </w:rPr>
              <w:t>Pastabų ir pasiūlymų vertinimas ir (jei taikoma) argumentai, kodėl neatsižvelgta į pastabas ar pasiūlymus</w:t>
            </w:r>
          </w:p>
        </w:tc>
      </w:tr>
      <w:tr w:rsidR="005C093E" w:rsidRPr="00747A18" w14:paraId="07E46645" w14:textId="77777777" w:rsidTr="00152C34">
        <w:tc>
          <w:tcPr>
            <w:tcW w:w="567" w:type="dxa"/>
            <w:vMerge w:val="restart"/>
          </w:tcPr>
          <w:p w14:paraId="61655B13" w14:textId="77777777" w:rsidR="005C093E" w:rsidRPr="00747A18" w:rsidRDefault="005C093E" w:rsidP="000057A0">
            <w:pPr>
              <w:jc w:val="center"/>
              <w:rPr>
                <w:b/>
                <w:szCs w:val="24"/>
              </w:rPr>
            </w:pPr>
            <w:r>
              <w:rPr>
                <w:b/>
                <w:szCs w:val="24"/>
              </w:rPr>
              <w:t xml:space="preserve">1. </w:t>
            </w:r>
          </w:p>
          <w:p w14:paraId="21F527B7" w14:textId="0863C75D" w:rsidR="005C093E" w:rsidRPr="00747A18" w:rsidRDefault="005C093E" w:rsidP="006E48AE">
            <w:pPr>
              <w:jc w:val="left"/>
              <w:rPr>
                <w:b/>
                <w:szCs w:val="24"/>
              </w:rPr>
            </w:pPr>
            <w:r>
              <w:rPr>
                <w:b/>
                <w:szCs w:val="24"/>
                <w:lang w:val="en-US"/>
              </w:rPr>
              <w:t xml:space="preserve"> </w:t>
            </w:r>
          </w:p>
        </w:tc>
        <w:tc>
          <w:tcPr>
            <w:tcW w:w="1985" w:type="dxa"/>
            <w:vMerge w:val="restart"/>
          </w:tcPr>
          <w:p w14:paraId="55015C7E" w14:textId="0C5AA29B" w:rsidR="005C093E" w:rsidRPr="00FC295B" w:rsidRDefault="005C093E" w:rsidP="000057A0">
            <w:pPr>
              <w:rPr>
                <w:b/>
                <w:bCs/>
                <w:szCs w:val="24"/>
                <w:shd w:val="clear" w:color="auto" w:fill="FFFFFF"/>
              </w:rPr>
            </w:pPr>
            <w:r>
              <w:rPr>
                <w:b/>
                <w:bCs/>
                <w:szCs w:val="24"/>
                <w:shd w:val="clear" w:color="auto" w:fill="FFFFFF"/>
              </w:rPr>
              <w:t>Lietuvos pramonininkų konfederacija</w:t>
            </w:r>
            <w:r w:rsidR="00147BF3">
              <w:rPr>
                <w:b/>
                <w:bCs/>
                <w:szCs w:val="24"/>
                <w:shd w:val="clear" w:color="auto" w:fill="FFFFFF"/>
              </w:rPr>
              <w:t xml:space="preserve">, </w:t>
            </w:r>
            <w:r w:rsidR="00147BF3" w:rsidRPr="004457AD">
              <w:rPr>
                <w:b/>
                <w:bCs/>
                <w:szCs w:val="24"/>
                <w:shd w:val="clear" w:color="auto" w:fill="FFFFFF"/>
              </w:rPr>
              <w:t xml:space="preserve">2022-10-28 Nr. </w:t>
            </w:r>
            <w:r w:rsidR="00B71669" w:rsidRPr="004457AD">
              <w:rPr>
                <w:b/>
                <w:bCs/>
                <w:szCs w:val="24"/>
                <w:shd w:val="clear" w:color="auto" w:fill="FFFFFF"/>
              </w:rPr>
              <w:t>S.294</w:t>
            </w:r>
            <w:r>
              <w:rPr>
                <w:b/>
                <w:bCs/>
                <w:szCs w:val="24"/>
                <w:shd w:val="clear" w:color="auto" w:fill="FFFFFF"/>
              </w:rPr>
              <w:t xml:space="preserve"> </w:t>
            </w:r>
          </w:p>
        </w:tc>
        <w:tc>
          <w:tcPr>
            <w:tcW w:w="7541" w:type="dxa"/>
          </w:tcPr>
          <w:p w14:paraId="3046236B" w14:textId="38530F1F" w:rsidR="002A5C43" w:rsidRPr="006B1398" w:rsidRDefault="00095F8F" w:rsidP="000B2A55">
            <w:pPr>
              <w:tabs>
                <w:tab w:val="left" w:pos="483"/>
              </w:tabs>
              <w:rPr>
                <w:i/>
                <w:iCs/>
                <w:sz w:val="22"/>
                <w:szCs w:val="22"/>
                <w:highlight w:val="red"/>
              </w:rPr>
            </w:pPr>
            <w:r w:rsidRPr="006B1398">
              <w:rPr>
                <w:i/>
                <w:iCs/>
                <w:sz w:val="22"/>
                <w:szCs w:val="22"/>
              </w:rPr>
              <w:t xml:space="preserve">Apraše  numatyta, kad lėšų dalis </w:t>
            </w:r>
            <w:r w:rsidR="00AA020D" w:rsidRPr="006B1398">
              <w:rPr>
                <w:i/>
                <w:iCs/>
                <w:sz w:val="22"/>
                <w:szCs w:val="22"/>
              </w:rPr>
              <w:t>įmonėms išlaidų grupėje „Įranga , įrenginiai ir kitas turtas“, gali sudaryti 5 proc.</w:t>
            </w:r>
            <w:r w:rsidR="00862621" w:rsidRPr="006B1398">
              <w:rPr>
                <w:i/>
                <w:iCs/>
                <w:sz w:val="22"/>
                <w:szCs w:val="22"/>
              </w:rPr>
              <w:t xml:space="preserve"> </w:t>
            </w:r>
            <w:r w:rsidR="002A5C43" w:rsidRPr="006B1398">
              <w:rPr>
                <w:i/>
                <w:iCs/>
                <w:sz w:val="22"/>
                <w:szCs w:val="22"/>
              </w:rPr>
              <w:t>Siūlome atsisakyti šių nuostatų ir Konsorciumų nariams suteikti galimybę patiems priimti sprendimus dėl šių išlaidų pasiskirstymo tarp partnerių.</w:t>
            </w:r>
          </w:p>
        </w:tc>
        <w:tc>
          <w:tcPr>
            <w:tcW w:w="4678" w:type="dxa"/>
          </w:tcPr>
          <w:p w14:paraId="0DC98AF4" w14:textId="05A58FC0" w:rsidR="00F77109" w:rsidRPr="001F4333" w:rsidRDefault="00B557AD" w:rsidP="003F7750">
            <w:pPr>
              <w:rPr>
                <w:i/>
                <w:iCs/>
                <w:sz w:val="22"/>
                <w:szCs w:val="22"/>
              </w:rPr>
            </w:pPr>
            <w:r w:rsidRPr="00415807">
              <w:rPr>
                <w:b/>
                <w:bCs/>
                <w:i/>
                <w:iCs/>
                <w:sz w:val="22"/>
                <w:szCs w:val="22"/>
              </w:rPr>
              <w:t>Iš dalies a</w:t>
            </w:r>
            <w:r w:rsidR="003E5854" w:rsidRPr="00415807">
              <w:rPr>
                <w:b/>
                <w:bCs/>
                <w:i/>
                <w:iCs/>
                <w:sz w:val="22"/>
                <w:szCs w:val="22"/>
              </w:rPr>
              <w:t>tsižvelgta.</w:t>
            </w:r>
            <w:r w:rsidR="003E5854" w:rsidRPr="00415807">
              <w:rPr>
                <w:i/>
                <w:iCs/>
                <w:sz w:val="22"/>
                <w:szCs w:val="22"/>
              </w:rPr>
              <w:t xml:space="preserve"> RRF numatyta, kad</w:t>
            </w:r>
            <w:r w:rsidR="00A83127" w:rsidRPr="00415807">
              <w:rPr>
                <w:i/>
                <w:iCs/>
                <w:sz w:val="22"/>
                <w:szCs w:val="22"/>
              </w:rPr>
              <w:t xml:space="preserve"> </w:t>
            </w:r>
            <w:r w:rsidR="003E5854" w:rsidRPr="00415807">
              <w:rPr>
                <w:i/>
                <w:iCs/>
                <w:sz w:val="22"/>
                <w:szCs w:val="22"/>
              </w:rPr>
              <w:t xml:space="preserve"> </w:t>
            </w:r>
            <w:r w:rsidR="00A83127" w:rsidRPr="00415807">
              <w:rPr>
                <w:i/>
                <w:iCs/>
                <w:sz w:val="22"/>
                <w:szCs w:val="22"/>
              </w:rPr>
              <w:t xml:space="preserve">Konsorciumui reikalinga infrastruktūra įvertinama ir, priklausomai nuo konsorciumo poreikių ir infrastruktūros universalumo, pateikiama konsorciumui (planuojama – mokslo ir studijų institucijai ar mokslo ir technologijų parkui, bet ne privataus sektoriaus subjektui), siekiant užtikrinti atviros prieigos prie infrastruktūros principą, arba Inovacijų agentūrai. </w:t>
            </w:r>
            <w:r w:rsidR="0084753F" w:rsidRPr="00415807">
              <w:rPr>
                <w:i/>
                <w:iCs/>
                <w:sz w:val="22"/>
                <w:szCs w:val="22"/>
              </w:rPr>
              <w:t>Kadangi</w:t>
            </w:r>
            <w:r w:rsidR="003E5854" w:rsidRPr="00415807">
              <w:rPr>
                <w:i/>
                <w:iCs/>
                <w:sz w:val="22"/>
                <w:szCs w:val="22"/>
              </w:rPr>
              <w:t xml:space="preserve"> </w:t>
            </w:r>
            <w:r w:rsidR="00D3340D" w:rsidRPr="00415807">
              <w:rPr>
                <w:i/>
                <w:iCs/>
                <w:sz w:val="22"/>
                <w:szCs w:val="22"/>
              </w:rPr>
              <w:t>„Įranga, įrenginiai ir kitas turtas</w:t>
            </w:r>
            <w:r w:rsidR="00BF1C59" w:rsidRPr="00415807">
              <w:rPr>
                <w:i/>
                <w:iCs/>
                <w:sz w:val="22"/>
                <w:szCs w:val="22"/>
              </w:rPr>
              <w:t>“ turi būti</w:t>
            </w:r>
            <w:r w:rsidR="00187963" w:rsidRPr="00415807">
              <w:rPr>
                <w:i/>
                <w:iCs/>
                <w:sz w:val="22"/>
                <w:szCs w:val="22"/>
              </w:rPr>
              <w:t xml:space="preserve"> valdoma</w:t>
            </w:r>
            <w:r w:rsidR="00BF1C59" w:rsidRPr="00415807">
              <w:rPr>
                <w:i/>
                <w:iCs/>
                <w:sz w:val="22"/>
                <w:szCs w:val="22"/>
              </w:rPr>
              <w:t xml:space="preserve"> </w:t>
            </w:r>
            <w:r w:rsidR="00D425D1" w:rsidRPr="00415807">
              <w:rPr>
                <w:i/>
                <w:iCs/>
                <w:sz w:val="22"/>
                <w:szCs w:val="22"/>
              </w:rPr>
              <w:t>atviros prieigos</w:t>
            </w:r>
            <w:r w:rsidR="00187963" w:rsidRPr="00415807">
              <w:rPr>
                <w:i/>
                <w:iCs/>
                <w:sz w:val="22"/>
                <w:szCs w:val="22"/>
              </w:rPr>
              <w:t xml:space="preserve"> principu,</w:t>
            </w:r>
            <w:r w:rsidR="00415D7F" w:rsidRPr="00415807">
              <w:rPr>
                <w:i/>
                <w:iCs/>
                <w:sz w:val="22"/>
                <w:szCs w:val="22"/>
              </w:rPr>
              <w:t xml:space="preserve"> Misijomis grįstų mokslo ir inovacijų programų projekto finansinių sąlygų apraše (toliau – </w:t>
            </w:r>
            <w:r w:rsidR="00187963" w:rsidRPr="00415807">
              <w:rPr>
                <w:i/>
                <w:iCs/>
                <w:sz w:val="22"/>
                <w:szCs w:val="22"/>
              </w:rPr>
              <w:t>PFSA</w:t>
            </w:r>
            <w:r w:rsidR="00415D7F" w:rsidRPr="00415807">
              <w:rPr>
                <w:i/>
                <w:iCs/>
                <w:sz w:val="22"/>
                <w:szCs w:val="22"/>
              </w:rPr>
              <w:t>)</w:t>
            </w:r>
            <w:r w:rsidR="00187963" w:rsidRPr="00415807">
              <w:rPr>
                <w:i/>
                <w:iCs/>
                <w:sz w:val="22"/>
                <w:szCs w:val="22"/>
              </w:rPr>
              <w:t xml:space="preserve"> </w:t>
            </w:r>
            <w:r w:rsidR="00187963" w:rsidRPr="00415807">
              <w:rPr>
                <w:i/>
                <w:iCs/>
                <w:sz w:val="22"/>
                <w:szCs w:val="22"/>
              </w:rPr>
              <w:lastRenderedPageBreak/>
              <w:t>nustat</w:t>
            </w:r>
            <w:r w:rsidR="00E97B47" w:rsidRPr="00415807">
              <w:rPr>
                <w:i/>
                <w:iCs/>
                <w:sz w:val="22"/>
                <w:szCs w:val="22"/>
              </w:rPr>
              <w:t>ome</w:t>
            </w:r>
            <w:r w:rsidR="00425084" w:rsidRPr="00415807">
              <w:rPr>
                <w:i/>
                <w:iCs/>
                <w:sz w:val="22"/>
                <w:szCs w:val="22"/>
              </w:rPr>
              <w:t>, kad lėšų dalis įmonėms išlaidų grupėje „Įranga, įrenginiai ir kitas turtas“, gali sudaryti iki 5 proc</w:t>
            </w:r>
            <w:r w:rsidR="003F7750" w:rsidRPr="00415807">
              <w:rPr>
                <w:i/>
                <w:iCs/>
                <w:sz w:val="22"/>
                <w:szCs w:val="22"/>
              </w:rPr>
              <w:t xml:space="preserve">., šį procentą didiname iki </w:t>
            </w:r>
            <w:r w:rsidR="003F7750" w:rsidRPr="001F4333">
              <w:rPr>
                <w:i/>
                <w:iCs/>
                <w:sz w:val="22"/>
                <w:szCs w:val="22"/>
              </w:rPr>
              <w:t>10 proc.</w:t>
            </w:r>
          </w:p>
        </w:tc>
      </w:tr>
      <w:tr w:rsidR="005C093E" w:rsidRPr="00747A18" w14:paraId="7DFD0C96" w14:textId="77777777" w:rsidTr="00152C34">
        <w:tc>
          <w:tcPr>
            <w:tcW w:w="567" w:type="dxa"/>
            <w:vMerge/>
          </w:tcPr>
          <w:p w14:paraId="60341E4F" w14:textId="0A25A631" w:rsidR="005C093E" w:rsidRPr="004457AD" w:rsidRDefault="005C093E" w:rsidP="006E48AE">
            <w:pPr>
              <w:jc w:val="left"/>
              <w:rPr>
                <w:b/>
                <w:szCs w:val="24"/>
              </w:rPr>
            </w:pPr>
          </w:p>
        </w:tc>
        <w:tc>
          <w:tcPr>
            <w:tcW w:w="1985" w:type="dxa"/>
            <w:vMerge/>
          </w:tcPr>
          <w:p w14:paraId="4A7BB436" w14:textId="14D7483E" w:rsidR="005C093E" w:rsidRPr="00331808" w:rsidRDefault="005C093E" w:rsidP="001103A9">
            <w:pPr>
              <w:rPr>
                <w:b/>
                <w:bCs/>
                <w:szCs w:val="24"/>
                <w:shd w:val="clear" w:color="auto" w:fill="FFFFFF"/>
              </w:rPr>
            </w:pPr>
          </w:p>
        </w:tc>
        <w:tc>
          <w:tcPr>
            <w:tcW w:w="7541" w:type="dxa"/>
          </w:tcPr>
          <w:p w14:paraId="06BD4A98" w14:textId="32DC2C11" w:rsidR="005C093E" w:rsidRPr="006B1398" w:rsidRDefault="008A7626" w:rsidP="006E48AE">
            <w:pPr>
              <w:rPr>
                <w:rFonts w:eastAsiaTheme="minorHAnsi"/>
                <w:i/>
                <w:iCs/>
                <w:color w:val="000000"/>
                <w:sz w:val="22"/>
                <w:szCs w:val="22"/>
                <w:lang w:eastAsia="en-US"/>
              </w:rPr>
            </w:pPr>
            <w:r w:rsidRPr="006B1398">
              <w:rPr>
                <w:rFonts w:eastAsiaTheme="minorHAnsi"/>
                <w:i/>
                <w:iCs/>
                <w:color w:val="000000"/>
                <w:sz w:val="22"/>
                <w:szCs w:val="22"/>
                <w:lang w:eastAsia="en-US"/>
              </w:rPr>
              <w:t xml:space="preserve">Apraše nėra numatyta </w:t>
            </w:r>
            <w:r w:rsidR="00232893" w:rsidRPr="006B1398">
              <w:rPr>
                <w:rFonts w:eastAsiaTheme="minorHAnsi"/>
                <w:i/>
                <w:iCs/>
                <w:color w:val="000000"/>
                <w:sz w:val="22"/>
                <w:szCs w:val="22"/>
                <w:lang w:eastAsia="en-US"/>
              </w:rPr>
              <w:t>jokių ir sąlygų dėl įmonių įsitraukimo (verslo) įsitraukimo į projekto išlaidų grupėje „Projekto vykdymas</w:t>
            </w:r>
            <w:r w:rsidR="007C69E0" w:rsidRPr="006B1398">
              <w:rPr>
                <w:rFonts w:eastAsiaTheme="minorHAnsi"/>
                <w:i/>
                <w:iCs/>
                <w:color w:val="000000"/>
                <w:sz w:val="22"/>
                <w:szCs w:val="22"/>
                <w:lang w:eastAsia="en-US"/>
              </w:rPr>
              <w:t xml:space="preserve"> (paslaugos ir darbo užmokestis)“, pvz., projektą vykdančio personalo darbo užmokesčio ir atlygio </w:t>
            </w:r>
            <w:r w:rsidR="002C3266" w:rsidRPr="006B1398">
              <w:rPr>
                <w:rFonts w:eastAsiaTheme="minorHAnsi"/>
                <w:i/>
                <w:iCs/>
                <w:color w:val="000000"/>
                <w:sz w:val="22"/>
                <w:szCs w:val="22"/>
                <w:lang w:eastAsia="en-US"/>
              </w:rPr>
              <w:t>projektą vykdantiems fiziniams asmenims pagal paslaugų (civilines)</w:t>
            </w:r>
            <w:r w:rsidR="00C56D09" w:rsidRPr="006B1398">
              <w:rPr>
                <w:rFonts w:eastAsiaTheme="minorHAnsi"/>
                <w:i/>
                <w:iCs/>
                <w:color w:val="000000"/>
                <w:sz w:val="22"/>
                <w:szCs w:val="22"/>
                <w:lang w:eastAsia="en-US"/>
              </w:rPr>
              <w:t>, autorines ar kitas sutartis išlaidos.</w:t>
            </w:r>
          </w:p>
        </w:tc>
        <w:tc>
          <w:tcPr>
            <w:tcW w:w="4678" w:type="dxa"/>
          </w:tcPr>
          <w:p w14:paraId="26E36DEE" w14:textId="01E723B4" w:rsidR="002C6288" w:rsidRPr="00415807" w:rsidRDefault="007C298E" w:rsidP="009844BB">
            <w:pPr>
              <w:rPr>
                <w:i/>
                <w:iCs/>
                <w:sz w:val="22"/>
                <w:szCs w:val="22"/>
              </w:rPr>
            </w:pPr>
            <w:r w:rsidRPr="00415807">
              <w:rPr>
                <w:b/>
                <w:bCs/>
                <w:i/>
                <w:iCs/>
                <w:sz w:val="22"/>
                <w:szCs w:val="22"/>
              </w:rPr>
              <w:t xml:space="preserve">Neatsižvelgta. </w:t>
            </w:r>
            <w:r w:rsidR="00A365CA" w:rsidRPr="00415807">
              <w:rPr>
                <w:i/>
                <w:iCs/>
                <w:sz w:val="22"/>
                <w:szCs w:val="22"/>
              </w:rPr>
              <w:t xml:space="preserve">Nėra numatyta ribojimų </w:t>
            </w:r>
            <w:r w:rsidR="001560E7" w:rsidRPr="00415807">
              <w:rPr>
                <w:i/>
                <w:iCs/>
                <w:sz w:val="22"/>
                <w:szCs w:val="22"/>
              </w:rPr>
              <w:t xml:space="preserve">„Projekto vykdymas (paslaugos ir darbo užmokestis)“ veiklai, </w:t>
            </w:r>
            <w:r w:rsidR="005761A1" w:rsidRPr="00415807">
              <w:rPr>
                <w:i/>
                <w:iCs/>
                <w:sz w:val="22"/>
                <w:szCs w:val="22"/>
              </w:rPr>
              <w:t>PFSA punkte 9.19. Įgyvendinant Aprašo 2.9.2 p. nurodytą veiklą, tinkamos išlaidų grupėje „Projekto vykdymas (paslaugos ir darbo užmokestis)“ nurodytos išlaidos.</w:t>
            </w:r>
            <w:r w:rsidR="00B853F7" w:rsidRPr="00415807">
              <w:rPr>
                <w:i/>
                <w:iCs/>
                <w:sz w:val="22"/>
                <w:szCs w:val="22"/>
              </w:rPr>
              <w:t xml:space="preserve"> </w:t>
            </w:r>
            <w:r w:rsidR="00D175BC" w:rsidRPr="00415807">
              <w:rPr>
                <w:i/>
                <w:iCs/>
                <w:sz w:val="22"/>
                <w:szCs w:val="22"/>
              </w:rPr>
              <w:t xml:space="preserve">Taip pat pagal BBIR veiksmingas bendradarbiavimas suprantamas kai nė vienas </w:t>
            </w:r>
            <w:r w:rsidR="0051753E" w:rsidRPr="00415807">
              <w:rPr>
                <w:i/>
                <w:iCs/>
                <w:sz w:val="22"/>
                <w:szCs w:val="22"/>
              </w:rPr>
              <w:t>Konsorciumo</w:t>
            </w:r>
            <w:r w:rsidR="00AA0B71" w:rsidRPr="00415807">
              <w:rPr>
                <w:i/>
                <w:iCs/>
                <w:sz w:val="22"/>
                <w:szCs w:val="22"/>
              </w:rPr>
              <w:t xml:space="preserve"> narys</w:t>
            </w:r>
            <w:r w:rsidR="0051753E" w:rsidRPr="00415807">
              <w:rPr>
                <w:i/>
                <w:iCs/>
                <w:sz w:val="22"/>
                <w:szCs w:val="22"/>
              </w:rPr>
              <w:t xml:space="preserve"> nevykdo daugiau kaip 70 proc. </w:t>
            </w:r>
            <w:proofErr w:type="spellStart"/>
            <w:r w:rsidR="008D5F0C" w:rsidRPr="00415807">
              <w:rPr>
                <w:i/>
                <w:iCs/>
                <w:sz w:val="22"/>
                <w:szCs w:val="22"/>
                <w:lang w:val="en-US"/>
              </w:rPr>
              <w:t>Konsorciumo</w:t>
            </w:r>
            <w:proofErr w:type="spellEnd"/>
            <w:r w:rsidR="008D5F0C" w:rsidRPr="00415807">
              <w:rPr>
                <w:i/>
                <w:iCs/>
                <w:sz w:val="22"/>
                <w:szCs w:val="22"/>
                <w:lang w:val="en-US"/>
              </w:rPr>
              <w:t xml:space="preserve"> par</w:t>
            </w:r>
            <w:proofErr w:type="spellStart"/>
            <w:r w:rsidR="008D5F0C" w:rsidRPr="00415807">
              <w:rPr>
                <w:i/>
                <w:iCs/>
                <w:sz w:val="22"/>
                <w:szCs w:val="22"/>
              </w:rPr>
              <w:t>aiškoje</w:t>
            </w:r>
            <w:proofErr w:type="spellEnd"/>
            <w:r w:rsidR="008D5F0C" w:rsidRPr="00415807">
              <w:rPr>
                <w:i/>
                <w:iCs/>
                <w:sz w:val="22"/>
                <w:szCs w:val="22"/>
              </w:rPr>
              <w:t xml:space="preserve"> numatytų veiklų.</w:t>
            </w:r>
          </w:p>
        </w:tc>
      </w:tr>
      <w:tr w:rsidR="005C093E" w:rsidRPr="00747A18" w14:paraId="222E8895" w14:textId="77777777" w:rsidTr="00152C34">
        <w:tc>
          <w:tcPr>
            <w:tcW w:w="567" w:type="dxa"/>
            <w:vMerge/>
          </w:tcPr>
          <w:p w14:paraId="650D7F53" w14:textId="77777777" w:rsidR="005C093E" w:rsidRPr="00747A18" w:rsidRDefault="005C093E" w:rsidP="00786380">
            <w:pPr>
              <w:jc w:val="center"/>
              <w:rPr>
                <w:b/>
                <w:szCs w:val="24"/>
              </w:rPr>
            </w:pPr>
          </w:p>
        </w:tc>
        <w:tc>
          <w:tcPr>
            <w:tcW w:w="1985" w:type="dxa"/>
            <w:vMerge/>
          </w:tcPr>
          <w:p w14:paraId="51DA832B" w14:textId="77777777" w:rsidR="005C093E" w:rsidRPr="00331808" w:rsidRDefault="005C093E" w:rsidP="00786380">
            <w:pPr>
              <w:rPr>
                <w:b/>
                <w:bCs/>
                <w:szCs w:val="24"/>
                <w:shd w:val="clear" w:color="auto" w:fill="FFFFFF"/>
              </w:rPr>
            </w:pPr>
          </w:p>
        </w:tc>
        <w:tc>
          <w:tcPr>
            <w:tcW w:w="7541" w:type="dxa"/>
          </w:tcPr>
          <w:p w14:paraId="46E6F7AA" w14:textId="32C0DF53" w:rsidR="005C093E" w:rsidRPr="006B1398" w:rsidRDefault="00FA7226" w:rsidP="00C06F0D">
            <w:pPr>
              <w:rPr>
                <w:rFonts w:eastAsiaTheme="minorHAnsi"/>
                <w:i/>
                <w:iCs/>
                <w:color w:val="000000"/>
                <w:sz w:val="22"/>
                <w:szCs w:val="22"/>
                <w:lang w:eastAsia="en-US"/>
              </w:rPr>
            </w:pPr>
            <w:r w:rsidRPr="006B1398">
              <w:rPr>
                <w:rFonts w:eastAsiaTheme="minorHAnsi"/>
                <w:i/>
                <w:iCs/>
                <w:color w:val="000000"/>
                <w:sz w:val="22"/>
                <w:szCs w:val="22"/>
                <w:lang w:eastAsia="en-US"/>
              </w:rPr>
              <w:t>Apraše  nėra numatytų saugiklių verslui, kad jis galėtų naudotis kompetencijų centrų infrastruktūra.</w:t>
            </w:r>
          </w:p>
        </w:tc>
        <w:tc>
          <w:tcPr>
            <w:tcW w:w="4678" w:type="dxa"/>
          </w:tcPr>
          <w:p w14:paraId="25B815F1" w14:textId="77829112" w:rsidR="00CB1EEB" w:rsidRPr="00415807" w:rsidRDefault="00124B8F" w:rsidP="00BB30AA">
            <w:pPr>
              <w:rPr>
                <w:i/>
                <w:iCs/>
                <w:sz w:val="22"/>
                <w:szCs w:val="22"/>
              </w:rPr>
            </w:pPr>
            <w:r w:rsidRPr="00415807">
              <w:rPr>
                <w:b/>
                <w:bCs/>
                <w:i/>
                <w:iCs/>
                <w:sz w:val="22"/>
                <w:szCs w:val="22"/>
              </w:rPr>
              <w:t>Iš dalies atsižvelgta</w:t>
            </w:r>
            <w:r w:rsidR="002D7C7D" w:rsidRPr="00415807">
              <w:rPr>
                <w:b/>
                <w:bCs/>
                <w:i/>
                <w:iCs/>
                <w:sz w:val="22"/>
                <w:szCs w:val="22"/>
              </w:rPr>
              <w:t>.</w:t>
            </w:r>
            <w:r w:rsidR="00BB6A8D" w:rsidRPr="00415807">
              <w:rPr>
                <w:b/>
                <w:bCs/>
                <w:i/>
                <w:iCs/>
                <w:sz w:val="22"/>
                <w:szCs w:val="22"/>
              </w:rPr>
              <w:t xml:space="preserve"> </w:t>
            </w:r>
            <w:r w:rsidR="00020CA1" w:rsidRPr="00415807">
              <w:rPr>
                <w:i/>
                <w:iCs/>
                <w:sz w:val="22"/>
                <w:szCs w:val="22"/>
              </w:rPr>
              <w:t xml:space="preserve">Pagal BBIR </w:t>
            </w:r>
            <w:r w:rsidR="00AB753A" w:rsidRPr="00415807">
              <w:rPr>
                <w:i/>
                <w:iCs/>
                <w:sz w:val="22"/>
                <w:szCs w:val="22"/>
              </w:rPr>
              <w:t xml:space="preserve"> yra reikalavimas, kad a</w:t>
            </w:r>
            <w:r w:rsidR="001934C1" w:rsidRPr="00415807">
              <w:rPr>
                <w:i/>
                <w:iCs/>
                <w:sz w:val="22"/>
                <w:szCs w:val="22"/>
              </w:rPr>
              <w:t xml:space="preserve">tviros prieigos principu veikianti infrastruktūra </w:t>
            </w:r>
            <w:r w:rsidR="006917DE" w:rsidRPr="00415807">
              <w:rPr>
                <w:i/>
                <w:iCs/>
                <w:sz w:val="22"/>
                <w:szCs w:val="22"/>
              </w:rPr>
              <w:t>negali būti perduodama kaip net</w:t>
            </w:r>
            <w:r w:rsidR="00AB6324" w:rsidRPr="00415807">
              <w:rPr>
                <w:i/>
                <w:iCs/>
                <w:sz w:val="22"/>
                <w:szCs w:val="22"/>
              </w:rPr>
              <w:t>ie</w:t>
            </w:r>
            <w:r w:rsidR="006917DE" w:rsidRPr="00415807">
              <w:rPr>
                <w:i/>
                <w:iCs/>
                <w:sz w:val="22"/>
                <w:szCs w:val="22"/>
              </w:rPr>
              <w:t>sioginė valstybės pagalba, todėl už naudojimąsi j</w:t>
            </w:r>
            <w:r w:rsidR="00E35F4E">
              <w:rPr>
                <w:i/>
                <w:iCs/>
                <w:sz w:val="22"/>
                <w:szCs w:val="22"/>
              </w:rPr>
              <w:t>a</w:t>
            </w:r>
            <w:r w:rsidR="006917DE" w:rsidRPr="00415807">
              <w:rPr>
                <w:i/>
                <w:iCs/>
                <w:sz w:val="22"/>
                <w:szCs w:val="22"/>
              </w:rPr>
              <w:t xml:space="preserve"> turi</w:t>
            </w:r>
            <w:r w:rsidR="00AB6324" w:rsidRPr="00415807">
              <w:rPr>
                <w:i/>
                <w:iCs/>
                <w:sz w:val="22"/>
                <w:szCs w:val="22"/>
              </w:rPr>
              <w:t xml:space="preserve"> būti mokama rinkos kaina.</w:t>
            </w:r>
            <w:r w:rsidR="00BB30AA" w:rsidRPr="00415807">
              <w:rPr>
                <w:i/>
                <w:iCs/>
                <w:sz w:val="22"/>
                <w:szCs w:val="22"/>
              </w:rPr>
              <w:t xml:space="preserve"> PFSA p</w:t>
            </w:r>
            <w:r w:rsidR="00E557DD" w:rsidRPr="00415807">
              <w:rPr>
                <w:i/>
                <w:iCs/>
                <w:sz w:val="22"/>
                <w:szCs w:val="22"/>
              </w:rPr>
              <w:t xml:space="preserve">ridedame sąlygą, kad </w:t>
            </w:r>
            <w:r w:rsidR="00AB6324" w:rsidRPr="00415807">
              <w:rPr>
                <w:i/>
                <w:iCs/>
                <w:sz w:val="22"/>
                <w:szCs w:val="22"/>
              </w:rPr>
              <w:t xml:space="preserve">Konsorciumo sutartyje </w:t>
            </w:r>
            <w:r w:rsidR="00E557DD" w:rsidRPr="00415807">
              <w:rPr>
                <w:i/>
                <w:iCs/>
                <w:sz w:val="22"/>
                <w:szCs w:val="22"/>
              </w:rPr>
              <w:t>turi būti numatytas</w:t>
            </w:r>
            <w:r w:rsidR="00C02F25" w:rsidRPr="00415807">
              <w:rPr>
                <w:i/>
                <w:iCs/>
                <w:sz w:val="22"/>
                <w:szCs w:val="22"/>
              </w:rPr>
              <w:t xml:space="preserve"> Kompetencijų centro valdymo</w:t>
            </w:r>
            <w:r w:rsidR="00F34EE9" w:rsidRPr="00415807">
              <w:rPr>
                <w:i/>
                <w:iCs/>
                <w:sz w:val="22"/>
                <w:szCs w:val="22"/>
              </w:rPr>
              <w:t xml:space="preserve"> (operavimo) modelis</w:t>
            </w:r>
            <w:r w:rsidR="00C02F25" w:rsidRPr="00415807">
              <w:rPr>
                <w:i/>
                <w:iCs/>
                <w:sz w:val="22"/>
                <w:szCs w:val="22"/>
              </w:rPr>
              <w:t>,</w:t>
            </w:r>
            <w:r w:rsidR="0077301F" w:rsidRPr="00415807">
              <w:rPr>
                <w:i/>
                <w:iCs/>
                <w:sz w:val="22"/>
                <w:szCs w:val="22"/>
              </w:rPr>
              <w:t xml:space="preserve"> numatant, kad </w:t>
            </w:r>
            <w:r w:rsidR="00F34EE9" w:rsidRPr="00415807">
              <w:rPr>
                <w:i/>
                <w:iCs/>
                <w:sz w:val="22"/>
                <w:szCs w:val="22"/>
              </w:rPr>
              <w:t xml:space="preserve">visi Konsorciumo nariai dalyvautų </w:t>
            </w:r>
            <w:r w:rsidR="0077301F" w:rsidRPr="00415807">
              <w:rPr>
                <w:i/>
                <w:iCs/>
                <w:sz w:val="22"/>
                <w:szCs w:val="22"/>
              </w:rPr>
              <w:t>Kompetencijų centro valdym</w:t>
            </w:r>
            <w:r w:rsidR="00822DEA" w:rsidRPr="00415807">
              <w:rPr>
                <w:i/>
                <w:iCs/>
                <w:sz w:val="22"/>
                <w:szCs w:val="22"/>
              </w:rPr>
              <w:t>e</w:t>
            </w:r>
            <w:r w:rsidR="00F34EE9" w:rsidRPr="00415807">
              <w:rPr>
                <w:i/>
                <w:iCs/>
                <w:sz w:val="22"/>
                <w:szCs w:val="22"/>
              </w:rPr>
              <w:t xml:space="preserve">. </w:t>
            </w:r>
          </w:p>
        </w:tc>
      </w:tr>
      <w:tr w:rsidR="005C093E" w:rsidRPr="00747A18" w14:paraId="3A0BF331" w14:textId="77777777" w:rsidTr="00152C34">
        <w:tc>
          <w:tcPr>
            <w:tcW w:w="567" w:type="dxa"/>
            <w:vMerge/>
          </w:tcPr>
          <w:p w14:paraId="6FD8E17B" w14:textId="77777777" w:rsidR="005C093E" w:rsidRPr="00747A18" w:rsidRDefault="005C093E" w:rsidP="00D1464F">
            <w:pPr>
              <w:jc w:val="center"/>
              <w:rPr>
                <w:b/>
                <w:szCs w:val="24"/>
              </w:rPr>
            </w:pPr>
          </w:p>
        </w:tc>
        <w:tc>
          <w:tcPr>
            <w:tcW w:w="1985" w:type="dxa"/>
            <w:vMerge/>
          </w:tcPr>
          <w:p w14:paraId="6E4F29C9" w14:textId="77777777" w:rsidR="005C093E" w:rsidRPr="00CF785F" w:rsidRDefault="005C093E" w:rsidP="00D1464F">
            <w:pPr>
              <w:rPr>
                <w:b/>
                <w:bCs/>
                <w:szCs w:val="24"/>
                <w:shd w:val="clear" w:color="auto" w:fill="FFFFFF"/>
              </w:rPr>
            </w:pPr>
          </w:p>
        </w:tc>
        <w:tc>
          <w:tcPr>
            <w:tcW w:w="7541" w:type="dxa"/>
          </w:tcPr>
          <w:p w14:paraId="40E23A64" w14:textId="30A335DE" w:rsidR="00C06F0D" w:rsidRPr="006B1398" w:rsidRDefault="00822DEA" w:rsidP="00C06F0D">
            <w:pPr>
              <w:rPr>
                <w:i/>
                <w:iCs/>
                <w:sz w:val="22"/>
                <w:szCs w:val="22"/>
              </w:rPr>
            </w:pPr>
            <w:r w:rsidRPr="006B1398">
              <w:rPr>
                <w:i/>
                <w:iCs/>
                <w:sz w:val="22"/>
                <w:szCs w:val="22"/>
              </w:rPr>
              <w:t>Apra</w:t>
            </w:r>
            <w:r w:rsidR="00C92E3D" w:rsidRPr="006B1398">
              <w:rPr>
                <w:i/>
                <w:iCs/>
                <w:sz w:val="22"/>
                <w:szCs w:val="22"/>
              </w:rPr>
              <w:t>še nėra jokių reikalavimų projekto partneriams</w:t>
            </w:r>
            <w:r w:rsidR="00A23CF3" w:rsidRPr="006B1398">
              <w:rPr>
                <w:i/>
                <w:iCs/>
                <w:sz w:val="22"/>
                <w:szCs w:val="22"/>
              </w:rPr>
              <w:t>, t.</w:t>
            </w:r>
            <w:r w:rsidR="00E35F4E">
              <w:rPr>
                <w:i/>
                <w:iCs/>
                <w:sz w:val="22"/>
                <w:szCs w:val="22"/>
              </w:rPr>
              <w:t xml:space="preserve"> </w:t>
            </w:r>
            <w:r w:rsidR="00A23CF3" w:rsidRPr="006B1398">
              <w:rPr>
                <w:i/>
                <w:iCs/>
                <w:sz w:val="22"/>
                <w:szCs w:val="22"/>
              </w:rPr>
              <w:t xml:space="preserve">y. kiek partneris yra finansiškai pajėgus ir patyręs inovacijų kūrimo ir/ar </w:t>
            </w:r>
            <w:r w:rsidR="006A12AD" w:rsidRPr="006B1398">
              <w:rPr>
                <w:i/>
                <w:iCs/>
                <w:sz w:val="22"/>
                <w:szCs w:val="22"/>
              </w:rPr>
              <w:t>įgyvendinimo srityje bei gali užtikrinti veiklų ir projekto tęstinumą ilgalaikėje perspektyvoje.</w:t>
            </w:r>
          </w:p>
          <w:p w14:paraId="6E02F8D5" w14:textId="320FACCD" w:rsidR="00C06F0D" w:rsidRPr="006B1398" w:rsidRDefault="00C06F0D" w:rsidP="00C06F0D">
            <w:pPr>
              <w:rPr>
                <w:i/>
                <w:iCs/>
                <w:sz w:val="22"/>
                <w:szCs w:val="22"/>
              </w:rPr>
            </w:pPr>
          </w:p>
        </w:tc>
        <w:tc>
          <w:tcPr>
            <w:tcW w:w="4678" w:type="dxa"/>
          </w:tcPr>
          <w:p w14:paraId="752C2461" w14:textId="3A630167" w:rsidR="005C093E" w:rsidRPr="00415807" w:rsidRDefault="00CD1E8D" w:rsidP="00D1464F">
            <w:pPr>
              <w:rPr>
                <w:i/>
                <w:iCs/>
                <w:sz w:val="22"/>
                <w:szCs w:val="22"/>
              </w:rPr>
            </w:pPr>
            <w:r w:rsidRPr="00415807">
              <w:rPr>
                <w:b/>
                <w:bCs/>
                <w:i/>
                <w:iCs/>
                <w:sz w:val="22"/>
                <w:szCs w:val="22"/>
              </w:rPr>
              <w:t>Iš dalies a</w:t>
            </w:r>
            <w:r w:rsidR="001207D5" w:rsidRPr="00415807">
              <w:rPr>
                <w:b/>
                <w:bCs/>
                <w:i/>
                <w:iCs/>
                <w:sz w:val="22"/>
                <w:szCs w:val="22"/>
              </w:rPr>
              <w:t>tsižvelgta.</w:t>
            </w:r>
            <w:r w:rsidR="00661FE9" w:rsidRPr="00415807">
              <w:rPr>
                <w:b/>
                <w:bCs/>
                <w:i/>
                <w:iCs/>
                <w:sz w:val="22"/>
                <w:szCs w:val="22"/>
              </w:rPr>
              <w:t xml:space="preserve"> </w:t>
            </w:r>
            <w:r w:rsidR="00A55F0C" w:rsidRPr="00415807">
              <w:rPr>
                <w:i/>
                <w:iCs/>
                <w:sz w:val="22"/>
                <w:szCs w:val="22"/>
              </w:rPr>
              <w:t xml:space="preserve">Viešosios įstaigos Inovacijų agentūros (toliau – IA) rengiamose </w:t>
            </w:r>
            <w:r w:rsidR="00661FE9" w:rsidRPr="00415807">
              <w:rPr>
                <w:i/>
                <w:iCs/>
                <w:sz w:val="22"/>
                <w:szCs w:val="22"/>
              </w:rPr>
              <w:t>Konsorciumo atrankos taisyklėse yra numatyt</w:t>
            </w:r>
            <w:r w:rsidR="00E35F4E">
              <w:rPr>
                <w:i/>
                <w:iCs/>
                <w:sz w:val="22"/>
                <w:szCs w:val="22"/>
              </w:rPr>
              <w:t>i</w:t>
            </w:r>
            <w:r w:rsidR="000D235E" w:rsidRPr="00415807">
              <w:rPr>
                <w:i/>
                <w:iCs/>
                <w:sz w:val="22"/>
                <w:szCs w:val="22"/>
              </w:rPr>
              <w:t xml:space="preserve"> reikalavimai Konsorciumo partneriams.</w:t>
            </w:r>
            <w:r w:rsidR="00A55F0C" w:rsidRPr="00415807">
              <w:rPr>
                <w:i/>
                <w:iCs/>
                <w:sz w:val="22"/>
                <w:szCs w:val="22"/>
              </w:rPr>
              <w:t xml:space="preserve"> Konsorciumo atrankos taisyklės bus pristatomos iškart po PFSA patvirtinimo.</w:t>
            </w:r>
          </w:p>
          <w:p w14:paraId="0310E41E" w14:textId="63FCA18A" w:rsidR="003C5DC5" w:rsidRPr="00415807" w:rsidRDefault="003C5DC5" w:rsidP="00D1464F">
            <w:pPr>
              <w:rPr>
                <w:b/>
                <w:bCs/>
                <w:i/>
                <w:iCs/>
                <w:sz w:val="22"/>
                <w:szCs w:val="22"/>
              </w:rPr>
            </w:pPr>
          </w:p>
        </w:tc>
      </w:tr>
      <w:tr w:rsidR="000D235E" w:rsidRPr="00747A18" w14:paraId="1D4EC7CB" w14:textId="77777777" w:rsidTr="00152C34">
        <w:tc>
          <w:tcPr>
            <w:tcW w:w="567" w:type="dxa"/>
          </w:tcPr>
          <w:p w14:paraId="3839BF8A" w14:textId="77777777" w:rsidR="000D235E" w:rsidRDefault="000D235E" w:rsidP="00D1464F">
            <w:pPr>
              <w:jc w:val="center"/>
              <w:rPr>
                <w:b/>
                <w:szCs w:val="24"/>
              </w:rPr>
            </w:pPr>
          </w:p>
        </w:tc>
        <w:tc>
          <w:tcPr>
            <w:tcW w:w="1985" w:type="dxa"/>
          </w:tcPr>
          <w:p w14:paraId="1A75DE29" w14:textId="77777777" w:rsidR="000D235E" w:rsidRPr="00CF785F" w:rsidRDefault="000D235E" w:rsidP="00D1464F">
            <w:pPr>
              <w:rPr>
                <w:b/>
                <w:bCs/>
                <w:szCs w:val="24"/>
                <w:shd w:val="clear" w:color="auto" w:fill="FFFFFF"/>
              </w:rPr>
            </w:pPr>
          </w:p>
        </w:tc>
        <w:tc>
          <w:tcPr>
            <w:tcW w:w="7541" w:type="dxa"/>
          </w:tcPr>
          <w:p w14:paraId="36D89A3F" w14:textId="014B64BC" w:rsidR="000D235E" w:rsidRPr="006B1398" w:rsidRDefault="00302A65" w:rsidP="00C06F0D">
            <w:pPr>
              <w:rPr>
                <w:i/>
                <w:iCs/>
                <w:sz w:val="22"/>
                <w:szCs w:val="22"/>
              </w:rPr>
            </w:pPr>
            <w:r w:rsidRPr="00D12756">
              <w:rPr>
                <w:i/>
                <w:iCs/>
                <w:sz w:val="22"/>
                <w:szCs w:val="22"/>
              </w:rPr>
              <w:t xml:space="preserve">Apraše nėra </w:t>
            </w:r>
            <w:r w:rsidR="00677712" w:rsidRPr="00D12756">
              <w:rPr>
                <w:i/>
                <w:iCs/>
                <w:sz w:val="22"/>
                <w:szCs w:val="22"/>
              </w:rPr>
              <w:t>sąlygos, kad vienas subjektas gali dalyvauti ne daugiau kaip vienoje paraiškoje, vienoje misijos tematikoje</w:t>
            </w:r>
          </w:p>
        </w:tc>
        <w:tc>
          <w:tcPr>
            <w:tcW w:w="4678" w:type="dxa"/>
          </w:tcPr>
          <w:p w14:paraId="09B621C7" w14:textId="01AB5875" w:rsidR="00524EBC" w:rsidRPr="00734D95" w:rsidRDefault="00DB11E0" w:rsidP="00D1464F">
            <w:pPr>
              <w:rPr>
                <w:i/>
                <w:iCs/>
                <w:sz w:val="22"/>
                <w:szCs w:val="22"/>
              </w:rPr>
            </w:pPr>
            <w:r w:rsidRPr="00734D95">
              <w:rPr>
                <w:b/>
                <w:bCs/>
                <w:i/>
                <w:iCs/>
                <w:sz w:val="22"/>
                <w:szCs w:val="22"/>
              </w:rPr>
              <w:t>Nea</w:t>
            </w:r>
            <w:r w:rsidR="00AD5290" w:rsidRPr="00734D95">
              <w:rPr>
                <w:b/>
                <w:bCs/>
                <w:i/>
                <w:iCs/>
                <w:sz w:val="22"/>
                <w:szCs w:val="22"/>
              </w:rPr>
              <w:t>tsižvelgta</w:t>
            </w:r>
            <w:r w:rsidRPr="00734D95">
              <w:rPr>
                <w:i/>
                <w:iCs/>
                <w:sz w:val="22"/>
                <w:szCs w:val="22"/>
              </w:rPr>
              <w:t xml:space="preserve">. </w:t>
            </w:r>
            <w:r w:rsidR="004F2185" w:rsidRPr="00734D95">
              <w:rPr>
                <w:i/>
                <w:iCs/>
                <w:sz w:val="22"/>
                <w:szCs w:val="22"/>
              </w:rPr>
              <w:t>Palikti galimybė</w:t>
            </w:r>
            <w:r w:rsidR="00734D95" w:rsidRPr="00734D95">
              <w:rPr>
                <w:i/>
                <w:iCs/>
                <w:sz w:val="22"/>
                <w:szCs w:val="22"/>
              </w:rPr>
              <w:t>, kad subjektų dalyvavimas misijų temose nėra ribojamas.</w:t>
            </w:r>
          </w:p>
          <w:p w14:paraId="7D5BC0E2" w14:textId="77777777" w:rsidR="00F47E4D" w:rsidRPr="00415807" w:rsidRDefault="00F47E4D" w:rsidP="00D1464F">
            <w:pPr>
              <w:rPr>
                <w:i/>
                <w:iCs/>
                <w:color w:val="FF0000"/>
                <w:sz w:val="22"/>
                <w:szCs w:val="22"/>
              </w:rPr>
            </w:pPr>
          </w:p>
          <w:p w14:paraId="2EA22413" w14:textId="0E2B53BD" w:rsidR="00F47E4D" w:rsidRPr="00415807" w:rsidRDefault="00F47E4D" w:rsidP="00D1464F">
            <w:pPr>
              <w:rPr>
                <w:b/>
                <w:bCs/>
                <w:i/>
                <w:iCs/>
                <w:sz w:val="22"/>
                <w:szCs w:val="22"/>
              </w:rPr>
            </w:pPr>
          </w:p>
        </w:tc>
      </w:tr>
      <w:tr w:rsidR="00DB11E0" w:rsidRPr="00747A18" w14:paraId="7E444E83" w14:textId="77777777" w:rsidTr="00152C34">
        <w:tc>
          <w:tcPr>
            <w:tcW w:w="567" w:type="dxa"/>
          </w:tcPr>
          <w:p w14:paraId="0A073F86" w14:textId="77777777" w:rsidR="00DB11E0" w:rsidRDefault="00DB11E0" w:rsidP="00D1464F">
            <w:pPr>
              <w:jc w:val="center"/>
              <w:rPr>
                <w:b/>
                <w:szCs w:val="24"/>
              </w:rPr>
            </w:pPr>
          </w:p>
        </w:tc>
        <w:tc>
          <w:tcPr>
            <w:tcW w:w="1985" w:type="dxa"/>
          </w:tcPr>
          <w:p w14:paraId="531CA95B" w14:textId="77777777" w:rsidR="00DB11E0" w:rsidRPr="00CF785F" w:rsidRDefault="00DB11E0" w:rsidP="00D1464F">
            <w:pPr>
              <w:rPr>
                <w:b/>
                <w:bCs/>
                <w:szCs w:val="24"/>
                <w:shd w:val="clear" w:color="auto" w:fill="FFFFFF"/>
              </w:rPr>
            </w:pPr>
          </w:p>
        </w:tc>
        <w:tc>
          <w:tcPr>
            <w:tcW w:w="7541" w:type="dxa"/>
          </w:tcPr>
          <w:p w14:paraId="0D99F24F" w14:textId="7D2FE68D" w:rsidR="00DB11E0" w:rsidRPr="006B1398" w:rsidRDefault="00DB11E0" w:rsidP="00C06F0D">
            <w:pPr>
              <w:rPr>
                <w:i/>
                <w:iCs/>
                <w:sz w:val="22"/>
                <w:szCs w:val="22"/>
              </w:rPr>
            </w:pPr>
            <w:r w:rsidRPr="006B1398">
              <w:rPr>
                <w:i/>
                <w:iCs/>
                <w:sz w:val="22"/>
                <w:szCs w:val="22"/>
              </w:rPr>
              <w:t>Aprašo punkte 1.25.11 įvardijama sąvoka – „Inovacijų konsultacinės paslaugos“, kuri tekste daugiau nevartojama</w:t>
            </w:r>
          </w:p>
        </w:tc>
        <w:tc>
          <w:tcPr>
            <w:tcW w:w="4678" w:type="dxa"/>
          </w:tcPr>
          <w:p w14:paraId="65F189E7" w14:textId="494894F8" w:rsidR="00DB11E0" w:rsidRPr="001F4333" w:rsidRDefault="00DB11E0" w:rsidP="00D1464F">
            <w:pPr>
              <w:rPr>
                <w:i/>
                <w:iCs/>
                <w:sz w:val="22"/>
                <w:szCs w:val="22"/>
              </w:rPr>
            </w:pPr>
            <w:r w:rsidRPr="00415807">
              <w:rPr>
                <w:b/>
                <w:bCs/>
                <w:i/>
                <w:iCs/>
                <w:sz w:val="22"/>
                <w:szCs w:val="22"/>
              </w:rPr>
              <w:t xml:space="preserve">Neatsižvelgta. </w:t>
            </w:r>
            <w:r w:rsidRPr="00415807">
              <w:rPr>
                <w:i/>
                <w:iCs/>
                <w:sz w:val="22"/>
                <w:szCs w:val="22"/>
              </w:rPr>
              <w:t>Inovacijų konsultacinės paslaugos naudojamas prie 9.20 punkto.</w:t>
            </w:r>
          </w:p>
        </w:tc>
      </w:tr>
      <w:tr w:rsidR="00DB11E0" w:rsidRPr="00747A18" w14:paraId="252B930A" w14:textId="77777777" w:rsidTr="005C5552">
        <w:trPr>
          <w:trHeight w:val="477"/>
        </w:trPr>
        <w:tc>
          <w:tcPr>
            <w:tcW w:w="567" w:type="dxa"/>
          </w:tcPr>
          <w:p w14:paraId="76FAEDA2" w14:textId="77777777" w:rsidR="00DB11E0" w:rsidRDefault="00DB11E0" w:rsidP="00D1464F">
            <w:pPr>
              <w:jc w:val="center"/>
              <w:rPr>
                <w:b/>
                <w:szCs w:val="24"/>
              </w:rPr>
            </w:pPr>
          </w:p>
        </w:tc>
        <w:tc>
          <w:tcPr>
            <w:tcW w:w="1985" w:type="dxa"/>
          </w:tcPr>
          <w:p w14:paraId="137B532B" w14:textId="77777777" w:rsidR="00DB11E0" w:rsidRPr="00CF785F" w:rsidRDefault="00DB11E0" w:rsidP="00D1464F">
            <w:pPr>
              <w:rPr>
                <w:b/>
                <w:bCs/>
                <w:szCs w:val="24"/>
                <w:shd w:val="clear" w:color="auto" w:fill="FFFFFF"/>
              </w:rPr>
            </w:pPr>
          </w:p>
        </w:tc>
        <w:tc>
          <w:tcPr>
            <w:tcW w:w="7541" w:type="dxa"/>
          </w:tcPr>
          <w:p w14:paraId="7D326113" w14:textId="0C6D3A0F" w:rsidR="00DB11E0" w:rsidRPr="006B1398" w:rsidRDefault="00DB11E0" w:rsidP="00C06F0D">
            <w:pPr>
              <w:rPr>
                <w:i/>
                <w:iCs/>
                <w:sz w:val="22"/>
                <w:szCs w:val="22"/>
              </w:rPr>
            </w:pPr>
            <w:r w:rsidRPr="006B1398">
              <w:rPr>
                <w:i/>
                <w:iCs/>
                <w:sz w:val="22"/>
                <w:szCs w:val="22"/>
              </w:rPr>
              <w:t xml:space="preserve">Atkreikiame dėmesį, kad Aprašo punkte 2.9.1.3. nurodoma, kad viena iš baigtinio sąrašo finansuojamų veiklų </w:t>
            </w:r>
            <w:r w:rsidR="00E35F4E">
              <w:rPr>
                <w:i/>
                <w:iCs/>
                <w:sz w:val="22"/>
                <w:szCs w:val="22"/>
              </w:rPr>
              <w:t>„</w:t>
            </w:r>
            <w:r w:rsidRPr="006B1398">
              <w:rPr>
                <w:i/>
                <w:iCs/>
                <w:sz w:val="22"/>
                <w:szCs w:val="22"/>
              </w:rPr>
              <w:t>inovacijų paramos paslaugos</w:t>
            </w:r>
            <w:r w:rsidR="00E35F4E">
              <w:rPr>
                <w:i/>
                <w:iCs/>
                <w:sz w:val="22"/>
                <w:szCs w:val="22"/>
              </w:rPr>
              <w:t>“</w:t>
            </w:r>
            <w:r w:rsidRPr="006B1398">
              <w:rPr>
                <w:i/>
                <w:iCs/>
                <w:sz w:val="22"/>
                <w:szCs w:val="22"/>
              </w:rPr>
              <w:t>, kurios apibrėžimas yra pateiktas Aprašo punkte 1.25.10, ir kuris neapima inovacijų konsultacinių paslaugų. Tai yra, inovacijų konsultacinės paslaugos nepapuola tarp remtinų veiklų.</w:t>
            </w:r>
          </w:p>
        </w:tc>
        <w:tc>
          <w:tcPr>
            <w:tcW w:w="4678" w:type="dxa"/>
          </w:tcPr>
          <w:p w14:paraId="39639CCF" w14:textId="77777777" w:rsidR="00DB11E0" w:rsidRDefault="00DB11E0" w:rsidP="00692F36">
            <w:pPr>
              <w:rPr>
                <w:i/>
                <w:iCs/>
                <w:sz w:val="22"/>
                <w:szCs w:val="22"/>
              </w:rPr>
            </w:pPr>
            <w:r w:rsidRPr="00415807">
              <w:rPr>
                <w:b/>
                <w:bCs/>
                <w:i/>
                <w:iCs/>
                <w:sz w:val="22"/>
                <w:szCs w:val="22"/>
              </w:rPr>
              <w:t xml:space="preserve">Neatsižvelgta. </w:t>
            </w:r>
            <w:r w:rsidRPr="00415807">
              <w:rPr>
                <w:i/>
                <w:iCs/>
                <w:sz w:val="22"/>
                <w:szCs w:val="22"/>
              </w:rPr>
              <w:t>Tinkamos išlaidos nurodytos 9.20 punkte, kurios apima ir inovacijų konsultacines paslaugas.</w:t>
            </w:r>
            <w:r w:rsidR="00734D95">
              <w:rPr>
                <w:i/>
                <w:iCs/>
                <w:sz w:val="22"/>
                <w:szCs w:val="22"/>
              </w:rPr>
              <w:t xml:space="preserve"> </w:t>
            </w:r>
            <w:r w:rsidR="00692F36">
              <w:rPr>
                <w:i/>
                <w:iCs/>
                <w:sz w:val="22"/>
                <w:szCs w:val="22"/>
              </w:rPr>
              <w:t>Taip pat įvestos sąvokos ką tai apima</w:t>
            </w:r>
            <w:r w:rsidR="00D61AA1">
              <w:rPr>
                <w:i/>
                <w:iCs/>
                <w:sz w:val="22"/>
                <w:szCs w:val="22"/>
              </w:rPr>
              <w:t>:</w:t>
            </w:r>
          </w:p>
          <w:p w14:paraId="76B26019" w14:textId="77777777" w:rsidR="00D61AA1" w:rsidRPr="00D61AA1" w:rsidRDefault="00D61AA1" w:rsidP="00D61AA1">
            <w:pPr>
              <w:rPr>
                <w:i/>
                <w:iCs/>
                <w:sz w:val="22"/>
                <w:szCs w:val="22"/>
              </w:rPr>
            </w:pPr>
            <w:r w:rsidRPr="00D61AA1">
              <w:rPr>
                <w:i/>
                <w:iCs/>
                <w:sz w:val="22"/>
                <w:szCs w:val="22"/>
              </w:rPr>
              <w:t>1.27.6. Inovacijų konsultacinės paslaugos – konsultavimas, pagalba ir mokymas žinių perdavimo, nematerialiojo turto nuosavybės teisių įsigijimo, apsaugos bei naudojimo, licencijų sutarčių ir standartų naudojimo klausimais.</w:t>
            </w:r>
          </w:p>
          <w:p w14:paraId="10C3088C" w14:textId="341D8C41" w:rsidR="00D61AA1" w:rsidRPr="00415807" w:rsidRDefault="00D61AA1" w:rsidP="00D61AA1">
            <w:pPr>
              <w:rPr>
                <w:i/>
                <w:iCs/>
                <w:sz w:val="22"/>
                <w:szCs w:val="22"/>
              </w:rPr>
            </w:pPr>
            <w:r w:rsidRPr="00D61AA1">
              <w:rPr>
                <w:i/>
                <w:iCs/>
                <w:sz w:val="22"/>
                <w:szCs w:val="22"/>
              </w:rPr>
              <w:t>1.27.7. Inovacijų paramos paslaugos – aprūpinimas biuro plotu, duomenų bankų ir bibliotekų paslaugos, rinkotyra, galimybių naudotis laboratorijomis suteikimas, kokybės ženklinimas, bandymai (testavimas) ir sertifikavimas siekiant plėtoti veiksmingesnius produktus, procesus arba paslaugas. Paslaugos, susijusios su patentinių paraiškų pateikimu.</w:t>
            </w:r>
          </w:p>
        </w:tc>
      </w:tr>
      <w:tr w:rsidR="00DB11E0" w:rsidRPr="00747A18" w14:paraId="1ED9026E" w14:textId="77777777" w:rsidTr="00152C34">
        <w:tc>
          <w:tcPr>
            <w:tcW w:w="567" w:type="dxa"/>
          </w:tcPr>
          <w:p w14:paraId="24CDB5B1" w14:textId="77777777" w:rsidR="00DB11E0" w:rsidRDefault="00DB11E0" w:rsidP="00D1464F">
            <w:pPr>
              <w:jc w:val="center"/>
              <w:rPr>
                <w:b/>
                <w:szCs w:val="24"/>
              </w:rPr>
            </w:pPr>
          </w:p>
        </w:tc>
        <w:tc>
          <w:tcPr>
            <w:tcW w:w="1985" w:type="dxa"/>
          </w:tcPr>
          <w:p w14:paraId="02C01EF9" w14:textId="77777777" w:rsidR="00DB11E0" w:rsidRPr="00CF785F" w:rsidRDefault="00DB11E0" w:rsidP="00D1464F">
            <w:pPr>
              <w:rPr>
                <w:b/>
                <w:bCs/>
                <w:szCs w:val="24"/>
                <w:shd w:val="clear" w:color="auto" w:fill="FFFFFF"/>
              </w:rPr>
            </w:pPr>
          </w:p>
        </w:tc>
        <w:tc>
          <w:tcPr>
            <w:tcW w:w="7541" w:type="dxa"/>
          </w:tcPr>
          <w:p w14:paraId="1F70D781" w14:textId="0F713677" w:rsidR="00DB11E0" w:rsidRPr="006B1398" w:rsidRDefault="00DB11E0" w:rsidP="00C06F0D">
            <w:pPr>
              <w:rPr>
                <w:i/>
                <w:iCs/>
                <w:sz w:val="22"/>
                <w:szCs w:val="22"/>
              </w:rPr>
            </w:pPr>
            <w:r w:rsidRPr="006B1398">
              <w:rPr>
                <w:i/>
                <w:iCs/>
                <w:sz w:val="22"/>
                <w:szCs w:val="22"/>
              </w:rPr>
              <w:t>Tikslinių grupių sąrašas apima platesnį naudos gavėjų sąrašą: MSI; universiteto ligoninės; verslo subjektai, vykdantys MTEP veiklas; mokslininkai ir kiti tyrėjai; užsienio mokslininkai ir kiti tyrėjai; doktorantai; technologijų plėtros ir inovacijų skatinimo viešųjų paslaugų teikėjai.</w:t>
            </w:r>
          </w:p>
        </w:tc>
        <w:tc>
          <w:tcPr>
            <w:tcW w:w="4678" w:type="dxa"/>
          </w:tcPr>
          <w:p w14:paraId="7DFF8A9A" w14:textId="154CBA50" w:rsidR="00DB11E0" w:rsidRPr="00415807" w:rsidRDefault="00DB11E0" w:rsidP="00D1464F">
            <w:pPr>
              <w:rPr>
                <w:i/>
                <w:iCs/>
                <w:sz w:val="22"/>
                <w:szCs w:val="22"/>
              </w:rPr>
            </w:pPr>
            <w:r w:rsidRPr="00415807">
              <w:rPr>
                <w:b/>
                <w:bCs/>
                <w:i/>
                <w:iCs/>
                <w:sz w:val="22"/>
                <w:szCs w:val="22"/>
              </w:rPr>
              <w:t xml:space="preserve">Neatsižvelgta. </w:t>
            </w:r>
            <w:r w:rsidRPr="00415807">
              <w:rPr>
                <w:i/>
                <w:iCs/>
                <w:sz w:val="22"/>
                <w:szCs w:val="22"/>
              </w:rPr>
              <w:t xml:space="preserve">Tikslinių grupių sąrašas yra nurodytas pažangos priemonėje Nr. 05-001-01-05-06/12-001-01-03-01 „Įgyvendinti misijomis grįstas mokslo ir inovacijų programas“. Paskirtis apibrėžia, kas  bus naudos gavėjais visoje ekosistemoje. </w:t>
            </w:r>
          </w:p>
          <w:p w14:paraId="4F752A62" w14:textId="77777777" w:rsidR="00DB11E0" w:rsidRPr="00415807" w:rsidRDefault="00DB11E0" w:rsidP="00D1464F">
            <w:pPr>
              <w:rPr>
                <w:i/>
                <w:iCs/>
                <w:color w:val="385623" w:themeColor="accent6" w:themeShade="80"/>
                <w:sz w:val="22"/>
                <w:szCs w:val="22"/>
              </w:rPr>
            </w:pPr>
          </w:p>
          <w:p w14:paraId="47082750" w14:textId="52D6A398" w:rsidR="00DB11E0" w:rsidRPr="00415807" w:rsidRDefault="00DB11E0" w:rsidP="00D1464F">
            <w:pPr>
              <w:rPr>
                <w:b/>
                <w:bCs/>
                <w:i/>
                <w:iCs/>
                <w:sz w:val="22"/>
                <w:szCs w:val="22"/>
              </w:rPr>
            </w:pPr>
          </w:p>
        </w:tc>
      </w:tr>
      <w:tr w:rsidR="00DB11E0" w:rsidRPr="00747A18" w14:paraId="10A99069" w14:textId="77777777" w:rsidTr="00152C34">
        <w:tc>
          <w:tcPr>
            <w:tcW w:w="567" w:type="dxa"/>
          </w:tcPr>
          <w:p w14:paraId="3676305B" w14:textId="77777777" w:rsidR="00DB11E0" w:rsidRDefault="00DB11E0" w:rsidP="00D1464F">
            <w:pPr>
              <w:jc w:val="center"/>
              <w:rPr>
                <w:b/>
                <w:szCs w:val="24"/>
              </w:rPr>
            </w:pPr>
          </w:p>
        </w:tc>
        <w:tc>
          <w:tcPr>
            <w:tcW w:w="1985" w:type="dxa"/>
          </w:tcPr>
          <w:p w14:paraId="6F29E8A0" w14:textId="77777777" w:rsidR="00DB11E0" w:rsidRPr="00CF785F" w:rsidRDefault="00DB11E0" w:rsidP="00D1464F">
            <w:pPr>
              <w:rPr>
                <w:b/>
                <w:bCs/>
                <w:szCs w:val="24"/>
                <w:shd w:val="clear" w:color="auto" w:fill="FFFFFF"/>
              </w:rPr>
            </w:pPr>
          </w:p>
        </w:tc>
        <w:tc>
          <w:tcPr>
            <w:tcW w:w="7541" w:type="dxa"/>
          </w:tcPr>
          <w:p w14:paraId="35D69E4A" w14:textId="77777777" w:rsidR="00DB11E0" w:rsidRPr="006B1398" w:rsidRDefault="00DB11E0" w:rsidP="00B81389">
            <w:pPr>
              <w:rPr>
                <w:i/>
                <w:iCs/>
                <w:sz w:val="22"/>
                <w:szCs w:val="22"/>
              </w:rPr>
            </w:pPr>
            <w:r w:rsidRPr="006B1398">
              <w:rPr>
                <w:i/>
                <w:iCs/>
                <w:sz w:val="22"/>
                <w:szCs w:val="22"/>
              </w:rPr>
              <w:t xml:space="preserve">Punkto aprašyme naudojamas teisinio/normatyvinio dokumento pavadinimas „Konsorciumų atrankos taisyklės”. Tačiau tekste nėra pateikiama vienareikšmiško apibūdinimo: koks to dokumento statusas, kokia to dokumento struktūra ir pan.   </w:t>
            </w:r>
          </w:p>
          <w:p w14:paraId="35CE2C99" w14:textId="05835933" w:rsidR="00DB11E0" w:rsidRPr="006B1398" w:rsidRDefault="00DB11E0" w:rsidP="00C06F0D">
            <w:pPr>
              <w:rPr>
                <w:i/>
                <w:iCs/>
                <w:sz w:val="22"/>
                <w:szCs w:val="22"/>
              </w:rPr>
            </w:pPr>
            <w:r w:rsidRPr="006B1398">
              <w:rPr>
                <w:i/>
                <w:iCs/>
                <w:sz w:val="22"/>
                <w:szCs w:val="22"/>
              </w:rPr>
              <w:t>Rekomenduojame Apraše pateikti papildomą informaciją apie dokumentą „Konsorciumų atrankos taisyklės” ir šiam dokumentus keliamus reikalavimus.</w:t>
            </w:r>
          </w:p>
        </w:tc>
        <w:tc>
          <w:tcPr>
            <w:tcW w:w="4678" w:type="dxa"/>
          </w:tcPr>
          <w:p w14:paraId="1B01A49D" w14:textId="532B1798" w:rsidR="00DB11E0" w:rsidRPr="00415807" w:rsidRDefault="00DB11E0" w:rsidP="00D1464F">
            <w:pPr>
              <w:rPr>
                <w:i/>
                <w:iCs/>
                <w:sz w:val="22"/>
                <w:szCs w:val="22"/>
              </w:rPr>
            </w:pPr>
            <w:r w:rsidRPr="00415807">
              <w:rPr>
                <w:b/>
                <w:bCs/>
                <w:i/>
                <w:iCs/>
                <w:sz w:val="22"/>
                <w:szCs w:val="22"/>
              </w:rPr>
              <w:t>Neatsižvelgta</w:t>
            </w:r>
            <w:r w:rsidRPr="00415807">
              <w:rPr>
                <w:i/>
                <w:iCs/>
                <w:sz w:val="22"/>
                <w:szCs w:val="22"/>
              </w:rPr>
              <w:t>.  IA rengiamos Konsorciumų atrankos taisyklės pagal PFSA, kol nėra patvirtintas PFSA, taisyklės nėra viešinamos, nes jose numatomos nuostatos iš tvirtinamo PFSA. Konsorciumo atrankos taisyklės bus pristatomos iškart po PFSA patvirtinimo.</w:t>
            </w:r>
          </w:p>
          <w:p w14:paraId="2914DF85" w14:textId="77777777" w:rsidR="00DB11E0" w:rsidRPr="00415807" w:rsidRDefault="00DB11E0" w:rsidP="00D1464F">
            <w:pPr>
              <w:rPr>
                <w:i/>
                <w:iCs/>
                <w:sz w:val="22"/>
                <w:szCs w:val="22"/>
              </w:rPr>
            </w:pPr>
          </w:p>
          <w:p w14:paraId="5ECE4DE9" w14:textId="77777777" w:rsidR="00DB11E0" w:rsidRPr="00415807" w:rsidRDefault="00DB11E0" w:rsidP="00D1464F">
            <w:pPr>
              <w:rPr>
                <w:i/>
                <w:iCs/>
                <w:sz w:val="22"/>
                <w:szCs w:val="22"/>
              </w:rPr>
            </w:pPr>
          </w:p>
          <w:p w14:paraId="4191C7C4" w14:textId="6E1CEFAE" w:rsidR="00DB11E0" w:rsidRPr="00415807" w:rsidRDefault="00DB11E0" w:rsidP="00D1464F">
            <w:pPr>
              <w:rPr>
                <w:b/>
                <w:bCs/>
                <w:i/>
                <w:iCs/>
                <w:sz w:val="22"/>
                <w:szCs w:val="22"/>
              </w:rPr>
            </w:pPr>
          </w:p>
        </w:tc>
      </w:tr>
      <w:tr w:rsidR="00DB11E0" w:rsidRPr="00747A18" w14:paraId="172FF7EE" w14:textId="77777777" w:rsidTr="00152C34">
        <w:tc>
          <w:tcPr>
            <w:tcW w:w="567" w:type="dxa"/>
          </w:tcPr>
          <w:p w14:paraId="2E8AC69B" w14:textId="77777777" w:rsidR="00DB11E0" w:rsidRDefault="00DB11E0" w:rsidP="00D1464F">
            <w:pPr>
              <w:jc w:val="center"/>
              <w:rPr>
                <w:b/>
                <w:szCs w:val="24"/>
              </w:rPr>
            </w:pPr>
          </w:p>
        </w:tc>
        <w:tc>
          <w:tcPr>
            <w:tcW w:w="1985" w:type="dxa"/>
          </w:tcPr>
          <w:p w14:paraId="1CF1F6E9" w14:textId="77777777" w:rsidR="00DB11E0" w:rsidRPr="00CF785F" w:rsidRDefault="00DB11E0" w:rsidP="00D1464F">
            <w:pPr>
              <w:rPr>
                <w:b/>
                <w:bCs/>
                <w:szCs w:val="24"/>
                <w:shd w:val="clear" w:color="auto" w:fill="FFFFFF"/>
              </w:rPr>
            </w:pPr>
          </w:p>
        </w:tc>
        <w:tc>
          <w:tcPr>
            <w:tcW w:w="7541" w:type="dxa"/>
          </w:tcPr>
          <w:p w14:paraId="099A10E1" w14:textId="3C76FC45" w:rsidR="00DB11E0" w:rsidRPr="006B1398" w:rsidRDefault="00DB11E0" w:rsidP="00C06F0D">
            <w:pPr>
              <w:rPr>
                <w:i/>
                <w:iCs/>
                <w:sz w:val="22"/>
                <w:szCs w:val="22"/>
              </w:rPr>
            </w:pPr>
            <w:r w:rsidRPr="006B1398">
              <w:rPr>
                <w:i/>
                <w:iCs/>
                <w:sz w:val="22"/>
                <w:szCs w:val="22"/>
              </w:rPr>
              <w:t>Detalizuoti terminą „misijų priežiūros komitetas”;</w:t>
            </w:r>
          </w:p>
        </w:tc>
        <w:tc>
          <w:tcPr>
            <w:tcW w:w="4678" w:type="dxa"/>
          </w:tcPr>
          <w:p w14:paraId="6C6B8137" w14:textId="77777777" w:rsidR="00DB11E0" w:rsidRPr="00415807" w:rsidRDefault="00DB11E0" w:rsidP="00D1464F">
            <w:pPr>
              <w:rPr>
                <w:i/>
                <w:iCs/>
                <w:sz w:val="22"/>
                <w:szCs w:val="22"/>
              </w:rPr>
            </w:pPr>
            <w:r w:rsidRPr="00415807">
              <w:rPr>
                <w:b/>
                <w:bCs/>
                <w:i/>
                <w:iCs/>
                <w:sz w:val="22"/>
                <w:szCs w:val="22"/>
              </w:rPr>
              <w:t xml:space="preserve">Neatsižvelgta. </w:t>
            </w:r>
            <w:r w:rsidRPr="00415807">
              <w:rPr>
                <w:i/>
                <w:iCs/>
                <w:sz w:val="22"/>
                <w:szCs w:val="22"/>
              </w:rPr>
              <w:t>Misijų priežiūros komitetas yra apibrėžtas pažangos priemonėje Nr. 05-001-01-05-06/12-001-01-03-01 „Įgyvendinti misijomis grįstas mokslo ir inovacijų programas“.</w:t>
            </w:r>
          </w:p>
          <w:p w14:paraId="76863F1B" w14:textId="5782B62B" w:rsidR="00DB11E0" w:rsidRPr="00415807" w:rsidRDefault="00DB11E0" w:rsidP="00D1464F">
            <w:pPr>
              <w:rPr>
                <w:b/>
                <w:bCs/>
                <w:i/>
                <w:iCs/>
                <w:sz w:val="22"/>
                <w:szCs w:val="22"/>
              </w:rPr>
            </w:pPr>
          </w:p>
        </w:tc>
      </w:tr>
      <w:tr w:rsidR="00DB11E0" w:rsidRPr="00DB11E0" w14:paraId="661CD469" w14:textId="77777777" w:rsidTr="00152C34">
        <w:tc>
          <w:tcPr>
            <w:tcW w:w="567" w:type="dxa"/>
          </w:tcPr>
          <w:p w14:paraId="586D784B" w14:textId="77777777" w:rsidR="00DB11E0" w:rsidRDefault="00DB11E0" w:rsidP="00D1464F">
            <w:pPr>
              <w:jc w:val="center"/>
              <w:rPr>
                <w:b/>
                <w:szCs w:val="24"/>
              </w:rPr>
            </w:pPr>
          </w:p>
        </w:tc>
        <w:tc>
          <w:tcPr>
            <w:tcW w:w="1985" w:type="dxa"/>
          </w:tcPr>
          <w:p w14:paraId="7AACC5DC" w14:textId="77777777" w:rsidR="00DB11E0" w:rsidRPr="00CF785F" w:rsidRDefault="00DB11E0" w:rsidP="00D1464F">
            <w:pPr>
              <w:rPr>
                <w:b/>
                <w:bCs/>
                <w:szCs w:val="24"/>
                <w:shd w:val="clear" w:color="auto" w:fill="FFFFFF"/>
              </w:rPr>
            </w:pPr>
          </w:p>
        </w:tc>
        <w:tc>
          <w:tcPr>
            <w:tcW w:w="7541" w:type="dxa"/>
          </w:tcPr>
          <w:p w14:paraId="512F8959" w14:textId="149E31E7" w:rsidR="00DB11E0" w:rsidRPr="006B1398" w:rsidRDefault="00DB11E0" w:rsidP="00B81389">
            <w:pPr>
              <w:rPr>
                <w:i/>
                <w:iCs/>
                <w:sz w:val="22"/>
                <w:szCs w:val="22"/>
              </w:rPr>
            </w:pPr>
            <w:r w:rsidRPr="006B1398">
              <w:rPr>
                <w:i/>
                <w:iCs/>
                <w:sz w:val="22"/>
                <w:szCs w:val="22"/>
              </w:rPr>
              <w:t xml:space="preserve">detalizuoti, kokiais terminais apibrėžiamas </w:t>
            </w:r>
            <w:r w:rsidR="00E35F4E">
              <w:rPr>
                <w:i/>
                <w:iCs/>
                <w:sz w:val="22"/>
                <w:szCs w:val="22"/>
              </w:rPr>
              <w:t>„</w:t>
            </w:r>
            <w:r w:rsidRPr="006B1398">
              <w:rPr>
                <w:i/>
                <w:iCs/>
                <w:sz w:val="22"/>
                <w:szCs w:val="22"/>
              </w:rPr>
              <w:t>naujumas, aktualumas, poveikis ir įgyvendinamumas" ir kokiais parametrais vadovaujantis tai bus vertinama;</w:t>
            </w:r>
          </w:p>
        </w:tc>
        <w:tc>
          <w:tcPr>
            <w:tcW w:w="4678" w:type="dxa"/>
          </w:tcPr>
          <w:p w14:paraId="1CC67D15" w14:textId="2761C057" w:rsidR="00DB11E0" w:rsidRPr="00415807" w:rsidRDefault="00DB11E0" w:rsidP="00D1464F">
            <w:pPr>
              <w:rPr>
                <w:i/>
                <w:iCs/>
                <w:sz w:val="22"/>
                <w:szCs w:val="22"/>
              </w:rPr>
            </w:pPr>
            <w:r w:rsidRPr="00415807">
              <w:rPr>
                <w:b/>
                <w:bCs/>
                <w:i/>
                <w:iCs/>
                <w:sz w:val="22"/>
                <w:szCs w:val="22"/>
              </w:rPr>
              <w:t xml:space="preserve">Neatsižvelgta. </w:t>
            </w:r>
            <w:r w:rsidRPr="00415807">
              <w:rPr>
                <w:i/>
                <w:iCs/>
                <w:sz w:val="22"/>
                <w:szCs w:val="22"/>
              </w:rPr>
              <w:t>Bus detalizuojama IA rengiamose Konsorciumų atrankos taisyklėse.</w:t>
            </w:r>
          </w:p>
          <w:p w14:paraId="05B9524B" w14:textId="77777777" w:rsidR="00DB11E0" w:rsidRPr="00415807" w:rsidRDefault="00DB11E0" w:rsidP="00D1464F">
            <w:pPr>
              <w:rPr>
                <w:i/>
                <w:iCs/>
                <w:sz w:val="22"/>
                <w:szCs w:val="22"/>
              </w:rPr>
            </w:pPr>
          </w:p>
          <w:p w14:paraId="27B5020F" w14:textId="4C70C1C5" w:rsidR="00DB11E0" w:rsidRPr="00415807" w:rsidRDefault="00DB11E0" w:rsidP="00D1464F">
            <w:pPr>
              <w:rPr>
                <w:b/>
                <w:bCs/>
                <w:i/>
                <w:iCs/>
                <w:sz w:val="22"/>
                <w:szCs w:val="22"/>
              </w:rPr>
            </w:pPr>
          </w:p>
        </w:tc>
      </w:tr>
      <w:tr w:rsidR="00DB11E0" w:rsidRPr="00747A18" w14:paraId="608F6A1D" w14:textId="77777777" w:rsidTr="00152C34">
        <w:tc>
          <w:tcPr>
            <w:tcW w:w="567" w:type="dxa"/>
          </w:tcPr>
          <w:p w14:paraId="65420420" w14:textId="77777777" w:rsidR="00DB11E0" w:rsidRDefault="00DB11E0" w:rsidP="00D1464F">
            <w:pPr>
              <w:jc w:val="center"/>
              <w:rPr>
                <w:b/>
                <w:szCs w:val="24"/>
              </w:rPr>
            </w:pPr>
          </w:p>
        </w:tc>
        <w:tc>
          <w:tcPr>
            <w:tcW w:w="1985" w:type="dxa"/>
          </w:tcPr>
          <w:p w14:paraId="30A539AF" w14:textId="77777777" w:rsidR="00DB11E0" w:rsidRPr="00CF785F" w:rsidRDefault="00DB11E0" w:rsidP="00D1464F">
            <w:pPr>
              <w:rPr>
                <w:b/>
                <w:bCs/>
                <w:szCs w:val="24"/>
                <w:shd w:val="clear" w:color="auto" w:fill="FFFFFF"/>
              </w:rPr>
            </w:pPr>
          </w:p>
        </w:tc>
        <w:tc>
          <w:tcPr>
            <w:tcW w:w="7541" w:type="dxa"/>
          </w:tcPr>
          <w:p w14:paraId="7EA5BB74" w14:textId="77777777" w:rsidR="00DB11E0" w:rsidRPr="006B1398" w:rsidRDefault="00DB11E0" w:rsidP="00C3372A">
            <w:pPr>
              <w:rPr>
                <w:i/>
                <w:iCs/>
                <w:sz w:val="22"/>
                <w:szCs w:val="22"/>
              </w:rPr>
            </w:pPr>
            <w:r w:rsidRPr="006B1398">
              <w:rPr>
                <w:i/>
                <w:iCs/>
                <w:sz w:val="22"/>
                <w:szCs w:val="22"/>
              </w:rPr>
              <w:t>- numatyti, kad Konsorciumai bus vertinami ir pagal:</w:t>
            </w:r>
          </w:p>
          <w:p w14:paraId="371549ED" w14:textId="77777777" w:rsidR="00DB11E0" w:rsidRPr="006B1398" w:rsidRDefault="00DB11E0" w:rsidP="00C3372A">
            <w:pPr>
              <w:rPr>
                <w:i/>
                <w:iCs/>
                <w:sz w:val="22"/>
                <w:szCs w:val="22"/>
              </w:rPr>
            </w:pPr>
            <w:r w:rsidRPr="006B1398">
              <w:rPr>
                <w:i/>
                <w:iCs/>
                <w:sz w:val="22"/>
                <w:szCs w:val="22"/>
              </w:rPr>
              <w:t>- jų turimą potencialą ir patirtį, įgyvendinant panašaus pobūdžio veiklas;</w:t>
            </w:r>
          </w:p>
          <w:p w14:paraId="46C1DB72" w14:textId="77777777" w:rsidR="00DB11E0" w:rsidRPr="006B1398" w:rsidRDefault="00DB11E0" w:rsidP="00C3372A">
            <w:pPr>
              <w:rPr>
                <w:i/>
                <w:iCs/>
                <w:sz w:val="22"/>
                <w:szCs w:val="22"/>
              </w:rPr>
            </w:pPr>
            <w:r w:rsidRPr="006B1398">
              <w:rPr>
                <w:i/>
                <w:iCs/>
                <w:sz w:val="22"/>
                <w:szCs w:val="22"/>
              </w:rPr>
              <w:t>-  tai, kiek daug konsorciumo nariai finansiškai prisidės nuosavomis lėšomis prie misijos tikslų pasiekimo (Toks reikalavimas užtikrintų,  kad  konsorciumo nariais būtų gyvybingos, o ne tik simbolinės, galimai su universitetais   susijusios,   pajamų negeneruojančios įmonės;</w:t>
            </w:r>
          </w:p>
          <w:p w14:paraId="4DA2C44B" w14:textId="160C6FCB" w:rsidR="00DB11E0" w:rsidRPr="006B1398" w:rsidRDefault="00DB11E0" w:rsidP="0064206A">
            <w:pPr>
              <w:rPr>
                <w:i/>
                <w:iCs/>
                <w:sz w:val="22"/>
                <w:szCs w:val="22"/>
              </w:rPr>
            </w:pPr>
            <w:r w:rsidRPr="006B1398">
              <w:rPr>
                <w:i/>
                <w:iCs/>
                <w:sz w:val="22"/>
                <w:szCs w:val="22"/>
              </w:rPr>
              <w:t xml:space="preserve"> - Konsorciumo sukurtos infrastruktūros valdymo efektyvumą (pvz. mokslo ir verslo atstovų </w:t>
            </w:r>
            <w:proofErr w:type="spellStart"/>
            <w:r w:rsidRPr="006B1398">
              <w:rPr>
                <w:i/>
                <w:iCs/>
                <w:sz w:val="22"/>
                <w:szCs w:val="22"/>
              </w:rPr>
              <w:t>subalansuotumas</w:t>
            </w:r>
            <w:proofErr w:type="spellEnd"/>
            <w:r w:rsidRPr="006B1398">
              <w:rPr>
                <w:i/>
                <w:iCs/>
                <w:sz w:val="22"/>
                <w:szCs w:val="22"/>
              </w:rPr>
              <w:t xml:space="preserve">, ir pan.), priimant sprendimus dėl sukurtos infrastuktūros </w:t>
            </w:r>
            <w:proofErr w:type="spellStart"/>
            <w:r w:rsidRPr="006B1398">
              <w:rPr>
                <w:i/>
                <w:iCs/>
                <w:sz w:val="22"/>
                <w:szCs w:val="22"/>
              </w:rPr>
              <w:t>įveiklinimo</w:t>
            </w:r>
            <w:proofErr w:type="spellEnd"/>
            <w:r w:rsidRPr="006B1398">
              <w:rPr>
                <w:i/>
                <w:iCs/>
                <w:sz w:val="22"/>
                <w:szCs w:val="22"/>
              </w:rPr>
              <w:t>, teikiant paslaugas rinkai, ją toliau plėtojant, atnaujinant ir pan.;</w:t>
            </w:r>
          </w:p>
        </w:tc>
        <w:tc>
          <w:tcPr>
            <w:tcW w:w="4678" w:type="dxa"/>
          </w:tcPr>
          <w:p w14:paraId="01578B6D" w14:textId="77777777" w:rsidR="00DB11E0" w:rsidRPr="00415807" w:rsidRDefault="00DB11E0" w:rsidP="00DB11E0">
            <w:pPr>
              <w:rPr>
                <w:i/>
                <w:iCs/>
                <w:sz w:val="22"/>
                <w:szCs w:val="22"/>
              </w:rPr>
            </w:pPr>
            <w:r w:rsidRPr="00415807">
              <w:rPr>
                <w:b/>
                <w:bCs/>
                <w:i/>
                <w:iCs/>
                <w:sz w:val="22"/>
                <w:szCs w:val="22"/>
              </w:rPr>
              <w:t xml:space="preserve">Neatsižvelgta. </w:t>
            </w:r>
            <w:r w:rsidRPr="00415807">
              <w:rPr>
                <w:i/>
                <w:iCs/>
                <w:sz w:val="22"/>
                <w:szCs w:val="22"/>
              </w:rPr>
              <w:t>Bus detalizuojama IA rengiamose Konsorciumų atrankos taisyklėse.</w:t>
            </w:r>
          </w:p>
          <w:p w14:paraId="7851434A" w14:textId="168C8035" w:rsidR="00DB11E0" w:rsidRPr="00415807" w:rsidRDefault="00DB11E0" w:rsidP="00135412">
            <w:pPr>
              <w:rPr>
                <w:i/>
                <w:iCs/>
                <w:sz w:val="22"/>
                <w:szCs w:val="22"/>
              </w:rPr>
            </w:pPr>
          </w:p>
        </w:tc>
      </w:tr>
      <w:tr w:rsidR="00DB11E0" w:rsidRPr="00747A18" w14:paraId="76240BCA" w14:textId="77777777" w:rsidTr="00152C34">
        <w:tc>
          <w:tcPr>
            <w:tcW w:w="567" w:type="dxa"/>
          </w:tcPr>
          <w:p w14:paraId="2D39CD33" w14:textId="77777777" w:rsidR="00DB11E0" w:rsidRDefault="00DB11E0" w:rsidP="00D1464F">
            <w:pPr>
              <w:jc w:val="center"/>
              <w:rPr>
                <w:b/>
                <w:szCs w:val="24"/>
              </w:rPr>
            </w:pPr>
          </w:p>
        </w:tc>
        <w:tc>
          <w:tcPr>
            <w:tcW w:w="1985" w:type="dxa"/>
          </w:tcPr>
          <w:p w14:paraId="1D81FB91" w14:textId="77777777" w:rsidR="00DB11E0" w:rsidRPr="00CF785F" w:rsidRDefault="00DB11E0" w:rsidP="00D1464F">
            <w:pPr>
              <w:rPr>
                <w:b/>
                <w:bCs/>
                <w:szCs w:val="24"/>
                <w:shd w:val="clear" w:color="auto" w:fill="FFFFFF"/>
              </w:rPr>
            </w:pPr>
          </w:p>
        </w:tc>
        <w:tc>
          <w:tcPr>
            <w:tcW w:w="7541" w:type="dxa"/>
          </w:tcPr>
          <w:p w14:paraId="1E9C9B95" w14:textId="2FBA223D" w:rsidR="00DB11E0" w:rsidRPr="006B1398" w:rsidRDefault="00DB11E0" w:rsidP="00C06F0D">
            <w:pPr>
              <w:rPr>
                <w:i/>
                <w:iCs/>
                <w:sz w:val="22"/>
                <w:szCs w:val="22"/>
              </w:rPr>
            </w:pPr>
            <w:r w:rsidRPr="006B1398">
              <w:rPr>
                <w:i/>
                <w:iCs/>
                <w:sz w:val="22"/>
                <w:szCs w:val="22"/>
              </w:rPr>
              <w:t>- nustatyti ambicingesnius  rodiklius  tiek  verslui,  tiek mokslui. Ambicingesni rodikliai gali būti nustatomi IA  atsirenkant projekto partnerius - konsorciumus.</w:t>
            </w:r>
          </w:p>
        </w:tc>
        <w:tc>
          <w:tcPr>
            <w:tcW w:w="4678" w:type="dxa"/>
          </w:tcPr>
          <w:p w14:paraId="6B046ACF" w14:textId="19FEBB03" w:rsidR="00DB11E0" w:rsidRPr="001059D1" w:rsidRDefault="00DB11E0" w:rsidP="00D1464F">
            <w:pPr>
              <w:rPr>
                <w:i/>
                <w:iCs/>
                <w:sz w:val="22"/>
                <w:szCs w:val="22"/>
              </w:rPr>
            </w:pPr>
            <w:r w:rsidRPr="00415807">
              <w:rPr>
                <w:b/>
                <w:bCs/>
                <w:i/>
                <w:iCs/>
                <w:sz w:val="22"/>
                <w:szCs w:val="22"/>
              </w:rPr>
              <w:t>Neatsižvelgta.</w:t>
            </w:r>
            <w:r w:rsidRPr="00415807">
              <w:rPr>
                <w:i/>
                <w:iCs/>
                <w:sz w:val="22"/>
                <w:szCs w:val="22"/>
              </w:rPr>
              <w:t xml:space="preserve"> Rodikliai aptarti bei suderinti Misijų pažangos priemonės darbo grupėje „Įgyvendinti misijomis grįstas mokslo ir inovacijų programas“.</w:t>
            </w:r>
            <w:r w:rsidR="001059D1">
              <w:rPr>
                <w:i/>
                <w:iCs/>
                <w:sz w:val="22"/>
                <w:szCs w:val="22"/>
              </w:rPr>
              <w:t xml:space="preserve"> </w:t>
            </w:r>
            <w:r w:rsidRPr="001059D1">
              <w:rPr>
                <w:i/>
                <w:iCs/>
                <w:sz w:val="22"/>
                <w:szCs w:val="22"/>
              </w:rPr>
              <w:t xml:space="preserve">Pastabos </w:t>
            </w:r>
            <w:r w:rsidR="00E35F4E" w:rsidRPr="001059D1">
              <w:rPr>
                <w:i/>
                <w:iCs/>
                <w:sz w:val="22"/>
                <w:szCs w:val="22"/>
              </w:rPr>
              <w:t xml:space="preserve">teikiamos </w:t>
            </w:r>
            <w:r w:rsidRPr="001059D1">
              <w:rPr>
                <w:i/>
                <w:iCs/>
                <w:sz w:val="22"/>
                <w:szCs w:val="22"/>
              </w:rPr>
              <w:t>PFSA, o konsorciumo atrankos taisyklėse IA nusimatys didesnius rodiklius.</w:t>
            </w:r>
          </w:p>
          <w:p w14:paraId="7909558D" w14:textId="12C04EC9" w:rsidR="00DB11E0" w:rsidRPr="00415807" w:rsidRDefault="00DB11E0" w:rsidP="00D1464F">
            <w:pPr>
              <w:rPr>
                <w:b/>
                <w:bCs/>
                <w:i/>
                <w:iCs/>
                <w:sz w:val="22"/>
                <w:szCs w:val="22"/>
              </w:rPr>
            </w:pPr>
          </w:p>
        </w:tc>
      </w:tr>
      <w:tr w:rsidR="00DB11E0" w:rsidRPr="00747A18" w14:paraId="20DA3A16" w14:textId="77777777" w:rsidTr="00152C34">
        <w:tc>
          <w:tcPr>
            <w:tcW w:w="567" w:type="dxa"/>
          </w:tcPr>
          <w:p w14:paraId="6EAE09C2" w14:textId="77777777" w:rsidR="00DB11E0" w:rsidRDefault="00DB11E0" w:rsidP="00D1464F">
            <w:pPr>
              <w:jc w:val="center"/>
              <w:rPr>
                <w:b/>
                <w:szCs w:val="24"/>
              </w:rPr>
            </w:pPr>
          </w:p>
        </w:tc>
        <w:tc>
          <w:tcPr>
            <w:tcW w:w="1985" w:type="dxa"/>
          </w:tcPr>
          <w:p w14:paraId="25B95CED" w14:textId="77777777" w:rsidR="00DB11E0" w:rsidRPr="00CF785F" w:rsidRDefault="00DB11E0" w:rsidP="00D1464F">
            <w:pPr>
              <w:rPr>
                <w:b/>
                <w:bCs/>
                <w:szCs w:val="24"/>
                <w:shd w:val="clear" w:color="auto" w:fill="FFFFFF"/>
              </w:rPr>
            </w:pPr>
          </w:p>
        </w:tc>
        <w:tc>
          <w:tcPr>
            <w:tcW w:w="7541" w:type="dxa"/>
          </w:tcPr>
          <w:p w14:paraId="2508F124" w14:textId="77777777" w:rsidR="00DB11E0" w:rsidRPr="006B1398" w:rsidRDefault="00DB11E0" w:rsidP="008E00E0">
            <w:pPr>
              <w:rPr>
                <w:i/>
                <w:iCs/>
                <w:sz w:val="22"/>
                <w:szCs w:val="22"/>
              </w:rPr>
            </w:pPr>
            <w:r w:rsidRPr="006B1398">
              <w:rPr>
                <w:i/>
                <w:iCs/>
                <w:sz w:val="22"/>
                <w:szCs w:val="22"/>
              </w:rPr>
              <w:t>Projekto vykdytojas (pareiškėjas) – Inovacijų agentūra, kuri, vadovaujantis šiuo punkto nuostata, yra atsakinga už atitinkamų rodiklių “siekimą”,  tačiau tai tėra tik procesas/veikla. Už tų pačių rodiklių „pasiekimą“ (tai rezultatas/poveikis) yra atsakingi konsorciumo nariai. Kyla pagrįstas klausimas – už ką, kaip rezultatą/poveikį yra atsakingas projekto vykdytojas (pareiškėjas) – Inovacijų agentūra?</w:t>
            </w:r>
          </w:p>
          <w:p w14:paraId="6317AEFE" w14:textId="77777777" w:rsidR="00DB11E0" w:rsidRPr="006B1398" w:rsidRDefault="00DB11E0" w:rsidP="008E00E0">
            <w:pPr>
              <w:rPr>
                <w:i/>
                <w:iCs/>
                <w:sz w:val="22"/>
                <w:szCs w:val="22"/>
              </w:rPr>
            </w:pPr>
          </w:p>
          <w:p w14:paraId="532EB6E7" w14:textId="1EA139F7" w:rsidR="00DB11E0" w:rsidRPr="006B1398" w:rsidRDefault="00DB11E0" w:rsidP="00C06F0D">
            <w:pPr>
              <w:rPr>
                <w:i/>
                <w:iCs/>
                <w:sz w:val="22"/>
                <w:szCs w:val="22"/>
              </w:rPr>
            </w:pPr>
            <w:r w:rsidRPr="006B1398">
              <w:rPr>
                <w:i/>
                <w:iCs/>
                <w:sz w:val="22"/>
                <w:szCs w:val="22"/>
              </w:rPr>
              <w:t>Siūlome patikslinti šią formuluotę, numatant projekto vykdytojo  atsakomybę, ją matuojant konkrečiais  rezultato/poveikio rodikliais.</w:t>
            </w:r>
          </w:p>
        </w:tc>
        <w:tc>
          <w:tcPr>
            <w:tcW w:w="4678" w:type="dxa"/>
          </w:tcPr>
          <w:p w14:paraId="7E05556A" w14:textId="2683D057" w:rsidR="00DB11E0" w:rsidRPr="00415807" w:rsidRDefault="00DB11E0" w:rsidP="00DB11E0">
            <w:pPr>
              <w:rPr>
                <w:i/>
                <w:iCs/>
                <w:sz w:val="22"/>
                <w:szCs w:val="22"/>
              </w:rPr>
            </w:pPr>
            <w:r w:rsidRPr="00415807">
              <w:rPr>
                <w:b/>
                <w:bCs/>
                <w:i/>
                <w:iCs/>
                <w:sz w:val="22"/>
                <w:szCs w:val="22"/>
              </w:rPr>
              <w:t xml:space="preserve">Neatsižvelgta. </w:t>
            </w:r>
            <w:r w:rsidRPr="00415807">
              <w:rPr>
                <w:i/>
                <w:iCs/>
                <w:sz w:val="22"/>
                <w:szCs w:val="22"/>
              </w:rPr>
              <w:t>IA kaip projekto vykdytojas yra atsakinga už visų rodiklių siekimą, o už pasiekimą yra atsakingi Konsorciumo nariai. IA vykdys tik netiesiogines projekto veiklas. Tai bus detalizuojama IA rengiamose Konsorciumų atrankos taisyklėse.</w:t>
            </w:r>
          </w:p>
          <w:p w14:paraId="4EA50672" w14:textId="77777777" w:rsidR="00DB11E0" w:rsidRPr="00415807" w:rsidRDefault="00DB11E0" w:rsidP="00D1464F">
            <w:pPr>
              <w:rPr>
                <w:i/>
                <w:iCs/>
                <w:color w:val="385623" w:themeColor="accent6" w:themeShade="80"/>
                <w:sz w:val="22"/>
                <w:szCs w:val="22"/>
              </w:rPr>
            </w:pPr>
          </w:p>
          <w:p w14:paraId="422BAEB5" w14:textId="005FE597" w:rsidR="00DB11E0" w:rsidRPr="00415807" w:rsidRDefault="00DB11E0" w:rsidP="00D1464F">
            <w:pPr>
              <w:rPr>
                <w:b/>
                <w:bCs/>
                <w:i/>
                <w:iCs/>
                <w:sz w:val="22"/>
                <w:szCs w:val="22"/>
              </w:rPr>
            </w:pPr>
          </w:p>
        </w:tc>
      </w:tr>
      <w:tr w:rsidR="00DB11E0" w:rsidRPr="00747A18" w14:paraId="376E4F51" w14:textId="77777777" w:rsidTr="00152C34">
        <w:tc>
          <w:tcPr>
            <w:tcW w:w="567" w:type="dxa"/>
          </w:tcPr>
          <w:p w14:paraId="04758922" w14:textId="77777777" w:rsidR="00DB11E0" w:rsidRDefault="00DB11E0" w:rsidP="00D1464F">
            <w:pPr>
              <w:jc w:val="center"/>
              <w:rPr>
                <w:b/>
                <w:szCs w:val="24"/>
              </w:rPr>
            </w:pPr>
          </w:p>
        </w:tc>
        <w:tc>
          <w:tcPr>
            <w:tcW w:w="1985" w:type="dxa"/>
          </w:tcPr>
          <w:p w14:paraId="2C1A8AC2" w14:textId="77777777" w:rsidR="00DB11E0" w:rsidRPr="00CF785F" w:rsidRDefault="00DB11E0" w:rsidP="00D1464F">
            <w:pPr>
              <w:rPr>
                <w:b/>
                <w:bCs/>
                <w:szCs w:val="24"/>
                <w:shd w:val="clear" w:color="auto" w:fill="FFFFFF"/>
              </w:rPr>
            </w:pPr>
          </w:p>
        </w:tc>
        <w:tc>
          <w:tcPr>
            <w:tcW w:w="7541" w:type="dxa"/>
          </w:tcPr>
          <w:p w14:paraId="79B790DF" w14:textId="77777777" w:rsidR="00DB11E0" w:rsidRPr="006B1398" w:rsidRDefault="00DB11E0" w:rsidP="000C1475">
            <w:pPr>
              <w:rPr>
                <w:i/>
                <w:iCs/>
                <w:sz w:val="22"/>
                <w:szCs w:val="22"/>
              </w:rPr>
            </w:pPr>
            <w:r w:rsidRPr="006B1398">
              <w:rPr>
                <w:i/>
                <w:iCs/>
                <w:sz w:val="22"/>
                <w:szCs w:val="22"/>
              </w:rPr>
              <w:t>Projekto vykdytojas turi surengti komunikacinį renginį ar veiklą, įtraukiant Europos Komisiją ir vadovaujančiąją instituciją, Lietuvos Respublikos ekonomikos ir inovacijų ministeriją ir Lietuvos Respublikos švietimo, mokslo ir sporto ministeriją.</w:t>
            </w:r>
          </w:p>
          <w:p w14:paraId="123DBBD1" w14:textId="77777777" w:rsidR="00DB11E0" w:rsidRPr="006B1398" w:rsidRDefault="00DB11E0" w:rsidP="000C1475">
            <w:pPr>
              <w:rPr>
                <w:i/>
                <w:iCs/>
                <w:sz w:val="22"/>
                <w:szCs w:val="22"/>
              </w:rPr>
            </w:pPr>
            <w:r w:rsidRPr="006B1398">
              <w:rPr>
                <w:i/>
                <w:iCs/>
                <w:sz w:val="22"/>
                <w:szCs w:val="22"/>
              </w:rPr>
              <w:t>Apie  šiuos nuostatos pagrįstumą neįmanoma spręsti, nes nėra pateikta informacijos, koks  komunikacinio renginio ar veikos tikslas ir paskirtis, kokią pridėtinę vertę jis kurs Apraše numatytų tikslų pasiekimui ir t.t</w:t>
            </w:r>
          </w:p>
          <w:p w14:paraId="655AFDB1" w14:textId="77777777" w:rsidR="00DB11E0" w:rsidRPr="006B1398" w:rsidRDefault="00DB11E0" w:rsidP="000C1475">
            <w:pPr>
              <w:rPr>
                <w:i/>
                <w:iCs/>
                <w:sz w:val="22"/>
                <w:szCs w:val="22"/>
              </w:rPr>
            </w:pPr>
          </w:p>
          <w:p w14:paraId="114A112B" w14:textId="6EC3550D" w:rsidR="00DB11E0" w:rsidRPr="006B1398" w:rsidRDefault="00DB11E0" w:rsidP="00C3372A">
            <w:pPr>
              <w:rPr>
                <w:i/>
                <w:iCs/>
                <w:sz w:val="22"/>
                <w:szCs w:val="22"/>
              </w:rPr>
            </w:pPr>
            <w:r w:rsidRPr="006B1398">
              <w:rPr>
                <w:i/>
                <w:iCs/>
                <w:sz w:val="22"/>
                <w:szCs w:val="22"/>
              </w:rPr>
              <w:lastRenderedPageBreak/>
              <w:t>Siūlome eliminuoti šią nuostatą arba papildyti trūkstama informacija.</w:t>
            </w:r>
          </w:p>
        </w:tc>
        <w:tc>
          <w:tcPr>
            <w:tcW w:w="4678" w:type="dxa"/>
          </w:tcPr>
          <w:p w14:paraId="3DC052D5" w14:textId="77C6461A" w:rsidR="00DB11E0" w:rsidRPr="00415807" w:rsidRDefault="00DB11E0" w:rsidP="00D1464F">
            <w:pPr>
              <w:rPr>
                <w:i/>
                <w:iCs/>
                <w:sz w:val="22"/>
                <w:szCs w:val="22"/>
              </w:rPr>
            </w:pPr>
            <w:r w:rsidRPr="00415807">
              <w:rPr>
                <w:b/>
                <w:bCs/>
                <w:i/>
                <w:iCs/>
                <w:sz w:val="22"/>
                <w:szCs w:val="22"/>
              </w:rPr>
              <w:lastRenderedPageBreak/>
              <w:t xml:space="preserve">Iš dalies atsižvelgta. </w:t>
            </w:r>
            <w:r w:rsidRPr="00415807">
              <w:rPr>
                <w:i/>
                <w:iCs/>
                <w:sz w:val="22"/>
                <w:szCs w:val="22"/>
              </w:rPr>
              <w:t>Patikslintas Aprašo 8.2 p.</w:t>
            </w:r>
            <w:r w:rsidR="00594569" w:rsidRPr="00415807">
              <w:rPr>
                <w:i/>
                <w:iCs/>
                <w:sz w:val="22"/>
                <w:szCs w:val="22"/>
              </w:rPr>
              <w:t xml:space="preserve"> Pagal Projektų administravimo ir finansavimo taisyklės (toliau – PAFT) toks renginys yra priva</w:t>
            </w:r>
            <w:r w:rsidR="009813CE" w:rsidRPr="00415807">
              <w:rPr>
                <w:i/>
                <w:iCs/>
                <w:sz w:val="22"/>
                <w:szCs w:val="22"/>
              </w:rPr>
              <w:t>lomas.</w:t>
            </w:r>
          </w:p>
          <w:p w14:paraId="6181462E" w14:textId="09825780" w:rsidR="00DB11E0" w:rsidRPr="00415807" w:rsidRDefault="00DB11E0" w:rsidP="00D1464F">
            <w:pPr>
              <w:rPr>
                <w:b/>
                <w:bCs/>
                <w:i/>
                <w:iCs/>
                <w:sz w:val="22"/>
                <w:szCs w:val="22"/>
              </w:rPr>
            </w:pPr>
          </w:p>
        </w:tc>
      </w:tr>
      <w:tr w:rsidR="009813CE" w:rsidRPr="00747A18" w14:paraId="4F065385" w14:textId="77777777" w:rsidTr="00152C34">
        <w:tc>
          <w:tcPr>
            <w:tcW w:w="567" w:type="dxa"/>
          </w:tcPr>
          <w:p w14:paraId="1535FFDF" w14:textId="77777777" w:rsidR="009813CE" w:rsidRDefault="009813CE" w:rsidP="00D1464F">
            <w:pPr>
              <w:jc w:val="center"/>
              <w:rPr>
                <w:b/>
                <w:szCs w:val="24"/>
              </w:rPr>
            </w:pPr>
          </w:p>
        </w:tc>
        <w:tc>
          <w:tcPr>
            <w:tcW w:w="1985" w:type="dxa"/>
          </w:tcPr>
          <w:p w14:paraId="53A5B8CB" w14:textId="77777777" w:rsidR="009813CE" w:rsidRPr="00CF785F" w:rsidRDefault="009813CE" w:rsidP="00D1464F">
            <w:pPr>
              <w:rPr>
                <w:b/>
                <w:bCs/>
                <w:szCs w:val="24"/>
                <w:shd w:val="clear" w:color="auto" w:fill="FFFFFF"/>
              </w:rPr>
            </w:pPr>
          </w:p>
        </w:tc>
        <w:tc>
          <w:tcPr>
            <w:tcW w:w="7541" w:type="dxa"/>
          </w:tcPr>
          <w:p w14:paraId="1528BDC3" w14:textId="77777777" w:rsidR="009813CE" w:rsidRPr="006B1398" w:rsidRDefault="009813CE" w:rsidP="00B831F3">
            <w:pPr>
              <w:rPr>
                <w:i/>
                <w:iCs/>
                <w:sz w:val="22"/>
                <w:szCs w:val="22"/>
              </w:rPr>
            </w:pPr>
            <w:r w:rsidRPr="006B1398">
              <w:rPr>
                <w:i/>
                <w:iCs/>
                <w:sz w:val="22"/>
                <w:szCs w:val="22"/>
              </w:rPr>
              <w:t xml:space="preserve">9.17. Lėšų dalis valstybinėms MSI ir mokslo ir technologijų parkams, kurių vienas iš dalininkų yra valstybė ir / ar savivaldybė,  išlaidų grupėje „Įranga, įrenginiai ir kitas turtas“ skirta kompetencijų centrui priskirtiniems įrengimams, įrangai, prietaisams, įrenginiams ir technologijoms, turi sudaryti ne mažiau kaip 80 proc. Aprašo numatytos lėšų dalies 9.17 p.. </w:t>
            </w:r>
          </w:p>
          <w:p w14:paraId="57048C19" w14:textId="77777777" w:rsidR="009813CE" w:rsidRPr="006B1398" w:rsidRDefault="009813CE" w:rsidP="00B831F3">
            <w:pPr>
              <w:rPr>
                <w:i/>
                <w:iCs/>
                <w:sz w:val="22"/>
                <w:szCs w:val="22"/>
              </w:rPr>
            </w:pPr>
            <w:r w:rsidRPr="006B1398">
              <w:rPr>
                <w:i/>
                <w:iCs/>
                <w:sz w:val="22"/>
                <w:szCs w:val="22"/>
              </w:rPr>
              <w:t>9.18. Lėšų dalis įmonėms išlaidų grupėje „Įranga, įrenginiai ir kitas turtas“, gali sudaryti iki 5 proc. Aprašo 9.17 p. numatytos lėšų dalies.</w:t>
            </w:r>
          </w:p>
          <w:p w14:paraId="647F8601" w14:textId="77777777" w:rsidR="009813CE" w:rsidRPr="006B1398" w:rsidRDefault="009813CE" w:rsidP="00B831F3">
            <w:pPr>
              <w:rPr>
                <w:i/>
                <w:iCs/>
                <w:sz w:val="22"/>
                <w:szCs w:val="22"/>
              </w:rPr>
            </w:pPr>
            <w:r w:rsidRPr="006B1398">
              <w:rPr>
                <w:i/>
                <w:iCs/>
                <w:sz w:val="22"/>
                <w:szCs w:val="22"/>
              </w:rPr>
              <w:t>Šiame punkte įvardinti ribojimai numato, kad išlaidų grupėje „Įranga, įrenginiai ir kitas turtas“ išlaidos  gali pasiskirstyti tik taip:</w:t>
            </w:r>
          </w:p>
          <w:p w14:paraId="0B44B5EC" w14:textId="77777777" w:rsidR="009813CE" w:rsidRPr="006B1398" w:rsidRDefault="009813CE" w:rsidP="00B831F3">
            <w:pPr>
              <w:rPr>
                <w:i/>
                <w:iCs/>
                <w:sz w:val="22"/>
                <w:szCs w:val="22"/>
              </w:rPr>
            </w:pPr>
            <w:r w:rsidRPr="006B1398">
              <w:rPr>
                <w:i/>
                <w:iCs/>
                <w:sz w:val="22"/>
                <w:szCs w:val="22"/>
              </w:rPr>
              <w:t>- valstybinėms MSI ir mokslo ir technologijų parkams, kurių vienas iš dalininkų yra valstybė ir / ar savivaldybė ne mažiau kaip 80 proc.;</w:t>
            </w:r>
          </w:p>
          <w:p w14:paraId="6603E53D" w14:textId="77777777" w:rsidR="009813CE" w:rsidRPr="006B1398" w:rsidRDefault="009813CE" w:rsidP="00B831F3">
            <w:pPr>
              <w:rPr>
                <w:i/>
                <w:iCs/>
                <w:sz w:val="22"/>
                <w:szCs w:val="22"/>
              </w:rPr>
            </w:pPr>
            <w:r w:rsidRPr="006B1398">
              <w:rPr>
                <w:i/>
                <w:iCs/>
                <w:sz w:val="22"/>
                <w:szCs w:val="22"/>
              </w:rPr>
              <w:t>- įmonėms iki 5 proc.;</w:t>
            </w:r>
          </w:p>
          <w:p w14:paraId="3E7E5271" w14:textId="77777777" w:rsidR="009813CE" w:rsidRPr="006B1398" w:rsidRDefault="009813CE" w:rsidP="00B831F3">
            <w:pPr>
              <w:rPr>
                <w:i/>
                <w:iCs/>
                <w:sz w:val="22"/>
                <w:szCs w:val="22"/>
              </w:rPr>
            </w:pPr>
            <w:r w:rsidRPr="006B1398">
              <w:rPr>
                <w:i/>
                <w:iCs/>
                <w:strike/>
                <w:sz w:val="22"/>
                <w:szCs w:val="22"/>
              </w:rPr>
              <w:t xml:space="preserve">- </w:t>
            </w:r>
            <w:r w:rsidRPr="006B1398">
              <w:rPr>
                <w:i/>
                <w:iCs/>
                <w:sz w:val="22"/>
                <w:szCs w:val="22"/>
              </w:rPr>
              <w:t>universitetų ligoninėms  iki 20 proc. (likusi dalis nuo pirmų dviejų).</w:t>
            </w:r>
          </w:p>
          <w:p w14:paraId="0F2D8781" w14:textId="77777777" w:rsidR="009813CE" w:rsidRPr="006B1398" w:rsidRDefault="009813CE" w:rsidP="00B831F3">
            <w:pPr>
              <w:rPr>
                <w:i/>
                <w:iCs/>
                <w:sz w:val="22"/>
                <w:szCs w:val="22"/>
              </w:rPr>
            </w:pPr>
          </w:p>
          <w:p w14:paraId="60B41A28" w14:textId="77777777" w:rsidR="009813CE" w:rsidRPr="006B1398" w:rsidRDefault="009813CE" w:rsidP="00B831F3">
            <w:pPr>
              <w:rPr>
                <w:i/>
                <w:iCs/>
                <w:sz w:val="22"/>
                <w:szCs w:val="22"/>
              </w:rPr>
            </w:pPr>
            <w:r w:rsidRPr="006B1398">
              <w:rPr>
                <w:i/>
                <w:iCs/>
                <w:sz w:val="22"/>
                <w:szCs w:val="22"/>
              </w:rPr>
              <w:t xml:space="preserve">Išankstiniai apribojimai  dėl projekto išlaidų dalies pasiskirstymo tarp konsorciumo partnerių dirbtinai riboja Konsorciumų formavimosi ir veiklos procesą, bei atitinkamų įsipareigojimų pasiekimą projekte.  </w:t>
            </w:r>
          </w:p>
          <w:p w14:paraId="785C5681" w14:textId="77777777" w:rsidR="009813CE" w:rsidRPr="006B1398" w:rsidRDefault="009813CE" w:rsidP="00B831F3">
            <w:pPr>
              <w:rPr>
                <w:i/>
                <w:iCs/>
                <w:sz w:val="22"/>
                <w:szCs w:val="22"/>
              </w:rPr>
            </w:pPr>
          </w:p>
          <w:p w14:paraId="096F9B3D" w14:textId="77777777" w:rsidR="009813CE" w:rsidRPr="006B1398" w:rsidRDefault="009813CE" w:rsidP="00B831F3">
            <w:pPr>
              <w:rPr>
                <w:i/>
                <w:iCs/>
                <w:sz w:val="22"/>
                <w:szCs w:val="22"/>
              </w:rPr>
            </w:pPr>
            <w:r w:rsidRPr="006B1398">
              <w:rPr>
                <w:i/>
                <w:iCs/>
                <w:sz w:val="22"/>
                <w:szCs w:val="22"/>
              </w:rPr>
              <w:t>Pastebėtina, kad vadovaujantis Aprašo punkto 7.1.  nuostata “&lt;…&gt;  Konsorciumų nariai už Pažangos priemonėje nustatytų rodiklių pasiekimą &lt;…&gt;”.</w:t>
            </w:r>
          </w:p>
          <w:p w14:paraId="19A316C1" w14:textId="77777777" w:rsidR="009813CE" w:rsidRPr="006B1398" w:rsidRDefault="009813CE" w:rsidP="00B831F3">
            <w:pPr>
              <w:rPr>
                <w:i/>
                <w:iCs/>
                <w:sz w:val="22"/>
                <w:szCs w:val="22"/>
              </w:rPr>
            </w:pPr>
          </w:p>
          <w:p w14:paraId="20ACA84E" w14:textId="77777777" w:rsidR="009813CE" w:rsidRPr="006B1398" w:rsidRDefault="009813CE" w:rsidP="00B831F3">
            <w:pPr>
              <w:rPr>
                <w:i/>
                <w:iCs/>
                <w:sz w:val="22"/>
                <w:szCs w:val="22"/>
              </w:rPr>
            </w:pPr>
            <w:r w:rsidRPr="006B1398">
              <w:rPr>
                <w:i/>
                <w:iCs/>
                <w:sz w:val="22"/>
                <w:szCs w:val="22"/>
              </w:rPr>
              <w:t>Apraše ir taip yra apribojimų, kuri dėl šių išlaidų pasiskirstymo tarp partnerių, pavyzdžiui, dėl to, kad  „&lt;...&gt; viešoji MTEPI infrastruktūra, turi būti sutelkta ne daugiau kaip dviejose fizinėse vietose &lt;...&gt;“ (Aprašo punktas 1.25.6).</w:t>
            </w:r>
          </w:p>
          <w:p w14:paraId="1AC18909" w14:textId="77777777" w:rsidR="009813CE" w:rsidRPr="006B1398" w:rsidRDefault="009813CE" w:rsidP="00B831F3">
            <w:pPr>
              <w:rPr>
                <w:i/>
                <w:iCs/>
                <w:sz w:val="22"/>
                <w:szCs w:val="22"/>
              </w:rPr>
            </w:pPr>
          </w:p>
          <w:p w14:paraId="0DB2E9CD" w14:textId="77777777" w:rsidR="009813CE" w:rsidRPr="006B1398" w:rsidRDefault="009813CE" w:rsidP="00B831F3">
            <w:pPr>
              <w:rPr>
                <w:i/>
                <w:iCs/>
                <w:sz w:val="22"/>
                <w:szCs w:val="22"/>
              </w:rPr>
            </w:pPr>
            <w:r w:rsidRPr="006B1398">
              <w:rPr>
                <w:i/>
                <w:iCs/>
                <w:sz w:val="22"/>
                <w:szCs w:val="22"/>
              </w:rPr>
              <w:t>Nesuteikus galimybės spręsti konsorciumo nariams, gali rastis pagrįstos prielaidos jiems nepasiekti stebėsenos rodiklių, kurių pasiekimo dedamojoje labai svarbus verslo dalyvavimas, pavyzdžiui:</w:t>
            </w:r>
          </w:p>
          <w:p w14:paraId="23C0148C" w14:textId="77777777" w:rsidR="009813CE" w:rsidRPr="006B1398" w:rsidRDefault="009813CE" w:rsidP="00B831F3">
            <w:pPr>
              <w:rPr>
                <w:i/>
                <w:iCs/>
                <w:sz w:val="22"/>
                <w:szCs w:val="22"/>
              </w:rPr>
            </w:pPr>
            <w:r w:rsidRPr="006B1398">
              <w:rPr>
                <w:i/>
                <w:iCs/>
                <w:sz w:val="22"/>
                <w:szCs w:val="22"/>
              </w:rPr>
              <w:t>- kompetencijų  centrų  gautos  pajamas  už teikiamas  paslaugas (skaičiuojama proc. nuo investuotos sumos) -  10  proc. per metus;</w:t>
            </w:r>
          </w:p>
          <w:p w14:paraId="1AE105BE" w14:textId="77777777" w:rsidR="009813CE" w:rsidRPr="006B1398" w:rsidRDefault="009813CE" w:rsidP="00B831F3">
            <w:pPr>
              <w:rPr>
                <w:i/>
                <w:iCs/>
                <w:sz w:val="22"/>
                <w:szCs w:val="22"/>
              </w:rPr>
            </w:pPr>
            <w:r w:rsidRPr="006B1398">
              <w:rPr>
                <w:i/>
                <w:iCs/>
                <w:sz w:val="22"/>
                <w:szCs w:val="22"/>
              </w:rPr>
              <w:t>- investicijas gavusio juridinio asmens pajamų, gaunamų iš sukurtų  ir rinkai pateiktų naujų inovatyvių produktų santykis  su skirtomis investicijomis projekto įgyvendinimo  metu ir 3 metus po projekto veiklų įgyvendinimo.  Ne mažiau, kaip 120   proc.</w:t>
            </w:r>
          </w:p>
          <w:p w14:paraId="45A61D6B" w14:textId="77777777" w:rsidR="009813CE" w:rsidRPr="006B1398" w:rsidRDefault="009813CE" w:rsidP="00B831F3">
            <w:pPr>
              <w:rPr>
                <w:i/>
                <w:iCs/>
                <w:sz w:val="22"/>
                <w:szCs w:val="22"/>
              </w:rPr>
            </w:pPr>
            <w:r w:rsidRPr="006B1398">
              <w:rPr>
                <w:i/>
                <w:iCs/>
                <w:sz w:val="22"/>
                <w:szCs w:val="22"/>
              </w:rPr>
              <w:t xml:space="preserve">- gyvybingų  (generuojamos  pajamas,   pritrauktos   investicijos  ar pan.) </w:t>
            </w:r>
            <w:proofErr w:type="spellStart"/>
            <w:r w:rsidRPr="006B1398">
              <w:rPr>
                <w:i/>
                <w:iCs/>
                <w:sz w:val="22"/>
                <w:szCs w:val="22"/>
              </w:rPr>
              <w:t>atžalinių</w:t>
            </w:r>
            <w:proofErr w:type="spellEnd"/>
            <w:r w:rsidRPr="006B1398">
              <w:rPr>
                <w:i/>
                <w:iCs/>
                <w:sz w:val="22"/>
                <w:szCs w:val="22"/>
              </w:rPr>
              <w:t xml:space="preserve">  įmonių  /</w:t>
            </w:r>
            <w:proofErr w:type="spellStart"/>
            <w:r w:rsidRPr="006B1398">
              <w:rPr>
                <w:i/>
                <w:iCs/>
                <w:sz w:val="22"/>
                <w:szCs w:val="22"/>
              </w:rPr>
              <w:t>startuolių</w:t>
            </w:r>
            <w:proofErr w:type="spellEnd"/>
            <w:r w:rsidRPr="006B1398">
              <w:rPr>
                <w:i/>
                <w:iCs/>
                <w:sz w:val="22"/>
                <w:szCs w:val="22"/>
              </w:rPr>
              <w:t xml:space="preserve">  skaičius.  20 </w:t>
            </w:r>
            <w:proofErr w:type="spellStart"/>
            <w:r w:rsidRPr="006B1398">
              <w:rPr>
                <w:i/>
                <w:iCs/>
                <w:sz w:val="22"/>
                <w:szCs w:val="22"/>
              </w:rPr>
              <w:t>startuolių</w:t>
            </w:r>
            <w:proofErr w:type="spellEnd"/>
            <w:r w:rsidRPr="006B1398">
              <w:rPr>
                <w:i/>
                <w:iCs/>
                <w:sz w:val="22"/>
                <w:szCs w:val="22"/>
              </w:rPr>
              <w:t xml:space="preserve"> / </w:t>
            </w:r>
            <w:proofErr w:type="spellStart"/>
            <w:r w:rsidRPr="006B1398">
              <w:rPr>
                <w:i/>
                <w:iCs/>
                <w:sz w:val="22"/>
                <w:szCs w:val="22"/>
              </w:rPr>
              <w:t>atžalinių</w:t>
            </w:r>
            <w:proofErr w:type="spellEnd"/>
            <w:r w:rsidRPr="006B1398">
              <w:rPr>
                <w:i/>
                <w:iCs/>
                <w:sz w:val="22"/>
                <w:szCs w:val="22"/>
              </w:rPr>
              <w:t xml:space="preserve"> įmonių.</w:t>
            </w:r>
          </w:p>
          <w:p w14:paraId="10C37215" w14:textId="77777777" w:rsidR="009813CE" w:rsidRPr="006B1398" w:rsidRDefault="009813CE" w:rsidP="00B831F3">
            <w:pPr>
              <w:rPr>
                <w:i/>
                <w:iCs/>
                <w:sz w:val="22"/>
                <w:szCs w:val="22"/>
              </w:rPr>
            </w:pPr>
          </w:p>
          <w:p w14:paraId="34FC4BCC" w14:textId="77777777" w:rsidR="009813CE" w:rsidRPr="006B1398" w:rsidRDefault="009813CE" w:rsidP="00B831F3">
            <w:pPr>
              <w:rPr>
                <w:i/>
                <w:iCs/>
                <w:sz w:val="22"/>
                <w:szCs w:val="22"/>
              </w:rPr>
            </w:pPr>
            <w:r w:rsidRPr="006B1398">
              <w:rPr>
                <w:i/>
                <w:iCs/>
                <w:sz w:val="22"/>
                <w:szCs w:val="22"/>
              </w:rPr>
              <w:t xml:space="preserve">Siūlome atsisakyti šių nuostatų ir Konsorciumų nariams suteikti galimybę patiems priimti sprendimus dėl šių išlaidų pasiskirstymo tarp partnerių. </w:t>
            </w:r>
          </w:p>
          <w:p w14:paraId="17AF3916" w14:textId="06B2D1D6" w:rsidR="009813CE" w:rsidRPr="006B1398" w:rsidRDefault="009813CE" w:rsidP="00C06F0D">
            <w:pPr>
              <w:rPr>
                <w:i/>
                <w:iCs/>
                <w:sz w:val="22"/>
                <w:szCs w:val="22"/>
              </w:rPr>
            </w:pPr>
          </w:p>
        </w:tc>
        <w:tc>
          <w:tcPr>
            <w:tcW w:w="4678" w:type="dxa"/>
          </w:tcPr>
          <w:p w14:paraId="4DF4A57A" w14:textId="12C08573" w:rsidR="009813CE" w:rsidRPr="00415807" w:rsidRDefault="009813CE" w:rsidP="00D1464F">
            <w:pPr>
              <w:rPr>
                <w:i/>
                <w:iCs/>
                <w:sz w:val="22"/>
                <w:szCs w:val="22"/>
              </w:rPr>
            </w:pPr>
            <w:r w:rsidRPr="00415807">
              <w:rPr>
                <w:b/>
                <w:bCs/>
                <w:i/>
                <w:iCs/>
                <w:sz w:val="22"/>
                <w:szCs w:val="22"/>
              </w:rPr>
              <w:lastRenderedPageBreak/>
              <w:t xml:space="preserve">Neatsižvelgta. </w:t>
            </w:r>
            <w:r w:rsidRPr="00415807">
              <w:rPr>
                <w:i/>
                <w:iCs/>
                <w:sz w:val="22"/>
                <w:szCs w:val="22"/>
              </w:rPr>
              <w:t>Priimtas sprendimas, kad didžioji dalis lėšų turėtų būti skirta įrangai, o ne statyboms ar NT pirkimui.</w:t>
            </w:r>
          </w:p>
          <w:p w14:paraId="3D7D2764" w14:textId="77777777" w:rsidR="009813CE" w:rsidRPr="00415807" w:rsidRDefault="009813CE" w:rsidP="00D1464F">
            <w:pPr>
              <w:rPr>
                <w:b/>
                <w:bCs/>
                <w:i/>
                <w:iCs/>
                <w:sz w:val="22"/>
                <w:szCs w:val="22"/>
              </w:rPr>
            </w:pPr>
          </w:p>
          <w:p w14:paraId="382DC5B4" w14:textId="055CFAA7" w:rsidR="009813CE" w:rsidRPr="00415807" w:rsidRDefault="009813CE" w:rsidP="00D1464F">
            <w:pPr>
              <w:rPr>
                <w:b/>
                <w:bCs/>
                <w:i/>
                <w:iCs/>
                <w:sz w:val="22"/>
                <w:szCs w:val="22"/>
              </w:rPr>
            </w:pPr>
            <w:r w:rsidRPr="00415807">
              <w:rPr>
                <w:b/>
                <w:bCs/>
                <w:i/>
                <w:iCs/>
                <w:sz w:val="22"/>
                <w:szCs w:val="22"/>
              </w:rPr>
              <w:t xml:space="preserve"> </w:t>
            </w:r>
          </w:p>
        </w:tc>
      </w:tr>
      <w:tr w:rsidR="009813CE" w:rsidRPr="00747A18" w14:paraId="7D1C3C49" w14:textId="77777777" w:rsidTr="00152C34">
        <w:tc>
          <w:tcPr>
            <w:tcW w:w="567" w:type="dxa"/>
          </w:tcPr>
          <w:p w14:paraId="1E813660" w14:textId="1DE3D007" w:rsidR="009813CE" w:rsidRDefault="009813CE" w:rsidP="009813CE">
            <w:pPr>
              <w:jc w:val="center"/>
              <w:rPr>
                <w:b/>
                <w:szCs w:val="24"/>
              </w:rPr>
            </w:pPr>
            <w:r>
              <w:rPr>
                <w:b/>
                <w:szCs w:val="24"/>
              </w:rPr>
              <w:t>2.</w:t>
            </w:r>
          </w:p>
        </w:tc>
        <w:tc>
          <w:tcPr>
            <w:tcW w:w="1985" w:type="dxa"/>
          </w:tcPr>
          <w:p w14:paraId="5E0FB27A" w14:textId="47B04C1F" w:rsidR="009813CE" w:rsidRPr="00CF785F" w:rsidRDefault="009813CE" w:rsidP="009813CE">
            <w:pPr>
              <w:rPr>
                <w:b/>
                <w:bCs/>
                <w:szCs w:val="24"/>
                <w:shd w:val="clear" w:color="auto" w:fill="FFFFFF"/>
              </w:rPr>
            </w:pPr>
            <w:r>
              <w:rPr>
                <w:b/>
                <w:bCs/>
                <w:szCs w:val="24"/>
                <w:shd w:val="clear" w:color="auto" w:fill="FFFFFF"/>
              </w:rPr>
              <w:t>Lietuvos Verslo konfederacija</w:t>
            </w:r>
          </w:p>
        </w:tc>
        <w:tc>
          <w:tcPr>
            <w:tcW w:w="7541" w:type="dxa"/>
          </w:tcPr>
          <w:p w14:paraId="30C48F7D" w14:textId="77777777" w:rsidR="009813CE" w:rsidRPr="006B1398" w:rsidRDefault="009813CE" w:rsidP="009813CE">
            <w:pPr>
              <w:autoSpaceDE w:val="0"/>
              <w:autoSpaceDN w:val="0"/>
              <w:adjustRightInd w:val="0"/>
              <w:rPr>
                <w:rFonts w:eastAsiaTheme="minorHAnsi"/>
                <w:i/>
                <w:iCs/>
                <w:color w:val="000000"/>
                <w:sz w:val="22"/>
                <w:szCs w:val="22"/>
                <w:lang w:eastAsia="en-US"/>
              </w:rPr>
            </w:pPr>
            <w:r w:rsidRPr="006B1398">
              <w:rPr>
                <w:rFonts w:eastAsiaTheme="minorHAnsi"/>
                <w:i/>
                <w:iCs/>
                <w:color w:val="000000"/>
                <w:sz w:val="22"/>
                <w:szCs w:val="22"/>
                <w:lang w:eastAsia="en-US"/>
              </w:rPr>
              <w:t xml:space="preserve">Nenustatyti išankstinio paskirstymo tarp skirtingų išlaidų kategorijų ir leisti dėl to susitarti patiems konsorciumo dalyviams; </w:t>
            </w:r>
          </w:p>
          <w:p w14:paraId="1B3ED59A" w14:textId="51652836" w:rsidR="009813CE" w:rsidRPr="006B1398" w:rsidRDefault="009813CE" w:rsidP="009813CE">
            <w:pPr>
              <w:rPr>
                <w:i/>
                <w:iCs/>
                <w:sz w:val="22"/>
                <w:szCs w:val="22"/>
              </w:rPr>
            </w:pPr>
          </w:p>
        </w:tc>
        <w:tc>
          <w:tcPr>
            <w:tcW w:w="4678" w:type="dxa"/>
          </w:tcPr>
          <w:p w14:paraId="54954245" w14:textId="0C9D4C10" w:rsidR="009813CE" w:rsidRPr="00415807" w:rsidRDefault="009813CE" w:rsidP="009813CE">
            <w:pPr>
              <w:rPr>
                <w:i/>
                <w:iCs/>
                <w:sz w:val="22"/>
                <w:szCs w:val="22"/>
              </w:rPr>
            </w:pPr>
            <w:r w:rsidRPr="00415807">
              <w:rPr>
                <w:b/>
                <w:bCs/>
                <w:i/>
                <w:iCs/>
                <w:sz w:val="22"/>
                <w:szCs w:val="22"/>
              </w:rPr>
              <w:t>Iš dalies atsižvelgta.</w:t>
            </w:r>
            <w:r w:rsidRPr="00415807">
              <w:rPr>
                <w:i/>
                <w:iCs/>
                <w:sz w:val="22"/>
                <w:szCs w:val="22"/>
              </w:rPr>
              <w:t xml:space="preserve"> RRF numatyta, kad  Konsorciumui reikalinga infrastruktūra įvertinama ir, priklausomai nuo konsorciumo poreikių ir infrastruktūros universalumo, pateikiama konsorciumui (planuojama – mokslo ir studijų institucijai ar mokslo ir technologijų parkui, bet ne privataus sektoriaus subjektui), siekiant užtikrinti atviros prieigos prie infrastruktūros principą, arba Inovacijų agentūrai. Kadangi „Įranga, įrenginiai ir kitas turtas“ turi būti valdoma atviros prieigos principu, Misijomis grįstų mokslo ir inovacijų programų projekto finansinių sąlygų apraše (toliau – PFSA) nustatome, kad lėšų dalis įmonėms išlaidų grupėje „Įranga, įrenginiai ir kitas turtas“, gali sudaryti iki 5 proc., šį procentą didiname iki </w:t>
            </w:r>
            <w:r w:rsidRPr="001F4333">
              <w:rPr>
                <w:i/>
                <w:iCs/>
                <w:sz w:val="22"/>
                <w:szCs w:val="22"/>
              </w:rPr>
              <w:t>10 proc.</w:t>
            </w:r>
          </w:p>
        </w:tc>
      </w:tr>
      <w:tr w:rsidR="009813CE" w:rsidRPr="00747A18" w14:paraId="5CAF682C" w14:textId="77777777" w:rsidTr="00152C34">
        <w:tc>
          <w:tcPr>
            <w:tcW w:w="567" w:type="dxa"/>
          </w:tcPr>
          <w:p w14:paraId="48DF4BE9" w14:textId="2DAD8DA3" w:rsidR="009813CE" w:rsidRDefault="009813CE" w:rsidP="00D1464F">
            <w:pPr>
              <w:jc w:val="center"/>
              <w:rPr>
                <w:b/>
                <w:szCs w:val="24"/>
              </w:rPr>
            </w:pPr>
          </w:p>
        </w:tc>
        <w:tc>
          <w:tcPr>
            <w:tcW w:w="1985" w:type="dxa"/>
          </w:tcPr>
          <w:p w14:paraId="3970079B" w14:textId="761F745D" w:rsidR="009813CE" w:rsidRPr="00CF785F" w:rsidRDefault="009813CE" w:rsidP="00D1464F">
            <w:pPr>
              <w:rPr>
                <w:b/>
                <w:bCs/>
                <w:szCs w:val="24"/>
                <w:shd w:val="clear" w:color="auto" w:fill="FFFFFF"/>
              </w:rPr>
            </w:pPr>
          </w:p>
        </w:tc>
        <w:tc>
          <w:tcPr>
            <w:tcW w:w="7541" w:type="dxa"/>
          </w:tcPr>
          <w:p w14:paraId="73A3E712" w14:textId="77777777" w:rsidR="009813CE" w:rsidRPr="006B1398" w:rsidRDefault="009813CE" w:rsidP="006E4CE9">
            <w:pPr>
              <w:autoSpaceDE w:val="0"/>
              <w:autoSpaceDN w:val="0"/>
              <w:adjustRightInd w:val="0"/>
              <w:rPr>
                <w:rFonts w:eastAsiaTheme="minorHAnsi"/>
                <w:i/>
                <w:iCs/>
                <w:color w:val="000000"/>
                <w:sz w:val="22"/>
                <w:szCs w:val="22"/>
                <w:lang w:eastAsia="en-US"/>
              </w:rPr>
            </w:pPr>
            <w:r w:rsidRPr="006B1398">
              <w:rPr>
                <w:rFonts w:eastAsiaTheme="minorHAnsi"/>
                <w:i/>
                <w:iCs/>
                <w:color w:val="000000"/>
                <w:sz w:val="22"/>
                <w:szCs w:val="22"/>
                <w:lang w:eastAsia="en-US"/>
              </w:rPr>
              <w:t xml:space="preserve">Projekto įgyvendinimo metu suteikti prioritetą konsorciumo nariams pasinaudoti įsigyta infrastuktūra ir įranga; </w:t>
            </w:r>
          </w:p>
          <w:p w14:paraId="19E0969C" w14:textId="296E95D9" w:rsidR="009813CE" w:rsidRPr="006B1398" w:rsidRDefault="009813CE" w:rsidP="00A476D7">
            <w:pPr>
              <w:rPr>
                <w:i/>
                <w:iCs/>
                <w:sz w:val="22"/>
                <w:szCs w:val="22"/>
              </w:rPr>
            </w:pPr>
          </w:p>
        </w:tc>
        <w:tc>
          <w:tcPr>
            <w:tcW w:w="4678" w:type="dxa"/>
          </w:tcPr>
          <w:p w14:paraId="57FE9538" w14:textId="21E38D40" w:rsidR="009813CE" w:rsidRPr="00415807" w:rsidRDefault="009813CE" w:rsidP="00D1464F">
            <w:pPr>
              <w:rPr>
                <w:b/>
                <w:bCs/>
                <w:i/>
                <w:iCs/>
                <w:sz w:val="22"/>
                <w:szCs w:val="22"/>
              </w:rPr>
            </w:pPr>
            <w:r w:rsidRPr="00415807">
              <w:rPr>
                <w:b/>
                <w:bCs/>
                <w:i/>
                <w:iCs/>
                <w:sz w:val="22"/>
                <w:szCs w:val="22"/>
              </w:rPr>
              <w:t xml:space="preserve">Iš dalies atsižvelgta. </w:t>
            </w:r>
            <w:r w:rsidRPr="00415807">
              <w:rPr>
                <w:i/>
                <w:iCs/>
                <w:sz w:val="22"/>
                <w:szCs w:val="22"/>
              </w:rPr>
              <w:t xml:space="preserve">Pagal BBIR  yra reikalavimas, kad atviros prieigos principu veikianti infrastruktūra negali būti perduodama kaip netiesioginė valstybės pagalba, todėl už naudojimąsi ją turi būti mokama rinkos kaina. PFSA pridedame sąlygą, kad Konsorciumo sutartyje turi būti numatytas Kompetencijų centro valdymo (operavimo) modelis, numatant, kad visi Konsorciumo nariai dalyvautų Kompetencijų centro valdyme. </w:t>
            </w:r>
          </w:p>
        </w:tc>
      </w:tr>
      <w:tr w:rsidR="009813CE" w:rsidRPr="00747A18" w14:paraId="0591C38F" w14:textId="77777777" w:rsidTr="00152C34">
        <w:tc>
          <w:tcPr>
            <w:tcW w:w="567" w:type="dxa"/>
          </w:tcPr>
          <w:p w14:paraId="1DC83A4C" w14:textId="3022F0A9" w:rsidR="009813CE" w:rsidRDefault="009813CE" w:rsidP="00D1464F">
            <w:pPr>
              <w:jc w:val="center"/>
              <w:rPr>
                <w:b/>
                <w:szCs w:val="24"/>
              </w:rPr>
            </w:pPr>
          </w:p>
        </w:tc>
        <w:tc>
          <w:tcPr>
            <w:tcW w:w="1985" w:type="dxa"/>
          </w:tcPr>
          <w:p w14:paraId="25712710" w14:textId="47774ED9" w:rsidR="009813CE" w:rsidRPr="00CF785F" w:rsidRDefault="009813CE" w:rsidP="00D1464F">
            <w:pPr>
              <w:rPr>
                <w:b/>
                <w:bCs/>
                <w:szCs w:val="24"/>
                <w:shd w:val="clear" w:color="auto" w:fill="FFFFFF"/>
              </w:rPr>
            </w:pPr>
          </w:p>
        </w:tc>
        <w:tc>
          <w:tcPr>
            <w:tcW w:w="7541" w:type="dxa"/>
          </w:tcPr>
          <w:p w14:paraId="355F564C" w14:textId="77777777" w:rsidR="009813CE" w:rsidRPr="006B1398" w:rsidRDefault="009813CE" w:rsidP="006E4CE9">
            <w:pPr>
              <w:autoSpaceDE w:val="0"/>
              <w:autoSpaceDN w:val="0"/>
              <w:adjustRightInd w:val="0"/>
              <w:rPr>
                <w:rFonts w:eastAsiaTheme="minorHAnsi"/>
                <w:i/>
                <w:iCs/>
                <w:color w:val="000000"/>
                <w:sz w:val="22"/>
                <w:szCs w:val="22"/>
                <w:lang w:eastAsia="en-US"/>
              </w:rPr>
            </w:pPr>
            <w:r w:rsidRPr="006B1398">
              <w:rPr>
                <w:rFonts w:eastAsiaTheme="minorHAnsi"/>
                <w:i/>
                <w:iCs/>
                <w:color w:val="000000"/>
                <w:sz w:val="22"/>
                <w:szCs w:val="22"/>
                <w:lang w:eastAsia="en-US"/>
              </w:rPr>
              <w:t xml:space="preserve">Pakeisti reikalavimą dėl būtinybės jau konsorciumo paraiškoje nurodyti būtent 7 MTEP projektus (pavyzdžiui, nurodant, kad gali būti pateikiama iki 7 projektų); </w:t>
            </w:r>
          </w:p>
          <w:p w14:paraId="00F46629" w14:textId="35F8A1C6" w:rsidR="009813CE" w:rsidRPr="006B1398" w:rsidRDefault="009813CE" w:rsidP="009711D8">
            <w:pPr>
              <w:rPr>
                <w:i/>
                <w:iCs/>
                <w:sz w:val="22"/>
                <w:szCs w:val="22"/>
              </w:rPr>
            </w:pPr>
          </w:p>
        </w:tc>
        <w:tc>
          <w:tcPr>
            <w:tcW w:w="4678" w:type="dxa"/>
          </w:tcPr>
          <w:p w14:paraId="3AFFE21A" w14:textId="23EF7809" w:rsidR="009813CE" w:rsidRPr="00415807" w:rsidRDefault="009813CE" w:rsidP="00D1464F">
            <w:pPr>
              <w:rPr>
                <w:i/>
                <w:iCs/>
                <w:sz w:val="22"/>
                <w:szCs w:val="22"/>
              </w:rPr>
            </w:pPr>
            <w:r w:rsidRPr="00415807">
              <w:rPr>
                <w:b/>
                <w:bCs/>
                <w:i/>
                <w:iCs/>
                <w:sz w:val="22"/>
                <w:szCs w:val="22"/>
              </w:rPr>
              <w:t xml:space="preserve">Neatsižvelgta. </w:t>
            </w:r>
            <w:r w:rsidRPr="00415807">
              <w:rPr>
                <w:i/>
                <w:iCs/>
                <w:sz w:val="22"/>
                <w:szCs w:val="22"/>
              </w:rPr>
              <w:t xml:space="preserve">RRF yra numatyta, kad turi būti numatyti </w:t>
            </w:r>
            <w:r w:rsidRPr="001F4333">
              <w:rPr>
                <w:i/>
                <w:iCs/>
                <w:sz w:val="22"/>
                <w:szCs w:val="22"/>
              </w:rPr>
              <w:t>21</w:t>
            </w:r>
            <w:r w:rsidRPr="00415807">
              <w:rPr>
                <w:i/>
                <w:iCs/>
                <w:sz w:val="22"/>
                <w:szCs w:val="22"/>
              </w:rPr>
              <w:t xml:space="preserve"> MTEP projektas,  už šį rodiklį atsiskaitysime Europos Komisijai. Pagal šį kriterijų kiekvienoje iš misijomis grįstų mokslo ir inovacijų programų turime turėti ne mažiau nei </w:t>
            </w:r>
            <w:r w:rsidRPr="001F4333">
              <w:rPr>
                <w:i/>
                <w:iCs/>
                <w:sz w:val="22"/>
                <w:szCs w:val="22"/>
              </w:rPr>
              <w:t xml:space="preserve">7 </w:t>
            </w:r>
            <w:r w:rsidRPr="00415807">
              <w:rPr>
                <w:i/>
                <w:iCs/>
                <w:sz w:val="22"/>
                <w:szCs w:val="22"/>
              </w:rPr>
              <w:t>MTEP projektus, MTEP projektų dydis nėra ribojamas.</w:t>
            </w:r>
          </w:p>
        </w:tc>
      </w:tr>
      <w:tr w:rsidR="009813CE" w:rsidRPr="00747A18" w14:paraId="3CC61BCC" w14:textId="77777777" w:rsidTr="00152C34">
        <w:tc>
          <w:tcPr>
            <w:tcW w:w="567" w:type="dxa"/>
          </w:tcPr>
          <w:p w14:paraId="212D7E01" w14:textId="3C1BEB2F" w:rsidR="009813CE" w:rsidRDefault="009813CE" w:rsidP="00D1464F">
            <w:pPr>
              <w:jc w:val="center"/>
              <w:rPr>
                <w:b/>
                <w:szCs w:val="24"/>
              </w:rPr>
            </w:pPr>
          </w:p>
        </w:tc>
        <w:tc>
          <w:tcPr>
            <w:tcW w:w="1985" w:type="dxa"/>
          </w:tcPr>
          <w:p w14:paraId="6947A322" w14:textId="161A396D" w:rsidR="009813CE" w:rsidRPr="00CF785F" w:rsidRDefault="009813CE" w:rsidP="00D1464F">
            <w:pPr>
              <w:rPr>
                <w:b/>
                <w:bCs/>
                <w:szCs w:val="24"/>
                <w:shd w:val="clear" w:color="auto" w:fill="FFFFFF"/>
              </w:rPr>
            </w:pPr>
          </w:p>
        </w:tc>
        <w:tc>
          <w:tcPr>
            <w:tcW w:w="7541" w:type="dxa"/>
          </w:tcPr>
          <w:p w14:paraId="20A55C5F" w14:textId="77777777" w:rsidR="009813CE" w:rsidRPr="006B1398" w:rsidRDefault="009813CE" w:rsidP="006E4CE9">
            <w:pPr>
              <w:autoSpaceDE w:val="0"/>
              <w:autoSpaceDN w:val="0"/>
              <w:adjustRightInd w:val="0"/>
              <w:rPr>
                <w:rFonts w:eastAsiaTheme="minorHAnsi"/>
                <w:i/>
                <w:iCs/>
                <w:color w:val="000000"/>
                <w:sz w:val="22"/>
                <w:szCs w:val="22"/>
                <w:lang w:eastAsia="en-US"/>
              </w:rPr>
            </w:pPr>
            <w:r w:rsidRPr="006B1398">
              <w:rPr>
                <w:rFonts w:eastAsiaTheme="minorHAnsi"/>
                <w:i/>
                <w:iCs/>
                <w:color w:val="000000"/>
                <w:sz w:val="22"/>
                <w:szCs w:val="22"/>
                <w:lang w:eastAsia="en-US"/>
              </w:rPr>
              <w:t xml:space="preserve">Nustatyti bent minimalius reikalavimus pagrindiniams projekto partneriams (įmonėms), pavyzdžiui, apyvartos, MTEP projektų skaičiaus. </w:t>
            </w:r>
          </w:p>
          <w:p w14:paraId="7C4A4715" w14:textId="7790B160" w:rsidR="009813CE" w:rsidRPr="006B1398" w:rsidRDefault="009813CE" w:rsidP="008E00E0">
            <w:pPr>
              <w:rPr>
                <w:i/>
                <w:iCs/>
                <w:sz w:val="22"/>
                <w:szCs w:val="22"/>
              </w:rPr>
            </w:pPr>
          </w:p>
        </w:tc>
        <w:tc>
          <w:tcPr>
            <w:tcW w:w="4678" w:type="dxa"/>
          </w:tcPr>
          <w:p w14:paraId="4895FADF" w14:textId="65275D18" w:rsidR="009813CE" w:rsidRPr="00415807" w:rsidRDefault="009813CE" w:rsidP="00D1464F">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yra numatyta reikalavimai Konsorciumo partneriams. Konsorciumo atrankos taisyklės bus pristatomos iškart po PFSA patvirtinimo.</w:t>
            </w:r>
          </w:p>
        </w:tc>
      </w:tr>
      <w:tr w:rsidR="009813CE" w:rsidRPr="00747A18" w14:paraId="64485D97" w14:textId="77777777" w:rsidTr="00152C34">
        <w:tc>
          <w:tcPr>
            <w:tcW w:w="567" w:type="dxa"/>
          </w:tcPr>
          <w:p w14:paraId="48E08B1E" w14:textId="5732CB13" w:rsidR="009813CE" w:rsidRDefault="009813CE" w:rsidP="00D1464F">
            <w:pPr>
              <w:jc w:val="center"/>
              <w:rPr>
                <w:b/>
                <w:szCs w:val="24"/>
              </w:rPr>
            </w:pPr>
            <w:r>
              <w:rPr>
                <w:b/>
                <w:szCs w:val="24"/>
              </w:rPr>
              <w:t xml:space="preserve">3. </w:t>
            </w:r>
          </w:p>
        </w:tc>
        <w:tc>
          <w:tcPr>
            <w:tcW w:w="1985" w:type="dxa"/>
          </w:tcPr>
          <w:p w14:paraId="6945EAB1" w14:textId="52A57C61" w:rsidR="009813CE" w:rsidRPr="00CF785F" w:rsidRDefault="009813CE" w:rsidP="00D1464F">
            <w:pPr>
              <w:rPr>
                <w:b/>
                <w:bCs/>
                <w:szCs w:val="24"/>
                <w:shd w:val="clear" w:color="auto" w:fill="FFFFFF"/>
              </w:rPr>
            </w:pPr>
            <w:r>
              <w:rPr>
                <w:b/>
                <w:bCs/>
                <w:szCs w:val="24"/>
                <w:shd w:val="clear" w:color="auto" w:fill="FFFFFF"/>
              </w:rPr>
              <w:t xml:space="preserve">Lietuvos Sveikatos Mokslų universitetas, </w:t>
            </w:r>
            <w:r w:rsidRPr="000A0ED3">
              <w:rPr>
                <w:b/>
                <w:bCs/>
                <w:szCs w:val="24"/>
                <w:shd w:val="clear" w:color="auto" w:fill="FFFFFF"/>
              </w:rPr>
              <w:t>Nr. 2022-DVT2-</w:t>
            </w:r>
          </w:p>
        </w:tc>
        <w:tc>
          <w:tcPr>
            <w:tcW w:w="7541" w:type="dxa"/>
          </w:tcPr>
          <w:p w14:paraId="3A497E9D" w14:textId="31A18555" w:rsidR="009813CE" w:rsidRPr="006B1398" w:rsidRDefault="009813CE" w:rsidP="000C1475">
            <w:pPr>
              <w:rPr>
                <w:i/>
                <w:iCs/>
                <w:sz w:val="22"/>
                <w:szCs w:val="22"/>
              </w:rPr>
            </w:pPr>
            <w:r w:rsidRPr="006B1398">
              <w:rPr>
                <w:i/>
                <w:iCs/>
                <w:sz w:val="22"/>
                <w:szCs w:val="22"/>
              </w:rPr>
              <w:t xml:space="preserve">Aprašo projekto 9.20 punkte nurodytos tinkamos finansuoti išlaidos. Vienos iš šių tinkamų finansuotų išlaidų yra Projektą vykdančio personalo darbo užmokesčio išlaidos ir patirtos projektą vykdančio personalo darbo užmokesčio už kasmetines atostogas ir (arba) kompensacijos už nepanaudotas kasmetines atostogas ir papildomų poilsio dienų išmokos. Aprašo projekto 10 punkte ,,Projektų veiklų ir jungtinio projekto projektų įgyvendinimui taikomi supaprastintai apmokamų išlaidų dydžiai“ nurodyta, jog darbo užmokesčio išlaidoms kompensuoti taikoma fiksuotoji norma, priklausomai nuo darbo dienų skaičiaus. Atkreipiame dėmesį, jog šiuo metu programoje ,,Europos horizontas“ pradėtas taikyti fiksuotųjų sumų (angl. </w:t>
            </w:r>
            <w:proofErr w:type="spellStart"/>
            <w:r w:rsidRPr="006B1398">
              <w:rPr>
                <w:i/>
                <w:iCs/>
                <w:sz w:val="22"/>
                <w:szCs w:val="22"/>
              </w:rPr>
              <w:t>lump</w:t>
            </w:r>
            <w:proofErr w:type="spellEnd"/>
            <w:r w:rsidRPr="006B1398">
              <w:rPr>
                <w:i/>
                <w:iCs/>
                <w:sz w:val="22"/>
                <w:szCs w:val="22"/>
              </w:rPr>
              <w:t xml:space="preserve"> </w:t>
            </w:r>
            <w:proofErr w:type="spellStart"/>
            <w:r w:rsidRPr="006B1398">
              <w:rPr>
                <w:i/>
                <w:iCs/>
                <w:sz w:val="22"/>
                <w:szCs w:val="22"/>
              </w:rPr>
              <w:t>sum</w:t>
            </w:r>
            <w:proofErr w:type="spellEnd"/>
            <w:r w:rsidRPr="006B1398">
              <w:rPr>
                <w:i/>
                <w:iCs/>
                <w:sz w:val="22"/>
                <w:szCs w:val="22"/>
              </w:rPr>
              <w:t>) finansavimo modelis, kurį siūlytume naudoti įgyvendinant priemonės Nr. 05-001-01-05-06/12-001-01-03-01 projektus. Tai leistų sumažinti administracinę projektų vykdymo naštą bei suvienodinti įvairių projektų finansavimo priemonių darbo užmokesčio finansavimo modelį</w:t>
            </w:r>
          </w:p>
        </w:tc>
        <w:tc>
          <w:tcPr>
            <w:tcW w:w="4678" w:type="dxa"/>
          </w:tcPr>
          <w:p w14:paraId="6F9E19BB" w14:textId="0A1B667D" w:rsidR="009813CE" w:rsidRPr="00415807" w:rsidRDefault="009813CE" w:rsidP="006E4CE9">
            <w:pPr>
              <w:rPr>
                <w:b/>
                <w:bCs/>
                <w:i/>
                <w:iCs/>
                <w:sz w:val="22"/>
                <w:szCs w:val="22"/>
              </w:rPr>
            </w:pPr>
            <w:r w:rsidRPr="00415807">
              <w:rPr>
                <w:b/>
                <w:bCs/>
                <w:i/>
                <w:iCs/>
                <w:sz w:val="22"/>
                <w:szCs w:val="22"/>
              </w:rPr>
              <w:t xml:space="preserve">Neatsižvelgta. </w:t>
            </w:r>
            <w:r w:rsidRPr="00415807">
              <w:rPr>
                <w:i/>
                <w:iCs/>
                <w:sz w:val="22"/>
                <w:szCs w:val="22"/>
              </w:rPr>
              <w:t xml:space="preserve">Supaprastintas apmokėjimas </w:t>
            </w:r>
            <w:r w:rsidR="00E35F4E">
              <w:rPr>
                <w:i/>
                <w:iCs/>
                <w:sz w:val="22"/>
                <w:szCs w:val="22"/>
              </w:rPr>
              <w:t>gali</w:t>
            </w:r>
            <w:r w:rsidR="00E35F4E" w:rsidRPr="00415807">
              <w:rPr>
                <w:i/>
                <w:iCs/>
                <w:sz w:val="22"/>
                <w:szCs w:val="22"/>
              </w:rPr>
              <w:t xml:space="preserve"> </w:t>
            </w:r>
            <w:r w:rsidRPr="00415807">
              <w:rPr>
                <w:i/>
                <w:iCs/>
                <w:sz w:val="22"/>
                <w:szCs w:val="22"/>
              </w:rPr>
              <w:t>būti taikomas, jeigu fiksuoti įkainiai</w:t>
            </w:r>
            <w:r w:rsidR="00E35F4E">
              <w:rPr>
                <w:i/>
                <w:iCs/>
                <w:sz w:val="22"/>
                <w:szCs w:val="22"/>
              </w:rPr>
              <w:t>, fiksuotosios sumos ar fiksuotosios normos</w:t>
            </w:r>
            <w:r w:rsidRPr="00415807">
              <w:rPr>
                <w:i/>
                <w:iCs/>
                <w:sz w:val="22"/>
                <w:szCs w:val="22"/>
              </w:rPr>
              <w:t xml:space="preserve"> yra įtraukti į supaprastinim</w:t>
            </w:r>
            <w:r w:rsidR="00E35F4E">
              <w:rPr>
                <w:i/>
                <w:iCs/>
                <w:sz w:val="22"/>
                <w:szCs w:val="22"/>
              </w:rPr>
              <w:t>ų</w:t>
            </w:r>
            <w:r w:rsidRPr="00415807">
              <w:rPr>
                <w:i/>
                <w:iCs/>
                <w:sz w:val="22"/>
                <w:szCs w:val="22"/>
              </w:rPr>
              <w:t xml:space="preserve"> registrą. </w:t>
            </w:r>
            <w:r w:rsidR="00E35F4E">
              <w:rPr>
                <w:i/>
                <w:iCs/>
                <w:sz w:val="22"/>
                <w:szCs w:val="22"/>
              </w:rPr>
              <w:t>Dėl f</w:t>
            </w:r>
            <w:r w:rsidRPr="00415807">
              <w:rPr>
                <w:i/>
                <w:iCs/>
                <w:sz w:val="22"/>
                <w:szCs w:val="22"/>
              </w:rPr>
              <w:t>iksuotų</w:t>
            </w:r>
            <w:r w:rsidR="00E35F4E">
              <w:rPr>
                <w:i/>
                <w:iCs/>
                <w:sz w:val="22"/>
                <w:szCs w:val="22"/>
              </w:rPr>
              <w:t>jų</w:t>
            </w:r>
            <w:r w:rsidRPr="00415807">
              <w:rPr>
                <w:i/>
                <w:iCs/>
                <w:sz w:val="22"/>
                <w:szCs w:val="22"/>
              </w:rPr>
              <w:t xml:space="preserve"> sumų atostogoms</w:t>
            </w:r>
            <w:r w:rsidR="00E35F4E">
              <w:rPr>
                <w:i/>
                <w:iCs/>
                <w:sz w:val="22"/>
                <w:szCs w:val="22"/>
              </w:rPr>
              <w:t xml:space="preserve"> nėra atliktas supaprastinimų nustatymo tyrimas ir tokios fiksuotosios sumos </w:t>
            </w:r>
            <w:r w:rsidRPr="00415807">
              <w:rPr>
                <w:i/>
                <w:iCs/>
                <w:sz w:val="22"/>
                <w:szCs w:val="22"/>
              </w:rPr>
              <w:t xml:space="preserve"> registre nėra.</w:t>
            </w:r>
          </w:p>
          <w:p w14:paraId="308B1F9B" w14:textId="186EE840" w:rsidR="009813CE" w:rsidRPr="00415807" w:rsidRDefault="009813CE" w:rsidP="00D1464F">
            <w:pPr>
              <w:rPr>
                <w:i/>
                <w:iCs/>
                <w:sz w:val="22"/>
                <w:szCs w:val="22"/>
              </w:rPr>
            </w:pPr>
          </w:p>
        </w:tc>
      </w:tr>
      <w:tr w:rsidR="00D17AC8" w:rsidRPr="00747A18" w14:paraId="5705C010" w14:textId="77777777" w:rsidTr="00152C34">
        <w:tc>
          <w:tcPr>
            <w:tcW w:w="567" w:type="dxa"/>
          </w:tcPr>
          <w:p w14:paraId="4E6DC865" w14:textId="280AD9B3" w:rsidR="00D17AC8" w:rsidRDefault="00D17AC8" w:rsidP="00D17AC8">
            <w:pPr>
              <w:jc w:val="center"/>
              <w:rPr>
                <w:b/>
                <w:szCs w:val="24"/>
              </w:rPr>
            </w:pPr>
            <w:r>
              <w:rPr>
                <w:b/>
                <w:szCs w:val="24"/>
                <w:lang w:val="en-US"/>
              </w:rPr>
              <w:t xml:space="preserve">4. </w:t>
            </w:r>
          </w:p>
        </w:tc>
        <w:tc>
          <w:tcPr>
            <w:tcW w:w="1985" w:type="dxa"/>
          </w:tcPr>
          <w:p w14:paraId="64ADAF8B" w14:textId="434E7E6B" w:rsidR="00D17AC8" w:rsidRPr="00CF785F" w:rsidRDefault="00D17AC8" w:rsidP="00D17AC8">
            <w:pPr>
              <w:rPr>
                <w:b/>
                <w:bCs/>
                <w:szCs w:val="24"/>
                <w:shd w:val="clear" w:color="auto" w:fill="FFFFFF"/>
              </w:rPr>
            </w:pPr>
            <w:r w:rsidRPr="00E15D19">
              <w:rPr>
                <w:b/>
                <w:bCs/>
                <w:szCs w:val="24"/>
                <w:shd w:val="clear" w:color="auto" w:fill="FFFFFF"/>
              </w:rPr>
              <w:t xml:space="preserve">Lietuvos </w:t>
            </w:r>
            <w:proofErr w:type="spellStart"/>
            <w:r w:rsidRPr="00E15D19">
              <w:rPr>
                <w:b/>
                <w:bCs/>
                <w:szCs w:val="24"/>
                <w:shd w:val="clear" w:color="auto" w:fill="FFFFFF"/>
              </w:rPr>
              <w:t>biotechnologų</w:t>
            </w:r>
            <w:proofErr w:type="spellEnd"/>
            <w:r w:rsidRPr="00E15D19">
              <w:rPr>
                <w:b/>
                <w:bCs/>
                <w:szCs w:val="24"/>
                <w:shd w:val="clear" w:color="auto" w:fill="FFFFFF"/>
              </w:rPr>
              <w:t xml:space="preserve"> asociacija</w:t>
            </w:r>
            <w:r>
              <w:rPr>
                <w:b/>
                <w:bCs/>
                <w:szCs w:val="24"/>
                <w:shd w:val="clear" w:color="auto" w:fill="FFFFFF"/>
              </w:rPr>
              <w:t xml:space="preserve">, </w:t>
            </w:r>
            <w:r w:rsidRPr="00E15D19">
              <w:rPr>
                <w:b/>
                <w:bCs/>
                <w:szCs w:val="24"/>
                <w:shd w:val="clear" w:color="auto" w:fill="FFFFFF"/>
              </w:rPr>
              <w:t>2022-10-31/Nr. 20221031-01</w:t>
            </w:r>
          </w:p>
        </w:tc>
        <w:tc>
          <w:tcPr>
            <w:tcW w:w="7541" w:type="dxa"/>
          </w:tcPr>
          <w:p w14:paraId="76345410" w14:textId="3554B945" w:rsidR="00D17AC8" w:rsidRPr="006B1398" w:rsidRDefault="00D17AC8" w:rsidP="00D17AC8">
            <w:pPr>
              <w:rPr>
                <w:i/>
                <w:iCs/>
                <w:sz w:val="22"/>
                <w:szCs w:val="22"/>
              </w:rPr>
            </w:pPr>
            <w:r w:rsidRPr="006B1398">
              <w:rPr>
                <w:i/>
                <w:iCs/>
                <w:sz w:val="22"/>
                <w:szCs w:val="22"/>
              </w:rPr>
              <w:t>Padidinti įmonėms numatomą įrangos lėšų dalį iki 20% (tai nebūtinai būtų 20%, bet būtų galimybė nuo 5% iki 20% skirti įmonėms pagal realius konsorciumo poreikius).</w:t>
            </w:r>
          </w:p>
        </w:tc>
        <w:tc>
          <w:tcPr>
            <w:tcW w:w="4678" w:type="dxa"/>
          </w:tcPr>
          <w:p w14:paraId="5089F195" w14:textId="16BCE424" w:rsidR="00D17AC8" w:rsidRPr="00415807" w:rsidRDefault="00D17AC8" w:rsidP="00D17AC8">
            <w:pPr>
              <w:rPr>
                <w:b/>
                <w:bCs/>
                <w:i/>
                <w:iCs/>
                <w:sz w:val="22"/>
                <w:szCs w:val="22"/>
              </w:rPr>
            </w:pPr>
            <w:r w:rsidRPr="00415807">
              <w:rPr>
                <w:b/>
                <w:bCs/>
                <w:i/>
                <w:iCs/>
                <w:sz w:val="22"/>
                <w:szCs w:val="22"/>
              </w:rPr>
              <w:t>Iš dalies atsižvelgta.</w:t>
            </w:r>
            <w:r w:rsidRPr="00415807">
              <w:rPr>
                <w:i/>
                <w:iCs/>
                <w:sz w:val="22"/>
                <w:szCs w:val="22"/>
              </w:rPr>
              <w:t xml:space="preserve"> RRF numatyta, kad  Konsorciumui reikalinga infrastruktūra įvertinama ir, priklausomai nuo konsorciumo poreikių ir infrastruktūros universalumo, pateikiama konsorciumui (planuojama – mokslo ir studijų institucijai ar mokslo ir technologijų parkui, bet ne privataus sektoriaus subjektui), siekiant užtikrinti atviros prieigos prie infrastruktūros principą, arba Inovacijų agentūrai. Kadangi „Įranga, įrenginiai ir kitas turtas“ turi būti valdoma atviros prieigos principu, Misijomis grįstų mokslo ir inovacijų programų projekto finansinių sąlygų apraše (toliau – PFSA) nustatome, kad lėšų dalis įmonėms išlaidų grupėje „Įranga, įrenginiai ir kitas turtas“, gali sudaryti iki 5 proc., šį procentą didiname iki </w:t>
            </w:r>
            <w:r w:rsidRPr="001F4333">
              <w:rPr>
                <w:i/>
                <w:iCs/>
                <w:sz w:val="22"/>
                <w:szCs w:val="22"/>
              </w:rPr>
              <w:t>10 proc.</w:t>
            </w:r>
          </w:p>
        </w:tc>
      </w:tr>
      <w:tr w:rsidR="00D17AC8" w:rsidRPr="00747A18" w14:paraId="22F752B6" w14:textId="77777777" w:rsidTr="00152C34">
        <w:tc>
          <w:tcPr>
            <w:tcW w:w="567" w:type="dxa"/>
          </w:tcPr>
          <w:p w14:paraId="4A9D8FD2" w14:textId="77777777" w:rsidR="00D17AC8" w:rsidRPr="004457AD" w:rsidRDefault="00D17AC8" w:rsidP="00D17AC8">
            <w:pPr>
              <w:jc w:val="center"/>
              <w:rPr>
                <w:b/>
                <w:szCs w:val="24"/>
              </w:rPr>
            </w:pPr>
          </w:p>
          <w:p w14:paraId="7A90D38B" w14:textId="74ED31D4" w:rsidR="00D17AC8" w:rsidRDefault="00D17AC8" w:rsidP="00D17AC8">
            <w:pPr>
              <w:jc w:val="center"/>
              <w:rPr>
                <w:b/>
                <w:szCs w:val="24"/>
              </w:rPr>
            </w:pPr>
          </w:p>
        </w:tc>
        <w:tc>
          <w:tcPr>
            <w:tcW w:w="1985" w:type="dxa"/>
          </w:tcPr>
          <w:p w14:paraId="211081EB" w14:textId="19A3443B" w:rsidR="00D17AC8" w:rsidRPr="00CF785F" w:rsidRDefault="00D17AC8" w:rsidP="00D17AC8">
            <w:pPr>
              <w:rPr>
                <w:b/>
                <w:bCs/>
                <w:szCs w:val="24"/>
                <w:shd w:val="clear" w:color="auto" w:fill="FFFFFF"/>
              </w:rPr>
            </w:pPr>
          </w:p>
        </w:tc>
        <w:tc>
          <w:tcPr>
            <w:tcW w:w="7541" w:type="dxa"/>
          </w:tcPr>
          <w:p w14:paraId="1154E91E" w14:textId="0E613A19" w:rsidR="00D17AC8" w:rsidRPr="006B1398" w:rsidRDefault="00D17AC8" w:rsidP="00D17AC8">
            <w:pPr>
              <w:rPr>
                <w:i/>
                <w:iCs/>
                <w:sz w:val="22"/>
                <w:szCs w:val="22"/>
              </w:rPr>
            </w:pPr>
            <w:r w:rsidRPr="006B1398">
              <w:rPr>
                <w:i/>
                <w:iCs/>
                <w:sz w:val="22"/>
                <w:szCs w:val="22"/>
              </w:rPr>
              <w:t>Atrankos kriterijuose didesnį prioritetą skirti toms paraiškoms, kuriose įrangos lėšų dalis, skiriama įmonėms, bus didesnė.</w:t>
            </w:r>
          </w:p>
        </w:tc>
        <w:tc>
          <w:tcPr>
            <w:tcW w:w="4678" w:type="dxa"/>
          </w:tcPr>
          <w:p w14:paraId="017FE816" w14:textId="44B52D0F" w:rsidR="00D17AC8" w:rsidRPr="00415807" w:rsidRDefault="00D17AC8" w:rsidP="00D17AC8">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w:t>
            </w:r>
            <w:r w:rsidR="00C03396">
              <w:rPr>
                <w:i/>
                <w:iCs/>
                <w:sz w:val="22"/>
                <w:szCs w:val="22"/>
              </w:rPr>
              <w:t>bus</w:t>
            </w:r>
            <w:r w:rsidR="00C03396" w:rsidRPr="00415807">
              <w:rPr>
                <w:i/>
                <w:iCs/>
                <w:sz w:val="22"/>
                <w:szCs w:val="22"/>
              </w:rPr>
              <w:t xml:space="preserve"> </w:t>
            </w:r>
            <w:r w:rsidRPr="00415807">
              <w:rPr>
                <w:i/>
                <w:iCs/>
                <w:sz w:val="22"/>
                <w:szCs w:val="22"/>
              </w:rPr>
              <w:t>numatyt</w:t>
            </w:r>
            <w:r w:rsidR="00C03396">
              <w:rPr>
                <w:i/>
                <w:iCs/>
                <w:sz w:val="22"/>
                <w:szCs w:val="22"/>
              </w:rPr>
              <w:t>i</w:t>
            </w:r>
            <w:r w:rsidRPr="00415807">
              <w:rPr>
                <w:i/>
                <w:iCs/>
                <w:sz w:val="22"/>
                <w:szCs w:val="22"/>
              </w:rPr>
              <w:t xml:space="preserve"> reikalavimai Konsorciumo partneriams. Konsorciumo atrankos </w:t>
            </w:r>
            <w:r w:rsidRPr="00415807">
              <w:rPr>
                <w:i/>
                <w:iCs/>
                <w:sz w:val="22"/>
                <w:szCs w:val="22"/>
              </w:rPr>
              <w:lastRenderedPageBreak/>
              <w:t>taisyklės bus pristatomos iškart po PFSA patvirtinimo.</w:t>
            </w:r>
          </w:p>
        </w:tc>
      </w:tr>
      <w:tr w:rsidR="00D17AC8" w:rsidRPr="00747A18" w14:paraId="5C35964A" w14:textId="77777777" w:rsidTr="00152C34">
        <w:tc>
          <w:tcPr>
            <w:tcW w:w="567" w:type="dxa"/>
          </w:tcPr>
          <w:p w14:paraId="40F5FE24" w14:textId="0E0681FA" w:rsidR="00D17AC8" w:rsidRDefault="00D17AC8" w:rsidP="00D17AC8">
            <w:pPr>
              <w:jc w:val="center"/>
              <w:rPr>
                <w:b/>
                <w:szCs w:val="24"/>
              </w:rPr>
            </w:pPr>
          </w:p>
        </w:tc>
        <w:tc>
          <w:tcPr>
            <w:tcW w:w="1985" w:type="dxa"/>
          </w:tcPr>
          <w:p w14:paraId="38237CD3" w14:textId="2AB51C81" w:rsidR="00D17AC8" w:rsidRPr="00CF785F" w:rsidRDefault="00D17AC8" w:rsidP="00D17AC8">
            <w:pPr>
              <w:rPr>
                <w:b/>
                <w:bCs/>
                <w:szCs w:val="24"/>
                <w:shd w:val="clear" w:color="auto" w:fill="FFFFFF"/>
              </w:rPr>
            </w:pPr>
          </w:p>
        </w:tc>
        <w:tc>
          <w:tcPr>
            <w:tcW w:w="7541" w:type="dxa"/>
          </w:tcPr>
          <w:p w14:paraId="44788B03" w14:textId="59E5729A" w:rsidR="00D17AC8" w:rsidRPr="006B1398" w:rsidRDefault="00D17AC8" w:rsidP="00D17AC8">
            <w:pPr>
              <w:rPr>
                <w:i/>
                <w:iCs/>
                <w:sz w:val="22"/>
                <w:szCs w:val="22"/>
              </w:rPr>
            </w:pPr>
            <w:r w:rsidRPr="006B1398">
              <w:rPr>
                <w:i/>
                <w:iCs/>
                <w:sz w:val="22"/>
                <w:szCs w:val="22"/>
              </w:rPr>
              <w:t>Nenustatyti išankstinio paskirstymo tarp skirtingų išlaidų kategorijų ir leisti dėl to susitarti patiems konsorciumo dalyviams.</w:t>
            </w:r>
          </w:p>
        </w:tc>
        <w:tc>
          <w:tcPr>
            <w:tcW w:w="4678" w:type="dxa"/>
          </w:tcPr>
          <w:p w14:paraId="0619B89A" w14:textId="77777777" w:rsidR="00D17AC8" w:rsidRPr="00415807" w:rsidRDefault="00D17AC8" w:rsidP="00D17AC8">
            <w:pPr>
              <w:rPr>
                <w:i/>
                <w:iCs/>
                <w:sz w:val="22"/>
                <w:szCs w:val="22"/>
              </w:rPr>
            </w:pPr>
            <w:r w:rsidRPr="00415807">
              <w:rPr>
                <w:b/>
                <w:bCs/>
                <w:i/>
                <w:iCs/>
                <w:sz w:val="22"/>
                <w:szCs w:val="22"/>
              </w:rPr>
              <w:t xml:space="preserve">Neatsižvelgta. </w:t>
            </w:r>
            <w:r w:rsidRPr="00415807">
              <w:rPr>
                <w:i/>
                <w:iCs/>
                <w:sz w:val="22"/>
                <w:szCs w:val="22"/>
              </w:rPr>
              <w:t>Priimtas sprendimas, kad didžioji dalis lėšų turėtų būti skirta įrangai, o ne statyboms ar NT pirkimui.</w:t>
            </w:r>
          </w:p>
          <w:p w14:paraId="575CF8A2" w14:textId="77777777" w:rsidR="00D17AC8" w:rsidRPr="00415807" w:rsidRDefault="00D17AC8" w:rsidP="00D17AC8">
            <w:pPr>
              <w:rPr>
                <w:i/>
                <w:iCs/>
                <w:sz w:val="22"/>
                <w:szCs w:val="22"/>
              </w:rPr>
            </w:pPr>
          </w:p>
          <w:p w14:paraId="5F79BC31" w14:textId="3B5D396C" w:rsidR="00D17AC8" w:rsidRPr="00415807" w:rsidRDefault="00D17AC8" w:rsidP="00D17AC8">
            <w:pPr>
              <w:rPr>
                <w:b/>
                <w:bCs/>
                <w:i/>
                <w:iCs/>
                <w:sz w:val="22"/>
                <w:szCs w:val="22"/>
              </w:rPr>
            </w:pPr>
          </w:p>
        </w:tc>
      </w:tr>
      <w:tr w:rsidR="00D17AC8" w:rsidRPr="00747A18" w14:paraId="5FAC6DED" w14:textId="77777777" w:rsidTr="00152C34">
        <w:tc>
          <w:tcPr>
            <w:tcW w:w="567" w:type="dxa"/>
          </w:tcPr>
          <w:p w14:paraId="46E3D835" w14:textId="53102DEF" w:rsidR="00D17AC8" w:rsidRDefault="00D17AC8" w:rsidP="00D17AC8">
            <w:pPr>
              <w:jc w:val="center"/>
              <w:rPr>
                <w:b/>
                <w:szCs w:val="24"/>
              </w:rPr>
            </w:pPr>
          </w:p>
        </w:tc>
        <w:tc>
          <w:tcPr>
            <w:tcW w:w="1985" w:type="dxa"/>
          </w:tcPr>
          <w:p w14:paraId="2DEA4A10" w14:textId="6FAEF16E" w:rsidR="00D17AC8" w:rsidRPr="00CF785F" w:rsidRDefault="00D17AC8" w:rsidP="00D17AC8">
            <w:pPr>
              <w:rPr>
                <w:b/>
                <w:bCs/>
                <w:szCs w:val="24"/>
                <w:shd w:val="clear" w:color="auto" w:fill="FFFFFF"/>
              </w:rPr>
            </w:pPr>
          </w:p>
        </w:tc>
        <w:tc>
          <w:tcPr>
            <w:tcW w:w="7541" w:type="dxa"/>
          </w:tcPr>
          <w:p w14:paraId="1028155E" w14:textId="3FF033A7" w:rsidR="00D17AC8" w:rsidRPr="006B1398" w:rsidRDefault="00D17AC8" w:rsidP="00D17AC8">
            <w:pPr>
              <w:rPr>
                <w:i/>
                <w:iCs/>
                <w:sz w:val="22"/>
                <w:szCs w:val="22"/>
              </w:rPr>
            </w:pPr>
            <w:r w:rsidRPr="006B1398">
              <w:rPr>
                <w:i/>
                <w:iCs/>
                <w:sz w:val="22"/>
                <w:szCs w:val="22"/>
              </w:rPr>
              <w:t>Projekto įgyvendinimo metu suteikti prioritetą konsorciumo nariams pasinaudoti įsigyta infrastuktūra ir įranga.</w:t>
            </w:r>
          </w:p>
        </w:tc>
        <w:tc>
          <w:tcPr>
            <w:tcW w:w="4678" w:type="dxa"/>
          </w:tcPr>
          <w:p w14:paraId="6CC86A8C" w14:textId="5BD9F533" w:rsidR="00D17AC8" w:rsidRPr="00415807" w:rsidRDefault="00D17AC8" w:rsidP="00D17AC8">
            <w:pPr>
              <w:rPr>
                <w:b/>
                <w:bCs/>
                <w:i/>
                <w:iCs/>
                <w:sz w:val="22"/>
                <w:szCs w:val="22"/>
              </w:rPr>
            </w:pPr>
            <w:r w:rsidRPr="00415807">
              <w:rPr>
                <w:b/>
                <w:bCs/>
                <w:i/>
                <w:iCs/>
                <w:sz w:val="22"/>
                <w:szCs w:val="22"/>
              </w:rPr>
              <w:t xml:space="preserve">Iš dalies atsižvelgta. </w:t>
            </w:r>
            <w:r w:rsidRPr="00415807">
              <w:rPr>
                <w:i/>
                <w:iCs/>
                <w:sz w:val="22"/>
                <w:szCs w:val="22"/>
              </w:rPr>
              <w:t>Pagal BBIR  yra reikalavimas, kad atviros prieigos principu veikianti infrastruktūra negali būti perduodama kaip netiesioginė valstybės pagalba, todėl už naudojimąsi j</w:t>
            </w:r>
            <w:r w:rsidR="00C03396">
              <w:rPr>
                <w:i/>
                <w:iCs/>
                <w:sz w:val="22"/>
                <w:szCs w:val="22"/>
              </w:rPr>
              <w:t>a</w:t>
            </w:r>
            <w:r w:rsidRPr="00415807">
              <w:rPr>
                <w:i/>
                <w:iCs/>
                <w:sz w:val="22"/>
                <w:szCs w:val="22"/>
              </w:rPr>
              <w:t xml:space="preserve"> turi būti mokama rinkos kaina. PFSA pridedame sąlygą, kad Konsorciumo sutartyje turi būti numatytas Kompetencijų centro valdymo (operavimo) modelis, numatant, kad visi Konsorciumo nariai dalyvautų Kompetencijų centro valdyme. </w:t>
            </w:r>
          </w:p>
        </w:tc>
      </w:tr>
      <w:tr w:rsidR="00D17AC8" w:rsidRPr="00747A18" w14:paraId="1B13EF66" w14:textId="77777777" w:rsidTr="00152C34">
        <w:tc>
          <w:tcPr>
            <w:tcW w:w="567" w:type="dxa"/>
          </w:tcPr>
          <w:p w14:paraId="320B14F5" w14:textId="76D2A479" w:rsidR="00D17AC8" w:rsidRPr="00747A18" w:rsidRDefault="00D17AC8" w:rsidP="00D17AC8">
            <w:pPr>
              <w:jc w:val="center"/>
              <w:rPr>
                <w:b/>
                <w:szCs w:val="24"/>
              </w:rPr>
            </w:pPr>
          </w:p>
        </w:tc>
        <w:tc>
          <w:tcPr>
            <w:tcW w:w="1985" w:type="dxa"/>
          </w:tcPr>
          <w:p w14:paraId="6E2FC76E" w14:textId="4063635E" w:rsidR="00D17AC8" w:rsidRPr="00CF785F" w:rsidRDefault="00D17AC8" w:rsidP="00D17AC8">
            <w:pPr>
              <w:rPr>
                <w:b/>
                <w:bCs/>
                <w:szCs w:val="24"/>
                <w:shd w:val="clear" w:color="auto" w:fill="FFFFFF"/>
              </w:rPr>
            </w:pPr>
          </w:p>
        </w:tc>
        <w:tc>
          <w:tcPr>
            <w:tcW w:w="7541" w:type="dxa"/>
          </w:tcPr>
          <w:p w14:paraId="3A02AB4A" w14:textId="585772EF" w:rsidR="00D17AC8" w:rsidRPr="006B1398" w:rsidRDefault="00D17AC8" w:rsidP="00D17AC8">
            <w:pPr>
              <w:rPr>
                <w:i/>
                <w:iCs/>
                <w:sz w:val="22"/>
                <w:szCs w:val="22"/>
              </w:rPr>
            </w:pPr>
            <w:r w:rsidRPr="006B1398">
              <w:rPr>
                <w:i/>
                <w:iCs/>
                <w:sz w:val="22"/>
                <w:szCs w:val="22"/>
              </w:rPr>
              <w:t>Nustatyti naują sąlygą, kad lėšų dalis įmonėms išlaidų grupėje „Projekto vykdymas (paslaugos ir darbo užmokestis)“ neturi būti ribojamas (įmonės galėtų kompensuotis iki 100% tokių išlaidų), o dėl faktinio šių išlaidų pasiskirstymo tarp MSI ir įmonių turėtų susitarti konsorciumo nariai konsorciumo viduje.</w:t>
            </w:r>
          </w:p>
        </w:tc>
        <w:tc>
          <w:tcPr>
            <w:tcW w:w="4678" w:type="dxa"/>
          </w:tcPr>
          <w:p w14:paraId="1372181E" w14:textId="2DE12C58" w:rsidR="00D17AC8" w:rsidRPr="00415807" w:rsidRDefault="00D17AC8" w:rsidP="00D17AC8">
            <w:pPr>
              <w:rPr>
                <w:i/>
                <w:iCs/>
                <w:sz w:val="22"/>
                <w:szCs w:val="22"/>
              </w:rPr>
            </w:pPr>
            <w:r w:rsidRPr="00415807">
              <w:rPr>
                <w:b/>
                <w:bCs/>
                <w:i/>
                <w:iCs/>
                <w:color w:val="385623" w:themeColor="accent6" w:themeShade="80"/>
                <w:sz w:val="22"/>
                <w:szCs w:val="22"/>
              </w:rPr>
              <w:t xml:space="preserve">Neatsižvelgta. </w:t>
            </w:r>
            <w:r w:rsidRPr="00415807">
              <w:rPr>
                <w:i/>
                <w:iCs/>
                <w:sz w:val="22"/>
                <w:szCs w:val="22"/>
              </w:rPr>
              <w:t xml:space="preserve">Nėra numatyta ribojimų „Projekto vykdymas (paslaugos ir darbo užmokestis)“ veiklai, PFSA punkte 9.19. Įgyvendinant Aprašo 2.9.2 p. nurodytą veiklą, tinkamos išlaidų grupėje „Projekto vykdymas (paslaugos ir darbo užmokestis)“ nurodytos išlaidos. Taip pat pagal BBIR veiksmingas bendradarbiavimas suprantamas kai nė vienas Konsorciumo narys nevykdo daugiau kaip 70 proc. </w:t>
            </w:r>
            <w:proofErr w:type="spellStart"/>
            <w:r w:rsidRPr="00415807">
              <w:rPr>
                <w:i/>
                <w:iCs/>
                <w:sz w:val="22"/>
                <w:szCs w:val="22"/>
                <w:lang w:val="en-US"/>
              </w:rPr>
              <w:t>Konsorciumo</w:t>
            </w:r>
            <w:proofErr w:type="spellEnd"/>
            <w:r w:rsidRPr="00415807">
              <w:rPr>
                <w:i/>
                <w:iCs/>
                <w:sz w:val="22"/>
                <w:szCs w:val="22"/>
                <w:lang w:val="en-US"/>
              </w:rPr>
              <w:t xml:space="preserve"> par</w:t>
            </w:r>
            <w:proofErr w:type="spellStart"/>
            <w:r w:rsidRPr="00415807">
              <w:rPr>
                <w:i/>
                <w:iCs/>
                <w:sz w:val="22"/>
                <w:szCs w:val="22"/>
              </w:rPr>
              <w:t>aiškoje</w:t>
            </w:r>
            <w:proofErr w:type="spellEnd"/>
            <w:r w:rsidRPr="00415807">
              <w:rPr>
                <w:i/>
                <w:iCs/>
                <w:sz w:val="22"/>
                <w:szCs w:val="22"/>
              </w:rPr>
              <w:t xml:space="preserve"> numatytų veiklų.</w:t>
            </w:r>
          </w:p>
        </w:tc>
      </w:tr>
      <w:tr w:rsidR="00D17AC8" w:rsidRPr="00747A18" w14:paraId="77AE0332" w14:textId="77777777" w:rsidTr="00152C34">
        <w:tc>
          <w:tcPr>
            <w:tcW w:w="567" w:type="dxa"/>
          </w:tcPr>
          <w:p w14:paraId="45D3549C" w14:textId="7F0F0BAF" w:rsidR="00D17AC8" w:rsidRDefault="00D17AC8" w:rsidP="00D17AC8">
            <w:pPr>
              <w:jc w:val="center"/>
              <w:rPr>
                <w:b/>
                <w:szCs w:val="24"/>
              </w:rPr>
            </w:pPr>
          </w:p>
        </w:tc>
        <w:tc>
          <w:tcPr>
            <w:tcW w:w="1985" w:type="dxa"/>
          </w:tcPr>
          <w:p w14:paraId="5761AF60" w14:textId="5B6D9775" w:rsidR="00D17AC8" w:rsidRDefault="00D17AC8" w:rsidP="00D17AC8">
            <w:pPr>
              <w:rPr>
                <w:b/>
                <w:bCs/>
                <w:szCs w:val="24"/>
                <w:shd w:val="clear" w:color="auto" w:fill="FFFFFF"/>
              </w:rPr>
            </w:pPr>
          </w:p>
        </w:tc>
        <w:tc>
          <w:tcPr>
            <w:tcW w:w="7541" w:type="dxa"/>
          </w:tcPr>
          <w:p w14:paraId="5991D362" w14:textId="638FFDCC" w:rsidR="00D17AC8" w:rsidRPr="006B1398" w:rsidRDefault="00D17AC8" w:rsidP="00D17AC8">
            <w:pPr>
              <w:autoSpaceDE w:val="0"/>
              <w:autoSpaceDN w:val="0"/>
              <w:adjustRightInd w:val="0"/>
              <w:rPr>
                <w:rFonts w:eastAsiaTheme="minorHAnsi"/>
                <w:i/>
                <w:iCs/>
                <w:color w:val="000000"/>
                <w:sz w:val="22"/>
                <w:szCs w:val="22"/>
                <w:lang w:eastAsia="en-US"/>
              </w:rPr>
            </w:pPr>
            <w:r w:rsidRPr="006B1398">
              <w:rPr>
                <w:i/>
                <w:iCs/>
                <w:sz w:val="22"/>
                <w:szCs w:val="22"/>
              </w:rPr>
              <w:t>Nustatyti minimalius reikalavimus konsorciumo partneriams (MTEP projektų skaičius, sėkmingai komercializuotų projektų patirtis, atnešamas į konsorciumą kapitalas, ir pan.).</w:t>
            </w:r>
          </w:p>
        </w:tc>
        <w:tc>
          <w:tcPr>
            <w:tcW w:w="4678" w:type="dxa"/>
          </w:tcPr>
          <w:p w14:paraId="4A674AD1" w14:textId="4F3AEA96" w:rsidR="00D17AC8" w:rsidRPr="00415807" w:rsidRDefault="00D17AC8" w:rsidP="00D17AC8">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w:t>
            </w:r>
            <w:r w:rsidR="00C03396">
              <w:rPr>
                <w:i/>
                <w:iCs/>
                <w:sz w:val="22"/>
                <w:szCs w:val="22"/>
              </w:rPr>
              <w:t>bus</w:t>
            </w:r>
            <w:r w:rsidRPr="00415807">
              <w:rPr>
                <w:i/>
                <w:iCs/>
                <w:sz w:val="22"/>
                <w:szCs w:val="22"/>
              </w:rPr>
              <w:t xml:space="preserve"> numatyt</w:t>
            </w:r>
            <w:r w:rsidR="00C03396">
              <w:rPr>
                <w:i/>
                <w:iCs/>
                <w:sz w:val="22"/>
                <w:szCs w:val="22"/>
              </w:rPr>
              <w:t>i</w:t>
            </w:r>
            <w:r w:rsidRPr="00415807">
              <w:rPr>
                <w:i/>
                <w:iCs/>
                <w:sz w:val="22"/>
                <w:szCs w:val="22"/>
              </w:rPr>
              <w:t xml:space="preserve"> reikalavimai Konsorciumo partneriams. Konsorciumo atrankos taisyklės bus pristatomos iškart po PFSA patvirtinimo.</w:t>
            </w:r>
          </w:p>
        </w:tc>
      </w:tr>
      <w:tr w:rsidR="00D17AC8" w:rsidRPr="00747A18" w14:paraId="4F62E3F3" w14:textId="77777777" w:rsidTr="00152C34">
        <w:tc>
          <w:tcPr>
            <w:tcW w:w="567" w:type="dxa"/>
          </w:tcPr>
          <w:p w14:paraId="695509F1" w14:textId="254C1B68" w:rsidR="00D17AC8" w:rsidRDefault="00D17AC8" w:rsidP="00D17AC8">
            <w:pPr>
              <w:jc w:val="center"/>
              <w:rPr>
                <w:b/>
                <w:szCs w:val="24"/>
              </w:rPr>
            </w:pPr>
          </w:p>
        </w:tc>
        <w:tc>
          <w:tcPr>
            <w:tcW w:w="1985" w:type="dxa"/>
          </w:tcPr>
          <w:p w14:paraId="7E6B63B9" w14:textId="4619DFAE" w:rsidR="00D17AC8" w:rsidRDefault="00D17AC8" w:rsidP="00D17AC8">
            <w:pPr>
              <w:rPr>
                <w:b/>
                <w:bCs/>
                <w:szCs w:val="24"/>
                <w:shd w:val="clear" w:color="auto" w:fill="FFFFFF"/>
              </w:rPr>
            </w:pPr>
          </w:p>
        </w:tc>
        <w:tc>
          <w:tcPr>
            <w:tcW w:w="7541" w:type="dxa"/>
          </w:tcPr>
          <w:p w14:paraId="78DDB61A" w14:textId="29875DA8" w:rsidR="00D17AC8" w:rsidRPr="006B1398" w:rsidRDefault="00D17AC8" w:rsidP="00D17AC8">
            <w:pPr>
              <w:autoSpaceDE w:val="0"/>
              <w:autoSpaceDN w:val="0"/>
              <w:adjustRightInd w:val="0"/>
              <w:rPr>
                <w:rFonts w:eastAsiaTheme="minorHAnsi"/>
                <w:i/>
                <w:iCs/>
                <w:color w:val="000000"/>
                <w:sz w:val="22"/>
                <w:szCs w:val="22"/>
                <w:lang w:eastAsia="en-US"/>
              </w:rPr>
            </w:pPr>
            <w:r w:rsidRPr="006B1398">
              <w:rPr>
                <w:i/>
                <w:iCs/>
                <w:sz w:val="22"/>
                <w:szCs w:val="22"/>
              </w:rPr>
              <w:t>Pakeisti reikalavimą dėl būtinybės jau konsorciumo paraiškoje nurodyti 7 MTEP projektus. Siūlome lanksčiau formuluoti šį reikalavimą, nustatant rėžį pvz. nuo 5 iki 10 MTEP projektų.</w:t>
            </w:r>
          </w:p>
        </w:tc>
        <w:tc>
          <w:tcPr>
            <w:tcW w:w="4678" w:type="dxa"/>
          </w:tcPr>
          <w:p w14:paraId="6C9FF40F" w14:textId="02E0DA6A" w:rsidR="00D17AC8" w:rsidRPr="00415807" w:rsidRDefault="00D17AC8" w:rsidP="00D17AC8">
            <w:pPr>
              <w:rPr>
                <w:b/>
                <w:bCs/>
                <w:i/>
                <w:iCs/>
                <w:sz w:val="22"/>
                <w:szCs w:val="22"/>
              </w:rPr>
            </w:pPr>
            <w:r w:rsidRPr="00415807">
              <w:rPr>
                <w:b/>
                <w:bCs/>
                <w:i/>
                <w:iCs/>
                <w:sz w:val="22"/>
                <w:szCs w:val="22"/>
              </w:rPr>
              <w:t xml:space="preserve">Neatsižvelgta. </w:t>
            </w:r>
            <w:r w:rsidRPr="00415807">
              <w:rPr>
                <w:i/>
                <w:iCs/>
                <w:sz w:val="22"/>
                <w:szCs w:val="22"/>
              </w:rPr>
              <w:t xml:space="preserve">RRF yra numatyta, kad turi būti numatyti </w:t>
            </w:r>
            <w:r w:rsidRPr="001F4333">
              <w:rPr>
                <w:i/>
                <w:iCs/>
                <w:sz w:val="22"/>
                <w:szCs w:val="22"/>
              </w:rPr>
              <w:t>21</w:t>
            </w:r>
            <w:r w:rsidRPr="00415807">
              <w:rPr>
                <w:i/>
                <w:iCs/>
                <w:sz w:val="22"/>
                <w:szCs w:val="22"/>
              </w:rPr>
              <w:t xml:space="preserve"> MTEP projektas,  už šį rodiklį atsiskaitysime Europos Komisijai. Pagal šį kriterijų kiekvienoje iš misijomis grįstų mokslo ir inovacijų programų turime turėti ne mažiau nei </w:t>
            </w:r>
            <w:r w:rsidRPr="001F4333">
              <w:rPr>
                <w:i/>
                <w:iCs/>
                <w:sz w:val="22"/>
                <w:szCs w:val="22"/>
              </w:rPr>
              <w:t xml:space="preserve">7 </w:t>
            </w:r>
            <w:r w:rsidRPr="00415807">
              <w:rPr>
                <w:i/>
                <w:iCs/>
                <w:sz w:val="22"/>
                <w:szCs w:val="22"/>
              </w:rPr>
              <w:lastRenderedPageBreak/>
              <w:t>MTEP projektus, MTEP projektų dydis nėra ribojamas.</w:t>
            </w:r>
          </w:p>
        </w:tc>
      </w:tr>
      <w:tr w:rsidR="00D17AC8" w:rsidRPr="00747A18" w14:paraId="7E8FCA8A" w14:textId="77777777" w:rsidTr="00152C34">
        <w:tc>
          <w:tcPr>
            <w:tcW w:w="567" w:type="dxa"/>
          </w:tcPr>
          <w:p w14:paraId="2850E317" w14:textId="3968C1EA" w:rsidR="00D17AC8" w:rsidRDefault="00D17AC8" w:rsidP="00D17AC8">
            <w:pPr>
              <w:jc w:val="center"/>
              <w:rPr>
                <w:b/>
                <w:szCs w:val="24"/>
              </w:rPr>
            </w:pPr>
            <w:r>
              <w:rPr>
                <w:b/>
                <w:szCs w:val="24"/>
                <w:lang w:val="en-US"/>
              </w:rPr>
              <w:lastRenderedPageBreak/>
              <w:t xml:space="preserve">5. </w:t>
            </w:r>
          </w:p>
        </w:tc>
        <w:tc>
          <w:tcPr>
            <w:tcW w:w="1985" w:type="dxa"/>
          </w:tcPr>
          <w:p w14:paraId="4224BCE7" w14:textId="02E40082" w:rsidR="00D17AC8" w:rsidRDefault="00D17AC8" w:rsidP="00D17AC8">
            <w:pPr>
              <w:rPr>
                <w:b/>
                <w:bCs/>
                <w:szCs w:val="24"/>
                <w:shd w:val="clear" w:color="auto" w:fill="FFFFFF"/>
              </w:rPr>
            </w:pPr>
            <w:r>
              <w:rPr>
                <w:b/>
                <w:bCs/>
                <w:szCs w:val="24"/>
                <w:shd w:val="clear" w:color="auto" w:fill="FFFFFF"/>
              </w:rPr>
              <w:t>LINPRA</w:t>
            </w:r>
          </w:p>
        </w:tc>
        <w:tc>
          <w:tcPr>
            <w:tcW w:w="7541" w:type="dxa"/>
          </w:tcPr>
          <w:p w14:paraId="166FB1B4" w14:textId="559C61F8" w:rsidR="00D17AC8" w:rsidRPr="006B1398" w:rsidRDefault="00D17AC8" w:rsidP="00D17AC8">
            <w:pPr>
              <w:autoSpaceDE w:val="0"/>
              <w:autoSpaceDN w:val="0"/>
              <w:adjustRightInd w:val="0"/>
              <w:rPr>
                <w:rFonts w:eastAsiaTheme="minorHAnsi"/>
                <w:i/>
                <w:iCs/>
                <w:color w:val="000000"/>
                <w:sz w:val="22"/>
                <w:szCs w:val="22"/>
                <w:lang w:eastAsia="en-US"/>
              </w:rPr>
            </w:pPr>
            <w:r w:rsidRPr="006B1398">
              <w:rPr>
                <w:i/>
                <w:iCs/>
                <w:sz w:val="22"/>
                <w:szCs w:val="22"/>
              </w:rPr>
              <w:t>Apraše numatyta, kad lėšų dalis įmonėms išlaidų grupėje „Įranga, įrenginiai ir kitas turtas“, gali sudaryti iki 5 proc.</w:t>
            </w:r>
          </w:p>
        </w:tc>
        <w:tc>
          <w:tcPr>
            <w:tcW w:w="4678" w:type="dxa"/>
          </w:tcPr>
          <w:p w14:paraId="5600FA51" w14:textId="1F472EBB" w:rsidR="00D17AC8" w:rsidRPr="00415807" w:rsidRDefault="00D17AC8" w:rsidP="00D17AC8">
            <w:pPr>
              <w:rPr>
                <w:i/>
                <w:iCs/>
                <w:sz w:val="22"/>
                <w:szCs w:val="22"/>
              </w:rPr>
            </w:pPr>
            <w:r w:rsidRPr="00415807">
              <w:rPr>
                <w:b/>
                <w:bCs/>
                <w:i/>
                <w:iCs/>
                <w:sz w:val="22"/>
                <w:szCs w:val="22"/>
              </w:rPr>
              <w:t>Iš dalies atsižvelgta.</w:t>
            </w:r>
            <w:r w:rsidRPr="00415807">
              <w:rPr>
                <w:i/>
                <w:iCs/>
                <w:sz w:val="22"/>
                <w:szCs w:val="22"/>
              </w:rPr>
              <w:t xml:space="preserve"> RRF numatyta, kad  Konsorciumui reikalinga infrastruktūra įvertinama ir, priklausomai nuo konsorciumo poreikių ir infrastruktūros universalumo, pateikiama konsorciumui (planuojama – mokslo ir studijų institucijai ar mokslo ir technologijų parkui, bet ne privataus sektoriaus subjektui), siekiant užtikrinti atviros prieigos prie infrastruktūros principą, arba Inovacijų agentūrai. Kadangi „Įranga, įrenginiai ir kitas turtas“ turi būti valdoma atviros prieigos principu, Misijomis grįstų mokslo ir inovacijų programų projekto finansinių sąlygų apraše (toliau – PFSA) nustatome, kad lėšų dalis įmonėms išlaidų grupėje „Įranga, įrenginiai ir kitas turtas“, gali sudaryti iki 5 proc., šį procentą didiname iki </w:t>
            </w:r>
            <w:r w:rsidRPr="001F4333">
              <w:rPr>
                <w:i/>
                <w:iCs/>
                <w:sz w:val="22"/>
                <w:szCs w:val="22"/>
              </w:rPr>
              <w:t>10 proc.</w:t>
            </w:r>
          </w:p>
        </w:tc>
      </w:tr>
      <w:tr w:rsidR="00D17AC8" w:rsidRPr="00747A18" w14:paraId="557BD1A3" w14:textId="77777777" w:rsidTr="00152C34">
        <w:tc>
          <w:tcPr>
            <w:tcW w:w="567" w:type="dxa"/>
          </w:tcPr>
          <w:p w14:paraId="31D45B15" w14:textId="65C20F7A" w:rsidR="00D17AC8" w:rsidRDefault="00D17AC8" w:rsidP="00D17AC8">
            <w:pPr>
              <w:jc w:val="center"/>
              <w:rPr>
                <w:b/>
                <w:szCs w:val="24"/>
              </w:rPr>
            </w:pPr>
          </w:p>
        </w:tc>
        <w:tc>
          <w:tcPr>
            <w:tcW w:w="1985" w:type="dxa"/>
          </w:tcPr>
          <w:p w14:paraId="3AB6F5F8" w14:textId="71CD8152" w:rsidR="00D17AC8" w:rsidRPr="00826D1E" w:rsidRDefault="00D17AC8" w:rsidP="00D17AC8">
            <w:pPr>
              <w:rPr>
                <w:b/>
                <w:bCs/>
                <w:i/>
                <w:iCs/>
                <w:sz w:val="22"/>
                <w:szCs w:val="22"/>
                <w:shd w:val="clear" w:color="auto" w:fill="FFFFFF"/>
              </w:rPr>
            </w:pPr>
          </w:p>
        </w:tc>
        <w:tc>
          <w:tcPr>
            <w:tcW w:w="7541" w:type="dxa"/>
          </w:tcPr>
          <w:p w14:paraId="5782E48E" w14:textId="77777777" w:rsidR="00D17AC8" w:rsidRPr="006B1398" w:rsidRDefault="00D17AC8" w:rsidP="00D17AC8">
            <w:pPr>
              <w:rPr>
                <w:i/>
                <w:iCs/>
                <w:sz w:val="22"/>
                <w:szCs w:val="22"/>
              </w:rPr>
            </w:pPr>
            <w:r w:rsidRPr="006B1398">
              <w:rPr>
                <w:i/>
                <w:iCs/>
                <w:sz w:val="22"/>
                <w:szCs w:val="22"/>
              </w:rPr>
              <w:t>Apraše nėra numatyta jokių kriterijų ir sąlygų dėl įmonių (verslo) įsitraukimo į projekto veiklas išlaidų grupėje „Projekto vykdymas (paslaugos ir darbo užmokestis)“, pvz.,  projektą vykdančio personalo darbo užmokesčio ir atlygio projektą vykdantiems fiziniams asmenims pagal paslaugų (civilines), autorines ar kitas sutartis išlaidos.</w:t>
            </w:r>
          </w:p>
          <w:p w14:paraId="1806ED8F" w14:textId="5386F234" w:rsidR="00D17AC8" w:rsidRPr="006B1398" w:rsidRDefault="00D17AC8" w:rsidP="00D17AC8">
            <w:pPr>
              <w:autoSpaceDE w:val="0"/>
              <w:autoSpaceDN w:val="0"/>
              <w:adjustRightInd w:val="0"/>
              <w:rPr>
                <w:rFonts w:eastAsiaTheme="minorHAnsi"/>
                <w:i/>
                <w:iCs/>
                <w:color w:val="000000"/>
                <w:sz w:val="22"/>
                <w:szCs w:val="22"/>
                <w:lang w:eastAsia="en-US"/>
              </w:rPr>
            </w:pPr>
            <w:r w:rsidRPr="006B1398">
              <w:rPr>
                <w:i/>
                <w:iCs/>
                <w:sz w:val="22"/>
                <w:szCs w:val="22"/>
              </w:rPr>
              <w:t>Siūlome įvesti naują sąlygą/kriterijų, kad lėšų dalis įmonėms išlaidų grupėje „Projekto vykdymas (paslaugos ir darbo užmokestis)“ turi sudaryti iki 20%, o atrankos kriterijuose suteikti didesnį prioritetą arba balų skaičių toms paraiškoms, kuriose įmonių dalis bus didesnė.</w:t>
            </w:r>
          </w:p>
        </w:tc>
        <w:tc>
          <w:tcPr>
            <w:tcW w:w="4678" w:type="dxa"/>
          </w:tcPr>
          <w:p w14:paraId="5CD43ED8" w14:textId="3B89AA44" w:rsidR="00D17AC8" w:rsidRPr="00415807" w:rsidRDefault="00826D1E" w:rsidP="00D17AC8">
            <w:pPr>
              <w:rPr>
                <w:i/>
                <w:iCs/>
                <w:sz w:val="22"/>
                <w:szCs w:val="22"/>
              </w:rPr>
            </w:pPr>
            <w:r w:rsidRPr="00415807">
              <w:rPr>
                <w:b/>
                <w:bCs/>
                <w:i/>
                <w:iCs/>
                <w:sz w:val="22"/>
                <w:szCs w:val="22"/>
              </w:rPr>
              <w:t xml:space="preserve">Neatsižvelgta. </w:t>
            </w:r>
            <w:r w:rsidRPr="00415807">
              <w:rPr>
                <w:i/>
                <w:iCs/>
                <w:sz w:val="22"/>
                <w:szCs w:val="22"/>
              </w:rPr>
              <w:t xml:space="preserve">Nėra numatyta ribojimų „Projekto vykdymas (paslaugos ir darbo užmokestis)“ veiklai, PFSA punkte 9.19. Įgyvendinant Aprašo 2.9.2 p. nurodytą veiklą, tinkamos išlaidų grupėje „Projekto vykdymas (paslaugos ir darbo užmokestis)“ nurodytos išlaidos. Taip pat pagal BBIR veiksmingas bendradarbiavimas suprantamas kai nė vienas Konsorciumo narys nevykdo daugiau kaip 70 proc. </w:t>
            </w:r>
            <w:proofErr w:type="spellStart"/>
            <w:r w:rsidRPr="00415807">
              <w:rPr>
                <w:i/>
                <w:iCs/>
                <w:sz w:val="22"/>
                <w:szCs w:val="22"/>
                <w:lang w:val="en-US"/>
              </w:rPr>
              <w:t>Konsorciumo</w:t>
            </w:r>
            <w:proofErr w:type="spellEnd"/>
            <w:r w:rsidRPr="00415807">
              <w:rPr>
                <w:i/>
                <w:iCs/>
                <w:sz w:val="22"/>
                <w:szCs w:val="22"/>
                <w:lang w:val="en-US"/>
              </w:rPr>
              <w:t xml:space="preserve"> par</w:t>
            </w:r>
            <w:proofErr w:type="spellStart"/>
            <w:r w:rsidRPr="00415807">
              <w:rPr>
                <w:i/>
                <w:iCs/>
                <w:sz w:val="22"/>
                <w:szCs w:val="22"/>
              </w:rPr>
              <w:t>aiškoje</w:t>
            </w:r>
            <w:proofErr w:type="spellEnd"/>
            <w:r w:rsidRPr="00415807">
              <w:rPr>
                <w:i/>
                <w:iCs/>
                <w:sz w:val="22"/>
                <w:szCs w:val="22"/>
              </w:rPr>
              <w:t xml:space="preserve"> numatytų veiklų.</w:t>
            </w:r>
          </w:p>
        </w:tc>
      </w:tr>
      <w:tr w:rsidR="00D17AC8" w:rsidRPr="00747A18" w14:paraId="764B0720" w14:textId="77777777" w:rsidTr="00152C34">
        <w:tc>
          <w:tcPr>
            <w:tcW w:w="567" w:type="dxa"/>
          </w:tcPr>
          <w:p w14:paraId="0A3CF647" w14:textId="6B6A0AEA" w:rsidR="00D17AC8" w:rsidRDefault="00D17AC8" w:rsidP="00D17AC8">
            <w:pPr>
              <w:jc w:val="center"/>
              <w:rPr>
                <w:b/>
                <w:szCs w:val="24"/>
              </w:rPr>
            </w:pPr>
          </w:p>
        </w:tc>
        <w:tc>
          <w:tcPr>
            <w:tcW w:w="1985" w:type="dxa"/>
          </w:tcPr>
          <w:p w14:paraId="5FC0B2B8" w14:textId="5E3191DE" w:rsidR="00D17AC8" w:rsidRDefault="00D17AC8" w:rsidP="00D17AC8">
            <w:pPr>
              <w:rPr>
                <w:b/>
                <w:bCs/>
                <w:szCs w:val="24"/>
                <w:shd w:val="clear" w:color="auto" w:fill="FFFFFF"/>
              </w:rPr>
            </w:pPr>
          </w:p>
        </w:tc>
        <w:tc>
          <w:tcPr>
            <w:tcW w:w="7541" w:type="dxa"/>
          </w:tcPr>
          <w:p w14:paraId="0F12CEAC" w14:textId="77777777" w:rsidR="00D17AC8" w:rsidRPr="006B1398" w:rsidRDefault="00D17AC8" w:rsidP="00D17AC8">
            <w:pPr>
              <w:rPr>
                <w:i/>
                <w:iCs/>
                <w:sz w:val="22"/>
                <w:szCs w:val="22"/>
              </w:rPr>
            </w:pPr>
            <w:r w:rsidRPr="006B1398">
              <w:rPr>
                <w:i/>
                <w:iCs/>
                <w:sz w:val="22"/>
                <w:szCs w:val="22"/>
              </w:rPr>
              <w:t>Apraše nėra numatytų saugiklių verslui, kad jis galėtų naudotis kompetencijų centrų infrastruktūra.</w:t>
            </w:r>
          </w:p>
          <w:p w14:paraId="5F8F5534" w14:textId="77777777" w:rsidR="00D17AC8" w:rsidRPr="006B1398" w:rsidRDefault="00D17AC8" w:rsidP="00D17AC8">
            <w:pPr>
              <w:rPr>
                <w:i/>
                <w:iCs/>
                <w:sz w:val="22"/>
                <w:szCs w:val="22"/>
              </w:rPr>
            </w:pPr>
            <w:r w:rsidRPr="006B1398">
              <w:rPr>
                <w:i/>
                <w:iCs/>
                <w:sz w:val="22"/>
                <w:szCs w:val="22"/>
              </w:rPr>
              <w:t>Siūlome, kad Apraše turėtų atsirasti konsorciumo valdymo sąvoka arba infrastruktūros valdymo sąvoka: projekto įgyvendinimo metu ir mažiausiai 3-5 metus po projekto pabaigos mokslas kartu su verslu turėtų valdytų kompetencijų centrą.</w:t>
            </w:r>
          </w:p>
          <w:p w14:paraId="18C498FD" w14:textId="77777777" w:rsidR="00D17AC8" w:rsidRPr="006B1398" w:rsidRDefault="00D17AC8" w:rsidP="00D17AC8">
            <w:pPr>
              <w:rPr>
                <w:i/>
                <w:iCs/>
                <w:sz w:val="22"/>
                <w:szCs w:val="22"/>
              </w:rPr>
            </w:pPr>
            <w:r w:rsidRPr="006B1398">
              <w:rPr>
                <w:i/>
                <w:iCs/>
                <w:sz w:val="22"/>
                <w:szCs w:val="22"/>
              </w:rPr>
              <w:t xml:space="preserve">Pagrindimas ir reikalingumas: </w:t>
            </w:r>
          </w:p>
          <w:p w14:paraId="7E952E22" w14:textId="492DE75E" w:rsidR="00D17AC8" w:rsidRPr="006B1398" w:rsidRDefault="00D17AC8" w:rsidP="00D17AC8">
            <w:pPr>
              <w:autoSpaceDE w:val="0"/>
              <w:autoSpaceDN w:val="0"/>
              <w:adjustRightInd w:val="0"/>
              <w:rPr>
                <w:rFonts w:eastAsiaTheme="minorHAnsi"/>
                <w:i/>
                <w:iCs/>
                <w:color w:val="000000"/>
                <w:sz w:val="22"/>
                <w:szCs w:val="22"/>
                <w:lang w:eastAsia="en-US"/>
              </w:rPr>
            </w:pPr>
            <w:r w:rsidRPr="006B1398">
              <w:rPr>
                <w:i/>
                <w:iCs/>
                <w:sz w:val="22"/>
                <w:szCs w:val="22"/>
              </w:rPr>
              <w:t xml:space="preserve">Mokslo institucijoms įsigijus įrangą, kai skiriamas finansavimas yra 100 proc., įmonės (konsorciumų nariai) negalės naudotis įranga nesumokėjusios rinkos </w:t>
            </w:r>
            <w:r w:rsidRPr="006B1398">
              <w:rPr>
                <w:i/>
                <w:iCs/>
                <w:sz w:val="22"/>
                <w:szCs w:val="22"/>
              </w:rPr>
              <w:lastRenderedPageBreak/>
              <w:t>kainos, kadangi būtų perduodama netiesioginė valstybės pagalba. Taip pat nėra sąlygų/nuostatų, kad verslas galėtų būti įtraukiamas į kompetencijų centrų valdymą ar operavimą. Kompetencijų centrų valdymas turėtų būti grįstas lygiaverčiu valdymu, tokiu būdu būtų užtikrintas visų konsorciumo dalyvių įsitraukimas į sėkmingą kompetencijų centrų veiklą ir jų poreikių užtikrinimą. Taip pat Apraše nėra numatyta jokių sąlygų, kad verslas gautų pirmumo teisę naudoti įrangą, nėra apribojimų, kad ji nepavirstų tik vidiniams mokslo poreikiams tenkinti skirta infrastruktūra, bet būtų nukreipta į rinką ir tenkintų jos poreikius.</w:t>
            </w:r>
          </w:p>
        </w:tc>
        <w:tc>
          <w:tcPr>
            <w:tcW w:w="4678" w:type="dxa"/>
          </w:tcPr>
          <w:p w14:paraId="3C17C0C5" w14:textId="21398508" w:rsidR="00D17AC8" w:rsidRPr="00415807" w:rsidRDefault="00826D1E" w:rsidP="00D17AC8">
            <w:pPr>
              <w:rPr>
                <w:i/>
                <w:iCs/>
                <w:sz w:val="22"/>
                <w:szCs w:val="22"/>
              </w:rPr>
            </w:pPr>
            <w:r w:rsidRPr="00415807">
              <w:rPr>
                <w:b/>
                <w:bCs/>
                <w:i/>
                <w:iCs/>
                <w:sz w:val="22"/>
                <w:szCs w:val="22"/>
              </w:rPr>
              <w:lastRenderedPageBreak/>
              <w:t xml:space="preserve">Iš dalies atsižvelgta. </w:t>
            </w:r>
            <w:r w:rsidRPr="00415807">
              <w:rPr>
                <w:i/>
                <w:iCs/>
                <w:sz w:val="22"/>
                <w:szCs w:val="22"/>
              </w:rPr>
              <w:t xml:space="preserve">Pagal BBIR  yra reikalavimas, kad atviros prieigos principu veikianti infrastruktūra negali būti perduodama kaip netiesioginė valstybės pagalba, todėl už naudojimąsi ją turi būti mokama rinkos kaina. PFSA pridedame sąlygą, kad Konsorciumo sutartyje turi būti numatytas Kompetencijų centro valdymo (operavimo) modelis, numatant, kad visi </w:t>
            </w:r>
            <w:r w:rsidRPr="00415807">
              <w:rPr>
                <w:i/>
                <w:iCs/>
                <w:sz w:val="22"/>
                <w:szCs w:val="22"/>
              </w:rPr>
              <w:lastRenderedPageBreak/>
              <w:t xml:space="preserve">Konsorciumo nariai dalyvautų Kompetencijų </w:t>
            </w:r>
            <w:proofErr w:type="spellStart"/>
            <w:r w:rsidRPr="00415807">
              <w:rPr>
                <w:i/>
                <w:iCs/>
                <w:sz w:val="22"/>
                <w:szCs w:val="22"/>
              </w:rPr>
              <w:t>entro</w:t>
            </w:r>
            <w:proofErr w:type="spellEnd"/>
            <w:r w:rsidRPr="00415807">
              <w:rPr>
                <w:i/>
                <w:iCs/>
                <w:sz w:val="22"/>
                <w:szCs w:val="22"/>
              </w:rPr>
              <w:t xml:space="preserve"> valdyme. </w:t>
            </w:r>
          </w:p>
        </w:tc>
      </w:tr>
      <w:tr w:rsidR="00D17AC8" w:rsidRPr="00747A18" w14:paraId="1141175E" w14:textId="77777777" w:rsidTr="00152C34">
        <w:tc>
          <w:tcPr>
            <w:tcW w:w="567" w:type="dxa"/>
          </w:tcPr>
          <w:p w14:paraId="726E1FD9" w14:textId="07D5415A" w:rsidR="00D17AC8" w:rsidRDefault="00D17AC8" w:rsidP="00D17AC8">
            <w:pPr>
              <w:jc w:val="center"/>
              <w:rPr>
                <w:b/>
                <w:szCs w:val="24"/>
              </w:rPr>
            </w:pPr>
          </w:p>
        </w:tc>
        <w:tc>
          <w:tcPr>
            <w:tcW w:w="1985" w:type="dxa"/>
          </w:tcPr>
          <w:p w14:paraId="05C8B0F6" w14:textId="1B38DCD5" w:rsidR="00D17AC8" w:rsidRDefault="00D17AC8" w:rsidP="00D17AC8">
            <w:pPr>
              <w:rPr>
                <w:b/>
                <w:bCs/>
                <w:szCs w:val="24"/>
                <w:shd w:val="clear" w:color="auto" w:fill="FFFFFF"/>
              </w:rPr>
            </w:pPr>
          </w:p>
        </w:tc>
        <w:tc>
          <w:tcPr>
            <w:tcW w:w="7541" w:type="dxa"/>
          </w:tcPr>
          <w:p w14:paraId="7F397AD8" w14:textId="1F375333" w:rsidR="00D17AC8" w:rsidRPr="006B1398" w:rsidRDefault="00D17AC8" w:rsidP="00D17AC8">
            <w:pPr>
              <w:autoSpaceDE w:val="0"/>
              <w:autoSpaceDN w:val="0"/>
              <w:adjustRightInd w:val="0"/>
              <w:rPr>
                <w:rFonts w:eastAsiaTheme="minorHAnsi"/>
                <w:i/>
                <w:iCs/>
                <w:color w:val="000000"/>
                <w:sz w:val="22"/>
                <w:szCs w:val="22"/>
                <w:lang w:eastAsia="en-US"/>
              </w:rPr>
            </w:pPr>
            <w:r w:rsidRPr="006B1398">
              <w:rPr>
                <w:i/>
                <w:iCs/>
                <w:sz w:val="22"/>
                <w:szCs w:val="22"/>
              </w:rPr>
              <w:t>Apraše nėra jokių reikalavimų projekto partneriams, t. y. kiek partneris yra finansiškai pajėgus ir patyręs inovacijų kūrimo ir/ar įgyvendinimo srityje bei gali užtikrinti veiklų ir projekto tęstinumą ilgalaikėje perspektyvoje.</w:t>
            </w:r>
          </w:p>
        </w:tc>
        <w:tc>
          <w:tcPr>
            <w:tcW w:w="4678" w:type="dxa"/>
          </w:tcPr>
          <w:p w14:paraId="5B2ABA7C" w14:textId="7643C039" w:rsidR="00D17AC8" w:rsidRPr="00415807" w:rsidRDefault="00826D1E" w:rsidP="00D17AC8">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w:t>
            </w:r>
            <w:r w:rsidR="00C03396">
              <w:rPr>
                <w:i/>
                <w:iCs/>
                <w:sz w:val="22"/>
                <w:szCs w:val="22"/>
              </w:rPr>
              <w:t>bus</w:t>
            </w:r>
            <w:r w:rsidRPr="00415807">
              <w:rPr>
                <w:i/>
                <w:iCs/>
                <w:sz w:val="22"/>
                <w:szCs w:val="22"/>
              </w:rPr>
              <w:t xml:space="preserve"> numatyt</w:t>
            </w:r>
            <w:r w:rsidR="00C03396">
              <w:rPr>
                <w:i/>
                <w:iCs/>
                <w:sz w:val="22"/>
                <w:szCs w:val="22"/>
              </w:rPr>
              <w:t>i</w:t>
            </w:r>
            <w:r w:rsidRPr="00415807">
              <w:rPr>
                <w:i/>
                <w:iCs/>
                <w:sz w:val="22"/>
                <w:szCs w:val="22"/>
              </w:rPr>
              <w:t xml:space="preserve"> reikalavimai Konsorciumo partneriams. Konsorciumo atrankos taisyklės bus pristatomos iškart po PFSA patvirtinimo.</w:t>
            </w:r>
          </w:p>
        </w:tc>
      </w:tr>
      <w:tr w:rsidR="00826D1E" w:rsidRPr="00747A18" w14:paraId="632B1E54" w14:textId="77777777" w:rsidTr="00152C34">
        <w:tc>
          <w:tcPr>
            <w:tcW w:w="567" w:type="dxa"/>
          </w:tcPr>
          <w:p w14:paraId="386F3B6D" w14:textId="3A97B47B" w:rsidR="00826D1E" w:rsidRDefault="00826D1E" w:rsidP="00D17AC8">
            <w:pPr>
              <w:jc w:val="center"/>
              <w:rPr>
                <w:b/>
                <w:szCs w:val="24"/>
              </w:rPr>
            </w:pPr>
            <w:r>
              <w:rPr>
                <w:b/>
                <w:szCs w:val="24"/>
                <w:lang w:val="en-US"/>
              </w:rPr>
              <w:t xml:space="preserve">6. </w:t>
            </w:r>
          </w:p>
        </w:tc>
        <w:tc>
          <w:tcPr>
            <w:tcW w:w="1985" w:type="dxa"/>
          </w:tcPr>
          <w:p w14:paraId="1E47A256" w14:textId="68F3B271" w:rsidR="00826D1E" w:rsidRDefault="00826D1E" w:rsidP="00D17AC8">
            <w:pPr>
              <w:rPr>
                <w:b/>
                <w:bCs/>
                <w:szCs w:val="24"/>
                <w:shd w:val="clear" w:color="auto" w:fill="FFFFFF"/>
              </w:rPr>
            </w:pPr>
            <w:r>
              <w:rPr>
                <w:b/>
                <w:bCs/>
                <w:szCs w:val="24"/>
                <w:shd w:val="clear" w:color="auto" w:fill="FFFFFF"/>
              </w:rPr>
              <w:t>Vilniaus universitetas</w:t>
            </w:r>
          </w:p>
        </w:tc>
        <w:tc>
          <w:tcPr>
            <w:tcW w:w="7541" w:type="dxa"/>
          </w:tcPr>
          <w:p w14:paraId="013A9D74" w14:textId="77777777" w:rsidR="00826D1E" w:rsidRPr="006B1398" w:rsidRDefault="00826D1E" w:rsidP="00826D1E">
            <w:pPr>
              <w:rPr>
                <w:i/>
                <w:iCs/>
                <w:sz w:val="22"/>
                <w:szCs w:val="22"/>
              </w:rPr>
            </w:pPr>
            <w:r w:rsidRPr="006B1398">
              <w:rPr>
                <w:i/>
                <w:iCs/>
                <w:sz w:val="22"/>
                <w:szCs w:val="22"/>
              </w:rPr>
              <w:t>Pagal PFSA sudėliotą modelį visiškai neaiškus pareiškėjo vaidmuo ir santykis su konsorciumais:</w:t>
            </w:r>
          </w:p>
          <w:p w14:paraId="40B70A3C" w14:textId="77777777" w:rsidR="00826D1E" w:rsidRPr="006B1398" w:rsidRDefault="00826D1E" w:rsidP="00D17AC8">
            <w:pPr>
              <w:rPr>
                <w:i/>
                <w:iCs/>
                <w:sz w:val="22"/>
                <w:szCs w:val="22"/>
              </w:rPr>
            </w:pPr>
            <w:r w:rsidRPr="006B1398">
              <w:rPr>
                <w:i/>
                <w:iCs/>
                <w:sz w:val="22"/>
                <w:szCs w:val="22"/>
              </w:rPr>
              <w:t> vienintelis galimas pareiškėjas pagal PFSA projekto vykdymo metu nekuria jokios mokslinės ar ekonominės vertės ir netgi administraciniu požiūriu neturi valdymo sąsajų su konsorciumų juridiniais asmenimis.</w:t>
            </w:r>
          </w:p>
          <w:p w14:paraId="4910883F" w14:textId="77777777" w:rsidR="00826D1E" w:rsidRPr="006B1398" w:rsidRDefault="00826D1E" w:rsidP="00D17AC8">
            <w:pPr>
              <w:rPr>
                <w:i/>
                <w:iCs/>
                <w:sz w:val="22"/>
                <w:szCs w:val="22"/>
              </w:rPr>
            </w:pPr>
            <w:r w:rsidRPr="006B1398">
              <w:rPr>
                <w:i/>
                <w:iCs/>
                <w:sz w:val="22"/>
                <w:szCs w:val="22"/>
              </w:rPr>
              <w:t> pareiškėjas negali pasiekti jokių rodiklių, susietų su PFSA tikslais, išskyrus rodiklį “atliktos viešųjų pirkimų procedūros”. Pastarasis yra įprastas procedūrinis veiksmas, atliktinas dar iki projekto paraiškos parengimo.</w:t>
            </w:r>
          </w:p>
          <w:p w14:paraId="1A47C623" w14:textId="77777777" w:rsidR="00826D1E" w:rsidRPr="006B1398" w:rsidRDefault="00826D1E" w:rsidP="00D17AC8">
            <w:pPr>
              <w:rPr>
                <w:i/>
                <w:iCs/>
                <w:sz w:val="22"/>
                <w:szCs w:val="22"/>
              </w:rPr>
            </w:pPr>
            <w:r w:rsidRPr="006B1398">
              <w:rPr>
                <w:i/>
                <w:iCs/>
                <w:sz w:val="22"/>
                <w:szCs w:val="22"/>
              </w:rPr>
              <w:t> projekto partneriams taikomi privalomi veiklų tęstinumui keliami reikalavimai, tačiau pareiškėjui netaikoma. Kokia tuomet atsakomybė tenka pareiškėjui, formuojančiam partnerystės tinklą misijų veikloms? Pagrindinis pareiškėjas negali neprisiimti jokios atsakomybės, jis - pagrindinis projekto vykdytojas, formuojantis projektą ir partnerystę.</w:t>
            </w:r>
          </w:p>
          <w:p w14:paraId="4E88D9BF" w14:textId="77777777" w:rsidR="00826D1E" w:rsidRPr="006B1398" w:rsidRDefault="00826D1E" w:rsidP="00D17AC8">
            <w:pPr>
              <w:rPr>
                <w:i/>
                <w:iCs/>
                <w:sz w:val="22"/>
                <w:szCs w:val="22"/>
              </w:rPr>
            </w:pPr>
            <w:r w:rsidRPr="006B1398">
              <w:rPr>
                <w:i/>
                <w:iCs/>
                <w:sz w:val="22"/>
                <w:szCs w:val="22"/>
              </w:rPr>
              <w:t> pagal PFSA nėra aišku ar IA teiks 1-ą „projektą“ su visais konsorciumais kartu, ar po vieną „projektą“ su kiekvienu konsorciumu ? Jei bus teikiamas vienas projektas kyla tam tikrų papildomų klausimų:</w:t>
            </w:r>
          </w:p>
          <w:p w14:paraId="73165498" w14:textId="77777777" w:rsidR="00826D1E" w:rsidRPr="006B1398" w:rsidRDefault="00826D1E" w:rsidP="00D17AC8">
            <w:pPr>
              <w:rPr>
                <w:i/>
                <w:iCs/>
                <w:sz w:val="22"/>
                <w:szCs w:val="22"/>
              </w:rPr>
            </w:pPr>
            <w:r w:rsidRPr="006B1398">
              <w:rPr>
                <w:i/>
                <w:iCs/>
                <w:sz w:val="22"/>
                <w:szCs w:val="22"/>
              </w:rPr>
              <w:t> remiantis PFSA 2.10.1 p. turės būti parengtas / pateiktas “projekto investicijų projektas, kartu su Investicijų skaičiuokle ir PĮP”. Atkreiptinas dėmesys, kad bendras investicijų projektas trims skirtingoms infrastruktūroms pagal CPVA metodiką neįmanomas.</w:t>
            </w:r>
          </w:p>
          <w:p w14:paraId="3AB82DC0" w14:textId="77777777" w:rsidR="00826D1E" w:rsidRPr="006B1398" w:rsidRDefault="00826D1E" w:rsidP="00D17AC8">
            <w:pPr>
              <w:rPr>
                <w:i/>
                <w:iCs/>
                <w:sz w:val="22"/>
                <w:szCs w:val="22"/>
              </w:rPr>
            </w:pPr>
            <w:r w:rsidRPr="006B1398">
              <w:rPr>
                <w:i/>
                <w:iCs/>
                <w:sz w:val="22"/>
                <w:szCs w:val="22"/>
              </w:rPr>
              <w:t xml:space="preserve"> tarp pareiškėjo ir partnerių turės būti pasirašyta jungtinės veiklos sutartis, pagal Lietuvos Respublikos civilinį kodeksą tai reiškia, kad trečiosios šalys turės teisę nukreipti išieškojimus į bet kurį partnerį. Taigi, visi projekte dalyvaujantys </w:t>
            </w:r>
            <w:r w:rsidRPr="006B1398">
              <w:rPr>
                <w:i/>
                <w:iCs/>
                <w:sz w:val="22"/>
                <w:szCs w:val="22"/>
              </w:rPr>
              <w:lastRenderedPageBreak/>
              <w:t>juridiniai asmenys turės prisiimti atsakomybę už visus kitus juridinius asmenis, net jei tiesiogiai bendrų veiklų konsorciumo kontekste su jais nevykdys.</w:t>
            </w:r>
          </w:p>
          <w:p w14:paraId="46BFF332" w14:textId="77777777" w:rsidR="00826D1E" w:rsidRPr="006B1398" w:rsidRDefault="00826D1E" w:rsidP="00D17AC8">
            <w:pPr>
              <w:rPr>
                <w:i/>
                <w:iCs/>
                <w:sz w:val="22"/>
                <w:szCs w:val="22"/>
              </w:rPr>
            </w:pPr>
            <w:r w:rsidRPr="006B1398">
              <w:rPr>
                <w:i/>
                <w:iCs/>
                <w:sz w:val="22"/>
                <w:szCs w:val="22"/>
              </w:rPr>
              <w:t> teoriškai yra tikimybė, kad kokia nors viena institucija - didelė mokslo ir studijų institucija arba mokslo ir technologijų parkas - dalyvaus teikiant daugiau nei vieną paraišką pagal skirtingas misijų tematikas. Jei bus atrinkti keli konsorciumai su tokios institucijos dalyvavimu, teoriškai ji taps “pagrindinio” projekto partneriu kelis kartus. Tai teisiškai yra neįmanoma. Tuo tarpu apjungti tokios institucijos įsipareigojimų ir veiksmų skirtinguose konsorciumuose neįmanoma dėl skirtingų veiklų, vaidmens ir pan. Kadangi nėra pateiktos konsorciumų atrankos taisyklės, nėra aišku ar viena institucija galės teikti daugiau nei vieną paraišką. Numatant galimybę teikti tik vieną paraišką nepriklausomai nuo misijos tematikos, būtų ribojama potencialių pareiškėjų konkurencija.</w:t>
            </w:r>
          </w:p>
          <w:p w14:paraId="4CE193D7" w14:textId="77777777" w:rsidR="00826D1E" w:rsidRPr="006B1398" w:rsidRDefault="00826D1E" w:rsidP="00D17AC8">
            <w:pPr>
              <w:rPr>
                <w:i/>
                <w:iCs/>
                <w:sz w:val="22"/>
                <w:szCs w:val="22"/>
              </w:rPr>
            </w:pPr>
            <w:r w:rsidRPr="006B1398">
              <w:rPr>
                <w:i/>
                <w:iCs/>
                <w:sz w:val="22"/>
                <w:szCs w:val="22"/>
              </w:rPr>
              <w:t>7 proc. netiesioginių išlaidų, kurių dalis atitenka pareiškėjui, tiesiogiai nevykdančiam jokios veiklos, yra netiesioginių išlaidų valdymo pažeidimas. Netiesioginės išlaidos, nors nėra skiriamos tiesiogiai projekto veikloms vykdyti, turi būti būtinos ir tiesiogiai susijusios su tiesioginėmis projekto išlaidomis. 7 proc. yra neadekvačiai didelis procentas infrastruktūros projekte. Netiesioginės išlaidos sudaro 4 proc. Pareiškėjui ir 3 proc. Projekto partneriams nuo tinkamų finansuoti išlaidų. Tai neadekvati suma organizacijai tiesiogiai nevykdančiai jokios veiklos.</w:t>
            </w:r>
          </w:p>
          <w:p w14:paraId="3D2B79A3" w14:textId="04F16E4F" w:rsidR="00826D1E" w:rsidRPr="006B1398" w:rsidRDefault="00826D1E" w:rsidP="00D17AC8">
            <w:pPr>
              <w:rPr>
                <w:i/>
                <w:iCs/>
                <w:sz w:val="22"/>
                <w:szCs w:val="22"/>
              </w:rPr>
            </w:pPr>
            <w:r w:rsidRPr="006B1398">
              <w:rPr>
                <w:i/>
                <w:iCs/>
                <w:sz w:val="22"/>
                <w:szCs w:val="22"/>
              </w:rPr>
              <w:t>Klausimas ar tokia valdymo schema nepažeidžia valstybės pagalbos taisyklių: įmonėms, atsižvelgiant į jų valstybės pagalbos gavėjo statusą taikomas paramos intensyvumo apribojimas, tačiau netiesiogiai jos gaus naudą iš pareiškėjo, kuris, gaudamas 100 proc. finansavimą teiks administracinę, viešinimo ir kitą pagalbą įmonėms.</w:t>
            </w:r>
          </w:p>
        </w:tc>
        <w:tc>
          <w:tcPr>
            <w:tcW w:w="4678" w:type="dxa"/>
          </w:tcPr>
          <w:p w14:paraId="49367068" w14:textId="77777777" w:rsidR="00826D1E" w:rsidRPr="00415807" w:rsidRDefault="00826D1E" w:rsidP="00D17AC8">
            <w:pPr>
              <w:rPr>
                <w:i/>
                <w:iCs/>
                <w:sz w:val="22"/>
                <w:szCs w:val="22"/>
              </w:rPr>
            </w:pPr>
            <w:r w:rsidRPr="00415807">
              <w:rPr>
                <w:b/>
                <w:bCs/>
                <w:i/>
                <w:iCs/>
                <w:sz w:val="22"/>
                <w:szCs w:val="22"/>
              </w:rPr>
              <w:lastRenderedPageBreak/>
              <w:t>Neatsižvelgta</w:t>
            </w:r>
            <w:r w:rsidRPr="00415807">
              <w:rPr>
                <w:i/>
                <w:iCs/>
                <w:sz w:val="22"/>
                <w:szCs w:val="22"/>
              </w:rPr>
              <w:t>. IA - projekto vykdytojas, tai yra numatyta pažangos priemonėje Nr. 05-001-01-05-06/12-001-01-03-01 „Įgyvendinti misijomis grįstas mokslo ir inovacijų programas“.</w:t>
            </w:r>
          </w:p>
          <w:p w14:paraId="6B29F3DE" w14:textId="77777777" w:rsidR="00826D1E" w:rsidRPr="00415807" w:rsidRDefault="00826D1E" w:rsidP="00D17AC8">
            <w:pPr>
              <w:rPr>
                <w:i/>
                <w:iCs/>
                <w:color w:val="385623" w:themeColor="accent6" w:themeShade="80"/>
                <w:sz w:val="22"/>
                <w:szCs w:val="22"/>
              </w:rPr>
            </w:pPr>
          </w:p>
          <w:p w14:paraId="47E62520" w14:textId="3D217FF3" w:rsidR="00826D1E" w:rsidRPr="00415807" w:rsidRDefault="00826D1E" w:rsidP="00D17AC8">
            <w:pPr>
              <w:rPr>
                <w:i/>
                <w:iCs/>
                <w:sz w:val="22"/>
                <w:szCs w:val="22"/>
              </w:rPr>
            </w:pPr>
          </w:p>
        </w:tc>
      </w:tr>
      <w:tr w:rsidR="00826D1E" w:rsidRPr="00747A18" w14:paraId="4403BA9F" w14:textId="77777777" w:rsidTr="00152C34">
        <w:tc>
          <w:tcPr>
            <w:tcW w:w="567" w:type="dxa"/>
          </w:tcPr>
          <w:p w14:paraId="279AFF76" w14:textId="437D8854" w:rsidR="00826D1E" w:rsidRPr="001F4333" w:rsidRDefault="00826D1E" w:rsidP="00D17AC8">
            <w:pPr>
              <w:jc w:val="center"/>
              <w:rPr>
                <w:b/>
                <w:szCs w:val="24"/>
              </w:rPr>
            </w:pPr>
          </w:p>
        </w:tc>
        <w:tc>
          <w:tcPr>
            <w:tcW w:w="1985" w:type="dxa"/>
          </w:tcPr>
          <w:p w14:paraId="0047135C" w14:textId="28B03D39" w:rsidR="00826D1E" w:rsidRDefault="00826D1E" w:rsidP="00D17AC8">
            <w:pPr>
              <w:rPr>
                <w:b/>
                <w:bCs/>
                <w:szCs w:val="24"/>
                <w:shd w:val="clear" w:color="auto" w:fill="FFFFFF"/>
              </w:rPr>
            </w:pPr>
          </w:p>
        </w:tc>
        <w:tc>
          <w:tcPr>
            <w:tcW w:w="7541" w:type="dxa"/>
          </w:tcPr>
          <w:p w14:paraId="41BE5A75" w14:textId="38E13DF3" w:rsidR="00826D1E" w:rsidRPr="006B1398" w:rsidRDefault="00826D1E" w:rsidP="00D17AC8">
            <w:pPr>
              <w:rPr>
                <w:i/>
                <w:iCs/>
                <w:sz w:val="22"/>
                <w:szCs w:val="22"/>
              </w:rPr>
            </w:pPr>
            <w:r w:rsidRPr="006B1398">
              <w:rPr>
                <w:i/>
                <w:iCs/>
                <w:sz w:val="22"/>
                <w:szCs w:val="22"/>
              </w:rPr>
              <w:t>PFSA 2.2 p. De jure konsorciumas kaip toks neturi juridinio veiksnumo, todėl negali būti traktuojamas kaip vienas partneris, galintis prisiimti visas nurodytas teises ir pareigas. Taip pat klausimas kaip projekto įgyvendinimo metu bus tikrinamas konsorciumo išlaidų ir veiklų tinkamumas.</w:t>
            </w:r>
          </w:p>
        </w:tc>
        <w:tc>
          <w:tcPr>
            <w:tcW w:w="4678" w:type="dxa"/>
          </w:tcPr>
          <w:p w14:paraId="341269AC" w14:textId="60505267" w:rsidR="00826D1E" w:rsidRPr="00415807" w:rsidRDefault="001059D1" w:rsidP="00D17AC8">
            <w:pPr>
              <w:rPr>
                <w:i/>
                <w:iCs/>
                <w:sz w:val="22"/>
                <w:szCs w:val="22"/>
              </w:rPr>
            </w:pPr>
            <w:r>
              <w:rPr>
                <w:b/>
                <w:bCs/>
                <w:i/>
                <w:iCs/>
                <w:sz w:val="22"/>
                <w:szCs w:val="22"/>
              </w:rPr>
              <w:t xml:space="preserve">Iš dalies </w:t>
            </w:r>
            <w:r w:rsidR="00826D1E" w:rsidRPr="00415807">
              <w:rPr>
                <w:b/>
                <w:bCs/>
                <w:i/>
                <w:iCs/>
                <w:sz w:val="22"/>
                <w:szCs w:val="22"/>
              </w:rPr>
              <w:t>atsižvelgta.</w:t>
            </w:r>
            <w:r w:rsidR="00826D1E" w:rsidRPr="00415807">
              <w:rPr>
                <w:i/>
                <w:iCs/>
                <w:sz w:val="22"/>
                <w:szCs w:val="22"/>
              </w:rPr>
              <w:t xml:space="preserve"> Tikrinama bus pagal PAFT taisykles.</w:t>
            </w:r>
            <w:r w:rsidR="001E3877">
              <w:rPr>
                <w:i/>
                <w:iCs/>
                <w:sz w:val="22"/>
                <w:szCs w:val="22"/>
              </w:rPr>
              <w:t xml:space="preserve"> Taip pat p</w:t>
            </w:r>
            <w:r w:rsidR="001E3877" w:rsidRPr="001E3877">
              <w:rPr>
                <w:i/>
                <w:iCs/>
                <w:sz w:val="22"/>
                <w:szCs w:val="22"/>
              </w:rPr>
              <w:t>akoreguotas PFSA, kad projekto partneriai - konsorciumų nariai.</w:t>
            </w:r>
          </w:p>
          <w:p w14:paraId="3EA11086" w14:textId="5E22CD98" w:rsidR="00826D1E" w:rsidRPr="00415807" w:rsidRDefault="00826D1E" w:rsidP="00826D1E">
            <w:pPr>
              <w:rPr>
                <w:i/>
                <w:iCs/>
                <w:sz w:val="22"/>
                <w:szCs w:val="22"/>
              </w:rPr>
            </w:pPr>
          </w:p>
        </w:tc>
      </w:tr>
      <w:tr w:rsidR="00826D1E" w:rsidRPr="00747A18" w14:paraId="5F40FC35" w14:textId="77777777" w:rsidTr="00152C34">
        <w:tc>
          <w:tcPr>
            <w:tcW w:w="567" w:type="dxa"/>
          </w:tcPr>
          <w:p w14:paraId="214BCCDF" w14:textId="5F31681B" w:rsidR="00826D1E" w:rsidRPr="004457AD" w:rsidRDefault="00826D1E" w:rsidP="00D17AC8">
            <w:pPr>
              <w:jc w:val="center"/>
              <w:rPr>
                <w:b/>
                <w:szCs w:val="24"/>
              </w:rPr>
            </w:pPr>
          </w:p>
        </w:tc>
        <w:tc>
          <w:tcPr>
            <w:tcW w:w="1985" w:type="dxa"/>
          </w:tcPr>
          <w:p w14:paraId="73FF47E6" w14:textId="0573AE2D" w:rsidR="00826D1E" w:rsidRPr="00E15D19" w:rsidRDefault="00826D1E" w:rsidP="00D17AC8">
            <w:pPr>
              <w:rPr>
                <w:b/>
                <w:bCs/>
                <w:szCs w:val="24"/>
                <w:shd w:val="clear" w:color="auto" w:fill="FFFFFF"/>
              </w:rPr>
            </w:pPr>
          </w:p>
        </w:tc>
        <w:tc>
          <w:tcPr>
            <w:tcW w:w="7541" w:type="dxa"/>
          </w:tcPr>
          <w:p w14:paraId="237627EF" w14:textId="73F06D74" w:rsidR="00826D1E" w:rsidRPr="006B1398" w:rsidRDefault="00826D1E" w:rsidP="00D17AC8">
            <w:pPr>
              <w:rPr>
                <w:i/>
                <w:iCs/>
                <w:sz w:val="22"/>
                <w:szCs w:val="22"/>
              </w:rPr>
            </w:pPr>
            <w:r w:rsidRPr="006B1398">
              <w:rPr>
                <w:i/>
                <w:iCs/>
                <w:sz w:val="22"/>
                <w:szCs w:val="22"/>
              </w:rPr>
              <w:t>Nėra aišku, ar „pagrindinio“ projekto metu konsorciumas gali evoliucionuoti – priimti naujus narius, pašalinti esamus, ir kaip tai paveiks bendrą projekto įgyvendinimą.</w:t>
            </w:r>
          </w:p>
        </w:tc>
        <w:tc>
          <w:tcPr>
            <w:tcW w:w="4678" w:type="dxa"/>
          </w:tcPr>
          <w:p w14:paraId="06E6CC87" w14:textId="1E9135FE" w:rsidR="00826D1E" w:rsidRPr="00415807" w:rsidRDefault="00826D1E" w:rsidP="00D17AC8">
            <w:pPr>
              <w:rPr>
                <w:i/>
                <w:iCs/>
                <w:sz w:val="22"/>
                <w:szCs w:val="22"/>
              </w:rPr>
            </w:pPr>
            <w:r w:rsidRPr="00415807">
              <w:rPr>
                <w:b/>
                <w:bCs/>
                <w:i/>
                <w:iCs/>
                <w:sz w:val="22"/>
                <w:szCs w:val="22"/>
              </w:rPr>
              <w:t xml:space="preserve">Neatsižvelgta. </w:t>
            </w:r>
            <w:r w:rsidRPr="00415807">
              <w:rPr>
                <w:i/>
                <w:iCs/>
                <w:sz w:val="22"/>
                <w:szCs w:val="22"/>
              </w:rPr>
              <w:t>Nurodyta PFSA 1.25.8. punkte.</w:t>
            </w:r>
            <w:r w:rsidR="006B1398" w:rsidRPr="00415807">
              <w:rPr>
                <w:i/>
                <w:iCs/>
                <w:sz w:val="22"/>
                <w:szCs w:val="22"/>
              </w:rPr>
              <w:t xml:space="preserve"> </w:t>
            </w:r>
            <w:r w:rsidRPr="00415807">
              <w:rPr>
                <w:i/>
                <w:iCs/>
                <w:sz w:val="22"/>
                <w:szCs w:val="22"/>
              </w:rPr>
              <w:t>PAFT yra nuostata, kaip</w:t>
            </w:r>
            <w:r w:rsidR="00C03396">
              <w:rPr>
                <w:i/>
                <w:iCs/>
                <w:sz w:val="22"/>
                <w:szCs w:val="22"/>
              </w:rPr>
              <w:t xml:space="preserve"> </w:t>
            </w:r>
            <w:r w:rsidRPr="00415807">
              <w:rPr>
                <w:i/>
                <w:iCs/>
                <w:sz w:val="22"/>
                <w:szCs w:val="22"/>
              </w:rPr>
              <w:t>Projekte atsiranda nauji nariai ir / ar pašalinami esami.</w:t>
            </w:r>
          </w:p>
        </w:tc>
      </w:tr>
      <w:tr w:rsidR="00826D1E" w:rsidRPr="00747A18" w14:paraId="5BCD3556" w14:textId="77777777" w:rsidTr="00152C34">
        <w:tc>
          <w:tcPr>
            <w:tcW w:w="567" w:type="dxa"/>
          </w:tcPr>
          <w:p w14:paraId="695188E8" w14:textId="68874B1A" w:rsidR="00826D1E" w:rsidRPr="004457AD" w:rsidRDefault="00826D1E" w:rsidP="00D17AC8">
            <w:pPr>
              <w:jc w:val="center"/>
              <w:rPr>
                <w:b/>
                <w:szCs w:val="24"/>
              </w:rPr>
            </w:pPr>
          </w:p>
        </w:tc>
        <w:tc>
          <w:tcPr>
            <w:tcW w:w="1985" w:type="dxa"/>
          </w:tcPr>
          <w:p w14:paraId="77FE0D3C" w14:textId="295913CA" w:rsidR="00826D1E" w:rsidRPr="00E15D19" w:rsidRDefault="00826D1E" w:rsidP="00D17AC8">
            <w:pPr>
              <w:rPr>
                <w:b/>
                <w:bCs/>
                <w:szCs w:val="24"/>
                <w:shd w:val="clear" w:color="auto" w:fill="FFFFFF"/>
              </w:rPr>
            </w:pPr>
          </w:p>
        </w:tc>
        <w:tc>
          <w:tcPr>
            <w:tcW w:w="7541" w:type="dxa"/>
          </w:tcPr>
          <w:p w14:paraId="684EB8A5" w14:textId="002E2B61" w:rsidR="00826D1E" w:rsidRPr="006B1398" w:rsidRDefault="00826D1E" w:rsidP="00D17AC8">
            <w:pPr>
              <w:rPr>
                <w:i/>
                <w:iCs/>
                <w:sz w:val="22"/>
                <w:szCs w:val="22"/>
              </w:rPr>
            </w:pPr>
            <w:r w:rsidRPr="006B1398">
              <w:rPr>
                <w:i/>
                <w:iCs/>
                <w:sz w:val="22"/>
                <w:szCs w:val="22"/>
              </w:rPr>
              <w:t xml:space="preserve">PFSA 1.25.8 p. nurodoma, kad konsorciumo sudaromoje konsorciumo sutartyje privalomi „kompetencijų centro veiklos tęstinumo įsipareigojimai valstybinių MSI ir / ar mokslo ir technologijų parkams“. Kompetencijos centro kūrime ir veiklose dalyvauja ne tik MSI ir / ar parkai, bet ir kiti konsorciumo nariai. Reikalavimas tęstinumą užtikrinti tik iš anksto apibrėžtiems konsorciumo nariams yra perteklinis ir diskriminuojantis. Tuo labiau, kad kompetencijos centro/IRT kompetencijos </w:t>
            </w:r>
            <w:r w:rsidRPr="006B1398">
              <w:rPr>
                <w:i/>
                <w:iCs/>
                <w:sz w:val="22"/>
                <w:szCs w:val="22"/>
              </w:rPr>
              <w:lastRenderedPageBreak/>
              <w:t>centro rodiklio aprašymo kortelėse teigiama, kad „investicijas į kompetencijų centrus gavę projekto partneriai turi užtikrinti kompetencijų centrų veiklų tęstinumą“. O pagal PFSA, ir verslo partnerių infrastruktūros kūrimo išlaidos yra tinkamos išlaidos.</w:t>
            </w:r>
          </w:p>
        </w:tc>
        <w:tc>
          <w:tcPr>
            <w:tcW w:w="4678" w:type="dxa"/>
          </w:tcPr>
          <w:p w14:paraId="2F0E89E7" w14:textId="0B2121E9" w:rsidR="00826D1E" w:rsidRPr="00415807" w:rsidRDefault="00826D1E" w:rsidP="00D17AC8">
            <w:pPr>
              <w:rPr>
                <w:i/>
                <w:iCs/>
                <w:sz w:val="22"/>
                <w:szCs w:val="22"/>
              </w:rPr>
            </w:pPr>
            <w:r w:rsidRPr="00415807">
              <w:rPr>
                <w:b/>
                <w:bCs/>
                <w:i/>
                <w:iCs/>
                <w:sz w:val="22"/>
                <w:szCs w:val="22"/>
              </w:rPr>
              <w:lastRenderedPageBreak/>
              <w:t>Neatsižvelgta.</w:t>
            </w:r>
            <w:r w:rsidRPr="00415807">
              <w:rPr>
                <w:i/>
                <w:iCs/>
                <w:sz w:val="22"/>
                <w:szCs w:val="22"/>
              </w:rPr>
              <w:t xml:space="preserve"> Kadangi </w:t>
            </w:r>
            <w:r w:rsidR="00C03396">
              <w:rPr>
                <w:i/>
                <w:iCs/>
                <w:sz w:val="22"/>
                <w:szCs w:val="22"/>
              </w:rPr>
              <w:t xml:space="preserve">pagal PFSA </w:t>
            </w:r>
            <w:r w:rsidRPr="00415807">
              <w:rPr>
                <w:i/>
                <w:iCs/>
                <w:sz w:val="22"/>
                <w:szCs w:val="22"/>
              </w:rPr>
              <w:t>9.1</w:t>
            </w:r>
            <w:r w:rsidR="00C03396">
              <w:rPr>
                <w:i/>
                <w:iCs/>
                <w:sz w:val="22"/>
                <w:szCs w:val="22"/>
              </w:rPr>
              <w:t xml:space="preserve"> p.</w:t>
            </w:r>
            <w:r w:rsidRPr="00415807">
              <w:rPr>
                <w:i/>
                <w:iCs/>
                <w:sz w:val="22"/>
                <w:szCs w:val="22"/>
              </w:rPr>
              <w:t xml:space="preserve">  veiklos finansavimas galimas tik MSI/MTP, todėl tęstinumą užtikrinti turi investicijų gavėjas. </w:t>
            </w:r>
          </w:p>
        </w:tc>
      </w:tr>
      <w:tr w:rsidR="00826D1E" w:rsidRPr="00747A18" w14:paraId="0669F67C" w14:textId="77777777" w:rsidTr="00152C34">
        <w:tc>
          <w:tcPr>
            <w:tcW w:w="567" w:type="dxa"/>
          </w:tcPr>
          <w:p w14:paraId="25A54466" w14:textId="6F7925D5" w:rsidR="00826D1E" w:rsidRPr="004457AD" w:rsidRDefault="00826D1E" w:rsidP="00D17AC8">
            <w:pPr>
              <w:jc w:val="center"/>
              <w:rPr>
                <w:b/>
                <w:szCs w:val="24"/>
              </w:rPr>
            </w:pPr>
          </w:p>
        </w:tc>
        <w:tc>
          <w:tcPr>
            <w:tcW w:w="1985" w:type="dxa"/>
          </w:tcPr>
          <w:p w14:paraId="503DBF5E" w14:textId="02B7FDDC" w:rsidR="00826D1E" w:rsidRPr="00E15D19" w:rsidRDefault="00826D1E" w:rsidP="00D17AC8">
            <w:pPr>
              <w:rPr>
                <w:b/>
                <w:bCs/>
                <w:szCs w:val="24"/>
                <w:shd w:val="clear" w:color="auto" w:fill="FFFFFF"/>
              </w:rPr>
            </w:pPr>
          </w:p>
        </w:tc>
        <w:tc>
          <w:tcPr>
            <w:tcW w:w="7541" w:type="dxa"/>
          </w:tcPr>
          <w:p w14:paraId="6BE34978" w14:textId="50DE0AC5" w:rsidR="00826D1E" w:rsidRPr="006B1398" w:rsidRDefault="00826D1E" w:rsidP="00D17AC8">
            <w:pPr>
              <w:rPr>
                <w:i/>
                <w:iCs/>
                <w:sz w:val="22"/>
                <w:szCs w:val="22"/>
              </w:rPr>
            </w:pPr>
            <w:r w:rsidRPr="006B1398">
              <w:rPr>
                <w:i/>
                <w:iCs/>
                <w:sz w:val="22"/>
                <w:szCs w:val="22"/>
              </w:rPr>
              <w:t xml:space="preserve">PFSA 1.25.6 „Kompetencijų centras –  viešoji MTEPI infrastruktūra, sutelkta ne daugiau kaip dviejose fizinėse vietose“. Ar kompetencijų centras suprastinas vien tik kaip fizinė infrastruktūra? Ar jis apima ir visų partnerių / konsorciumo narių </w:t>
            </w:r>
            <w:proofErr w:type="spellStart"/>
            <w:r w:rsidRPr="006B1398">
              <w:rPr>
                <w:i/>
                <w:iCs/>
                <w:sz w:val="22"/>
                <w:szCs w:val="22"/>
              </w:rPr>
              <w:t>know-how</w:t>
            </w:r>
            <w:proofErr w:type="spellEnd"/>
            <w:r w:rsidRPr="006B1398">
              <w:rPr>
                <w:i/>
                <w:iCs/>
                <w:sz w:val="22"/>
                <w:szCs w:val="22"/>
              </w:rPr>
              <w:t xml:space="preserve"> ir kompetencijas?</w:t>
            </w:r>
          </w:p>
        </w:tc>
        <w:tc>
          <w:tcPr>
            <w:tcW w:w="4678" w:type="dxa"/>
          </w:tcPr>
          <w:p w14:paraId="715010B0" w14:textId="27EA2DEC" w:rsidR="00826D1E" w:rsidRPr="00415807" w:rsidRDefault="00826D1E" w:rsidP="00D17AC8">
            <w:pPr>
              <w:rPr>
                <w:b/>
                <w:bCs/>
                <w:i/>
                <w:iCs/>
                <w:sz w:val="22"/>
                <w:szCs w:val="22"/>
              </w:rPr>
            </w:pPr>
            <w:r w:rsidRPr="00415807">
              <w:rPr>
                <w:b/>
                <w:bCs/>
                <w:i/>
                <w:iCs/>
                <w:sz w:val="22"/>
                <w:szCs w:val="22"/>
              </w:rPr>
              <w:t xml:space="preserve">Neatsižvelgta. </w:t>
            </w:r>
            <w:r w:rsidRPr="00415807">
              <w:rPr>
                <w:i/>
                <w:iCs/>
                <w:sz w:val="22"/>
                <w:szCs w:val="22"/>
              </w:rPr>
              <w:t xml:space="preserve">Kompetencijų centras suprantamas kaip viešoji MTEPI infrastruktūra, sutelkta ne daugiau kaip dviejose fizinėse vietose. Ši sąvoka yra apibrėžta tik šio aprašo ribose, kadangi numatyta </w:t>
            </w:r>
            <w:r w:rsidR="00C03396">
              <w:rPr>
                <w:i/>
                <w:iCs/>
                <w:sz w:val="22"/>
                <w:szCs w:val="22"/>
              </w:rPr>
              <w:t xml:space="preserve">PFSA </w:t>
            </w:r>
            <w:r w:rsidRPr="00415807">
              <w:rPr>
                <w:i/>
                <w:iCs/>
                <w:sz w:val="22"/>
                <w:szCs w:val="22"/>
              </w:rPr>
              <w:t>9.1</w:t>
            </w:r>
            <w:r w:rsidR="00C03396">
              <w:rPr>
                <w:i/>
                <w:iCs/>
                <w:sz w:val="22"/>
                <w:szCs w:val="22"/>
              </w:rPr>
              <w:t xml:space="preserve"> p.</w:t>
            </w:r>
            <w:r w:rsidRPr="00415807">
              <w:rPr>
                <w:i/>
                <w:iCs/>
                <w:sz w:val="22"/>
                <w:szCs w:val="22"/>
              </w:rPr>
              <w:t xml:space="preserve"> veikla yra Kompetencijų centro įsteigimas, tai ši sąvoka apibrėžta veikl</w:t>
            </w:r>
            <w:r w:rsidR="00C03396">
              <w:rPr>
                <w:i/>
                <w:iCs/>
                <w:sz w:val="22"/>
                <w:szCs w:val="22"/>
              </w:rPr>
              <w:t>ų</w:t>
            </w:r>
            <w:r w:rsidRPr="00415807">
              <w:rPr>
                <w:i/>
                <w:iCs/>
                <w:sz w:val="22"/>
                <w:szCs w:val="22"/>
              </w:rPr>
              <w:t xml:space="preserve"> aprėptyje ir taikoma tik šiam PFSA.</w:t>
            </w:r>
          </w:p>
          <w:p w14:paraId="09867603" w14:textId="15141492" w:rsidR="00826D1E" w:rsidRPr="00415807" w:rsidRDefault="00826D1E" w:rsidP="00826D1E">
            <w:pPr>
              <w:rPr>
                <w:i/>
                <w:iCs/>
                <w:color w:val="FF0000"/>
                <w:sz w:val="22"/>
                <w:szCs w:val="22"/>
              </w:rPr>
            </w:pPr>
          </w:p>
        </w:tc>
      </w:tr>
      <w:tr w:rsidR="00826D1E" w:rsidRPr="00747A18" w14:paraId="30199C71" w14:textId="77777777" w:rsidTr="00152C34">
        <w:tc>
          <w:tcPr>
            <w:tcW w:w="567" w:type="dxa"/>
          </w:tcPr>
          <w:p w14:paraId="56400FE9" w14:textId="5951DB37" w:rsidR="00826D1E" w:rsidRPr="004457AD" w:rsidRDefault="00826D1E" w:rsidP="00D17AC8">
            <w:pPr>
              <w:jc w:val="center"/>
              <w:rPr>
                <w:b/>
                <w:szCs w:val="24"/>
              </w:rPr>
            </w:pPr>
          </w:p>
        </w:tc>
        <w:tc>
          <w:tcPr>
            <w:tcW w:w="1985" w:type="dxa"/>
          </w:tcPr>
          <w:p w14:paraId="72AF371C" w14:textId="3307F6A9" w:rsidR="00826D1E" w:rsidRPr="00E15D19" w:rsidRDefault="00826D1E" w:rsidP="00D17AC8">
            <w:pPr>
              <w:rPr>
                <w:b/>
                <w:bCs/>
                <w:szCs w:val="24"/>
                <w:shd w:val="clear" w:color="auto" w:fill="FFFFFF"/>
              </w:rPr>
            </w:pPr>
          </w:p>
        </w:tc>
        <w:tc>
          <w:tcPr>
            <w:tcW w:w="7541" w:type="dxa"/>
          </w:tcPr>
          <w:p w14:paraId="46E2195E" w14:textId="186F74DF" w:rsidR="00826D1E" w:rsidRPr="006B1398" w:rsidRDefault="00826D1E" w:rsidP="00D17AC8">
            <w:pPr>
              <w:rPr>
                <w:i/>
                <w:iCs/>
                <w:sz w:val="22"/>
                <w:szCs w:val="22"/>
              </w:rPr>
            </w:pPr>
            <w:r w:rsidRPr="006B1398">
              <w:rPr>
                <w:i/>
                <w:iCs/>
                <w:sz w:val="22"/>
                <w:szCs w:val="22"/>
              </w:rPr>
              <w:t xml:space="preserve">PFSA 1.25.6. Ar kiekvienas kompetencijų centras turi vykdyti / apimti visas nurodytas veiklas: „skirta (...) MTEP veiklai vykdyti, (...) MTEPI rezultatų (nuo idėjos iki produkto) </w:t>
            </w:r>
            <w:proofErr w:type="spellStart"/>
            <w:r w:rsidRPr="006B1398">
              <w:rPr>
                <w:i/>
                <w:iCs/>
                <w:sz w:val="22"/>
                <w:szCs w:val="22"/>
              </w:rPr>
              <w:t>komercinimui</w:t>
            </w:r>
            <w:proofErr w:type="spellEnd"/>
            <w:r w:rsidRPr="006B1398">
              <w:rPr>
                <w:i/>
                <w:iCs/>
                <w:sz w:val="22"/>
                <w:szCs w:val="22"/>
              </w:rPr>
              <w:t xml:space="preserve">, </w:t>
            </w:r>
            <w:proofErr w:type="spellStart"/>
            <w:r w:rsidRPr="006B1398">
              <w:rPr>
                <w:i/>
                <w:iCs/>
                <w:sz w:val="22"/>
                <w:szCs w:val="22"/>
              </w:rPr>
              <w:t>atžalinių</w:t>
            </w:r>
            <w:proofErr w:type="spellEnd"/>
            <w:r w:rsidRPr="006B1398">
              <w:rPr>
                <w:i/>
                <w:iCs/>
                <w:sz w:val="22"/>
                <w:szCs w:val="22"/>
              </w:rPr>
              <w:t xml:space="preserve"> įmonių </w:t>
            </w:r>
            <w:proofErr w:type="spellStart"/>
            <w:r w:rsidRPr="006B1398">
              <w:rPr>
                <w:i/>
                <w:iCs/>
                <w:sz w:val="22"/>
                <w:szCs w:val="22"/>
              </w:rPr>
              <w:t>inkubavimui</w:t>
            </w:r>
            <w:proofErr w:type="spellEnd"/>
            <w:r w:rsidRPr="006B1398">
              <w:rPr>
                <w:i/>
                <w:iCs/>
                <w:sz w:val="22"/>
                <w:szCs w:val="22"/>
              </w:rPr>
              <w:t xml:space="preserve">, technologijų </w:t>
            </w:r>
            <w:proofErr w:type="spellStart"/>
            <w:r w:rsidRPr="006B1398">
              <w:rPr>
                <w:i/>
                <w:iCs/>
                <w:sz w:val="22"/>
                <w:szCs w:val="22"/>
              </w:rPr>
              <w:t>prototipavimui</w:t>
            </w:r>
            <w:proofErr w:type="spellEnd"/>
            <w:r w:rsidRPr="006B1398">
              <w:rPr>
                <w:i/>
                <w:iCs/>
                <w:sz w:val="22"/>
                <w:szCs w:val="22"/>
              </w:rPr>
              <w:t>, bandomosios gamybos linijoms ir bendroms mokslo-verslo veikloms atviros prieigos principu skatinti“.</w:t>
            </w:r>
          </w:p>
        </w:tc>
        <w:tc>
          <w:tcPr>
            <w:tcW w:w="4678" w:type="dxa"/>
          </w:tcPr>
          <w:p w14:paraId="093F458A" w14:textId="216D5164" w:rsidR="00826D1E" w:rsidRPr="00415807" w:rsidRDefault="00C74472" w:rsidP="00D17AC8">
            <w:pPr>
              <w:rPr>
                <w:i/>
                <w:iCs/>
                <w:sz w:val="22"/>
                <w:szCs w:val="22"/>
              </w:rPr>
            </w:pPr>
            <w:r>
              <w:rPr>
                <w:b/>
                <w:bCs/>
                <w:i/>
                <w:iCs/>
                <w:sz w:val="22"/>
                <w:szCs w:val="22"/>
              </w:rPr>
              <w:t>Atsižvelgta</w:t>
            </w:r>
            <w:r w:rsidR="00826D1E" w:rsidRPr="00415807">
              <w:rPr>
                <w:b/>
                <w:bCs/>
                <w:i/>
                <w:iCs/>
                <w:sz w:val="22"/>
                <w:szCs w:val="22"/>
              </w:rPr>
              <w:t xml:space="preserve">. </w:t>
            </w:r>
            <w:r>
              <w:rPr>
                <w:b/>
                <w:bCs/>
                <w:i/>
                <w:iCs/>
                <w:sz w:val="22"/>
                <w:szCs w:val="22"/>
              </w:rPr>
              <w:t xml:space="preserve">Pakoreguotas </w:t>
            </w:r>
            <w:r w:rsidR="00826D1E" w:rsidRPr="00415807">
              <w:rPr>
                <w:i/>
                <w:iCs/>
                <w:sz w:val="22"/>
                <w:szCs w:val="22"/>
              </w:rPr>
              <w:t>PFSA 1.25.6 punkt</w:t>
            </w:r>
            <w:r>
              <w:rPr>
                <w:i/>
                <w:iCs/>
                <w:sz w:val="22"/>
                <w:szCs w:val="22"/>
              </w:rPr>
              <w:t xml:space="preserve">as- </w:t>
            </w:r>
            <w:r w:rsidR="00826D1E" w:rsidRPr="00415807">
              <w:rPr>
                <w:i/>
                <w:iCs/>
                <w:sz w:val="22"/>
                <w:szCs w:val="22"/>
              </w:rPr>
              <w:t xml:space="preserve"> nurodyta ir/arba. </w:t>
            </w:r>
          </w:p>
          <w:p w14:paraId="6AF41013" w14:textId="48925BC5" w:rsidR="00826D1E" w:rsidRPr="00415807" w:rsidRDefault="00826D1E" w:rsidP="00D17AC8">
            <w:pPr>
              <w:rPr>
                <w:b/>
                <w:bCs/>
                <w:i/>
                <w:iCs/>
                <w:sz w:val="22"/>
                <w:szCs w:val="22"/>
              </w:rPr>
            </w:pPr>
            <w:r w:rsidRPr="00415807">
              <w:rPr>
                <w:i/>
                <w:iCs/>
                <w:color w:val="385623" w:themeColor="accent6" w:themeShade="80"/>
                <w:sz w:val="22"/>
                <w:szCs w:val="22"/>
              </w:rPr>
              <w:t xml:space="preserve"> </w:t>
            </w:r>
          </w:p>
        </w:tc>
      </w:tr>
      <w:tr w:rsidR="00826D1E" w:rsidRPr="00747A18" w14:paraId="35A5A1DC" w14:textId="77777777" w:rsidTr="00152C34">
        <w:tc>
          <w:tcPr>
            <w:tcW w:w="567" w:type="dxa"/>
          </w:tcPr>
          <w:p w14:paraId="245D314C" w14:textId="1247F8B2" w:rsidR="00826D1E" w:rsidRPr="001F4333" w:rsidRDefault="00826D1E" w:rsidP="00D17AC8">
            <w:pPr>
              <w:jc w:val="center"/>
              <w:rPr>
                <w:b/>
                <w:szCs w:val="24"/>
              </w:rPr>
            </w:pPr>
          </w:p>
        </w:tc>
        <w:tc>
          <w:tcPr>
            <w:tcW w:w="1985" w:type="dxa"/>
          </w:tcPr>
          <w:p w14:paraId="2638F672" w14:textId="076ED902" w:rsidR="00826D1E" w:rsidRPr="00E15D19" w:rsidRDefault="00826D1E" w:rsidP="00D17AC8">
            <w:pPr>
              <w:rPr>
                <w:b/>
                <w:bCs/>
                <w:szCs w:val="24"/>
                <w:shd w:val="clear" w:color="auto" w:fill="FFFFFF"/>
              </w:rPr>
            </w:pPr>
          </w:p>
        </w:tc>
        <w:tc>
          <w:tcPr>
            <w:tcW w:w="7541" w:type="dxa"/>
          </w:tcPr>
          <w:p w14:paraId="725331FA" w14:textId="7A91F9CC" w:rsidR="00826D1E" w:rsidRPr="006B1398" w:rsidRDefault="00826D1E" w:rsidP="00D17AC8">
            <w:pPr>
              <w:rPr>
                <w:i/>
                <w:iCs/>
                <w:sz w:val="22"/>
                <w:szCs w:val="22"/>
              </w:rPr>
            </w:pPr>
            <w:r w:rsidRPr="006B1398">
              <w:rPr>
                <w:i/>
                <w:iCs/>
                <w:sz w:val="22"/>
                <w:szCs w:val="22"/>
              </w:rPr>
              <w:t xml:space="preserve"> Atsižvelgiant į išaugusias rangos darbų kainas, būtina koreguoti PFSA 9.15 punkte įvardintą rangai ir įrangai skiriamų lėšų proporciją, siūloma rangai skirti ne mažiau 75 proc. lėšų ir išdėstyti punktą taip: „9.15. Įgyvendinant Aprašo 2.9.1 p. nurodytą veiklą, lėšų dalis skiriama išlaidų grupėms „Nekilnojamasis turtas“ ir „Statyba, rekonstravimas, remontas ir kiti darbai“, negali viršyti 75 proc. Aprašo 2.9.1.1 ir 2.9.1.2 p. nurodytos lėšų sumos, skirtos kompetencijų centrams įkurti. Jeigu įgyvendinant Aprašo 2.9.1 p. nurodytą veiklą kompetencijų centre planuojama investuoti į inkubatorių infrastruktūrą, lėšų dalis, skiriama išlaidų grupėms „Nekilnojamasis turtas“ ir „Statyba, rekonstravimas, remontas ir kiti darbai“, negali viršyti 75 proc. Aprašo 2.9.1.1 ir 2.9.1.2 p. nurodytos lėšų sumos, skirtos kompetencijų centrams įkurti.“.</w:t>
            </w:r>
          </w:p>
        </w:tc>
        <w:tc>
          <w:tcPr>
            <w:tcW w:w="4678" w:type="dxa"/>
          </w:tcPr>
          <w:p w14:paraId="3B6EC9C6" w14:textId="5283447A" w:rsidR="00826D1E" w:rsidRPr="00415807" w:rsidRDefault="00826D1E" w:rsidP="00D17AC8">
            <w:pPr>
              <w:rPr>
                <w:i/>
                <w:iCs/>
                <w:sz w:val="22"/>
                <w:szCs w:val="22"/>
              </w:rPr>
            </w:pPr>
            <w:r w:rsidRPr="00415807">
              <w:rPr>
                <w:b/>
                <w:bCs/>
                <w:i/>
                <w:iCs/>
                <w:sz w:val="22"/>
                <w:szCs w:val="22"/>
              </w:rPr>
              <w:t>Neatsižvelgta.</w:t>
            </w:r>
            <w:r w:rsidRPr="00415807">
              <w:rPr>
                <w:i/>
                <w:iCs/>
                <w:sz w:val="22"/>
                <w:szCs w:val="22"/>
              </w:rPr>
              <w:t xml:space="preserve"> Misijomis grįstų mokslo ir inovacijų programų pažangos priemonėje Nr. 05-001-01-05-06/12-001-01-03-01 „Įgyvendinti misijomis grįstas mokslo ir inovacijų programas“ yra numatytas ir patvirtintas lėšų pasiskirstymas tarp veiklų.</w:t>
            </w:r>
            <w:r w:rsidRPr="00415807">
              <w:rPr>
                <w:b/>
                <w:bCs/>
                <w:i/>
                <w:iCs/>
                <w:sz w:val="22"/>
                <w:szCs w:val="22"/>
              </w:rPr>
              <w:br/>
            </w:r>
          </w:p>
          <w:p w14:paraId="7CB1375B" w14:textId="4D29109A" w:rsidR="00826D1E" w:rsidRPr="00415807" w:rsidRDefault="00826D1E" w:rsidP="00D17AC8">
            <w:pPr>
              <w:rPr>
                <w:b/>
                <w:bCs/>
                <w:i/>
                <w:iCs/>
                <w:sz w:val="22"/>
                <w:szCs w:val="22"/>
              </w:rPr>
            </w:pPr>
          </w:p>
        </w:tc>
      </w:tr>
      <w:tr w:rsidR="00826D1E" w:rsidRPr="00747A18" w14:paraId="6B7490A1" w14:textId="77777777" w:rsidTr="00152C34">
        <w:tc>
          <w:tcPr>
            <w:tcW w:w="567" w:type="dxa"/>
          </w:tcPr>
          <w:p w14:paraId="75289D94" w14:textId="2954B3A7" w:rsidR="00826D1E" w:rsidRPr="004457AD" w:rsidRDefault="00826D1E" w:rsidP="00D17AC8">
            <w:pPr>
              <w:jc w:val="center"/>
              <w:rPr>
                <w:b/>
                <w:szCs w:val="24"/>
              </w:rPr>
            </w:pPr>
          </w:p>
        </w:tc>
        <w:tc>
          <w:tcPr>
            <w:tcW w:w="1985" w:type="dxa"/>
          </w:tcPr>
          <w:p w14:paraId="3232341F" w14:textId="317CCE68" w:rsidR="00826D1E" w:rsidRPr="00E15D19" w:rsidRDefault="00826D1E" w:rsidP="00D17AC8">
            <w:pPr>
              <w:rPr>
                <w:b/>
                <w:bCs/>
                <w:szCs w:val="24"/>
                <w:shd w:val="clear" w:color="auto" w:fill="FFFFFF"/>
              </w:rPr>
            </w:pPr>
          </w:p>
        </w:tc>
        <w:tc>
          <w:tcPr>
            <w:tcW w:w="7541" w:type="dxa"/>
          </w:tcPr>
          <w:p w14:paraId="4B065EC1" w14:textId="5DAABA92" w:rsidR="00826D1E" w:rsidRPr="006B1398" w:rsidRDefault="00826D1E" w:rsidP="00D17AC8">
            <w:pPr>
              <w:rPr>
                <w:i/>
                <w:iCs/>
                <w:sz w:val="22"/>
                <w:szCs w:val="22"/>
              </w:rPr>
            </w:pPr>
            <w:r w:rsidRPr="006B1398">
              <w:rPr>
                <w:i/>
                <w:iCs/>
                <w:sz w:val="22"/>
                <w:szCs w:val="22"/>
              </w:rPr>
              <w:t xml:space="preserve">PFSA yra sąvokų kurios apibrėžiamos ir nenaudojamos, pvz. 1.25.9. </w:t>
            </w:r>
            <w:proofErr w:type="spellStart"/>
            <w:r w:rsidRPr="006B1398">
              <w:rPr>
                <w:i/>
                <w:iCs/>
                <w:sz w:val="22"/>
                <w:szCs w:val="22"/>
              </w:rPr>
              <w:t>Inkubavimo</w:t>
            </w:r>
            <w:proofErr w:type="spellEnd"/>
            <w:r w:rsidRPr="006B1398">
              <w:rPr>
                <w:i/>
                <w:iCs/>
                <w:sz w:val="22"/>
                <w:szCs w:val="22"/>
              </w:rPr>
              <w:t xml:space="preserve"> infrastruktūra. Kokia jų paskirtis apraše?</w:t>
            </w:r>
          </w:p>
        </w:tc>
        <w:tc>
          <w:tcPr>
            <w:tcW w:w="4678" w:type="dxa"/>
          </w:tcPr>
          <w:p w14:paraId="4E6DF59E" w14:textId="4E505276" w:rsidR="00826D1E" w:rsidRPr="00415807" w:rsidRDefault="00826D1E" w:rsidP="00D17AC8">
            <w:pPr>
              <w:rPr>
                <w:b/>
                <w:bCs/>
                <w:i/>
                <w:iCs/>
                <w:sz w:val="22"/>
                <w:szCs w:val="22"/>
              </w:rPr>
            </w:pPr>
            <w:r w:rsidRPr="00415807">
              <w:rPr>
                <w:b/>
                <w:bCs/>
                <w:i/>
                <w:iCs/>
                <w:sz w:val="22"/>
                <w:szCs w:val="22"/>
              </w:rPr>
              <w:t>Neatsižvelgta.</w:t>
            </w:r>
            <w:r w:rsidRPr="00415807">
              <w:rPr>
                <w:i/>
                <w:iCs/>
                <w:sz w:val="22"/>
                <w:szCs w:val="22"/>
              </w:rPr>
              <w:t xml:space="preserve"> </w:t>
            </w:r>
            <w:r w:rsidR="00C74472">
              <w:rPr>
                <w:i/>
                <w:iCs/>
                <w:sz w:val="22"/>
                <w:szCs w:val="22"/>
              </w:rPr>
              <w:t>Sąvoka „</w:t>
            </w:r>
            <w:proofErr w:type="spellStart"/>
            <w:r w:rsidRPr="00415807">
              <w:rPr>
                <w:i/>
                <w:iCs/>
                <w:sz w:val="22"/>
                <w:szCs w:val="22"/>
              </w:rPr>
              <w:t>Inkubavimo</w:t>
            </w:r>
            <w:proofErr w:type="spellEnd"/>
            <w:r w:rsidRPr="00415807">
              <w:rPr>
                <w:i/>
                <w:iCs/>
                <w:sz w:val="22"/>
                <w:szCs w:val="22"/>
              </w:rPr>
              <w:t xml:space="preserve"> infrastruktūra</w:t>
            </w:r>
            <w:r w:rsidR="00C74472">
              <w:rPr>
                <w:i/>
                <w:iCs/>
                <w:sz w:val="22"/>
                <w:szCs w:val="22"/>
              </w:rPr>
              <w:t>“</w:t>
            </w:r>
            <w:r w:rsidRPr="00415807">
              <w:rPr>
                <w:i/>
                <w:iCs/>
                <w:sz w:val="22"/>
                <w:szCs w:val="22"/>
              </w:rPr>
              <w:t xml:space="preserve"> </w:t>
            </w:r>
            <w:r w:rsidR="00C74472">
              <w:rPr>
                <w:i/>
                <w:iCs/>
                <w:sz w:val="22"/>
                <w:szCs w:val="22"/>
              </w:rPr>
              <w:t>vartojama</w:t>
            </w:r>
            <w:r w:rsidR="00C74472" w:rsidRPr="00415807">
              <w:rPr>
                <w:i/>
                <w:iCs/>
                <w:sz w:val="22"/>
                <w:szCs w:val="22"/>
              </w:rPr>
              <w:t xml:space="preserve"> </w:t>
            </w:r>
            <w:r w:rsidRPr="00415807">
              <w:rPr>
                <w:i/>
                <w:iCs/>
                <w:sz w:val="22"/>
                <w:szCs w:val="22"/>
              </w:rPr>
              <w:t>17 punkte.</w:t>
            </w:r>
          </w:p>
        </w:tc>
      </w:tr>
      <w:tr w:rsidR="00826D1E" w:rsidRPr="00747A18" w14:paraId="730B0046" w14:textId="77777777" w:rsidTr="00152C34">
        <w:tc>
          <w:tcPr>
            <w:tcW w:w="567" w:type="dxa"/>
          </w:tcPr>
          <w:p w14:paraId="557C7EFA" w14:textId="7FD0CF08" w:rsidR="00826D1E" w:rsidRPr="001F4333" w:rsidRDefault="00826D1E" w:rsidP="00D17AC8">
            <w:pPr>
              <w:jc w:val="center"/>
              <w:rPr>
                <w:b/>
                <w:szCs w:val="24"/>
              </w:rPr>
            </w:pPr>
          </w:p>
        </w:tc>
        <w:tc>
          <w:tcPr>
            <w:tcW w:w="1985" w:type="dxa"/>
          </w:tcPr>
          <w:p w14:paraId="242020C7" w14:textId="08A37194" w:rsidR="00826D1E" w:rsidRPr="00E15D19" w:rsidRDefault="00826D1E" w:rsidP="00D17AC8">
            <w:pPr>
              <w:rPr>
                <w:b/>
                <w:bCs/>
                <w:szCs w:val="24"/>
                <w:shd w:val="clear" w:color="auto" w:fill="FFFFFF"/>
              </w:rPr>
            </w:pPr>
          </w:p>
        </w:tc>
        <w:tc>
          <w:tcPr>
            <w:tcW w:w="7541" w:type="dxa"/>
          </w:tcPr>
          <w:p w14:paraId="4B81D046" w14:textId="77777777" w:rsidR="00826D1E" w:rsidRPr="006B1398" w:rsidRDefault="00826D1E" w:rsidP="00D17AC8">
            <w:pPr>
              <w:rPr>
                <w:i/>
                <w:iCs/>
                <w:sz w:val="22"/>
                <w:szCs w:val="22"/>
              </w:rPr>
            </w:pPr>
            <w:r w:rsidRPr="006B1398">
              <w:rPr>
                <w:i/>
                <w:iCs/>
                <w:sz w:val="22"/>
                <w:szCs w:val="22"/>
              </w:rPr>
              <w:t>Lieka neaišku, kas atsako už kompetencijos centro veiklą po projekto pabaigos:</w:t>
            </w:r>
          </w:p>
          <w:p w14:paraId="4E1FDFB3" w14:textId="77777777" w:rsidR="00826D1E" w:rsidRPr="006B1398" w:rsidRDefault="00826D1E" w:rsidP="00D17AC8">
            <w:pPr>
              <w:rPr>
                <w:i/>
                <w:iCs/>
                <w:sz w:val="22"/>
                <w:szCs w:val="22"/>
              </w:rPr>
            </w:pPr>
            <w:r w:rsidRPr="006B1398">
              <w:rPr>
                <w:i/>
                <w:iCs/>
                <w:sz w:val="22"/>
                <w:szCs w:val="22"/>
              </w:rPr>
              <w:t>• PFSA 1.25.8 „Kompetencijų centro veiklos tęstinumo įsipareigojimai valstybinių MSI ir / ar mokslo ir technologijų parkams”</w:t>
            </w:r>
          </w:p>
          <w:p w14:paraId="37D5C0CD" w14:textId="77777777" w:rsidR="00826D1E" w:rsidRPr="006B1398" w:rsidRDefault="00826D1E" w:rsidP="00D17AC8">
            <w:pPr>
              <w:rPr>
                <w:i/>
                <w:iCs/>
                <w:sz w:val="22"/>
                <w:szCs w:val="22"/>
              </w:rPr>
            </w:pPr>
            <w:r w:rsidRPr="006B1398">
              <w:rPr>
                <w:i/>
                <w:iCs/>
                <w:sz w:val="22"/>
                <w:szCs w:val="22"/>
              </w:rPr>
              <w:t xml:space="preserve">• PFSA 2.3.2. “Investicijas į kompetencijų centrus gavę projekto partneriai turi užtikrinti kompetencijų centrų veiklų tęstinumą.” </w:t>
            </w:r>
          </w:p>
          <w:p w14:paraId="7F96319B" w14:textId="1E524C18" w:rsidR="00826D1E" w:rsidRPr="006B1398" w:rsidRDefault="00826D1E" w:rsidP="00D17AC8">
            <w:pPr>
              <w:rPr>
                <w:i/>
                <w:iCs/>
                <w:sz w:val="22"/>
                <w:szCs w:val="22"/>
              </w:rPr>
            </w:pPr>
            <w:r w:rsidRPr="006B1398">
              <w:rPr>
                <w:i/>
                <w:iCs/>
                <w:sz w:val="22"/>
                <w:szCs w:val="22"/>
              </w:rPr>
              <w:lastRenderedPageBreak/>
              <w:t>• PFSA 7.1 “Konsorciumo nariai turi sudaryti sąlygas tam, kad iki 2029 m. pabaigos būtų užtikrintas save išlaikančių bei atviros prieigos principu veikiančių kompetencijų centrų veiklos tęstinumas”</w:t>
            </w:r>
          </w:p>
        </w:tc>
        <w:tc>
          <w:tcPr>
            <w:tcW w:w="4678" w:type="dxa"/>
          </w:tcPr>
          <w:p w14:paraId="3FF9F3CE" w14:textId="02504F80" w:rsidR="00826D1E" w:rsidRPr="00415807" w:rsidRDefault="00F6155E" w:rsidP="00D17AC8">
            <w:pPr>
              <w:rPr>
                <w:i/>
                <w:iCs/>
                <w:sz w:val="22"/>
                <w:szCs w:val="22"/>
              </w:rPr>
            </w:pPr>
            <w:r w:rsidRPr="00415807">
              <w:rPr>
                <w:b/>
                <w:bCs/>
                <w:i/>
                <w:iCs/>
                <w:sz w:val="22"/>
                <w:szCs w:val="22"/>
              </w:rPr>
              <w:lastRenderedPageBreak/>
              <w:t>Iš dalies atsižvelgta.</w:t>
            </w:r>
            <w:r w:rsidRPr="00415807">
              <w:rPr>
                <w:i/>
                <w:iCs/>
                <w:sz w:val="22"/>
                <w:szCs w:val="22"/>
              </w:rPr>
              <w:t xml:space="preserve"> IA rengiamose Konsorciumo atrankos taisyklėse </w:t>
            </w:r>
            <w:r w:rsidR="00C74472">
              <w:rPr>
                <w:i/>
                <w:iCs/>
                <w:sz w:val="22"/>
                <w:szCs w:val="22"/>
              </w:rPr>
              <w:t>bus</w:t>
            </w:r>
            <w:r w:rsidRPr="00415807">
              <w:rPr>
                <w:i/>
                <w:iCs/>
                <w:sz w:val="22"/>
                <w:szCs w:val="22"/>
              </w:rPr>
              <w:t xml:space="preserve"> numatyt</w:t>
            </w:r>
            <w:r w:rsidR="00C74472">
              <w:rPr>
                <w:i/>
                <w:iCs/>
                <w:sz w:val="22"/>
                <w:szCs w:val="22"/>
              </w:rPr>
              <w:t>i</w:t>
            </w:r>
            <w:r w:rsidRPr="00415807">
              <w:rPr>
                <w:i/>
                <w:iCs/>
                <w:sz w:val="22"/>
                <w:szCs w:val="22"/>
              </w:rPr>
              <w:t xml:space="preserve"> reikalavimai Konsorciumo partneriams. Konsorciumo atrankos taisyklės bus pristatomos iškart po PFSA patvirtinimo.</w:t>
            </w:r>
          </w:p>
        </w:tc>
      </w:tr>
      <w:tr w:rsidR="00826D1E" w:rsidRPr="00747A18" w14:paraId="1BD41D1D" w14:textId="77777777" w:rsidTr="00152C34">
        <w:tc>
          <w:tcPr>
            <w:tcW w:w="567" w:type="dxa"/>
          </w:tcPr>
          <w:p w14:paraId="5CD71DBD" w14:textId="70CCB996" w:rsidR="00826D1E" w:rsidRPr="004457AD" w:rsidRDefault="00826D1E" w:rsidP="00D17AC8">
            <w:pPr>
              <w:jc w:val="center"/>
              <w:rPr>
                <w:b/>
                <w:szCs w:val="24"/>
              </w:rPr>
            </w:pPr>
          </w:p>
        </w:tc>
        <w:tc>
          <w:tcPr>
            <w:tcW w:w="1985" w:type="dxa"/>
          </w:tcPr>
          <w:p w14:paraId="439CC96E" w14:textId="78F8ABF2" w:rsidR="00826D1E" w:rsidRDefault="00826D1E" w:rsidP="00D17AC8">
            <w:pPr>
              <w:rPr>
                <w:b/>
                <w:bCs/>
                <w:szCs w:val="24"/>
                <w:shd w:val="clear" w:color="auto" w:fill="FFFFFF"/>
              </w:rPr>
            </w:pPr>
          </w:p>
        </w:tc>
        <w:tc>
          <w:tcPr>
            <w:tcW w:w="7541" w:type="dxa"/>
          </w:tcPr>
          <w:p w14:paraId="70E85EC5" w14:textId="2093C53E" w:rsidR="00826D1E" w:rsidRPr="006B1398" w:rsidRDefault="00826D1E" w:rsidP="00D17AC8">
            <w:pPr>
              <w:rPr>
                <w:i/>
                <w:iCs/>
                <w:sz w:val="22"/>
                <w:szCs w:val="22"/>
              </w:rPr>
            </w:pPr>
            <w:r w:rsidRPr="006B1398">
              <w:rPr>
                <w:i/>
                <w:iCs/>
                <w:sz w:val="22"/>
                <w:szCs w:val="22"/>
              </w:rPr>
              <w:t>Antrame PFSA skyriuje nėra aiškiai atskirtos Inovacijų agentūros ir Konsorciumo ir jo kuriamo Kompetencijų centro atsakomybės ir veiklos, pvz. „2.9.1.3. inovacijų paramos paslaugos” mes suprantame kaip vieną iš KC veiklų.</w:t>
            </w:r>
          </w:p>
        </w:tc>
        <w:tc>
          <w:tcPr>
            <w:tcW w:w="4678" w:type="dxa"/>
          </w:tcPr>
          <w:p w14:paraId="19F49811" w14:textId="26786500" w:rsidR="00826D1E" w:rsidRPr="00415807" w:rsidRDefault="00826D1E" w:rsidP="00D17AC8">
            <w:pPr>
              <w:rPr>
                <w:i/>
                <w:iCs/>
                <w:sz w:val="22"/>
                <w:szCs w:val="22"/>
              </w:rPr>
            </w:pPr>
            <w:r w:rsidRPr="00415807">
              <w:rPr>
                <w:b/>
                <w:bCs/>
                <w:i/>
                <w:iCs/>
                <w:sz w:val="22"/>
                <w:szCs w:val="22"/>
              </w:rPr>
              <w:t>Neatsižvelgta.</w:t>
            </w:r>
            <w:r w:rsidRPr="00415807">
              <w:rPr>
                <w:i/>
                <w:iCs/>
                <w:sz w:val="22"/>
                <w:szCs w:val="22"/>
              </w:rPr>
              <w:t xml:space="preserve"> Inovacijų paramos paslaugos viena iš Konsorciumo veiklų.</w:t>
            </w:r>
            <w:r w:rsidR="00F31B58" w:rsidRPr="00415807">
              <w:rPr>
                <w:i/>
                <w:iCs/>
                <w:sz w:val="22"/>
                <w:szCs w:val="22"/>
              </w:rPr>
              <w:t xml:space="preserve"> </w:t>
            </w:r>
            <w:r w:rsidRPr="00415807">
              <w:rPr>
                <w:i/>
                <w:iCs/>
                <w:sz w:val="22"/>
                <w:szCs w:val="22"/>
              </w:rPr>
              <w:t xml:space="preserve">Pagal Konsorciumo poreikius, paliekame laisvę Konsorciumui pasirinkti ar tokias paslaugas reikia pirkti iš išorės ar tai suteiks Konsorciumas. </w:t>
            </w:r>
          </w:p>
          <w:p w14:paraId="1D88954B" w14:textId="60028D59" w:rsidR="00826D1E" w:rsidRPr="00415807" w:rsidRDefault="00826D1E" w:rsidP="00D17AC8">
            <w:pPr>
              <w:rPr>
                <w:i/>
                <w:iCs/>
                <w:sz w:val="22"/>
                <w:szCs w:val="22"/>
              </w:rPr>
            </w:pPr>
          </w:p>
        </w:tc>
      </w:tr>
      <w:tr w:rsidR="00826D1E" w:rsidRPr="00747A18" w14:paraId="6B437323" w14:textId="77777777" w:rsidTr="00152C34">
        <w:tc>
          <w:tcPr>
            <w:tcW w:w="567" w:type="dxa"/>
          </w:tcPr>
          <w:p w14:paraId="0E44D751" w14:textId="2440623F" w:rsidR="00826D1E" w:rsidRPr="001F4333" w:rsidRDefault="00826D1E" w:rsidP="00D17AC8">
            <w:pPr>
              <w:jc w:val="center"/>
              <w:rPr>
                <w:b/>
                <w:szCs w:val="24"/>
              </w:rPr>
            </w:pPr>
          </w:p>
        </w:tc>
        <w:tc>
          <w:tcPr>
            <w:tcW w:w="1985" w:type="dxa"/>
          </w:tcPr>
          <w:p w14:paraId="0204FD5F" w14:textId="5505DA03" w:rsidR="00826D1E" w:rsidRDefault="00826D1E" w:rsidP="00D17AC8">
            <w:pPr>
              <w:rPr>
                <w:b/>
                <w:bCs/>
                <w:szCs w:val="24"/>
                <w:shd w:val="clear" w:color="auto" w:fill="FFFFFF"/>
              </w:rPr>
            </w:pPr>
          </w:p>
        </w:tc>
        <w:tc>
          <w:tcPr>
            <w:tcW w:w="7541" w:type="dxa"/>
          </w:tcPr>
          <w:p w14:paraId="1478C8CE" w14:textId="10EE0C1A" w:rsidR="00826D1E" w:rsidRPr="006B1398" w:rsidRDefault="00826D1E" w:rsidP="00D17AC8">
            <w:pPr>
              <w:rPr>
                <w:i/>
                <w:iCs/>
                <w:sz w:val="22"/>
                <w:szCs w:val="22"/>
                <w:highlight w:val="red"/>
              </w:rPr>
            </w:pPr>
            <w:r w:rsidRPr="006B1398">
              <w:rPr>
                <w:i/>
                <w:iCs/>
                <w:sz w:val="22"/>
                <w:szCs w:val="22"/>
              </w:rPr>
              <w:t>Kaip dera PFSA 5.2. „Kai projekto veiklą, Investicijos į kompetencijos centrus, vykdo valstybinės MSI, universiteto ligoninė ar mokslo ir technologijų parkas, kurių dalininkas yra valstybė, ir joje vykdys neekonominę veikla, valstybės pagalba ... nurodytiems konsorciumų nariams neteikiama“ su reikalaujamu rodikliu Kompetencijų centrų gautos pajamos už teikiamas paslaugas (ekonominė veikla)? Dauguma MSI yra didelės įmonės ir tikrai nevykdys investicijų į KC iš savų lėšų su mažu finansavimo intensyvumu iš projekto. Be to, jiems dar uždedama atsakomybė už KC veiklą po projekto, kas vėlgi ekonominė veikla</w:t>
            </w:r>
          </w:p>
        </w:tc>
        <w:tc>
          <w:tcPr>
            <w:tcW w:w="4678" w:type="dxa"/>
          </w:tcPr>
          <w:p w14:paraId="78BC4F84" w14:textId="58640D38" w:rsidR="00826D1E" w:rsidRPr="00415807" w:rsidRDefault="00826D1E" w:rsidP="00D17AC8">
            <w:pPr>
              <w:rPr>
                <w:i/>
                <w:iCs/>
                <w:sz w:val="22"/>
                <w:szCs w:val="22"/>
              </w:rPr>
            </w:pPr>
            <w:r w:rsidRPr="00415807">
              <w:rPr>
                <w:b/>
                <w:bCs/>
                <w:i/>
                <w:iCs/>
                <w:sz w:val="22"/>
                <w:szCs w:val="22"/>
              </w:rPr>
              <w:t xml:space="preserve">Neatsižvelgta. </w:t>
            </w:r>
            <w:r w:rsidR="00C74472" w:rsidRPr="001E3877">
              <w:rPr>
                <w:i/>
                <w:iCs/>
                <w:sz w:val="22"/>
                <w:szCs w:val="22"/>
              </w:rPr>
              <w:t xml:space="preserve">Be kitų sąlygų, </w:t>
            </w:r>
            <w:r w:rsidR="00C74472" w:rsidRPr="00C74472">
              <w:rPr>
                <w:i/>
                <w:iCs/>
                <w:sz w:val="22"/>
                <w:szCs w:val="22"/>
              </w:rPr>
              <w:t>p</w:t>
            </w:r>
            <w:r w:rsidRPr="00C74472">
              <w:rPr>
                <w:i/>
                <w:iCs/>
                <w:sz w:val="22"/>
                <w:szCs w:val="22"/>
              </w:rPr>
              <w:t>agal</w:t>
            </w:r>
            <w:r w:rsidRPr="00415807">
              <w:rPr>
                <w:i/>
                <w:iCs/>
                <w:sz w:val="22"/>
                <w:szCs w:val="22"/>
              </w:rPr>
              <w:t xml:space="preserve"> BBIR </w:t>
            </w:r>
            <w:r w:rsidR="00C74472">
              <w:rPr>
                <w:i/>
                <w:iCs/>
                <w:sz w:val="22"/>
                <w:szCs w:val="22"/>
              </w:rPr>
              <w:t xml:space="preserve">- </w:t>
            </w:r>
            <w:r w:rsidRPr="00415807">
              <w:rPr>
                <w:i/>
                <w:iCs/>
                <w:sz w:val="22"/>
                <w:szCs w:val="22"/>
              </w:rPr>
              <w:t>jei uždirbtos pajamos reinvestuojamos į MTEPI infrastruktūrą, tai nėra laikoma ekonomine veikla</w:t>
            </w:r>
            <w:r w:rsidR="00C74472">
              <w:rPr>
                <w:i/>
                <w:iCs/>
                <w:sz w:val="22"/>
                <w:szCs w:val="22"/>
              </w:rPr>
              <w:t>.</w:t>
            </w:r>
            <w:r w:rsidRPr="00415807">
              <w:rPr>
                <w:i/>
                <w:iCs/>
                <w:sz w:val="22"/>
                <w:szCs w:val="22"/>
              </w:rPr>
              <w:t>.</w:t>
            </w:r>
          </w:p>
        </w:tc>
      </w:tr>
      <w:tr w:rsidR="00DD4B36" w:rsidRPr="00747A18" w14:paraId="38653C45" w14:textId="77777777" w:rsidTr="00152C34">
        <w:tc>
          <w:tcPr>
            <w:tcW w:w="567" w:type="dxa"/>
          </w:tcPr>
          <w:p w14:paraId="5F29F30D" w14:textId="6CE4D35D" w:rsidR="00DD4B36" w:rsidRPr="004457AD" w:rsidRDefault="00DD4B36" w:rsidP="00D17AC8">
            <w:pPr>
              <w:jc w:val="center"/>
              <w:rPr>
                <w:b/>
                <w:szCs w:val="24"/>
              </w:rPr>
            </w:pPr>
            <w:r>
              <w:rPr>
                <w:b/>
                <w:szCs w:val="24"/>
                <w:lang w:val="en-US"/>
              </w:rPr>
              <w:t xml:space="preserve">10. </w:t>
            </w:r>
          </w:p>
        </w:tc>
        <w:tc>
          <w:tcPr>
            <w:tcW w:w="1985" w:type="dxa"/>
          </w:tcPr>
          <w:p w14:paraId="675E2ACA" w14:textId="218D8AA0" w:rsidR="00DD4B36" w:rsidRDefault="00DD4B36" w:rsidP="00D17AC8">
            <w:pPr>
              <w:rPr>
                <w:b/>
                <w:bCs/>
                <w:szCs w:val="24"/>
                <w:shd w:val="clear" w:color="auto" w:fill="FFFFFF"/>
              </w:rPr>
            </w:pPr>
            <w:r>
              <w:rPr>
                <w:b/>
                <w:bCs/>
                <w:szCs w:val="24"/>
                <w:shd w:val="clear" w:color="auto" w:fill="FFFFFF"/>
              </w:rPr>
              <w:t>Centrinė projektų valdymo agentūra</w:t>
            </w:r>
          </w:p>
        </w:tc>
        <w:tc>
          <w:tcPr>
            <w:tcW w:w="7541" w:type="dxa"/>
          </w:tcPr>
          <w:p w14:paraId="229C64E5" w14:textId="3ADF624D" w:rsidR="00DD4B36" w:rsidRPr="006B1398" w:rsidRDefault="00DD4B36" w:rsidP="00D17AC8">
            <w:pPr>
              <w:rPr>
                <w:i/>
                <w:iCs/>
                <w:sz w:val="22"/>
                <w:szCs w:val="22"/>
              </w:rPr>
            </w:pPr>
            <w:r w:rsidRPr="006B1398">
              <w:rPr>
                <w:i/>
                <w:iCs/>
                <w:sz w:val="22"/>
                <w:szCs w:val="22"/>
              </w:rPr>
              <w:t>Siūlome keisti pažangos priemonės aprašo</w:t>
            </w:r>
            <w:r w:rsidRPr="006B1398">
              <w:rPr>
                <w:rStyle w:val="FootnoteReference"/>
                <w:i/>
                <w:iCs/>
                <w:sz w:val="22"/>
                <w:szCs w:val="22"/>
              </w:rPr>
              <w:footnoteReference w:id="1"/>
            </w:r>
            <w:r w:rsidRPr="006B1398">
              <w:rPr>
                <w:i/>
                <w:iCs/>
                <w:sz w:val="22"/>
                <w:szCs w:val="22"/>
              </w:rPr>
              <w:t xml:space="preserve"> (PP aprašas) </w:t>
            </w:r>
            <w:proofErr w:type="spellStart"/>
            <w:r w:rsidRPr="006B1398">
              <w:rPr>
                <w:i/>
                <w:iCs/>
                <w:sz w:val="22"/>
                <w:szCs w:val="22"/>
              </w:rPr>
              <w:t>poveiklės</w:t>
            </w:r>
            <w:proofErr w:type="spellEnd"/>
            <w:r w:rsidRPr="006B1398">
              <w:rPr>
                <w:i/>
                <w:iCs/>
                <w:sz w:val="22"/>
                <w:szCs w:val="22"/>
              </w:rPr>
              <w:t xml:space="preserve"> 1.3 Inovacijų paramos paslaugos stebėsenos rodiklį Pateiktos tarptautinių patentų paraiškos (R), kadangi, atsižvelgiant </w:t>
            </w:r>
            <w:r w:rsidRPr="006B1398">
              <w:rPr>
                <w:rFonts w:eastAsia="Calibri"/>
                <w:i/>
                <w:iCs/>
                <w:sz w:val="22"/>
                <w:szCs w:val="22"/>
              </w:rPr>
              <w:t>Projektų finansavimo ir administravimo taisyklių</w:t>
            </w:r>
            <w:r w:rsidRPr="006B1398">
              <w:rPr>
                <w:rStyle w:val="FootnoteReference"/>
                <w:rFonts w:eastAsia="Calibri"/>
                <w:i/>
                <w:iCs/>
                <w:sz w:val="22"/>
                <w:szCs w:val="22"/>
              </w:rPr>
              <w:footnoteReference w:id="2"/>
            </w:r>
            <w:r w:rsidRPr="006B1398">
              <w:rPr>
                <w:rFonts w:eastAsia="Calibri"/>
                <w:i/>
                <w:iCs/>
                <w:sz w:val="22"/>
                <w:szCs w:val="22"/>
              </w:rPr>
              <w:t xml:space="preserve"> (Taisyklės)</w:t>
            </w:r>
            <w:r w:rsidRPr="006B1398">
              <w:rPr>
                <w:i/>
                <w:iCs/>
                <w:sz w:val="22"/>
                <w:szCs w:val="22"/>
              </w:rPr>
              <w:t xml:space="preserve"> 2 priedo 6.2. p. nuostatą dėl išlaidų būtinumo, konstatuotina, kad visos išlaidos, kurios tiesiogiai nesusijusios su šio rodiklio pasiekimu yra nebūtinos, </w:t>
            </w:r>
            <w:proofErr w:type="spellStart"/>
            <w:r w:rsidRPr="006B1398">
              <w:rPr>
                <w:i/>
                <w:iCs/>
                <w:sz w:val="22"/>
                <w:szCs w:val="22"/>
              </w:rPr>
              <w:t>t.y</w:t>
            </w:r>
            <w:proofErr w:type="spellEnd"/>
            <w:r w:rsidRPr="006B1398">
              <w:rPr>
                <w:i/>
                <w:iCs/>
                <w:sz w:val="22"/>
                <w:szCs w:val="22"/>
              </w:rPr>
              <w:t xml:space="preserve">. netinkamos finansuoti. Stebėsenos rodiklis Pateiktos tarptautinių patentų paraiškos tiesiogiai siejasi su mokslinių tyrimų ir eksperimentinės plėtros (MTEP) veikla, kurios rezultatui teisiškai apsaugoti perkamos su šia apsauga susijusios paslaugos, todėl jis PP apraše turėtų būti priskirtas prie veiklos Bendros misijų programos, </w:t>
            </w:r>
            <w:proofErr w:type="spellStart"/>
            <w:r w:rsidRPr="006B1398">
              <w:rPr>
                <w:i/>
                <w:iCs/>
                <w:sz w:val="22"/>
                <w:szCs w:val="22"/>
              </w:rPr>
              <w:t>poveiklei</w:t>
            </w:r>
            <w:proofErr w:type="spellEnd"/>
            <w:r w:rsidRPr="006B1398">
              <w:rPr>
                <w:i/>
                <w:iCs/>
                <w:sz w:val="22"/>
                <w:szCs w:val="22"/>
              </w:rPr>
              <w:t xml:space="preserve"> 1.3 Inovacijų paramos paslaugos priskiriant rodiklį, kuris tiesiogiai siejasi su </w:t>
            </w:r>
            <w:proofErr w:type="spellStart"/>
            <w:r w:rsidRPr="006B1398">
              <w:rPr>
                <w:i/>
                <w:iCs/>
                <w:sz w:val="22"/>
                <w:szCs w:val="22"/>
              </w:rPr>
              <w:t>poveiklės</w:t>
            </w:r>
            <w:proofErr w:type="spellEnd"/>
            <w:r w:rsidRPr="006B1398">
              <w:rPr>
                <w:i/>
                <w:iCs/>
                <w:sz w:val="22"/>
                <w:szCs w:val="22"/>
              </w:rPr>
              <w:t xml:space="preserve"> turiniu.</w:t>
            </w:r>
          </w:p>
        </w:tc>
        <w:tc>
          <w:tcPr>
            <w:tcW w:w="4678" w:type="dxa"/>
          </w:tcPr>
          <w:p w14:paraId="64D7730A" w14:textId="43574B8B" w:rsidR="00DD4B36" w:rsidRPr="00415807" w:rsidRDefault="00DD4B36" w:rsidP="00D17AC8">
            <w:pPr>
              <w:rPr>
                <w:b/>
                <w:bCs/>
                <w:i/>
                <w:iCs/>
                <w:sz w:val="22"/>
                <w:szCs w:val="22"/>
              </w:rPr>
            </w:pPr>
            <w:r w:rsidRPr="00415807">
              <w:rPr>
                <w:b/>
                <w:bCs/>
                <w:i/>
                <w:iCs/>
                <w:sz w:val="22"/>
                <w:szCs w:val="22"/>
              </w:rPr>
              <w:t xml:space="preserve">Neatsižvelgta.   </w:t>
            </w:r>
            <w:r w:rsidR="00C74472" w:rsidRPr="001E3877">
              <w:rPr>
                <w:i/>
                <w:iCs/>
                <w:sz w:val="22"/>
                <w:szCs w:val="22"/>
              </w:rPr>
              <w:t xml:space="preserve">Finansavimas patentavimui pagal šią veiklą  nebus skiriamas, tačiau Kompetencijų centro infrastruktūros veiklos jo sieks netiesiogiai, kadangi naudojantis Kompetencijų centro infrastruktūra bus kuriami </w:t>
            </w:r>
            <w:proofErr w:type="spellStart"/>
            <w:r w:rsidR="00C74472" w:rsidRPr="001E3877">
              <w:rPr>
                <w:i/>
                <w:iCs/>
                <w:sz w:val="22"/>
                <w:szCs w:val="22"/>
              </w:rPr>
              <w:t>patentabilūs</w:t>
            </w:r>
            <w:proofErr w:type="spellEnd"/>
            <w:r w:rsidR="00C74472" w:rsidRPr="001E3877">
              <w:rPr>
                <w:i/>
                <w:iCs/>
                <w:sz w:val="22"/>
                <w:szCs w:val="22"/>
              </w:rPr>
              <w:t xml:space="preserve"> produktai ar paslaugos. Taip pat pagal PFSA yra tinkamos finansuoti veiklos – MTEP projektų vykdymo, kurių metu bus kuriami </w:t>
            </w:r>
            <w:proofErr w:type="spellStart"/>
            <w:r w:rsidR="00C74472" w:rsidRPr="001E3877">
              <w:rPr>
                <w:i/>
                <w:iCs/>
                <w:sz w:val="22"/>
                <w:szCs w:val="22"/>
              </w:rPr>
              <w:t>patentabilūs</w:t>
            </w:r>
            <w:proofErr w:type="spellEnd"/>
            <w:r w:rsidR="00C74472" w:rsidRPr="001E3877">
              <w:rPr>
                <w:i/>
                <w:iCs/>
                <w:sz w:val="22"/>
                <w:szCs w:val="22"/>
              </w:rPr>
              <w:t xml:space="preserve"> produktai ar paslaugos.</w:t>
            </w:r>
          </w:p>
        </w:tc>
      </w:tr>
      <w:tr w:rsidR="00DD4B36" w:rsidRPr="00747A18" w14:paraId="5EFDAB7F" w14:textId="77777777" w:rsidTr="00152C34">
        <w:tc>
          <w:tcPr>
            <w:tcW w:w="567" w:type="dxa"/>
          </w:tcPr>
          <w:p w14:paraId="50ADFAF5" w14:textId="77777777" w:rsidR="00DD4B36" w:rsidRPr="004457AD" w:rsidRDefault="00DD4B36" w:rsidP="00D17AC8">
            <w:pPr>
              <w:jc w:val="center"/>
              <w:rPr>
                <w:b/>
                <w:szCs w:val="24"/>
              </w:rPr>
            </w:pPr>
          </w:p>
        </w:tc>
        <w:tc>
          <w:tcPr>
            <w:tcW w:w="1985" w:type="dxa"/>
          </w:tcPr>
          <w:p w14:paraId="3D817533" w14:textId="77777777" w:rsidR="00DD4B36" w:rsidRDefault="00DD4B36" w:rsidP="00D17AC8">
            <w:pPr>
              <w:rPr>
                <w:b/>
                <w:bCs/>
                <w:szCs w:val="24"/>
                <w:shd w:val="clear" w:color="auto" w:fill="FFFFFF"/>
              </w:rPr>
            </w:pPr>
          </w:p>
        </w:tc>
        <w:tc>
          <w:tcPr>
            <w:tcW w:w="7541" w:type="dxa"/>
          </w:tcPr>
          <w:p w14:paraId="2A7A0A75" w14:textId="02B06EBF" w:rsidR="00DD4B36" w:rsidRPr="006B1398" w:rsidRDefault="00DD4B36" w:rsidP="00D17AC8">
            <w:pPr>
              <w:rPr>
                <w:i/>
                <w:iCs/>
                <w:sz w:val="22"/>
                <w:szCs w:val="22"/>
              </w:rPr>
            </w:pPr>
            <w:r w:rsidRPr="006B1398">
              <w:rPr>
                <w:i/>
                <w:iCs/>
                <w:sz w:val="22"/>
                <w:szCs w:val="22"/>
              </w:rPr>
              <w:t>Siūlome numatyti įrangos įsigijimo išlaidas veikloje „Bendros misijų programos“ partneriams, o nurodytas nusidėvėjimo išlaidas prašome išbraukti.</w:t>
            </w:r>
          </w:p>
        </w:tc>
        <w:tc>
          <w:tcPr>
            <w:tcW w:w="4678" w:type="dxa"/>
          </w:tcPr>
          <w:p w14:paraId="5BCEB3A3" w14:textId="7CF960F5" w:rsidR="00DD4B36" w:rsidRDefault="00C74472" w:rsidP="00D17AC8">
            <w:pPr>
              <w:rPr>
                <w:i/>
                <w:iCs/>
                <w:sz w:val="22"/>
                <w:szCs w:val="22"/>
              </w:rPr>
            </w:pPr>
            <w:r>
              <w:rPr>
                <w:b/>
                <w:bCs/>
                <w:i/>
                <w:iCs/>
                <w:sz w:val="22"/>
                <w:szCs w:val="22"/>
              </w:rPr>
              <w:t xml:space="preserve">Iš dalies </w:t>
            </w:r>
            <w:r w:rsidR="00DD4B36" w:rsidRPr="00415807">
              <w:rPr>
                <w:b/>
                <w:bCs/>
                <w:i/>
                <w:iCs/>
                <w:sz w:val="22"/>
                <w:szCs w:val="22"/>
              </w:rPr>
              <w:t xml:space="preserve">atsižvelgta. </w:t>
            </w:r>
            <w:r>
              <w:rPr>
                <w:i/>
                <w:iCs/>
                <w:sz w:val="22"/>
                <w:szCs w:val="22"/>
              </w:rPr>
              <w:t>PFSA išlaidų grupėje „</w:t>
            </w:r>
            <w:r w:rsidRPr="00C74472">
              <w:rPr>
                <w:i/>
                <w:iCs/>
                <w:sz w:val="22"/>
                <w:szCs w:val="22"/>
              </w:rPr>
              <w:t>Projekto vykdymas (paslaugos ir darbo užmokestis)</w:t>
            </w:r>
            <w:r>
              <w:rPr>
                <w:i/>
                <w:iCs/>
                <w:sz w:val="22"/>
                <w:szCs w:val="22"/>
              </w:rPr>
              <w:t>“  numatyta, kad tinkamos ir:</w:t>
            </w:r>
          </w:p>
          <w:p w14:paraId="09CD9DF3" w14:textId="77777777" w:rsidR="00C74472" w:rsidRDefault="00C74472" w:rsidP="00C74472">
            <w:pPr>
              <w:pStyle w:val="ListParagraph"/>
              <w:numPr>
                <w:ilvl w:val="0"/>
                <w:numId w:val="17"/>
              </w:numPr>
              <w:rPr>
                <w:i/>
                <w:iCs/>
                <w:sz w:val="22"/>
                <w:szCs w:val="22"/>
              </w:rPr>
            </w:pPr>
            <w:r w:rsidRPr="00C74472">
              <w:rPr>
                <w:i/>
                <w:iCs/>
                <w:sz w:val="22"/>
                <w:szCs w:val="22"/>
              </w:rPr>
              <w:t>projekto MTEP veikloms naudojamo turto (įrangos, prietaisų, įrankių, įrenginių, mašinų ir įrengimų pastatų ir (ar) patalpų) nusidėvėjimo sąnaudos, jeigu šiam turtui įsigyti nebuvo naudojamos viešosios (įskaitant ir kitų valstybių) lėšos kai turtas įsigytas iki Projekto veiklų pradžios</w:t>
            </w:r>
            <w:r>
              <w:rPr>
                <w:i/>
                <w:iCs/>
                <w:sz w:val="22"/>
                <w:szCs w:val="22"/>
              </w:rPr>
              <w:t>.</w:t>
            </w:r>
          </w:p>
          <w:p w14:paraId="26EFF7AF" w14:textId="26D09C94" w:rsidR="00C74472" w:rsidRPr="001E3877" w:rsidRDefault="00C74472" w:rsidP="001E3877">
            <w:pPr>
              <w:pStyle w:val="ListParagraph"/>
              <w:numPr>
                <w:ilvl w:val="0"/>
                <w:numId w:val="17"/>
              </w:numPr>
              <w:rPr>
                <w:i/>
                <w:iCs/>
                <w:sz w:val="22"/>
                <w:szCs w:val="22"/>
              </w:rPr>
            </w:pPr>
            <w:r w:rsidRPr="00C74472">
              <w:rPr>
                <w:i/>
                <w:iCs/>
                <w:sz w:val="22"/>
                <w:szCs w:val="22"/>
              </w:rPr>
              <w:t>Ilgalaikio turto įsigijimo ar lizingo (finansinės nuomos) išlaidos (lizingo (finansinės nuomos) laikotarpis negali būti ilgesnis už projekto įgyvendinimo trukmę, tai yra lizingo (finansinės nuomos) būdu įsigytas materialusis turtas iki projekto veiklų įgyvendinimo pabaigos turi tapti projekto veiklą vykdančio subjekto nuosavybe): įrengimai, įranga, prietaisai, įrenginiai ir technologijos; kompiuterinė technika ir programinė įranga (išskyrus esamos programinės įrangos atnaujinimą); tiesiogiai su projekto veiklomis susiję ir (arba) projekto vykdymo pagrindinio ir pagalbinio personalo darbo vietoms aprūpinti būtini baldai; su projekto vykdymo infrastruktūra ar jos panaudojimu susijusių teisių ir paslaugų įsigijimas (patentai, licencijos, laboratorijų akreditacija).</w:t>
            </w:r>
          </w:p>
        </w:tc>
      </w:tr>
      <w:tr w:rsidR="00DD4B36" w:rsidRPr="00747A18" w14:paraId="7F8CAD9B" w14:textId="77777777" w:rsidTr="00152C34">
        <w:tc>
          <w:tcPr>
            <w:tcW w:w="567" w:type="dxa"/>
          </w:tcPr>
          <w:p w14:paraId="78D9C0E6" w14:textId="0ADF9A8D" w:rsidR="00DD4B36" w:rsidRDefault="00DD4B36" w:rsidP="00D17AC8">
            <w:pPr>
              <w:jc w:val="center"/>
              <w:rPr>
                <w:b/>
                <w:szCs w:val="24"/>
                <w:lang w:val="en-US"/>
              </w:rPr>
            </w:pPr>
            <w:r>
              <w:rPr>
                <w:b/>
                <w:szCs w:val="24"/>
                <w:lang w:val="en-US"/>
              </w:rPr>
              <w:t xml:space="preserve">11. </w:t>
            </w:r>
          </w:p>
        </w:tc>
        <w:tc>
          <w:tcPr>
            <w:tcW w:w="1985" w:type="dxa"/>
          </w:tcPr>
          <w:p w14:paraId="54CA2C5E" w14:textId="3F38BC95" w:rsidR="00DD4B36" w:rsidRDefault="00DD4B36" w:rsidP="00D17AC8">
            <w:pPr>
              <w:rPr>
                <w:b/>
                <w:bCs/>
                <w:szCs w:val="24"/>
                <w:shd w:val="clear" w:color="auto" w:fill="FFFFFF"/>
              </w:rPr>
            </w:pPr>
            <w:r>
              <w:rPr>
                <w:b/>
                <w:bCs/>
                <w:szCs w:val="24"/>
                <w:shd w:val="clear" w:color="auto" w:fill="FFFFFF"/>
              </w:rPr>
              <w:t xml:space="preserve">INFOBALT, </w:t>
            </w:r>
            <w:r w:rsidRPr="00412311">
              <w:rPr>
                <w:b/>
                <w:bCs/>
                <w:szCs w:val="24"/>
                <w:shd w:val="clear" w:color="auto" w:fill="FFFFFF"/>
              </w:rPr>
              <w:t>2022-10-31 Nr. 20221031/01</w:t>
            </w:r>
          </w:p>
        </w:tc>
        <w:tc>
          <w:tcPr>
            <w:tcW w:w="7541" w:type="dxa"/>
          </w:tcPr>
          <w:p w14:paraId="7EA78428" w14:textId="77777777" w:rsidR="00DD4B36" w:rsidRPr="006B1398" w:rsidRDefault="00DD4B36" w:rsidP="00D17AC8">
            <w:pPr>
              <w:rPr>
                <w:i/>
                <w:iCs/>
                <w:sz w:val="22"/>
                <w:szCs w:val="22"/>
              </w:rPr>
            </w:pPr>
            <w:r w:rsidRPr="006B1398">
              <w:rPr>
                <w:i/>
                <w:iCs/>
                <w:sz w:val="22"/>
                <w:szCs w:val="22"/>
              </w:rPr>
              <w:t>Apraše nurodoma “Projekte turi būti siekiama visų toliau išvardintų stebėsenos rodiklių”.</w:t>
            </w:r>
          </w:p>
          <w:p w14:paraId="7B85DF2D" w14:textId="77777777" w:rsidR="00DD4B36" w:rsidRPr="006B1398" w:rsidRDefault="00DD4B36" w:rsidP="00D17AC8">
            <w:pPr>
              <w:rPr>
                <w:i/>
                <w:iCs/>
                <w:sz w:val="22"/>
                <w:szCs w:val="22"/>
              </w:rPr>
            </w:pPr>
            <w:r w:rsidRPr="006B1398">
              <w:rPr>
                <w:i/>
                <w:iCs/>
                <w:sz w:val="22"/>
                <w:szCs w:val="22"/>
              </w:rPr>
              <w:t xml:space="preserve">Prašome patikslinti, ar visi rodikliai vienodomis proporcijomis bus paskirstyti tarp Misijų? Kai kurie rodikliai, pavyzdžiui, sukurti prototipai, gyvybingų (generuojamos pajamos, pritrauktos investicijos ar pan.) </w:t>
            </w:r>
            <w:proofErr w:type="spellStart"/>
            <w:r w:rsidRPr="006B1398">
              <w:rPr>
                <w:i/>
                <w:iCs/>
                <w:sz w:val="22"/>
                <w:szCs w:val="22"/>
              </w:rPr>
              <w:t>atžalinių</w:t>
            </w:r>
            <w:proofErr w:type="spellEnd"/>
            <w:r w:rsidRPr="006B1398">
              <w:rPr>
                <w:i/>
                <w:iCs/>
                <w:sz w:val="22"/>
                <w:szCs w:val="22"/>
              </w:rPr>
              <w:t xml:space="preserve"> įmonių /</w:t>
            </w:r>
            <w:proofErr w:type="spellStart"/>
            <w:r w:rsidRPr="006B1398">
              <w:rPr>
                <w:i/>
                <w:iCs/>
                <w:sz w:val="22"/>
                <w:szCs w:val="22"/>
              </w:rPr>
              <w:t>startuolių</w:t>
            </w:r>
            <w:proofErr w:type="spellEnd"/>
            <w:r w:rsidRPr="006B1398">
              <w:rPr>
                <w:i/>
                <w:iCs/>
                <w:sz w:val="22"/>
                <w:szCs w:val="22"/>
              </w:rPr>
              <w:t xml:space="preserve"> skaičius, yra matuojami vienetais, tačiau jų kiekis nesidalina iš trijų. Kaip jie bus paskirstyti tarp misijų?</w:t>
            </w:r>
          </w:p>
          <w:p w14:paraId="6B14F2E1" w14:textId="59CFA9DF" w:rsidR="00DD4B36" w:rsidRPr="006B1398" w:rsidRDefault="00DD4B36" w:rsidP="00D17AC8">
            <w:pPr>
              <w:rPr>
                <w:i/>
                <w:iCs/>
                <w:sz w:val="22"/>
                <w:szCs w:val="22"/>
              </w:rPr>
            </w:pPr>
            <w:r w:rsidRPr="006B1398">
              <w:rPr>
                <w:i/>
                <w:iCs/>
                <w:sz w:val="22"/>
                <w:szCs w:val="22"/>
              </w:rPr>
              <w:lastRenderedPageBreak/>
              <w:t xml:space="preserve">Taip pat atkreiptinas dėmesys, kad numatoma įgyvendinti bent 21 Projektą (bent po 7 vnt. per Misiją), tačiau gyvybingų </w:t>
            </w:r>
            <w:proofErr w:type="spellStart"/>
            <w:r w:rsidRPr="006B1398">
              <w:rPr>
                <w:i/>
                <w:iCs/>
                <w:sz w:val="22"/>
                <w:szCs w:val="22"/>
              </w:rPr>
              <w:t>atžalinių</w:t>
            </w:r>
            <w:proofErr w:type="spellEnd"/>
            <w:r w:rsidRPr="006B1398">
              <w:rPr>
                <w:i/>
                <w:iCs/>
                <w:sz w:val="22"/>
                <w:szCs w:val="22"/>
              </w:rPr>
              <w:t xml:space="preserve"> įmonių, sukurtų prototipų, sukurtų unikalių produktų siektinos reikšmės yra skirtingos. Kaip šie rodikliai bus paskirstyti per Konsorciumus?</w:t>
            </w:r>
          </w:p>
        </w:tc>
        <w:tc>
          <w:tcPr>
            <w:tcW w:w="4678" w:type="dxa"/>
          </w:tcPr>
          <w:p w14:paraId="1DB68EB0" w14:textId="4AA1354D" w:rsidR="00DD4B36" w:rsidRPr="00415807" w:rsidRDefault="00DD4B36" w:rsidP="00D17AC8">
            <w:pPr>
              <w:rPr>
                <w:b/>
                <w:bCs/>
                <w:i/>
                <w:iCs/>
                <w:sz w:val="22"/>
                <w:szCs w:val="22"/>
              </w:rPr>
            </w:pPr>
            <w:r w:rsidRPr="00415807">
              <w:rPr>
                <w:b/>
                <w:bCs/>
                <w:i/>
                <w:iCs/>
                <w:sz w:val="22"/>
                <w:szCs w:val="22"/>
              </w:rPr>
              <w:lastRenderedPageBreak/>
              <w:t>Iš dalies atsižvelgta.</w:t>
            </w:r>
            <w:r w:rsidRPr="00415807">
              <w:rPr>
                <w:i/>
                <w:iCs/>
                <w:sz w:val="22"/>
                <w:szCs w:val="22"/>
              </w:rPr>
              <w:t xml:space="preserve"> IA rengiamose Konsorciumo atrankos taisyklėse </w:t>
            </w:r>
            <w:r w:rsidR="0020193F">
              <w:rPr>
                <w:i/>
                <w:iCs/>
                <w:sz w:val="22"/>
                <w:szCs w:val="22"/>
              </w:rPr>
              <w:t>bus</w:t>
            </w:r>
            <w:r w:rsidRPr="00415807">
              <w:rPr>
                <w:i/>
                <w:iCs/>
                <w:sz w:val="22"/>
                <w:szCs w:val="22"/>
              </w:rPr>
              <w:t xml:space="preserve"> numatyt</w:t>
            </w:r>
            <w:r w:rsidR="0020193F">
              <w:rPr>
                <w:i/>
                <w:iCs/>
                <w:sz w:val="22"/>
                <w:szCs w:val="22"/>
              </w:rPr>
              <w:t>i</w:t>
            </w:r>
            <w:r w:rsidRPr="00415807">
              <w:rPr>
                <w:i/>
                <w:iCs/>
                <w:sz w:val="22"/>
                <w:szCs w:val="22"/>
              </w:rPr>
              <w:t xml:space="preserve"> reikalavimai Konsorciumo partneriams. Konsorciumo atrankos taisyklės bus pristatomos iškart po PFSA patvirtinimo.</w:t>
            </w:r>
          </w:p>
        </w:tc>
      </w:tr>
      <w:tr w:rsidR="00DD4B36" w:rsidRPr="00747A18" w14:paraId="3CA83020" w14:textId="77777777" w:rsidTr="008C32CC">
        <w:trPr>
          <w:trHeight w:val="2334"/>
        </w:trPr>
        <w:tc>
          <w:tcPr>
            <w:tcW w:w="567" w:type="dxa"/>
          </w:tcPr>
          <w:p w14:paraId="3BBC889D" w14:textId="65BC952B" w:rsidR="00DD4B36" w:rsidRPr="001E3877" w:rsidRDefault="00DD4B36" w:rsidP="00D17AC8">
            <w:pPr>
              <w:jc w:val="center"/>
              <w:rPr>
                <w:b/>
                <w:szCs w:val="24"/>
              </w:rPr>
            </w:pPr>
          </w:p>
        </w:tc>
        <w:tc>
          <w:tcPr>
            <w:tcW w:w="1985" w:type="dxa"/>
          </w:tcPr>
          <w:p w14:paraId="4AD1C008" w14:textId="0EB3856A" w:rsidR="00DD4B36" w:rsidRDefault="00DD4B36" w:rsidP="00D17AC8">
            <w:pPr>
              <w:rPr>
                <w:b/>
                <w:bCs/>
                <w:szCs w:val="24"/>
                <w:shd w:val="clear" w:color="auto" w:fill="FFFFFF"/>
              </w:rPr>
            </w:pPr>
          </w:p>
        </w:tc>
        <w:tc>
          <w:tcPr>
            <w:tcW w:w="7541" w:type="dxa"/>
          </w:tcPr>
          <w:p w14:paraId="6BC0DA4E" w14:textId="706CA614" w:rsidR="00DD4B36" w:rsidRPr="006B1398" w:rsidRDefault="00DD4B36" w:rsidP="00D17AC8">
            <w:pPr>
              <w:rPr>
                <w:i/>
                <w:iCs/>
                <w:sz w:val="22"/>
                <w:szCs w:val="22"/>
              </w:rPr>
            </w:pPr>
            <w:r w:rsidRPr="006B1398">
              <w:rPr>
                <w:i/>
                <w:iCs/>
                <w:sz w:val="22"/>
                <w:szCs w:val="22"/>
              </w:rPr>
              <w:t>Atsižvelgiant į tai, kad „realiems“, bent 7-iems Projektams įgyvendinti lieka iki 7 mln. Eur per Misiją, neįskaitant „nuosavų lėšų“ Konsorciumo narių lėšų. Tokiu atveju būtų planuotini mažesnės apimties Projektai, todėl, siekiant įgyvendinti didesnės apimties Projektus siūlome mažinti Projektų skaičių bent iki 5 per Misiją. Taip pat, atkreiptinas dėmesys, kad įgyvendinant MTEP veiklą, dalis projektų būna nesėkmingi, todėl tikėtina būtina numatyti galimą nesėkmingų Projektų procentą.</w:t>
            </w:r>
          </w:p>
        </w:tc>
        <w:tc>
          <w:tcPr>
            <w:tcW w:w="4678" w:type="dxa"/>
          </w:tcPr>
          <w:p w14:paraId="6083D5A6" w14:textId="614F738F" w:rsidR="00DD4B36" w:rsidRPr="00415807" w:rsidRDefault="00DD4B36" w:rsidP="00D17AC8">
            <w:pPr>
              <w:rPr>
                <w:b/>
                <w:bCs/>
                <w:i/>
                <w:iCs/>
                <w:sz w:val="22"/>
                <w:szCs w:val="22"/>
              </w:rPr>
            </w:pPr>
            <w:r w:rsidRPr="00415807">
              <w:rPr>
                <w:b/>
                <w:bCs/>
                <w:i/>
                <w:iCs/>
                <w:sz w:val="22"/>
                <w:szCs w:val="22"/>
              </w:rPr>
              <w:t xml:space="preserve">Neatsižvelgta. </w:t>
            </w:r>
            <w:r w:rsidRPr="00415807">
              <w:rPr>
                <w:i/>
                <w:iCs/>
                <w:sz w:val="22"/>
                <w:szCs w:val="22"/>
              </w:rPr>
              <w:t>RRF yra numatyta, kad turi būti numatyt</w:t>
            </w:r>
            <w:r w:rsidR="0020193F">
              <w:rPr>
                <w:i/>
                <w:iCs/>
                <w:sz w:val="22"/>
                <w:szCs w:val="22"/>
              </w:rPr>
              <w:t>as</w:t>
            </w:r>
            <w:r w:rsidRPr="00415807">
              <w:rPr>
                <w:i/>
                <w:iCs/>
                <w:sz w:val="22"/>
                <w:szCs w:val="22"/>
              </w:rPr>
              <w:t xml:space="preserve"> </w:t>
            </w:r>
            <w:r w:rsidRPr="001F4333">
              <w:rPr>
                <w:i/>
                <w:iCs/>
                <w:sz w:val="22"/>
                <w:szCs w:val="22"/>
              </w:rPr>
              <w:t>21</w:t>
            </w:r>
            <w:r w:rsidRPr="00415807">
              <w:rPr>
                <w:i/>
                <w:iCs/>
                <w:sz w:val="22"/>
                <w:szCs w:val="22"/>
              </w:rPr>
              <w:t xml:space="preserve"> MTEP projektas,  už šį rodiklį atsiskaitysime Europos Komisijai. Pagal šį kriterijų kiekvienoje iš misijomis grįstų mokslo ir inovacijų programų turime turėti ne mažiau nei </w:t>
            </w:r>
            <w:r w:rsidRPr="001F4333">
              <w:rPr>
                <w:i/>
                <w:iCs/>
                <w:sz w:val="22"/>
                <w:szCs w:val="22"/>
              </w:rPr>
              <w:t xml:space="preserve">7 </w:t>
            </w:r>
            <w:r w:rsidRPr="00415807">
              <w:rPr>
                <w:i/>
                <w:iCs/>
                <w:sz w:val="22"/>
                <w:szCs w:val="22"/>
              </w:rPr>
              <w:t>MTEP projektus, MTEP projektų dydis nėra ribojamas.</w:t>
            </w:r>
          </w:p>
        </w:tc>
      </w:tr>
      <w:tr w:rsidR="00DD4B36" w:rsidRPr="00747A18" w14:paraId="2A2F149C" w14:textId="77777777" w:rsidTr="00152C34">
        <w:tc>
          <w:tcPr>
            <w:tcW w:w="567" w:type="dxa"/>
          </w:tcPr>
          <w:p w14:paraId="5755D3DB" w14:textId="494917D7" w:rsidR="00DD4B36" w:rsidRPr="004457AD" w:rsidRDefault="00DD4B36" w:rsidP="00D17AC8">
            <w:pPr>
              <w:jc w:val="center"/>
              <w:rPr>
                <w:b/>
                <w:szCs w:val="24"/>
              </w:rPr>
            </w:pPr>
          </w:p>
        </w:tc>
        <w:tc>
          <w:tcPr>
            <w:tcW w:w="1985" w:type="dxa"/>
          </w:tcPr>
          <w:p w14:paraId="12AD6309" w14:textId="1424611C" w:rsidR="00DD4B36" w:rsidRDefault="00DD4B36" w:rsidP="00D17AC8">
            <w:pPr>
              <w:rPr>
                <w:b/>
                <w:bCs/>
                <w:szCs w:val="24"/>
                <w:shd w:val="clear" w:color="auto" w:fill="FFFFFF"/>
              </w:rPr>
            </w:pPr>
          </w:p>
        </w:tc>
        <w:tc>
          <w:tcPr>
            <w:tcW w:w="7541" w:type="dxa"/>
          </w:tcPr>
          <w:p w14:paraId="1C9B17C4" w14:textId="77777777" w:rsidR="00DD4B36" w:rsidRPr="006B1398" w:rsidRDefault="00DD4B36" w:rsidP="00D17AC8">
            <w:pPr>
              <w:pStyle w:val="Default"/>
              <w:rPr>
                <w:i/>
                <w:iCs/>
                <w:sz w:val="22"/>
                <w:szCs w:val="22"/>
              </w:rPr>
            </w:pPr>
            <w:r w:rsidRPr="006B1398">
              <w:rPr>
                <w:i/>
                <w:iCs/>
                <w:sz w:val="22"/>
                <w:szCs w:val="22"/>
              </w:rPr>
              <w:t>ITR kompetencijų centro rodiklių kortelės 9 p. nurodyta, kad “Kompetencijų centras – viešoji MTEPI infrastruktūra, sutelkta ne daugiau kaip dviejose fizinėse vietose &lt;...&gt;”. Ši nuostata gali riboti galimybes įgyvendinti kompleksinį kompetencijų centrą, jei konsorciume dalyvauja daugiau nei dvi MSI. Toliau šiame punkte pateikiami kompetencijų centro veiklos pavyzdžiai, kurie patvirtina gana plačią kompetencijų centro veiklos galimybę (</w:t>
            </w:r>
            <w:proofErr w:type="spellStart"/>
            <w:r w:rsidRPr="006B1398">
              <w:rPr>
                <w:i/>
                <w:iCs/>
                <w:sz w:val="22"/>
                <w:szCs w:val="22"/>
              </w:rPr>
              <w:t>startuolių</w:t>
            </w:r>
            <w:proofErr w:type="spellEnd"/>
            <w:r w:rsidRPr="006B1398">
              <w:rPr>
                <w:i/>
                <w:iCs/>
                <w:sz w:val="22"/>
                <w:szCs w:val="22"/>
              </w:rPr>
              <w:t xml:space="preserve"> inkubatoriai, inovacijų konsultacinės paslaugos ir pan.). Manome, kad kompetencijų centro fizinių vietų skaičius turėtų būti leidžiamas ir didesnis nei 2, jei dėl to susitaria Konsorciumo nariai. </w:t>
            </w:r>
          </w:p>
          <w:p w14:paraId="20BD0805" w14:textId="04EB8EA7" w:rsidR="00DD4B36" w:rsidRPr="006B1398" w:rsidRDefault="00DD4B36" w:rsidP="00D17AC8">
            <w:pPr>
              <w:rPr>
                <w:i/>
                <w:iCs/>
                <w:sz w:val="22"/>
                <w:szCs w:val="22"/>
                <w:highlight w:val="green"/>
              </w:rPr>
            </w:pPr>
            <w:r w:rsidRPr="006B1398">
              <w:rPr>
                <w:b/>
                <w:bCs/>
                <w:i/>
                <w:iCs/>
                <w:sz w:val="22"/>
                <w:szCs w:val="22"/>
              </w:rPr>
              <w:t>PRAŠYMAS</w:t>
            </w:r>
            <w:r w:rsidRPr="006B1398">
              <w:rPr>
                <w:i/>
                <w:iCs/>
                <w:sz w:val="22"/>
                <w:szCs w:val="22"/>
              </w:rPr>
              <w:t>: panaikinti ribojimą MTEPI infrastruktūrą sutelkti ne daugiau kaip dviejose fizinėse vietose ir palikti galimybę Konsorciumų nariams patiems identifikuoti kiek fizinių vietų numatyti.</w:t>
            </w:r>
          </w:p>
        </w:tc>
        <w:tc>
          <w:tcPr>
            <w:tcW w:w="4678" w:type="dxa"/>
          </w:tcPr>
          <w:p w14:paraId="467F2062" w14:textId="4BA31BE5" w:rsidR="00DD4B36" w:rsidRPr="00415807" w:rsidRDefault="00DD4B36" w:rsidP="00D17AC8">
            <w:pPr>
              <w:rPr>
                <w:b/>
                <w:bCs/>
                <w:i/>
                <w:iCs/>
                <w:sz w:val="22"/>
                <w:szCs w:val="22"/>
              </w:rPr>
            </w:pPr>
            <w:r w:rsidRPr="00415807">
              <w:rPr>
                <w:b/>
                <w:bCs/>
                <w:i/>
                <w:iCs/>
                <w:sz w:val="22"/>
                <w:szCs w:val="22"/>
              </w:rPr>
              <w:t xml:space="preserve">Neatsižvelgta. </w:t>
            </w:r>
            <w:r w:rsidRPr="00415807">
              <w:rPr>
                <w:i/>
                <w:iCs/>
                <w:sz w:val="22"/>
                <w:szCs w:val="22"/>
              </w:rPr>
              <w:t xml:space="preserve">Kompetencijų centras suprantamas kaip viešoji MTEPI infrastruktūra, sutelkta ne daugiau kaip dviejose fizinėse vietose. Ši sąvoka yra apibrėžta tik šio aprašo ribose, kadangi numatyta 9.1. veikla yra </w:t>
            </w:r>
            <w:proofErr w:type="spellStart"/>
            <w:r w:rsidRPr="00415807">
              <w:rPr>
                <w:i/>
                <w:iCs/>
                <w:sz w:val="22"/>
                <w:szCs w:val="22"/>
              </w:rPr>
              <w:t>Kompetecijų</w:t>
            </w:r>
            <w:proofErr w:type="spellEnd"/>
            <w:r w:rsidRPr="00415807">
              <w:rPr>
                <w:i/>
                <w:iCs/>
                <w:sz w:val="22"/>
                <w:szCs w:val="22"/>
              </w:rPr>
              <w:t xml:space="preserve"> centro įsteigimas, tai ši sąvoka apibrėžta veikl</w:t>
            </w:r>
            <w:r w:rsidR="0020193F">
              <w:rPr>
                <w:i/>
                <w:iCs/>
                <w:sz w:val="22"/>
                <w:szCs w:val="22"/>
              </w:rPr>
              <w:t>os</w:t>
            </w:r>
            <w:r w:rsidRPr="00415807">
              <w:rPr>
                <w:i/>
                <w:iCs/>
                <w:sz w:val="22"/>
                <w:szCs w:val="22"/>
              </w:rPr>
              <w:t xml:space="preserve"> </w:t>
            </w:r>
            <w:proofErr w:type="spellStart"/>
            <w:r w:rsidRPr="00415807">
              <w:rPr>
                <w:i/>
                <w:iCs/>
                <w:sz w:val="22"/>
                <w:szCs w:val="22"/>
              </w:rPr>
              <w:t>aprėtyje</w:t>
            </w:r>
            <w:proofErr w:type="spellEnd"/>
            <w:r w:rsidRPr="00415807">
              <w:rPr>
                <w:i/>
                <w:iCs/>
                <w:sz w:val="22"/>
                <w:szCs w:val="22"/>
              </w:rPr>
              <w:t xml:space="preserve"> ir taikoma tik šiam PFSA.</w:t>
            </w:r>
          </w:p>
          <w:p w14:paraId="0EE960B1" w14:textId="0D208550" w:rsidR="00DD4B36" w:rsidRPr="00415807" w:rsidRDefault="00DD4B36" w:rsidP="00D17AC8">
            <w:pPr>
              <w:rPr>
                <w:b/>
                <w:bCs/>
                <w:i/>
                <w:iCs/>
                <w:sz w:val="22"/>
                <w:szCs w:val="22"/>
              </w:rPr>
            </w:pPr>
          </w:p>
        </w:tc>
      </w:tr>
      <w:tr w:rsidR="00E047F6" w:rsidRPr="00747A18" w14:paraId="46C83377" w14:textId="77777777" w:rsidTr="00152C34">
        <w:tc>
          <w:tcPr>
            <w:tcW w:w="567" w:type="dxa"/>
          </w:tcPr>
          <w:p w14:paraId="700C53A3" w14:textId="31846C7B" w:rsidR="00E047F6" w:rsidRPr="004457AD" w:rsidRDefault="00E047F6" w:rsidP="00E047F6">
            <w:pPr>
              <w:jc w:val="center"/>
              <w:rPr>
                <w:b/>
                <w:szCs w:val="24"/>
              </w:rPr>
            </w:pPr>
          </w:p>
        </w:tc>
        <w:tc>
          <w:tcPr>
            <w:tcW w:w="1985" w:type="dxa"/>
          </w:tcPr>
          <w:p w14:paraId="23F17912" w14:textId="40427550" w:rsidR="00E047F6" w:rsidRDefault="00E047F6" w:rsidP="00E047F6">
            <w:pPr>
              <w:rPr>
                <w:b/>
                <w:bCs/>
                <w:szCs w:val="24"/>
                <w:shd w:val="clear" w:color="auto" w:fill="FFFFFF"/>
              </w:rPr>
            </w:pPr>
          </w:p>
        </w:tc>
        <w:tc>
          <w:tcPr>
            <w:tcW w:w="7541" w:type="dxa"/>
          </w:tcPr>
          <w:p w14:paraId="01BE6DE7" w14:textId="58781CA7" w:rsidR="00E047F6" w:rsidRPr="006B1398" w:rsidRDefault="00E047F6" w:rsidP="00E047F6">
            <w:pPr>
              <w:rPr>
                <w:i/>
                <w:iCs/>
                <w:sz w:val="22"/>
                <w:szCs w:val="22"/>
                <w:highlight w:val="green"/>
              </w:rPr>
            </w:pPr>
            <w:r w:rsidRPr="006B1398">
              <w:rPr>
                <w:i/>
                <w:iCs/>
                <w:sz w:val="22"/>
                <w:szCs w:val="22"/>
              </w:rPr>
              <w:t>Siekiant palikti daugiau laisvės Konsorciumo nariams nuspręsti kaip įgyvendinti Misiją, siūlome nenustatyti iš anksto kiek išlaidų turi sudaryti išlaidos įmonėms ir MSI. Būtų logiška, kad Konsorciumo nariai tarpusavyje apsispręstų kokią veiklos apimtį pasiskirstys.</w:t>
            </w:r>
          </w:p>
        </w:tc>
        <w:tc>
          <w:tcPr>
            <w:tcW w:w="4678" w:type="dxa"/>
          </w:tcPr>
          <w:p w14:paraId="018AD98A" w14:textId="26732DF5" w:rsidR="00E047F6" w:rsidRPr="00415807" w:rsidRDefault="00E047F6" w:rsidP="00E047F6">
            <w:pPr>
              <w:rPr>
                <w:b/>
                <w:bCs/>
                <w:i/>
                <w:iCs/>
                <w:sz w:val="22"/>
                <w:szCs w:val="22"/>
              </w:rPr>
            </w:pPr>
            <w:r w:rsidRPr="00415807">
              <w:rPr>
                <w:b/>
                <w:bCs/>
                <w:i/>
                <w:iCs/>
                <w:sz w:val="22"/>
                <w:szCs w:val="22"/>
              </w:rPr>
              <w:t>Iš dalies atsižvelgta.</w:t>
            </w:r>
            <w:r w:rsidRPr="00415807">
              <w:rPr>
                <w:i/>
                <w:iCs/>
                <w:sz w:val="22"/>
                <w:szCs w:val="22"/>
              </w:rPr>
              <w:t xml:space="preserve"> RRF numatyta, kad  Konsorciumui reikalinga infrastruktūra įvertinama ir, priklausomai nuo konsorciumo poreikių ir infrastruktūros universalumo, pateikiama konsorciumui (planuojama – mokslo ir studijų institucijai ar mokslo ir technologijų parkui, bet ne privataus sektoriaus subjektui), siekiant užtikrinti atviros prieigos prie infrastruktūros principą, arba Inovacijų agentūrai. Kadangi „Įranga, įrenginiai ir kitas turtas“ turi būti valdoma atviros prieigos principu, Misijomis grįstų mokslo ir inovacijų programų projekto </w:t>
            </w:r>
            <w:r w:rsidRPr="00415807">
              <w:rPr>
                <w:i/>
                <w:iCs/>
                <w:sz w:val="22"/>
                <w:szCs w:val="22"/>
              </w:rPr>
              <w:lastRenderedPageBreak/>
              <w:t xml:space="preserve">finansinių sąlygų apraše (toliau – PFSA) nustatome, kad lėšų dalis įmonėms išlaidų grupėje „Įranga, įrenginiai ir kitas turtas“, gali sudaryti iki 5 proc., šį procentą didiname iki </w:t>
            </w:r>
            <w:r w:rsidRPr="001F4333">
              <w:rPr>
                <w:i/>
                <w:iCs/>
                <w:sz w:val="22"/>
                <w:szCs w:val="22"/>
              </w:rPr>
              <w:t>10 proc.</w:t>
            </w:r>
          </w:p>
        </w:tc>
      </w:tr>
      <w:tr w:rsidR="00E047F6" w:rsidRPr="00747A18" w14:paraId="60297381" w14:textId="77777777" w:rsidTr="00152C34">
        <w:tc>
          <w:tcPr>
            <w:tcW w:w="567" w:type="dxa"/>
          </w:tcPr>
          <w:p w14:paraId="2FB80C92" w14:textId="0F130A7B" w:rsidR="00E047F6" w:rsidRPr="001F4333" w:rsidRDefault="00E047F6" w:rsidP="00E047F6">
            <w:pPr>
              <w:jc w:val="center"/>
              <w:rPr>
                <w:b/>
                <w:szCs w:val="24"/>
              </w:rPr>
            </w:pPr>
          </w:p>
        </w:tc>
        <w:tc>
          <w:tcPr>
            <w:tcW w:w="1985" w:type="dxa"/>
          </w:tcPr>
          <w:p w14:paraId="42C70439" w14:textId="6885B76B" w:rsidR="00E047F6" w:rsidRDefault="00E047F6" w:rsidP="00E047F6">
            <w:pPr>
              <w:rPr>
                <w:b/>
                <w:bCs/>
                <w:szCs w:val="24"/>
                <w:shd w:val="clear" w:color="auto" w:fill="FFFFFF"/>
              </w:rPr>
            </w:pPr>
          </w:p>
        </w:tc>
        <w:tc>
          <w:tcPr>
            <w:tcW w:w="7541" w:type="dxa"/>
          </w:tcPr>
          <w:p w14:paraId="67F9C79C" w14:textId="5ECFE802" w:rsidR="00E047F6" w:rsidRPr="006B1398" w:rsidRDefault="00E047F6" w:rsidP="00E047F6">
            <w:pPr>
              <w:rPr>
                <w:i/>
                <w:iCs/>
                <w:sz w:val="22"/>
                <w:szCs w:val="22"/>
              </w:rPr>
            </w:pPr>
            <w:r w:rsidRPr="006B1398">
              <w:rPr>
                <w:i/>
                <w:iCs/>
                <w:sz w:val="22"/>
                <w:szCs w:val="22"/>
              </w:rPr>
              <w:t>Siekiant užtikrinti konkurenciją, siūlome numatyti, kad reikalavimai įmonėms turėtų būti ne daugiau kaip 5 mln. apyvartos. Taip pat rekomenduojame numatyti, kad 3 MTEP projektų patirtis, apimtų ir šiuo metu įgyvendinamus projektus (ne tik pasibaigusius).</w:t>
            </w:r>
          </w:p>
        </w:tc>
        <w:tc>
          <w:tcPr>
            <w:tcW w:w="4678" w:type="dxa"/>
          </w:tcPr>
          <w:p w14:paraId="746BA1C2" w14:textId="5C49BC35" w:rsidR="00E047F6" w:rsidRPr="00415807" w:rsidRDefault="00E047F6" w:rsidP="00E047F6">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w:t>
            </w:r>
            <w:r w:rsidR="0020193F">
              <w:rPr>
                <w:i/>
                <w:iCs/>
                <w:sz w:val="22"/>
                <w:szCs w:val="22"/>
              </w:rPr>
              <w:t>bus</w:t>
            </w:r>
            <w:r w:rsidR="0020193F" w:rsidRPr="00415807">
              <w:rPr>
                <w:i/>
                <w:iCs/>
                <w:sz w:val="22"/>
                <w:szCs w:val="22"/>
              </w:rPr>
              <w:t xml:space="preserve"> </w:t>
            </w:r>
            <w:r w:rsidRPr="00415807">
              <w:rPr>
                <w:i/>
                <w:iCs/>
                <w:sz w:val="22"/>
                <w:szCs w:val="22"/>
              </w:rPr>
              <w:t>numatyt</w:t>
            </w:r>
            <w:r w:rsidR="0020193F">
              <w:rPr>
                <w:i/>
                <w:iCs/>
                <w:sz w:val="22"/>
                <w:szCs w:val="22"/>
              </w:rPr>
              <w:t>i</w:t>
            </w:r>
            <w:r w:rsidRPr="00415807">
              <w:rPr>
                <w:i/>
                <w:iCs/>
                <w:sz w:val="22"/>
                <w:szCs w:val="22"/>
              </w:rPr>
              <w:t xml:space="preserve"> reikalavimai Konsorciumo partneriams. Konsorciumo atrankos taisyklės bus pristatomos iškart po PFSA patvirtinimo.</w:t>
            </w:r>
          </w:p>
        </w:tc>
      </w:tr>
      <w:tr w:rsidR="00E047F6" w:rsidRPr="00747A18" w14:paraId="07F88011" w14:textId="77777777" w:rsidTr="00152C34">
        <w:tc>
          <w:tcPr>
            <w:tcW w:w="567" w:type="dxa"/>
          </w:tcPr>
          <w:p w14:paraId="2C9BB97A" w14:textId="621417B1" w:rsidR="00E047F6" w:rsidRPr="004457AD" w:rsidRDefault="00E047F6" w:rsidP="00E047F6">
            <w:pPr>
              <w:jc w:val="center"/>
              <w:rPr>
                <w:b/>
                <w:szCs w:val="24"/>
              </w:rPr>
            </w:pPr>
          </w:p>
        </w:tc>
        <w:tc>
          <w:tcPr>
            <w:tcW w:w="1985" w:type="dxa"/>
          </w:tcPr>
          <w:p w14:paraId="6D275A74" w14:textId="37DDBBF7" w:rsidR="00E047F6" w:rsidRDefault="00E047F6" w:rsidP="00E047F6">
            <w:pPr>
              <w:rPr>
                <w:b/>
                <w:bCs/>
                <w:szCs w:val="24"/>
                <w:shd w:val="clear" w:color="auto" w:fill="FFFFFF"/>
              </w:rPr>
            </w:pPr>
          </w:p>
        </w:tc>
        <w:tc>
          <w:tcPr>
            <w:tcW w:w="7541" w:type="dxa"/>
          </w:tcPr>
          <w:p w14:paraId="7E3C570A" w14:textId="77777777" w:rsidR="00E047F6" w:rsidRPr="006B1398" w:rsidRDefault="00E047F6" w:rsidP="00E047F6">
            <w:pPr>
              <w:pStyle w:val="Default"/>
              <w:rPr>
                <w:i/>
                <w:iCs/>
                <w:sz w:val="22"/>
                <w:szCs w:val="22"/>
              </w:rPr>
            </w:pPr>
            <w:r w:rsidRPr="006B1398">
              <w:rPr>
                <w:i/>
                <w:iCs/>
                <w:sz w:val="22"/>
                <w:szCs w:val="22"/>
              </w:rPr>
              <w:t xml:space="preserve">Siūlome papildyti misijos temai "Saugi ir įtrauki </w:t>
            </w:r>
            <w:proofErr w:type="spellStart"/>
            <w:r w:rsidRPr="006B1398">
              <w:rPr>
                <w:i/>
                <w:iCs/>
                <w:sz w:val="22"/>
                <w:szCs w:val="22"/>
              </w:rPr>
              <w:t>e.visuomenė</w:t>
            </w:r>
            <w:proofErr w:type="spellEnd"/>
            <w:r w:rsidRPr="006B1398">
              <w:rPr>
                <w:i/>
                <w:iCs/>
                <w:sz w:val="22"/>
                <w:szCs w:val="22"/>
              </w:rPr>
              <w:t>" keliamus tikslus ir siektinus rezultatus NPP rodikliais, kurie tiksliau atspindėtų misijai keliamus tikslus - įgyvendinti plataus užmojo, įkvepiantį ir išmatuojamą tikslą, darantį poveikį šalies ekonomikai, visuomenei ir politikos formavimui, apimanti investicijas į kompetencijų centrus ir bendras misijų programas, bei nesiaurintų temos krypčių, pavyzdžiui, pridėti šiuos:</w:t>
            </w:r>
          </w:p>
          <w:p w14:paraId="19C60BE1" w14:textId="6BE41DFB" w:rsidR="00E047F6" w:rsidRPr="006B1398" w:rsidRDefault="00E047F6" w:rsidP="00E047F6">
            <w:pPr>
              <w:rPr>
                <w:i/>
                <w:iCs/>
                <w:sz w:val="22"/>
                <w:szCs w:val="22"/>
              </w:rPr>
            </w:pPr>
            <w:r w:rsidRPr="006B1398">
              <w:rPr>
                <w:i/>
                <w:iCs/>
                <w:sz w:val="22"/>
                <w:szCs w:val="22"/>
              </w:rPr>
              <w:t xml:space="preserve">NPP 1.2. "Lietuvos vieta pagal Pasaulinį inovacijų indeksą „Global </w:t>
            </w:r>
            <w:proofErr w:type="spellStart"/>
            <w:r w:rsidRPr="006B1398">
              <w:rPr>
                <w:i/>
                <w:iCs/>
                <w:sz w:val="22"/>
                <w:szCs w:val="22"/>
              </w:rPr>
              <w:t>Innovation</w:t>
            </w:r>
            <w:proofErr w:type="spellEnd"/>
            <w:r w:rsidRPr="006B1398">
              <w:rPr>
                <w:i/>
                <w:iCs/>
                <w:sz w:val="22"/>
                <w:szCs w:val="22"/>
              </w:rPr>
              <w:t xml:space="preserve"> </w:t>
            </w:r>
            <w:proofErr w:type="spellStart"/>
            <w:r w:rsidRPr="006B1398">
              <w:rPr>
                <w:i/>
                <w:iCs/>
                <w:sz w:val="22"/>
                <w:szCs w:val="22"/>
              </w:rPr>
              <w:t>Index</w:t>
            </w:r>
            <w:proofErr w:type="spellEnd"/>
            <w:r w:rsidRPr="006B1398">
              <w:rPr>
                <w:i/>
                <w:iCs/>
                <w:sz w:val="22"/>
                <w:szCs w:val="22"/>
              </w:rPr>
              <w:t>“"; NPP 1.7.1. "Skaitmeninės ekonomikos ir visuomenės indeksas (DESI)".</w:t>
            </w:r>
          </w:p>
        </w:tc>
        <w:tc>
          <w:tcPr>
            <w:tcW w:w="4678" w:type="dxa"/>
          </w:tcPr>
          <w:p w14:paraId="5DC27467" w14:textId="2A291D09" w:rsidR="00E047F6" w:rsidRPr="00415807" w:rsidRDefault="00E047F6" w:rsidP="00E047F6">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w:t>
            </w:r>
            <w:r w:rsidR="0020193F">
              <w:rPr>
                <w:i/>
                <w:iCs/>
                <w:sz w:val="22"/>
                <w:szCs w:val="22"/>
              </w:rPr>
              <w:t>bus</w:t>
            </w:r>
            <w:r w:rsidRPr="00415807">
              <w:rPr>
                <w:i/>
                <w:iCs/>
                <w:sz w:val="22"/>
                <w:szCs w:val="22"/>
              </w:rPr>
              <w:t xml:space="preserve"> numatyt</w:t>
            </w:r>
            <w:r w:rsidR="0020193F">
              <w:rPr>
                <w:i/>
                <w:iCs/>
                <w:sz w:val="22"/>
                <w:szCs w:val="22"/>
              </w:rPr>
              <w:t>i</w:t>
            </w:r>
            <w:r w:rsidRPr="00415807">
              <w:rPr>
                <w:i/>
                <w:iCs/>
                <w:sz w:val="22"/>
                <w:szCs w:val="22"/>
              </w:rPr>
              <w:t xml:space="preserve"> reikalavimai Konsorciumo partneriams. Konsorciumo atrankos taisyklės bus pristatomos iškart po PFSA patvirtinimo. Dalis rodiklių yra privalomi pagal RRF planą. Rodikliai yra suderinti Misijomis grįstų mokslo ir inovacijų programų Pažangos priemonėje bei patvirtinti darbo grupėje bei patvirtinti MTI tarybos.</w:t>
            </w:r>
          </w:p>
        </w:tc>
      </w:tr>
      <w:tr w:rsidR="00E047F6" w:rsidRPr="00747A18" w14:paraId="2476ED1E" w14:textId="77777777" w:rsidTr="00152C34">
        <w:tc>
          <w:tcPr>
            <w:tcW w:w="567" w:type="dxa"/>
          </w:tcPr>
          <w:p w14:paraId="498C536A" w14:textId="75A55410" w:rsidR="00E047F6" w:rsidRPr="004457AD" w:rsidRDefault="00E047F6" w:rsidP="00E047F6">
            <w:pPr>
              <w:jc w:val="center"/>
              <w:rPr>
                <w:b/>
                <w:szCs w:val="24"/>
              </w:rPr>
            </w:pPr>
          </w:p>
        </w:tc>
        <w:tc>
          <w:tcPr>
            <w:tcW w:w="1985" w:type="dxa"/>
          </w:tcPr>
          <w:p w14:paraId="2768E0A7" w14:textId="416616C4" w:rsidR="00E047F6" w:rsidRDefault="00E047F6" w:rsidP="00E047F6">
            <w:pPr>
              <w:rPr>
                <w:b/>
                <w:bCs/>
                <w:szCs w:val="24"/>
                <w:shd w:val="clear" w:color="auto" w:fill="FFFFFF"/>
              </w:rPr>
            </w:pPr>
            <w:r>
              <w:rPr>
                <w:b/>
                <w:bCs/>
                <w:szCs w:val="24"/>
                <w:shd w:val="clear" w:color="auto" w:fill="FFFFFF"/>
              </w:rPr>
              <w:t>VDU</w:t>
            </w:r>
          </w:p>
        </w:tc>
        <w:tc>
          <w:tcPr>
            <w:tcW w:w="7541" w:type="dxa"/>
          </w:tcPr>
          <w:p w14:paraId="7D7F23A8" w14:textId="1811E77E" w:rsidR="00E047F6" w:rsidRPr="006B1398" w:rsidRDefault="00E047F6" w:rsidP="00E047F6">
            <w:pPr>
              <w:rPr>
                <w:i/>
                <w:iCs/>
                <w:sz w:val="22"/>
                <w:szCs w:val="22"/>
              </w:rPr>
            </w:pPr>
            <w:r w:rsidRPr="006B1398">
              <w:rPr>
                <w:b/>
                <w:bCs/>
                <w:i/>
                <w:iCs/>
                <w:sz w:val="22"/>
                <w:szCs w:val="22"/>
              </w:rPr>
              <w:t>Iš dalies atsižvelgta.</w:t>
            </w:r>
            <w:r w:rsidRPr="006B1398">
              <w:rPr>
                <w:i/>
                <w:iCs/>
                <w:sz w:val="22"/>
                <w:szCs w:val="22"/>
              </w:rPr>
              <w:t xml:space="preserve"> IA rengiamose Konsorciumo atrankos taisyklėse yra numatyta reikalavimai Konsorciumo partneriams. Konsorciumo atrankos taisyklės bus pristatomos iškart po PFSA patvirtinimo. </w:t>
            </w:r>
          </w:p>
        </w:tc>
        <w:tc>
          <w:tcPr>
            <w:tcW w:w="4678" w:type="dxa"/>
          </w:tcPr>
          <w:p w14:paraId="1187DEB1" w14:textId="1CF64109" w:rsidR="00E047F6" w:rsidRPr="00415807" w:rsidRDefault="00E047F6" w:rsidP="00E047F6">
            <w:pPr>
              <w:rPr>
                <w:i/>
                <w:iCs/>
                <w:sz w:val="22"/>
                <w:szCs w:val="22"/>
              </w:rPr>
            </w:pPr>
            <w:r w:rsidRPr="00415807">
              <w:rPr>
                <w:b/>
                <w:bCs/>
                <w:i/>
                <w:iCs/>
                <w:sz w:val="22"/>
                <w:szCs w:val="22"/>
              </w:rPr>
              <w:t>Iš dalies atsižvelgta.</w:t>
            </w:r>
            <w:r w:rsidRPr="00415807">
              <w:rPr>
                <w:i/>
                <w:iCs/>
                <w:sz w:val="22"/>
                <w:szCs w:val="22"/>
              </w:rPr>
              <w:t xml:space="preserve"> IA rengiamose Konsorciumo atrankos taisyklėse yra numatyta reikalavimai Konsorciumo partneriams. Konsorciumo atrankos taisyklės bus pristatomos iškart po PFSA patvirtinimo. </w:t>
            </w:r>
          </w:p>
        </w:tc>
      </w:tr>
      <w:tr w:rsidR="00E047F6" w:rsidRPr="00747A18" w14:paraId="2B4B2918" w14:textId="77777777" w:rsidTr="00152C34">
        <w:tc>
          <w:tcPr>
            <w:tcW w:w="567" w:type="dxa"/>
          </w:tcPr>
          <w:p w14:paraId="52C382BA" w14:textId="21610996" w:rsidR="00E047F6" w:rsidRPr="004457AD" w:rsidRDefault="00E047F6" w:rsidP="00E047F6">
            <w:pPr>
              <w:jc w:val="center"/>
              <w:rPr>
                <w:b/>
                <w:szCs w:val="24"/>
              </w:rPr>
            </w:pPr>
          </w:p>
        </w:tc>
        <w:tc>
          <w:tcPr>
            <w:tcW w:w="1985" w:type="dxa"/>
          </w:tcPr>
          <w:p w14:paraId="317AEF24" w14:textId="022D0DBC" w:rsidR="00E047F6" w:rsidRDefault="00E047F6" w:rsidP="00E047F6">
            <w:pPr>
              <w:rPr>
                <w:b/>
                <w:bCs/>
                <w:szCs w:val="24"/>
                <w:shd w:val="clear" w:color="auto" w:fill="FFFFFF"/>
              </w:rPr>
            </w:pPr>
          </w:p>
        </w:tc>
        <w:tc>
          <w:tcPr>
            <w:tcW w:w="7541" w:type="dxa"/>
          </w:tcPr>
          <w:p w14:paraId="37463C63" w14:textId="77777777" w:rsidR="00E047F6" w:rsidRPr="006B1398" w:rsidRDefault="00E047F6" w:rsidP="00E047F6">
            <w:pPr>
              <w:pStyle w:val="Default"/>
              <w:rPr>
                <w:i/>
                <w:iCs/>
                <w:sz w:val="22"/>
                <w:szCs w:val="22"/>
              </w:rPr>
            </w:pPr>
            <w:r w:rsidRPr="006B1398">
              <w:rPr>
                <w:i/>
                <w:iCs/>
                <w:sz w:val="22"/>
                <w:szCs w:val="22"/>
              </w:rPr>
              <w:t>Siūlome keisti šiuos reikalavimus, praplečiant kuriamų centrų skaičių (pvz.,</w:t>
            </w:r>
          </w:p>
          <w:p w14:paraId="1C876E05" w14:textId="77777777" w:rsidR="00E047F6" w:rsidRPr="006B1398" w:rsidRDefault="00E047F6" w:rsidP="00E047F6">
            <w:pPr>
              <w:pStyle w:val="Default"/>
              <w:rPr>
                <w:i/>
                <w:iCs/>
                <w:sz w:val="22"/>
                <w:szCs w:val="22"/>
              </w:rPr>
            </w:pPr>
            <w:r w:rsidRPr="006B1398">
              <w:rPr>
                <w:i/>
                <w:iCs/>
                <w:sz w:val="22"/>
                <w:szCs w:val="22"/>
              </w:rPr>
              <w:t>atsižvelgiant į misijų temas, ne tik pačias misijas):</w:t>
            </w:r>
          </w:p>
          <w:p w14:paraId="1294774F" w14:textId="77777777" w:rsidR="00E047F6" w:rsidRPr="006B1398" w:rsidRDefault="00E047F6" w:rsidP="00E047F6">
            <w:pPr>
              <w:pStyle w:val="Default"/>
              <w:rPr>
                <w:i/>
                <w:iCs/>
                <w:sz w:val="22"/>
                <w:szCs w:val="22"/>
              </w:rPr>
            </w:pPr>
            <w:r w:rsidRPr="006B1398">
              <w:rPr>
                <w:i/>
                <w:iCs/>
                <w:sz w:val="22"/>
                <w:szCs w:val="22"/>
              </w:rPr>
              <w:t>2.9.1.1. Dviejų kompetencijų centrų įkūrimas (po vieną misijų temose: Sumani ir klimatui neutrali Lietuva ir Inovacijos sveikatai).</w:t>
            </w:r>
          </w:p>
          <w:p w14:paraId="64B1BBBB" w14:textId="77777777" w:rsidR="00E047F6" w:rsidRPr="006B1398" w:rsidRDefault="00E047F6" w:rsidP="00E047F6">
            <w:pPr>
              <w:pStyle w:val="Default"/>
              <w:rPr>
                <w:i/>
                <w:iCs/>
                <w:sz w:val="22"/>
                <w:szCs w:val="22"/>
              </w:rPr>
            </w:pPr>
            <w:r w:rsidRPr="006B1398">
              <w:rPr>
                <w:i/>
                <w:iCs/>
                <w:sz w:val="22"/>
                <w:szCs w:val="22"/>
              </w:rPr>
              <w:t>2.9.1.2. Informatikos ir ryšių technologijų (IRT) kompetencijų centro įkūrimas.</w:t>
            </w:r>
          </w:p>
          <w:p w14:paraId="5434FC30" w14:textId="117BF151" w:rsidR="00E047F6" w:rsidRPr="006B1398" w:rsidRDefault="00E047F6" w:rsidP="00E047F6">
            <w:pPr>
              <w:rPr>
                <w:i/>
                <w:iCs/>
                <w:sz w:val="22"/>
                <w:szCs w:val="22"/>
              </w:rPr>
            </w:pPr>
            <w:r w:rsidRPr="006B1398">
              <w:rPr>
                <w:i/>
                <w:iCs/>
                <w:sz w:val="22"/>
                <w:szCs w:val="22"/>
              </w:rPr>
              <w:t>Įvertinus, kad kuriamų centrų kompetencijos turėtų būti labai plačios, numatomas sudėtingas jų valdymas ir menka koncentracija į konkrečios problemos sprendimą (arba didelė koncentracija į vieną problemą, taip neatliepiant kitų išsikeltų temų misijoje). Lietuvoje kiekvienoje misijoje veikia platus tiek verslo subjektų, tiek MSĮ ratas, o vieno konsorciumo sukūrimas, sujungiant didesnę dalį reikšmingą įtaką sektoriui turinčių subjektų, yra neįmanomas dėl daugybės priežasčių. Sveika ir tikslinga konkurencija skatina siekti geresnių rezultatų, todėl manome, kad didesnis konsorciumų skaičius misijoje būtų tikslingas.</w:t>
            </w:r>
          </w:p>
        </w:tc>
        <w:tc>
          <w:tcPr>
            <w:tcW w:w="4678" w:type="dxa"/>
          </w:tcPr>
          <w:p w14:paraId="0FBB9B8D" w14:textId="528D9F42" w:rsidR="00E047F6" w:rsidRPr="00415807" w:rsidRDefault="00E047F6" w:rsidP="00E047F6">
            <w:pPr>
              <w:rPr>
                <w:i/>
                <w:iCs/>
                <w:sz w:val="22"/>
                <w:szCs w:val="22"/>
              </w:rPr>
            </w:pPr>
            <w:r w:rsidRPr="00415807">
              <w:rPr>
                <w:b/>
                <w:bCs/>
                <w:i/>
                <w:iCs/>
                <w:sz w:val="22"/>
                <w:szCs w:val="22"/>
              </w:rPr>
              <w:t xml:space="preserve">Neatsižvelgta. </w:t>
            </w:r>
            <w:r w:rsidRPr="00415807">
              <w:rPr>
                <w:i/>
                <w:iCs/>
                <w:sz w:val="22"/>
                <w:szCs w:val="22"/>
              </w:rPr>
              <w:t>Misijų temos yra suderint</w:t>
            </w:r>
            <w:r w:rsidR="0020193F">
              <w:rPr>
                <w:i/>
                <w:iCs/>
                <w:sz w:val="22"/>
                <w:szCs w:val="22"/>
              </w:rPr>
              <w:t>o</w:t>
            </w:r>
            <w:r w:rsidRPr="00415807">
              <w:rPr>
                <w:i/>
                <w:iCs/>
                <w:sz w:val="22"/>
                <w:szCs w:val="22"/>
              </w:rPr>
              <w:t>s bei patvirtintos MTI tarybos.</w:t>
            </w:r>
            <w:r w:rsidRPr="00415807">
              <w:rPr>
                <w:b/>
                <w:bCs/>
                <w:i/>
                <w:iCs/>
                <w:sz w:val="22"/>
                <w:szCs w:val="22"/>
              </w:rPr>
              <w:t xml:space="preserve"> </w:t>
            </w:r>
          </w:p>
        </w:tc>
      </w:tr>
      <w:tr w:rsidR="00E047F6" w:rsidRPr="00747A18" w14:paraId="548537CC" w14:textId="77777777" w:rsidTr="00152C34">
        <w:tc>
          <w:tcPr>
            <w:tcW w:w="567" w:type="dxa"/>
          </w:tcPr>
          <w:p w14:paraId="116BB45C" w14:textId="6068E757" w:rsidR="00E047F6" w:rsidRPr="001F4333" w:rsidRDefault="00E047F6" w:rsidP="00E047F6">
            <w:pPr>
              <w:jc w:val="center"/>
              <w:rPr>
                <w:b/>
                <w:szCs w:val="24"/>
              </w:rPr>
            </w:pPr>
          </w:p>
        </w:tc>
        <w:tc>
          <w:tcPr>
            <w:tcW w:w="1985" w:type="dxa"/>
          </w:tcPr>
          <w:p w14:paraId="6BF2E3BE" w14:textId="337FEB71" w:rsidR="00E047F6" w:rsidRDefault="00E047F6" w:rsidP="00E047F6">
            <w:pPr>
              <w:rPr>
                <w:b/>
                <w:bCs/>
                <w:szCs w:val="24"/>
                <w:shd w:val="clear" w:color="auto" w:fill="FFFFFF"/>
              </w:rPr>
            </w:pPr>
          </w:p>
        </w:tc>
        <w:tc>
          <w:tcPr>
            <w:tcW w:w="7541" w:type="dxa"/>
          </w:tcPr>
          <w:p w14:paraId="71FD9D73" w14:textId="77777777" w:rsidR="00E047F6" w:rsidRPr="006B1398" w:rsidRDefault="00E047F6" w:rsidP="00E047F6">
            <w:pPr>
              <w:pStyle w:val="Default"/>
              <w:rPr>
                <w:i/>
                <w:iCs/>
                <w:sz w:val="22"/>
                <w:szCs w:val="22"/>
              </w:rPr>
            </w:pPr>
            <w:r w:rsidRPr="006B1398">
              <w:rPr>
                <w:i/>
                <w:iCs/>
                <w:sz w:val="22"/>
                <w:szCs w:val="22"/>
              </w:rPr>
              <w:t>Siūlome įvesti nuostatą, kad vienas naudos gavėjas galėtų dalyvauti tik viename</w:t>
            </w:r>
          </w:p>
          <w:p w14:paraId="6017E44F" w14:textId="298E462E" w:rsidR="00E047F6" w:rsidRPr="006B1398" w:rsidRDefault="00E047F6" w:rsidP="00E047F6">
            <w:pPr>
              <w:rPr>
                <w:i/>
                <w:iCs/>
                <w:sz w:val="22"/>
                <w:szCs w:val="22"/>
              </w:rPr>
            </w:pPr>
            <w:r w:rsidRPr="006B1398">
              <w:rPr>
                <w:i/>
                <w:iCs/>
                <w:sz w:val="22"/>
                <w:szCs w:val="22"/>
              </w:rPr>
              <w:t xml:space="preserve">konsorciume teikdamas paraišką į tą pačią misiją, bet nebūtų ribojamas jo dalyvavimas kitose misijose, t. y. naudos gavėjas gali dalyvauti trijose misijose (1. Saugi ir įtrauki e-visuomenė; 2.Sumani ir klimatui neutrali Lietuva; 3. Inovacijos sveikatai), bet tik su vienu </w:t>
            </w:r>
            <w:proofErr w:type="spellStart"/>
            <w:r w:rsidRPr="006B1398">
              <w:rPr>
                <w:i/>
                <w:iCs/>
                <w:sz w:val="22"/>
                <w:szCs w:val="22"/>
              </w:rPr>
              <w:t>konsoriumu</w:t>
            </w:r>
            <w:proofErr w:type="spellEnd"/>
            <w:r w:rsidRPr="006B1398">
              <w:rPr>
                <w:i/>
                <w:iCs/>
                <w:sz w:val="22"/>
                <w:szCs w:val="22"/>
              </w:rPr>
              <w:t xml:space="preserve"> kiekvienoje.</w:t>
            </w:r>
          </w:p>
        </w:tc>
        <w:tc>
          <w:tcPr>
            <w:tcW w:w="4678" w:type="dxa"/>
          </w:tcPr>
          <w:p w14:paraId="420A8783" w14:textId="77777777" w:rsidR="002A3724" w:rsidRPr="00734D95" w:rsidRDefault="002A3724" w:rsidP="002A3724">
            <w:pPr>
              <w:rPr>
                <w:i/>
                <w:iCs/>
                <w:sz w:val="22"/>
                <w:szCs w:val="22"/>
              </w:rPr>
            </w:pPr>
            <w:r w:rsidRPr="00734D95">
              <w:rPr>
                <w:b/>
                <w:bCs/>
                <w:i/>
                <w:iCs/>
                <w:sz w:val="22"/>
                <w:szCs w:val="22"/>
              </w:rPr>
              <w:t>Neatsižvelgta</w:t>
            </w:r>
            <w:r w:rsidRPr="00734D95">
              <w:rPr>
                <w:i/>
                <w:iCs/>
                <w:sz w:val="22"/>
                <w:szCs w:val="22"/>
              </w:rPr>
              <w:t>. Palikti galimybė, kad subjektų dalyvavimas misijų temose nėra ribojamas.</w:t>
            </w:r>
          </w:p>
          <w:p w14:paraId="0F9EA74F" w14:textId="739A789A" w:rsidR="00E047F6" w:rsidRPr="00415807" w:rsidRDefault="00E047F6" w:rsidP="00E047F6">
            <w:pPr>
              <w:rPr>
                <w:b/>
                <w:bCs/>
                <w:i/>
                <w:iCs/>
                <w:sz w:val="22"/>
                <w:szCs w:val="22"/>
              </w:rPr>
            </w:pPr>
          </w:p>
        </w:tc>
      </w:tr>
    </w:tbl>
    <w:p w14:paraId="209EDF8F" w14:textId="4206EF66" w:rsidR="00E16CA7" w:rsidRPr="00D355B7" w:rsidRDefault="00E16CA7" w:rsidP="00142313">
      <w:pPr>
        <w:rPr>
          <w:szCs w:val="24"/>
        </w:rPr>
      </w:pPr>
    </w:p>
    <w:sectPr w:rsidR="00E16CA7" w:rsidRPr="00D355B7" w:rsidSect="0014759D">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47DA" w14:textId="77777777" w:rsidR="00455D09" w:rsidRDefault="00455D09" w:rsidP="00894881">
      <w:r>
        <w:separator/>
      </w:r>
    </w:p>
  </w:endnote>
  <w:endnote w:type="continuationSeparator" w:id="0">
    <w:p w14:paraId="6C8DEF5B" w14:textId="77777777" w:rsidR="00455D09" w:rsidRDefault="00455D09"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693D" w14:textId="77777777" w:rsidR="00455D09" w:rsidRDefault="00455D09" w:rsidP="00894881">
      <w:r>
        <w:separator/>
      </w:r>
    </w:p>
  </w:footnote>
  <w:footnote w:type="continuationSeparator" w:id="0">
    <w:p w14:paraId="13FEB767" w14:textId="77777777" w:rsidR="00455D09" w:rsidRDefault="00455D09" w:rsidP="00894881">
      <w:r>
        <w:continuationSeparator/>
      </w:r>
    </w:p>
  </w:footnote>
  <w:footnote w:id="1">
    <w:p w14:paraId="26CAF8DE" w14:textId="77777777" w:rsidR="00DD4B36" w:rsidRDefault="00DD4B36" w:rsidP="005C0DA8">
      <w:pPr>
        <w:pStyle w:val="FootnoteText"/>
      </w:pPr>
      <w:r>
        <w:rPr>
          <w:rStyle w:val="FootnoteReference"/>
        </w:rPr>
        <w:footnoteRef/>
      </w:r>
      <w:r>
        <w:t xml:space="preserve"> </w:t>
      </w:r>
      <w:r w:rsidRPr="0001508C">
        <w:rPr>
          <w:szCs w:val="24"/>
        </w:rPr>
        <w:t xml:space="preserve">patvirtintas </w:t>
      </w:r>
      <w:r w:rsidRPr="0001508C">
        <w:t>Lietuvos Respublikos ekonomikos ir inovacijų ministro ir Lietuvos Respublikos švietimo, mokslo ir sporto ministro 2022 m. rugpjūčio 17 d. įsakymu Nr. 4-926/V-1258 „Dėl 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patvirtinimo“</w:t>
      </w:r>
    </w:p>
  </w:footnote>
  <w:footnote w:id="2">
    <w:p w14:paraId="53BA2EC5" w14:textId="77777777" w:rsidR="00DD4B36" w:rsidRDefault="00DD4B36" w:rsidP="005C0DA8">
      <w:pPr>
        <w:pStyle w:val="FootnoteText"/>
        <w:jc w:val="both"/>
      </w:pPr>
      <w:r>
        <w:rPr>
          <w:rStyle w:val="FootnoteReference"/>
        </w:rPr>
        <w:footnoteRef/>
      </w:r>
      <w:r>
        <w:t xml:space="preserve"> Patvirtintas </w:t>
      </w:r>
      <w:r>
        <w:rPr>
          <w:color w:val="000000"/>
        </w:rPr>
        <w:t>2022 m. birželio </w:t>
      </w:r>
      <w:r>
        <w:rPr>
          <w:color w:val="000000"/>
          <w:lang w:val="es-ES"/>
        </w:rPr>
        <w:t>22</w:t>
      </w:r>
      <w:r>
        <w:rPr>
          <w:color w:val="000000"/>
        </w:rPr>
        <w:t xml:space="preserve"> d. </w:t>
      </w:r>
      <w:r w:rsidRPr="0051200F">
        <w:rPr>
          <w:bCs/>
          <w:szCs w:val="24"/>
        </w:rPr>
        <w:t>Lietuvos Respublikos finansų ministro</w:t>
      </w:r>
      <w:r>
        <w:rPr>
          <w:color w:val="000000"/>
        </w:rPr>
        <w:t xml:space="preserve"> įsakymu Nr. 1K-237 „D</w:t>
      </w:r>
      <w:r w:rsidRPr="00E62D1E">
        <w:rPr>
          <w:color w:val="000000"/>
        </w:rPr>
        <w:t xml:space="preserve">ėl 2021–2027 metų </w:t>
      </w:r>
      <w:r>
        <w:rPr>
          <w:color w:val="000000"/>
        </w:rPr>
        <w:t>E</w:t>
      </w:r>
      <w:r w:rsidRPr="00E62D1E">
        <w:rPr>
          <w:color w:val="000000"/>
        </w:rPr>
        <w:t xml:space="preserve">uropos </w:t>
      </w:r>
      <w:r>
        <w:rPr>
          <w:color w:val="000000"/>
        </w:rPr>
        <w:t>S</w:t>
      </w:r>
      <w:r w:rsidRPr="00E62D1E">
        <w:rPr>
          <w:color w:val="000000"/>
        </w:rPr>
        <w:t>ąjungos fondų investicijų programos ir ekonomikos gaivinimo ir atsparumo didinimo plano „</w:t>
      </w:r>
      <w:r>
        <w:rPr>
          <w:color w:val="000000"/>
        </w:rPr>
        <w:t>N</w:t>
      </w:r>
      <w:r w:rsidRPr="00E62D1E">
        <w:rPr>
          <w:color w:val="000000"/>
        </w:rPr>
        <w:t>au</w:t>
      </w:r>
      <w:r>
        <w:rPr>
          <w:color w:val="000000"/>
        </w:rPr>
        <w:t>jos kartos L</w:t>
      </w:r>
      <w:r w:rsidRPr="00E62D1E">
        <w:rPr>
          <w:color w:val="000000"/>
        </w:rPr>
        <w:t>ietuva“ įgyvendinimo</w:t>
      </w:r>
      <w:r>
        <w:rPr>
          <w:color w:val="000000"/>
        </w:rPr>
        <w:t>“, suvestinė redakcija nuo 2022-10-18.</w:t>
      </w:r>
    </w:p>
    <w:p w14:paraId="28A11868" w14:textId="77777777" w:rsidR="00DD4B36" w:rsidRDefault="00DD4B36" w:rsidP="005C0D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EndPr/>
    <w:sdtContent>
      <w:p w14:paraId="3E178D09" w14:textId="61D81A8A" w:rsidR="0014759D" w:rsidRDefault="0014759D">
        <w:pPr>
          <w:pStyle w:val="Header"/>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914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0E2"/>
    <w:multiLevelType w:val="hybridMultilevel"/>
    <w:tmpl w:val="A3382D44"/>
    <w:lvl w:ilvl="0" w:tplc="7F52DC6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07F3D"/>
    <w:multiLevelType w:val="hybridMultilevel"/>
    <w:tmpl w:val="7A069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00E06"/>
    <w:multiLevelType w:val="hybridMultilevel"/>
    <w:tmpl w:val="ED266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3"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841219">
    <w:abstractNumId w:val="15"/>
  </w:num>
  <w:num w:numId="2" w16cid:durableId="2078428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13"/>
  </w:num>
  <w:num w:numId="4" w16cid:durableId="800340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8"/>
  </w:num>
  <w:num w:numId="6" w16cid:durableId="1097942165">
    <w:abstractNumId w:val="11"/>
  </w:num>
  <w:num w:numId="7" w16cid:durableId="396785296">
    <w:abstractNumId w:val="7"/>
  </w:num>
  <w:num w:numId="8" w16cid:durableId="326908603">
    <w:abstractNumId w:val="6"/>
  </w:num>
  <w:num w:numId="9" w16cid:durableId="225340506">
    <w:abstractNumId w:val="1"/>
  </w:num>
  <w:num w:numId="10" w16cid:durableId="495995538">
    <w:abstractNumId w:val="10"/>
  </w:num>
  <w:num w:numId="11" w16cid:durableId="337542610">
    <w:abstractNumId w:val="5"/>
  </w:num>
  <w:num w:numId="12" w16cid:durableId="969362802">
    <w:abstractNumId w:val="16"/>
  </w:num>
  <w:num w:numId="13" w16cid:durableId="1793283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8259343">
    <w:abstractNumId w:val="3"/>
  </w:num>
  <w:num w:numId="15" w16cid:durableId="2005812905">
    <w:abstractNumId w:val="2"/>
  </w:num>
  <w:num w:numId="16" w16cid:durableId="1725789854">
    <w:abstractNumId w:val="0"/>
  </w:num>
  <w:num w:numId="17" w16cid:durableId="643050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10658"/>
    <w:rsid w:val="00015068"/>
    <w:rsid w:val="00020CA1"/>
    <w:rsid w:val="00020D23"/>
    <w:rsid w:val="00024503"/>
    <w:rsid w:val="0002504C"/>
    <w:rsid w:val="00027226"/>
    <w:rsid w:val="00030F24"/>
    <w:rsid w:val="000414BD"/>
    <w:rsid w:val="0004195E"/>
    <w:rsid w:val="00045E69"/>
    <w:rsid w:val="00051E52"/>
    <w:rsid w:val="000536D4"/>
    <w:rsid w:val="00053C7A"/>
    <w:rsid w:val="00057B1D"/>
    <w:rsid w:val="00062388"/>
    <w:rsid w:val="000730AA"/>
    <w:rsid w:val="00080B7A"/>
    <w:rsid w:val="0008750B"/>
    <w:rsid w:val="000941D4"/>
    <w:rsid w:val="000948AE"/>
    <w:rsid w:val="00095F8F"/>
    <w:rsid w:val="0009753E"/>
    <w:rsid w:val="000A0ED3"/>
    <w:rsid w:val="000A4DD1"/>
    <w:rsid w:val="000A6128"/>
    <w:rsid w:val="000B0B68"/>
    <w:rsid w:val="000B2A55"/>
    <w:rsid w:val="000B35DB"/>
    <w:rsid w:val="000B55D2"/>
    <w:rsid w:val="000B6EA2"/>
    <w:rsid w:val="000C1475"/>
    <w:rsid w:val="000C2206"/>
    <w:rsid w:val="000C29D1"/>
    <w:rsid w:val="000C735C"/>
    <w:rsid w:val="000D1166"/>
    <w:rsid w:val="000D235E"/>
    <w:rsid w:val="000D4E4F"/>
    <w:rsid w:val="000D5013"/>
    <w:rsid w:val="000D5600"/>
    <w:rsid w:val="000D6D7A"/>
    <w:rsid w:val="000E13B1"/>
    <w:rsid w:val="000E5A8F"/>
    <w:rsid w:val="000E6F2F"/>
    <w:rsid w:val="000F0C94"/>
    <w:rsid w:val="000F1C63"/>
    <w:rsid w:val="000F2021"/>
    <w:rsid w:val="000F4A3C"/>
    <w:rsid w:val="000F7CCD"/>
    <w:rsid w:val="00104983"/>
    <w:rsid w:val="001059D1"/>
    <w:rsid w:val="001103A9"/>
    <w:rsid w:val="00110740"/>
    <w:rsid w:val="001136B4"/>
    <w:rsid w:val="0011391D"/>
    <w:rsid w:val="0011578A"/>
    <w:rsid w:val="00116AE7"/>
    <w:rsid w:val="00117301"/>
    <w:rsid w:val="00117C47"/>
    <w:rsid w:val="001207D5"/>
    <w:rsid w:val="00123275"/>
    <w:rsid w:val="00124B8F"/>
    <w:rsid w:val="00124D1C"/>
    <w:rsid w:val="00124DDE"/>
    <w:rsid w:val="0012676A"/>
    <w:rsid w:val="00127E12"/>
    <w:rsid w:val="00131AA7"/>
    <w:rsid w:val="00134269"/>
    <w:rsid w:val="00135412"/>
    <w:rsid w:val="001367CA"/>
    <w:rsid w:val="00142313"/>
    <w:rsid w:val="00142B70"/>
    <w:rsid w:val="001439A5"/>
    <w:rsid w:val="00145073"/>
    <w:rsid w:val="0014569B"/>
    <w:rsid w:val="0014759D"/>
    <w:rsid w:val="001475D2"/>
    <w:rsid w:val="00147BF3"/>
    <w:rsid w:val="00151883"/>
    <w:rsid w:val="00152C34"/>
    <w:rsid w:val="00152D86"/>
    <w:rsid w:val="001530EE"/>
    <w:rsid w:val="00153AB9"/>
    <w:rsid w:val="001554D9"/>
    <w:rsid w:val="00155B00"/>
    <w:rsid w:val="00155B5D"/>
    <w:rsid w:val="001560E7"/>
    <w:rsid w:val="00162BEF"/>
    <w:rsid w:val="00163022"/>
    <w:rsid w:val="001650DB"/>
    <w:rsid w:val="001677DC"/>
    <w:rsid w:val="00170E84"/>
    <w:rsid w:val="001720A6"/>
    <w:rsid w:val="00173E88"/>
    <w:rsid w:val="0017562D"/>
    <w:rsid w:val="00181163"/>
    <w:rsid w:val="001814BE"/>
    <w:rsid w:val="00185ACE"/>
    <w:rsid w:val="00186546"/>
    <w:rsid w:val="00187963"/>
    <w:rsid w:val="00192992"/>
    <w:rsid w:val="001934C1"/>
    <w:rsid w:val="00193D0F"/>
    <w:rsid w:val="001A1469"/>
    <w:rsid w:val="001A521C"/>
    <w:rsid w:val="001A6931"/>
    <w:rsid w:val="001A7FC6"/>
    <w:rsid w:val="001B2AE6"/>
    <w:rsid w:val="001B33E3"/>
    <w:rsid w:val="001B4732"/>
    <w:rsid w:val="001B6BBE"/>
    <w:rsid w:val="001C5B81"/>
    <w:rsid w:val="001D73F5"/>
    <w:rsid w:val="001E04E5"/>
    <w:rsid w:val="001E1211"/>
    <w:rsid w:val="001E2AA0"/>
    <w:rsid w:val="001E2CD3"/>
    <w:rsid w:val="001E3877"/>
    <w:rsid w:val="001E4D90"/>
    <w:rsid w:val="001E6EC2"/>
    <w:rsid w:val="001F0F6C"/>
    <w:rsid w:val="001F2B4C"/>
    <w:rsid w:val="001F4333"/>
    <w:rsid w:val="001F56F0"/>
    <w:rsid w:val="0020152F"/>
    <w:rsid w:val="0020193F"/>
    <w:rsid w:val="00201BFE"/>
    <w:rsid w:val="00205171"/>
    <w:rsid w:val="002110D0"/>
    <w:rsid w:val="0021244E"/>
    <w:rsid w:val="002153AE"/>
    <w:rsid w:val="00215740"/>
    <w:rsid w:val="00216C47"/>
    <w:rsid w:val="00220E06"/>
    <w:rsid w:val="0022217A"/>
    <w:rsid w:val="00232144"/>
    <w:rsid w:val="00232893"/>
    <w:rsid w:val="002335AF"/>
    <w:rsid w:val="00234EB2"/>
    <w:rsid w:val="002360B5"/>
    <w:rsid w:val="0023615F"/>
    <w:rsid w:val="00241AAA"/>
    <w:rsid w:val="00241B57"/>
    <w:rsid w:val="0024546B"/>
    <w:rsid w:val="00245DFB"/>
    <w:rsid w:val="00250DBE"/>
    <w:rsid w:val="00256F6B"/>
    <w:rsid w:val="00260A78"/>
    <w:rsid w:val="00260B73"/>
    <w:rsid w:val="002612C9"/>
    <w:rsid w:val="0026331B"/>
    <w:rsid w:val="002659C2"/>
    <w:rsid w:val="002722F1"/>
    <w:rsid w:val="00273F4A"/>
    <w:rsid w:val="00275020"/>
    <w:rsid w:val="0027519B"/>
    <w:rsid w:val="00276B62"/>
    <w:rsid w:val="00281E18"/>
    <w:rsid w:val="00284EC0"/>
    <w:rsid w:val="002863A2"/>
    <w:rsid w:val="00287B51"/>
    <w:rsid w:val="00290AFC"/>
    <w:rsid w:val="00294375"/>
    <w:rsid w:val="002A3724"/>
    <w:rsid w:val="002A5C43"/>
    <w:rsid w:val="002A7712"/>
    <w:rsid w:val="002B25B8"/>
    <w:rsid w:val="002C0820"/>
    <w:rsid w:val="002C0F70"/>
    <w:rsid w:val="002C1F40"/>
    <w:rsid w:val="002C3266"/>
    <w:rsid w:val="002C5352"/>
    <w:rsid w:val="002C5400"/>
    <w:rsid w:val="002C6288"/>
    <w:rsid w:val="002D0937"/>
    <w:rsid w:val="002D0CCE"/>
    <w:rsid w:val="002D1711"/>
    <w:rsid w:val="002D2C15"/>
    <w:rsid w:val="002D5614"/>
    <w:rsid w:val="002D7C7D"/>
    <w:rsid w:val="002E1E85"/>
    <w:rsid w:val="002E317A"/>
    <w:rsid w:val="002F2C73"/>
    <w:rsid w:val="002F4052"/>
    <w:rsid w:val="002F6596"/>
    <w:rsid w:val="002F6CD7"/>
    <w:rsid w:val="00302A65"/>
    <w:rsid w:val="00307804"/>
    <w:rsid w:val="00313F9B"/>
    <w:rsid w:val="00320578"/>
    <w:rsid w:val="00320FD7"/>
    <w:rsid w:val="003237E3"/>
    <w:rsid w:val="00326977"/>
    <w:rsid w:val="00330C3F"/>
    <w:rsid w:val="00331808"/>
    <w:rsid w:val="003325A6"/>
    <w:rsid w:val="0033308A"/>
    <w:rsid w:val="003351F1"/>
    <w:rsid w:val="00336CA5"/>
    <w:rsid w:val="003443BC"/>
    <w:rsid w:val="003454D6"/>
    <w:rsid w:val="0035070B"/>
    <w:rsid w:val="00351130"/>
    <w:rsid w:val="0035346A"/>
    <w:rsid w:val="00353ADF"/>
    <w:rsid w:val="00357F3E"/>
    <w:rsid w:val="00361F64"/>
    <w:rsid w:val="00362B86"/>
    <w:rsid w:val="00364F0F"/>
    <w:rsid w:val="003665B3"/>
    <w:rsid w:val="003739FD"/>
    <w:rsid w:val="00380F79"/>
    <w:rsid w:val="003816A3"/>
    <w:rsid w:val="00381EBE"/>
    <w:rsid w:val="0038229F"/>
    <w:rsid w:val="003837FA"/>
    <w:rsid w:val="00386CCB"/>
    <w:rsid w:val="003922B9"/>
    <w:rsid w:val="00392B7C"/>
    <w:rsid w:val="00394C50"/>
    <w:rsid w:val="00396C23"/>
    <w:rsid w:val="003B06E2"/>
    <w:rsid w:val="003B1019"/>
    <w:rsid w:val="003B1755"/>
    <w:rsid w:val="003B7102"/>
    <w:rsid w:val="003C3E9E"/>
    <w:rsid w:val="003C41F1"/>
    <w:rsid w:val="003C5DC5"/>
    <w:rsid w:val="003D0A5C"/>
    <w:rsid w:val="003D4AAA"/>
    <w:rsid w:val="003D50E6"/>
    <w:rsid w:val="003D7409"/>
    <w:rsid w:val="003E336A"/>
    <w:rsid w:val="003E3ADF"/>
    <w:rsid w:val="003E442E"/>
    <w:rsid w:val="003E4A40"/>
    <w:rsid w:val="003E5854"/>
    <w:rsid w:val="003E6AA6"/>
    <w:rsid w:val="003F111D"/>
    <w:rsid w:val="003F18F0"/>
    <w:rsid w:val="003F629B"/>
    <w:rsid w:val="003F6BF9"/>
    <w:rsid w:val="003F7750"/>
    <w:rsid w:val="004107FA"/>
    <w:rsid w:val="00412311"/>
    <w:rsid w:val="00413726"/>
    <w:rsid w:val="00414D65"/>
    <w:rsid w:val="00415807"/>
    <w:rsid w:val="00415D7F"/>
    <w:rsid w:val="004166F8"/>
    <w:rsid w:val="00425084"/>
    <w:rsid w:val="00425468"/>
    <w:rsid w:val="0042781D"/>
    <w:rsid w:val="00430029"/>
    <w:rsid w:val="004305C7"/>
    <w:rsid w:val="00433934"/>
    <w:rsid w:val="00435F1D"/>
    <w:rsid w:val="0043625D"/>
    <w:rsid w:val="00436D84"/>
    <w:rsid w:val="00436E99"/>
    <w:rsid w:val="004406F5"/>
    <w:rsid w:val="004408C7"/>
    <w:rsid w:val="00442C5E"/>
    <w:rsid w:val="004457AD"/>
    <w:rsid w:val="00455D09"/>
    <w:rsid w:val="004646C8"/>
    <w:rsid w:val="00472A7D"/>
    <w:rsid w:val="00480F67"/>
    <w:rsid w:val="00482558"/>
    <w:rsid w:val="00483458"/>
    <w:rsid w:val="004855AE"/>
    <w:rsid w:val="00492D85"/>
    <w:rsid w:val="00493A0D"/>
    <w:rsid w:val="00494151"/>
    <w:rsid w:val="0049542C"/>
    <w:rsid w:val="00496D0E"/>
    <w:rsid w:val="004A12AF"/>
    <w:rsid w:val="004A460A"/>
    <w:rsid w:val="004A602A"/>
    <w:rsid w:val="004A78F2"/>
    <w:rsid w:val="004B148D"/>
    <w:rsid w:val="004B4F04"/>
    <w:rsid w:val="004C0FA1"/>
    <w:rsid w:val="004C2C1E"/>
    <w:rsid w:val="004C34E6"/>
    <w:rsid w:val="004C6445"/>
    <w:rsid w:val="004C657C"/>
    <w:rsid w:val="004D1EBF"/>
    <w:rsid w:val="004D3190"/>
    <w:rsid w:val="004D43FE"/>
    <w:rsid w:val="004D4D15"/>
    <w:rsid w:val="004E230A"/>
    <w:rsid w:val="004E527A"/>
    <w:rsid w:val="004F017B"/>
    <w:rsid w:val="004F2185"/>
    <w:rsid w:val="004F3C4A"/>
    <w:rsid w:val="004F65EB"/>
    <w:rsid w:val="00505F73"/>
    <w:rsid w:val="005140D6"/>
    <w:rsid w:val="0051753E"/>
    <w:rsid w:val="00517B11"/>
    <w:rsid w:val="00521964"/>
    <w:rsid w:val="00524EBC"/>
    <w:rsid w:val="00526A82"/>
    <w:rsid w:val="00531BF7"/>
    <w:rsid w:val="00531CBD"/>
    <w:rsid w:val="0053369A"/>
    <w:rsid w:val="005347E8"/>
    <w:rsid w:val="00540197"/>
    <w:rsid w:val="005462D5"/>
    <w:rsid w:val="00547CA6"/>
    <w:rsid w:val="00547DBC"/>
    <w:rsid w:val="00565EA9"/>
    <w:rsid w:val="00572C20"/>
    <w:rsid w:val="00573D80"/>
    <w:rsid w:val="005761A1"/>
    <w:rsid w:val="00582739"/>
    <w:rsid w:val="005937C2"/>
    <w:rsid w:val="00594569"/>
    <w:rsid w:val="00595C81"/>
    <w:rsid w:val="005A62D6"/>
    <w:rsid w:val="005A78EA"/>
    <w:rsid w:val="005B0F3F"/>
    <w:rsid w:val="005B31A0"/>
    <w:rsid w:val="005C093E"/>
    <w:rsid w:val="005C0DA8"/>
    <w:rsid w:val="005C162B"/>
    <w:rsid w:val="005C1CC3"/>
    <w:rsid w:val="005C4B5D"/>
    <w:rsid w:val="005C5552"/>
    <w:rsid w:val="005C790F"/>
    <w:rsid w:val="005D1D26"/>
    <w:rsid w:val="005D3E38"/>
    <w:rsid w:val="005D62EF"/>
    <w:rsid w:val="005D6886"/>
    <w:rsid w:val="005D76F8"/>
    <w:rsid w:val="005E2B34"/>
    <w:rsid w:val="005E69D5"/>
    <w:rsid w:val="005F2F62"/>
    <w:rsid w:val="005F59AE"/>
    <w:rsid w:val="00602B70"/>
    <w:rsid w:val="006040D4"/>
    <w:rsid w:val="00605BDE"/>
    <w:rsid w:val="0061299A"/>
    <w:rsid w:val="00615949"/>
    <w:rsid w:val="0061682A"/>
    <w:rsid w:val="0062080A"/>
    <w:rsid w:val="0063028C"/>
    <w:rsid w:val="006319C8"/>
    <w:rsid w:val="00633094"/>
    <w:rsid w:val="00633AE5"/>
    <w:rsid w:val="0064206A"/>
    <w:rsid w:val="00642B13"/>
    <w:rsid w:val="00644803"/>
    <w:rsid w:val="006551AE"/>
    <w:rsid w:val="00655C86"/>
    <w:rsid w:val="00660163"/>
    <w:rsid w:val="00660FCD"/>
    <w:rsid w:val="00661FE9"/>
    <w:rsid w:val="006635ED"/>
    <w:rsid w:val="0066362E"/>
    <w:rsid w:val="00664183"/>
    <w:rsid w:val="006650EF"/>
    <w:rsid w:val="00667FC1"/>
    <w:rsid w:val="00671A4E"/>
    <w:rsid w:val="00672E4F"/>
    <w:rsid w:val="00677712"/>
    <w:rsid w:val="00685594"/>
    <w:rsid w:val="00686D8C"/>
    <w:rsid w:val="006917DE"/>
    <w:rsid w:val="00692F36"/>
    <w:rsid w:val="006931C6"/>
    <w:rsid w:val="0069328D"/>
    <w:rsid w:val="006942F9"/>
    <w:rsid w:val="006979D2"/>
    <w:rsid w:val="006A02DE"/>
    <w:rsid w:val="006A12AD"/>
    <w:rsid w:val="006A3450"/>
    <w:rsid w:val="006B1398"/>
    <w:rsid w:val="006B24C5"/>
    <w:rsid w:val="006C0772"/>
    <w:rsid w:val="006C528B"/>
    <w:rsid w:val="006D17F9"/>
    <w:rsid w:val="006E0D5F"/>
    <w:rsid w:val="006E1166"/>
    <w:rsid w:val="006E48AE"/>
    <w:rsid w:val="006E4CE9"/>
    <w:rsid w:val="006E7E25"/>
    <w:rsid w:val="006F0098"/>
    <w:rsid w:val="006F05B0"/>
    <w:rsid w:val="006F175F"/>
    <w:rsid w:val="006F4F68"/>
    <w:rsid w:val="007017BD"/>
    <w:rsid w:val="00712651"/>
    <w:rsid w:val="0071526D"/>
    <w:rsid w:val="007155AD"/>
    <w:rsid w:val="007159AE"/>
    <w:rsid w:val="007217C6"/>
    <w:rsid w:val="007217E3"/>
    <w:rsid w:val="00721F60"/>
    <w:rsid w:val="00723457"/>
    <w:rsid w:val="007245E8"/>
    <w:rsid w:val="0072472F"/>
    <w:rsid w:val="0072526B"/>
    <w:rsid w:val="0073256C"/>
    <w:rsid w:val="007333FE"/>
    <w:rsid w:val="00734732"/>
    <w:rsid w:val="00734D95"/>
    <w:rsid w:val="00736067"/>
    <w:rsid w:val="00737F4E"/>
    <w:rsid w:val="007400E2"/>
    <w:rsid w:val="00743836"/>
    <w:rsid w:val="00745810"/>
    <w:rsid w:val="00746741"/>
    <w:rsid w:val="007471D8"/>
    <w:rsid w:val="00747A18"/>
    <w:rsid w:val="00750081"/>
    <w:rsid w:val="00752647"/>
    <w:rsid w:val="00753FA2"/>
    <w:rsid w:val="00756026"/>
    <w:rsid w:val="007561E6"/>
    <w:rsid w:val="00756986"/>
    <w:rsid w:val="00756998"/>
    <w:rsid w:val="00757133"/>
    <w:rsid w:val="00761972"/>
    <w:rsid w:val="007628D2"/>
    <w:rsid w:val="0076376B"/>
    <w:rsid w:val="0076578A"/>
    <w:rsid w:val="0077301F"/>
    <w:rsid w:val="0077637A"/>
    <w:rsid w:val="00777673"/>
    <w:rsid w:val="007776D6"/>
    <w:rsid w:val="00783BAC"/>
    <w:rsid w:val="00784EDE"/>
    <w:rsid w:val="00786380"/>
    <w:rsid w:val="00790344"/>
    <w:rsid w:val="0079065E"/>
    <w:rsid w:val="00795672"/>
    <w:rsid w:val="0079627A"/>
    <w:rsid w:val="00797FED"/>
    <w:rsid w:val="007A0BDF"/>
    <w:rsid w:val="007A2AD5"/>
    <w:rsid w:val="007A6224"/>
    <w:rsid w:val="007A6636"/>
    <w:rsid w:val="007A6C83"/>
    <w:rsid w:val="007A78E3"/>
    <w:rsid w:val="007B16C6"/>
    <w:rsid w:val="007B26F6"/>
    <w:rsid w:val="007B45E2"/>
    <w:rsid w:val="007C252B"/>
    <w:rsid w:val="007C298E"/>
    <w:rsid w:val="007C36BE"/>
    <w:rsid w:val="007C5068"/>
    <w:rsid w:val="007C60ED"/>
    <w:rsid w:val="007C69E0"/>
    <w:rsid w:val="007D02FF"/>
    <w:rsid w:val="007D2FCE"/>
    <w:rsid w:val="007D4CCD"/>
    <w:rsid w:val="007E2838"/>
    <w:rsid w:val="007E2BF1"/>
    <w:rsid w:val="007E4382"/>
    <w:rsid w:val="007E4498"/>
    <w:rsid w:val="007E4500"/>
    <w:rsid w:val="007E56CE"/>
    <w:rsid w:val="007F1415"/>
    <w:rsid w:val="007F1949"/>
    <w:rsid w:val="007F3664"/>
    <w:rsid w:val="007F629A"/>
    <w:rsid w:val="007F655A"/>
    <w:rsid w:val="00800FB5"/>
    <w:rsid w:val="0080234D"/>
    <w:rsid w:val="00803EC2"/>
    <w:rsid w:val="00805714"/>
    <w:rsid w:val="00806F2A"/>
    <w:rsid w:val="0081566F"/>
    <w:rsid w:val="008164EC"/>
    <w:rsid w:val="00822DEA"/>
    <w:rsid w:val="00823E7E"/>
    <w:rsid w:val="00824773"/>
    <w:rsid w:val="008259F8"/>
    <w:rsid w:val="00826D1E"/>
    <w:rsid w:val="008302BD"/>
    <w:rsid w:val="0083284B"/>
    <w:rsid w:val="00832C87"/>
    <w:rsid w:val="00833704"/>
    <w:rsid w:val="00841208"/>
    <w:rsid w:val="008427A6"/>
    <w:rsid w:val="0084611C"/>
    <w:rsid w:val="0084753F"/>
    <w:rsid w:val="0085428F"/>
    <w:rsid w:val="00854536"/>
    <w:rsid w:val="008558DB"/>
    <w:rsid w:val="00862621"/>
    <w:rsid w:val="00863C9F"/>
    <w:rsid w:val="00867F52"/>
    <w:rsid w:val="008817CE"/>
    <w:rsid w:val="0088422B"/>
    <w:rsid w:val="00884FFB"/>
    <w:rsid w:val="00885642"/>
    <w:rsid w:val="00886996"/>
    <w:rsid w:val="00894881"/>
    <w:rsid w:val="008A3938"/>
    <w:rsid w:val="008A7626"/>
    <w:rsid w:val="008A7E37"/>
    <w:rsid w:val="008B08DB"/>
    <w:rsid w:val="008B3556"/>
    <w:rsid w:val="008B3F1A"/>
    <w:rsid w:val="008C049D"/>
    <w:rsid w:val="008C326F"/>
    <w:rsid w:val="008C32CC"/>
    <w:rsid w:val="008C3FA1"/>
    <w:rsid w:val="008C4B03"/>
    <w:rsid w:val="008C6627"/>
    <w:rsid w:val="008C73B6"/>
    <w:rsid w:val="008C7C39"/>
    <w:rsid w:val="008D03CE"/>
    <w:rsid w:val="008D453C"/>
    <w:rsid w:val="008D5F0C"/>
    <w:rsid w:val="008E00E0"/>
    <w:rsid w:val="008E144A"/>
    <w:rsid w:val="008E7432"/>
    <w:rsid w:val="008F64EF"/>
    <w:rsid w:val="00901EE7"/>
    <w:rsid w:val="00904715"/>
    <w:rsid w:val="00907C7D"/>
    <w:rsid w:val="00911257"/>
    <w:rsid w:val="009174FA"/>
    <w:rsid w:val="00917B14"/>
    <w:rsid w:val="00920290"/>
    <w:rsid w:val="00920A5F"/>
    <w:rsid w:val="00923187"/>
    <w:rsid w:val="009233B8"/>
    <w:rsid w:val="009268D0"/>
    <w:rsid w:val="00926ADF"/>
    <w:rsid w:val="0092708D"/>
    <w:rsid w:val="00927DBD"/>
    <w:rsid w:val="00933A93"/>
    <w:rsid w:val="00943903"/>
    <w:rsid w:val="00945BA5"/>
    <w:rsid w:val="00945FAE"/>
    <w:rsid w:val="00947FF7"/>
    <w:rsid w:val="00950650"/>
    <w:rsid w:val="009509CD"/>
    <w:rsid w:val="009513A7"/>
    <w:rsid w:val="00953761"/>
    <w:rsid w:val="009568E5"/>
    <w:rsid w:val="009615D5"/>
    <w:rsid w:val="00964F3B"/>
    <w:rsid w:val="009669D2"/>
    <w:rsid w:val="009702A6"/>
    <w:rsid w:val="009711D8"/>
    <w:rsid w:val="00973235"/>
    <w:rsid w:val="009813CE"/>
    <w:rsid w:val="009830F4"/>
    <w:rsid w:val="0098422B"/>
    <w:rsid w:val="009844BB"/>
    <w:rsid w:val="00985F7A"/>
    <w:rsid w:val="00987139"/>
    <w:rsid w:val="009877A2"/>
    <w:rsid w:val="00987AEB"/>
    <w:rsid w:val="00990263"/>
    <w:rsid w:val="00995886"/>
    <w:rsid w:val="009971C5"/>
    <w:rsid w:val="00997A38"/>
    <w:rsid w:val="009A10E7"/>
    <w:rsid w:val="009A7582"/>
    <w:rsid w:val="009B0143"/>
    <w:rsid w:val="009B1D13"/>
    <w:rsid w:val="009B1FE3"/>
    <w:rsid w:val="009B3D3F"/>
    <w:rsid w:val="009B415E"/>
    <w:rsid w:val="009B6549"/>
    <w:rsid w:val="009C1F10"/>
    <w:rsid w:val="009D0F31"/>
    <w:rsid w:val="009D3DD5"/>
    <w:rsid w:val="009D6FBB"/>
    <w:rsid w:val="009E5719"/>
    <w:rsid w:val="009E6337"/>
    <w:rsid w:val="009F0316"/>
    <w:rsid w:val="009F521D"/>
    <w:rsid w:val="00A1006A"/>
    <w:rsid w:val="00A10243"/>
    <w:rsid w:val="00A10958"/>
    <w:rsid w:val="00A1126A"/>
    <w:rsid w:val="00A11C6A"/>
    <w:rsid w:val="00A1296C"/>
    <w:rsid w:val="00A17D25"/>
    <w:rsid w:val="00A20808"/>
    <w:rsid w:val="00A23CF3"/>
    <w:rsid w:val="00A32013"/>
    <w:rsid w:val="00A365CA"/>
    <w:rsid w:val="00A37C25"/>
    <w:rsid w:val="00A476D7"/>
    <w:rsid w:val="00A53484"/>
    <w:rsid w:val="00A55F0C"/>
    <w:rsid w:val="00A65AFC"/>
    <w:rsid w:val="00A6632F"/>
    <w:rsid w:val="00A67107"/>
    <w:rsid w:val="00A67BCB"/>
    <w:rsid w:val="00A75CDE"/>
    <w:rsid w:val="00A80A31"/>
    <w:rsid w:val="00A83127"/>
    <w:rsid w:val="00A909D9"/>
    <w:rsid w:val="00A92414"/>
    <w:rsid w:val="00A929D3"/>
    <w:rsid w:val="00A96E96"/>
    <w:rsid w:val="00A973CC"/>
    <w:rsid w:val="00AA020D"/>
    <w:rsid w:val="00AA0B71"/>
    <w:rsid w:val="00AA5332"/>
    <w:rsid w:val="00AA54A1"/>
    <w:rsid w:val="00AB6324"/>
    <w:rsid w:val="00AB753A"/>
    <w:rsid w:val="00AC4678"/>
    <w:rsid w:val="00AC75D7"/>
    <w:rsid w:val="00AD108D"/>
    <w:rsid w:val="00AD2D71"/>
    <w:rsid w:val="00AD5290"/>
    <w:rsid w:val="00AE400A"/>
    <w:rsid w:val="00AE4581"/>
    <w:rsid w:val="00AE79D3"/>
    <w:rsid w:val="00AF0F64"/>
    <w:rsid w:val="00AF15D0"/>
    <w:rsid w:val="00AF1CDC"/>
    <w:rsid w:val="00AF2994"/>
    <w:rsid w:val="00AF3B0E"/>
    <w:rsid w:val="00AF3BA7"/>
    <w:rsid w:val="00AF6354"/>
    <w:rsid w:val="00AF6363"/>
    <w:rsid w:val="00AF75FE"/>
    <w:rsid w:val="00B00B28"/>
    <w:rsid w:val="00B03D44"/>
    <w:rsid w:val="00B0414C"/>
    <w:rsid w:val="00B06B82"/>
    <w:rsid w:val="00B15043"/>
    <w:rsid w:val="00B15A60"/>
    <w:rsid w:val="00B16948"/>
    <w:rsid w:val="00B21D79"/>
    <w:rsid w:val="00B24033"/>
    <w:rsid w:val="00B33E07"/>
    <w:rsid w:val="00B40657"/>
    <w:rsid w:val="00B41DF2"/>
    <w:rsid w:val="00B44EA2"/>
    <w:rsid w:val="00B459AE"/>
    <w:rsid w:val="00B467C3"/>
    <w:rsid w:val="00B50679"/>
    <w:rsid w:val="00B52740"/>
    <w:rsid w:val="00B542AA"/>
    <w:rsid w:val="00B557AD"/>
    <w:rsid w:val="00B559B7"/>
    <w:rsid w:val="00B6016A"/>
    <w:rsid w:val="00B626CC"/>
    <w:rsid w:val="00B64867"/>
    <w:rsid w:val="00B64B9F"/>
    <w:rsid w:val="00B66FDF"/>
    <w:rsid w:val="00B67C07"/>
    <w:rsid w:val="00B71669"/>
    <w:rsid w:val="00B74E07"/>
    <w:rsid w:val="00B74F7C"/>
    <w:rsid w:val="00B81389"/>
    <w:rsid w:val="00B831F3"/>
    <w:rsid w:val="00B847BD"/>
    <w:rsid w:val="00B853F7"/>
    <w:rsid w:val="00B8751F"/>
    <w:rsid w:val="00B90B79"/>
    <w:rsid w:val="00B93E15"/>
    <w:rsid w:val="00B941D1"/>
    <w:rsid w:val="00B953AD"/>
    <w:rsid w:val="00BA01EC"/>
    <w:rsid w:val="00BA2343"/>
    <w:rsid w:val="00BA2C5C"/>
    <w:rsid w:val="00BA5374"/>
    <w:rsid w:val="00BA6368"/>
    <w:rsid w:val="00BA75DF"/>
    <w:rsid w:val="00BB193B"/>
    <w:rsid w:val="00BB30AA"/>
    <w:rsid w:val="00BB4C56"/>
    <w:rsid w:val="00BB6A8D"/>
    <w:rsid w:val="00BB6D88"/>
    <w:rsid w:val="00BB77E3"/>
    <w:rsid w:val="00BC1CF2"/>
    <w:rsid w:val="00BC6174"/>
    <w:rsid w:val="00BC6BF2"/>
    <w:rsid w:val="00BC6F1F"/>
    <w:rsid w:val="00BD16BC"/>
    <w:rsid w:val="00BD71D3"/>
    <w:rsid w:val="00BE119B"/>
    <w:rsid w:val="00BE7406"/>
    <w:rsid w:val="00BF1C59"/>
    <w:rsid w:val="00BF3750"/>
    <w:rsid w:val="00BF4303"/>
    <w:rsid w:val="00C02F25"/>
    <w:rsid w:val="00C03396"/>
    <w:rsid w:val="00C06F0D"/>
    <w:rsid w:val="00C07124"/>
    <w:rsid w:val="00C11F29"/>
    <w:rsid w:val="00C14CC7"/>
    <w:rsid w:val="00C15022"/>
    <w:rsid w:val="00C26A4E"/>
    <w:rsid w:val="00C31E45"/>
    <w:rsid w:val="00C3372A"/>
    <w:rsid w:val="00C33C4A"/>
    <w:rsid w:val="00C33D57"/>
    <w:rsid w:val="00C43283"/>
    <w:rsid w:val="00C4423A"/>
    <w:rsid w:val="00C45BF0"/>
    <w:rsid w:val="00C47B33"/>
    <w:rsid w:val="00C5347A"/>
    <w:rsid w:val="00C54627"/>
    <w:rsid w:val="00C54AA5"/>
    <w:rsid w:val="00C559BD"/>
    <w:rsid w:val="00C56D09"/>
    <w:rsid w:val="00C607E3"/>
    <w:rsid w:val="00C61431"/>
    <w:rsid w:val="00C663F1"/>
    <w:rsid w:val="00C74472"/>
    <w:rsid w:val="00C74A26"/>
    <w:rsid w:val="00C82420"/>
    <w:rsid w:val="00C865F8"/>
    <w:rsid w:val="00C8759A"/>
    <w:rsid w:val="00C92E3D"/>
    <w:rsid w:val="00C97FF6"/>
    <w:rsid w:val="00CB0605"/>
    <w:rsid w:val="00CB1EEB"/>
    <w:rsid w:val="00CB1FE8"/>
    <w:rsid w:val="00CB227D"/>
    <w:rsid w:val="00CB5659"/>
    <w:rsid w:val="00CB6DE9"/>
    <w:rsid w:val="00CB74F8"/>
    <w:rsid w:val="00CC0EFA"/>
    <w:rsid w:val="00CC1FB0"/>
    <w:rsid w:val="00CC52F5"/>
    <w:rsid w:val="00CC5DA7"/>
    <w:rsid w:val="00CD1E8D"/>
    <w:rsid w:val="00CD2529"/>
    <w:rsid w:val="00CD4BCB"/>
    <w:rsid w:val="00CD5748"/>
    <w:rsid w:val="00CD68C3"/>
    <w:rsid w:val="00CE4110"/>
    <w:rsid w:val="00CF2F90"/>
    <w:rsid w:val="00CF3C91"/>
    <w:rsid w:val="00CF3F49"/>
    <w:rsid w:val="00CF44A1"/>
    <w:rsid w:val="00CF4D84"/>
    <w:rsid w:val="00CF785F"/>
    <w:rsid w:val="00CF7FB9"/>
    <w:rsid w:val="00D06BE6"/>
    <w:rsid w:val="00D07780"/>
    <w:rsid w:val="00D07CE5"/>
    <w:rsid w:val="00D110C2"/>
    <w:rsid w:val="00D12756"/>
    <w:rsid w:val="00D1464F"/>
    <w:rsid w:val="00D163E1"/>
    <w:rsid w:val="00D16903"/>
    <w:rsid w:val="00D16B37"/>
    <w:rsid w:val="00D175BC"/>
    <w:rsid w:val="00D17AC8"/>
    <w:rsid w:val="00D17C6A"/>
    <w:rsid w:val="00D20760"/>
    <w:rsid w:val="00D21308"/>
    <w:rsid w:val="00D27DA9"/>
    <w:rsid w:val="00D3340D"/>
    <w:rsid w:val="00D355B7"/>
    <w:rsid w:val="00D373F2"/>
    <w:rsid w:val="00D37D1E"/>
    <w:rsid w:val="00D40061"/>
    <w:rsid w:val="00D40E83"/>
    <w:rsid w:val="00D41BC2"/>
    <w:rsid w:val="00D425D1"/>
    <w:rsid w:val="00D43BE9"/>
    <w:rsid w:val="00D44355"/>
    <w:rsid w:val="00D446C7"/>
    <w:rsid w:val="00D44CCA"/>
    <w:rsid w:val="00D50DB1"/>
    <w:rsid w:val="00D54885"/>
    <w:rsid w:val="00D55134"/>
    <w:rsid w:val="00D578FA"/>
    <w:rsid w:val="00D606B6"/>
    <w:rsid w:val="00D61AA1"/>
    <w:rsid w:val="00D63E18"/>
    <w:rsid w:val="00D6441C"/>
    <w:rsid w:val="00D67E98"/>
    <w:rsid w:val="00D75043"/>
    <w:rsid w:val="00D75D01"/>
    <w:rsid w:val="00D773FA"/>
    <w:rsid w:val="00D85103"/>
    <w:rsid w:val="00D87E5C"/>
    <w:rsid w:val="00D90617"/>
    <w:rsid w:val="00D9167B"/>
    <w:rsid w:val="00D91B15"/>
    <w:rsid w:val="00D92095"/>
    <w:rsid w:val="00D92AD4"/>
    <w:rsid w:val="00D934C4"/>
    <w:rsid w:val="00D96996"/>
    <w:rsid w:val="00D97059"/>
    <w:rsid w:val="00DA7A6D"/>
    <w:rsid w:val="00DB11E0"/>
    <w:rsid w:val="00DB179D"/>
    <w:rsid w:val="00DB436D"/>
    <w:rsid w:val="00DB53C9"/>
    <w:rsid w:val="00DC010F"/>
    <w:rsid w:val="00DC3F78"/>
    <w:rsid w:val="00DC636E"/>
    <w:rsid w:val="00DD0D05"/>
    <w:rsid w:val="00DD39A9"/>
    <w:rsid w:val="00DD4B36"/>
    <w:rsid w:val="00DE0982"/>
    <w:rsid w:val="00DE132A"/>
    <w:rsid w:val="00DE2AF1"/>
    <w:rsid w:val="00DE4ECF"/>
    <w:rsid w:val="00DE6316"/>
    <w:rsid w:val="00DF0B9B"/>
    <w:rsid w:val="00DF20A5"/>
    <w:rsid w:val="00DF2307"/>
    <w:rsid w:val="00E02302"/>
    <w:rsid w:val="00E035BB"/>
    <w:rsid w:val="00E036D5"/>
    <w:rsid w:val="00E03DA3"/>
    <w:rsid w:val="00E047F6"/>
    <w:rsid w:val="00E04C97"/>
    <w:rsid w:val="00E068CF"/>
    <w:rsid w:val="00E10DB1"/>
    <w:rsid w:val="00E116D5"/>
    <w:rsid w:val="00E11B5C"/>
    <w:rsid w:val="00E15D19"/>
    <w:rsid w:val="00E164E7"/>
    <w:rsid w:val="00E16CA7"/>
    <w:rsid w:val="00E20C7A"/>
    <w:rsid w:val="00E22FA6"/>
    <w:rsid w:val="00E23C29"/>
    <w:rsid w:val="00E246D2"/>
    <w:rsid w:val="00E24C98"/>
    <w:rsid w:val="00E25859"/>
    <w:rsid w:val="00E27397"/>
    <w:rsid w:val="00E30088"/>
    <w:rsid w:val="00E313DD"/>
    <w:rsid w:val="00E33052"/>
    <w:rsid w:val="00E349D0"/>
    <w:rsid w:val="00E35F4E"/>
    <w:rsid w:val="00E375D3"/>
    <w:rsid w:val="00E42A7D"/>
    <w:rsid w:val="00E470C8"/>
    <w:rsid w:val="00E5117A"/>
    <w:rsid w:val="00E515F4"/>
    <w:rsid w:val="00E5311F"/>
    <w:rsid w:val="00E5432E"/>
    <w:rsid w:val="00E5521E"/>
    <w:rsid w:val="00E557DD"/>
    <w:rsid w:val="00E609C2"/>
    <w:rsid w:val="00E6136C"/>
    <w:rsid w:val="00E61933"/>
    <w:rsid w:val="00E61FBD"/>
    <w:rsid w:val="00E719CB"/>
    <w:rsid w:val="00E724CE"/>
    <w:rsid w:val="00E72D55"/>
    <w:rsid w:val="00E7485E"/>
    <w:rsid w:val="00E76A14"/>
    <w:rsid w:val="00E77C62"/>
    <w:rsid w:val="00E849FC"/>
    <w:rsid w:val="00E9027E"/>
    <w:rsid w:val="00E910C2"/>
    <w:rsid w:val="00E91D7C"/>
    <w:rsid w:val="00E95ACE"/>
    <w:rsid w:val="00E968FF"/>
    <w:rsid w:val="00E97B47"/>
    <w:rsid w:val="00EA6FDB"/>
    <w:rsid w:val="00EC69A5"/>
    <w:rsid w:val="00EC6A9F"/>
    <w:rsid w:val="00EE06C8"/>
    <w:rsid w:val="00EE28DC"/>
    <w:rsid w:val="00EE52D5"/>
    <w:rsid w:val="00EE595C"/>
    <w:rsid w:val="00EE6DC1"/>
    <w:rsid w:val="00EF6072"/>
    <w:rsid w:val="00EF6EFA"/>
    <w:rsid w:val="00EF7466"/>
    <w:rsid w:val="00F01873"/>
    <w:rsid w:val="00F02BD6"/>
    <w:rsid w:val="00F04F89"/>
    <w:rsid w:val="00F11E49"/>
    <w:rsid w:val="00F1627A"/>
    <w:rsid w:val="00F167AA"/>
    <w:rsid w:val="00F1745B"/>
    <w:rsid w:val="00F206F4"/>
    <w:rsid w:val="00F2088E"/>
    <w:rsid w:val="00F223C3"/>
    <w:rsid w:val="00F233AD"/>
    <w:rsid w:val="00F31B58"/>
    <w:rsid w:val="00F32D65"/>
    <w:rsid w:val="00F33992"/>
    <w:rsid w:val="00F34EE9"/>
    <w:rsid w:val="00F43093"/>
    <w:rsid w:val="00F43C97"/>
    <w:rsid w:val="00F45039"/>
    <w:rsid w:val="00F45883"/>
    <w:rsid w:val="00F46119"/>
    <w:rsid w:val="00F47E4D"/>
    <w:rsid w:val="00F51350"/>
    <w:rsid w:val="00F54622"/>
    <w:rsid w:val="00F55932"/>
    <w:rsid w:val="00F6155E"/>
    <w:rsid w:val="00F678A6"/>
    <w:rsid w:val="00F710F1"/>
    <w:rsid w:val="00F72C34"/>
    <w:rsid w:val="00F73DED"/>
    <w:rsid w:val="00F75FF9"/>
    <w:rsid w:val="00F77109"/>
    <w:rsid w:val="00F7774C"/>
    <w:rsid w:val="00F82311"/>
    <w:rsid w:val="00F82798"/>
    <w:rsid w:val="00F82B69"/>
    <w:rsid w:val="00F8450E"/>
    <w:rsid w:val="00F851DD"/>
    <w:rsid w:val="00F856C9"/>
    <w:rsid w:val="00F91B87"/>
    <w:rsid w:val="00F92C11"/>
    <w:rsid w:val="00F93EED"/>
    <w:rsid w:val="00F96668"/>
    <w:rsid w:val="00FA093C"/>
    <w:rsid w:val="00FA16F3"/>
    <w:rsid w:val="00FA7226"/>
    <w:rsid w:val="00FB1F50"/>
    <w:rsid w:val="00FB3430"/>
    <w:rsid w:val="00FB3C48"/>
    <w:rsid w:val="00FB4609"/>
    <w:rsid w:val="00FB649C"/>
    <w:rsid w:val="00FB7C98"/>
    <w:rsid w:val="00FC163E"/>
    <w:rsid w:val="00FC295B"/>
    <w:rsid w:val="00FD0891"/>
    <w:rsid w:val="00FD0CF2"/>
    <w:rsid w:val="00FD0D00"/>
    <w:rsid w:val="00FD2219"/>
    <w:rsid w:val="00FD5CEA"/>
    <w:rsid w:val="00FE0B0C"/>
    <w:rsid w:val="00FE46E4"/>
    <w:rsid w:val="00FE66CA"/>
    <w:rsid w:val="00FE7D90"/>
    <w:rsid w:val="00FF1998"/>
    <w:rsid w:val="00FF7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24"/>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1st elvel bullet green,1st level - Bullet List Paragraph,Lettre d'introduction,Paragrafo elenco,l"/>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1st elvel bullet green Char,Paragrafo elenco Char"/>
    <w:link w:val="ListParagraph"/>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Header"/>
    <w:next w:val="Heading4"/>
    <w:link w:val="Stilius1Diagrama"/>
    <w:qFormat/>
    <w:rsid w:val="00CD2529"/>
    <w:pPr>
      <w:spacing w:before="120" w:after="120"/>
    </w:pPr>
    <w:rPr>
      <w:b/>
      <w:i/>
      <w:color w:val="44546A" w:themeColor="text2"/>
    </w:rPr>
  </w:style>
  <w:style w:type="character" w:customStyle="1" w:styleId="Stilius1Diagrama">
    <w:name w:val="Stilius1 Diagrama"/>
    <w:basedOn w:val="HeaderChar"/>
    <w:link w:val="Stilius1"/>
    <w:rsid w:val="00CD2529"/>
    <w:rPr>
      <w:rFonts w:ascii="Times New Roman" w:eastAsia="Times New Roman" w:hAnsi="Times New Roman" w:cs="Times New Roman"/>
      <w:b/>
      <w:i/>
      <w:color w:val="44546A" w:themeColor="text2"/>
      <w:sz w:val="24"/>
      <w:szCs w:val="20"/>
      <w:lang w:eastAsia="lt-LT"/>
    </w:rPr>
  </w:style>
  <w:style w:type="paragraph" w:styleId="Header">
    <w:name w:val="header"/>
    <w:basedOn w:val="Normal"/>
    <w:link w:val="HeaderChar"/>
    <w:uiPriority w:val="99"/>
    <w:unhideWhenUsed/>
    <w:rsid w:val="00CD2529"/>
    <w:pPr>
      <w:tabs>
        <w:tab w:val="center" w:pos="4819"/>
        <w:tab w:val="right" w:pos="9638"/>
      </w:tabs>
    </w:pPr>
  </w:style>
  <w:style w:type="character" w:customStyle="1" w:styleId="HeaderChar">
    <w:name w:val="Header Char"/>
    <w:basedOn w:val="DefaultParagraphFont"/>
    <w:link w:val="Header"/>
    <w:uiPriority w:val="99"/>
    <w:rsid w:val="00CD252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Normal"/>
    <w:rsid w:val="00CD2529"/>
    <w:pPr>
      <w:spacing w:before="100" w:beforeAutospacing="1" w:after="100" w:afterAutospacing="1"/>
    </w:pPr>
    <w:rPr>
      <w:szCs w:val="24"/>
    </w:rPr>
  </w:style>
  <w:style w:type="character" w:customStyle="1" w:styleId="cf01">
    <w:name w:val="cf01"/>
    <w:basedOn w:val="DefaultParagraphFont"/>
    <w:rsid w:val="00CD2529"/>
    <w:rPr>
      <w:rFonts w:ascii="Segoe UI" w:hAnsi="Segoe UI" w:cs="Segoe UI" w:hint="default"/>
      <w:sz w:val="18"/>
      <w:szCs w:val="18"/>
    </w:rPr>
  </w:style>
  <w:style w:type="character" w:customStyle="1" w:styleId="cf11">
    <w:name w:val="cf11"/>
    <w:basedOn w:val="DefaultParagraphFont"/>
    <w:rsid w:val="007F1949"/>
    <w:rPr>
      <w:rFonts w:ascii="Segoe UI" w:hAnsi="Segoe UI" w:cs="Segoe UI" w:hint="default"/>
      <w:sz w:val="18"/>
      <w:szCs w:val="18"/>
    </w:rPr>
  </w:style>
  <w:style w:type="character" w:customStyle="1" w:styleId="cf21">
    <w:name w:val="cf21"/>
    <w:basedOn w:val="DefaultParagraphFont"/>
    <w:rsid w:val="007F1949"/>
    <w:rPr>
      <w:rFonts w:ascii="Segoe UI" w:hAnsi="Segoe UI" w:cs="Segoe UI" w:hint="default"/>
      <w:sz w:val="18"/>
      <w:szCs w:val="18"/>
    </w:rPr>
  </w:style>
  <w:style w:type="paragraph" w:styleId="Revision">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DefaultParagraphFont"/>
    <w:link w:val="Antrat1"/>
    <w:uiPriority w:val="35"/>
    <w:locked/>
    <w:rsid w:val="00D54885"/>
    <w:rPr>
      <w:rFonts w:ascii="Trebuchet MS" w:hAnsi="Trebuchet MS"/>
      <w:b/>
      <w:bCs/>
      <w:color w:val="005962"/>
    </w:rPr>
  </w:style>
  <w:style w:type="paragraph" w:customStyle="1" w:styleId="Antrat1">
    <w:name w:val="Antraštė1"/>
    <w:aliases w:val="Caption-tables,Tasks,Beschriftung Char2,Beschriftung Char1 Char1,Beschriftung Char Char Char1,Beschriftung Char1 Char Char,Beschriftung Char Char Char Char,Beschriftung Char Char1 Char,Beschriftung Char Char2,Beschriftung Char1 Cha...,Eco"/>
    <w:basedOn w:val="Normal"/>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DefaultParagraphFont"/>
    <w:uiPriority w:val="99"/>
    <w:semiHidden/>
    <w:unhideWhenUsed/>
    <w:rsid w:val="00E04C97"/>
    <w:rPr>
      <w:color w:val="605E5C"/>
      <w:shd w:val="clear" w:color="auto" w:fill="E1DFDD"/>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iPriority w:val="99"/>
    <w:unhideWhenUsed/>
    <w:rsid w:val="00894881"/>
    <w:rPr>
      <w:rFonts w:asciiTheme="minorHAnsi" w:eastAsiaTheme="minorHAnsi" w:hAnsiTheme="minorHAnsi" w:cstheme="minorBidi"/>
      <w:sz w:val="20"/>
      <w:lang w:eastAsia="en-US"/>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rsid w:val="00894881"/>
    <w:rPr>
      <w:sz w:val="20"/>
      <w:szCs w:val="20"/>
    </w:rPr>
  </w:style>
  <w:style w:type="character" w:styleId="FootnoteReference">
    <w:name w:val="footnote reference"/>
    <w:aliases w:val="Ref,de nota al pie,Puslapio išnašos nuoroda1,fr,(NECG) Footnote Reference,o,footnumber,BVI fnr,SUPERS,Footnote symbol,Style 4,FR,Style 6,Style 3,Appel note de bas de p,Style 124,Footnote Reference Number,Footnote Reference_LVL6"/>
    <w:basedOn w:val="DefaultParagraphFont"/>
    <w:uiPriority w:val="99"/>
    <w:unhideWhenUsed/>
    <w:rsid w:val="00894881"/>
    <w:rPr>
      <w:vertAlign w:val="superscript"/>
    </w:rPr>
  </w:style>
  <w:style w:type="paragraph" w:customStyle="1" w:styleId="rfrenceinstitutionnelle">
    <w:name w:val="rfrenceinstitutionnelle"/>
    <w:basedOn w:val="Normal"/>
    <w:rsid w:val="00894881"/>
    <w:pPr>
      <w:spacing w:before="100" w:beforeAutospacing="1" w:after="100" w:afterAutospacing="1"/>
    </w:pPr>
    <w:rPr>
      <w:szCs w:val="24"/>
    </w:rPr>
  </w:style>
  <w:style w:type="paragraph" w:customStyle="1" w:styleId="Hyperlink1">
    <w:name w:val="Hyperlink1"/>
    <w:basedOn w:val="Normal"/>
    <w:qFormat/>
    <w:rsid w:val="00331808"/>
    <w:pPr>
      <w:ind w:left="720"/>
      <w:contextualSpacing/>
    </w:pPr>
    <w:rPr>
      <w:szCs w:val="24"/>
      <w:lang w:val="en-US" w:eastAsia="en-US"/>
    </w:rPr>
  </w:style>
  <w:style w:type="paragraph" w:styleId="Footer">
    <w:name w:val="footer"/>
    <w:basedOn w:val="Normal"/>
    <w:link w:val="FooterChar"/>
    <w:uiPriority w:val="99"/>
    <w:unhideWhenUsed/>
    <w:rsid w:val="0014759D"/>
    <w:pPr>
      <w:tabs>
        <w:tab w:val="center" w:pos="4819"/>
        <w:tab w:val="right" w:pos="9638"/>
      </w:tabs>
    </w:pPr>
  </w:style>
  <w:style w:type="character" w:customStyle="1" w:styleId="FooterChar">
    <w:name w:val="Footer Char"/>
    <w:basedOn w:val="DefaultParagraphFont"/>
    <w:link w:val="Footer"/>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F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46592538">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19011891">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25CA-4E61-49CF-A37B-5432CBF1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27219</Words>
  <Characters>15516</Characters>
  <Application>Microsoft Office Word</Application>
  <DocSecurity>4</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Paulius Kamaitis</cp:lastModifiedBy>
  <cp:revision>2</cp:revision>
  <cp:lastPrinted>2022-06-21T13:38:00Z</cp:lastPrinted>
  <dcterms:created xsi:type="dcterms:W3CDTF">2022-12-07T12:14:00Z</dcterms:created>
  <dcterms:modified xsi:type="dcterms:W3CDTF">2022-12-07T12:14:00Z</dcterms:modified>
</cp:coreProperties>
</file>