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5F62" w14:textId="4AFA90BA" w:rsidR="000E1BDC" w:rsidRPr="008910FE" w:rsidRDefault="002F0078" w:rsidP="00E933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NAUDOS IR KOKYBĖS VERTINIMO</w:t>
      </w:r>
      <w:r w:rsidR="008910FE" w:rsidRPr="008910FE">
        <w:rPr>
          <w:rFonts w:ascii="Times New Roman" w:hAnsi="Times New Roman" w:cs="Times New Roman"/>
          <w:b/>
        </w:rPr>
        <w:t xml:space="preserve"> PATIKROS LAPAS</w:t>
      </w:r>
    </w:p>
    <w:p w14:paraId="29FE12BC" w14:textId="77777777" w:rsidR="00B351D0" w:rsidRPr="007C7A59" w:rsidRDefault="001D355E" w:rsidP="00047D1C">
      <w:pPr>
        <w:pStyle w:val="Heading1"/>
        <w:numPr>
          <w:ilvl w:val="0"/>
          <w:numId w:val="2"/>
        </w:numPr>
        <w:rPr>
          <w:b w:val="0"/>
        </w:rPr>
      </w:pPr>
      <w:r w:rsidRPr="007C7A59">
        <w:t>BENDRA INFORMACIJA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539"/>
        <w:gridCol w:w="11057"/>
      </w:tblGrid>
      <w:tr w:rsidR="00B351D0" w:rsidRPr="007C7A59" w14:paraId="324F7CBB" w14:textId="77777777" w:rsidTr="003125E8">
        <w:tc>
          <w:tcPr>
            <w:tcW w:w="3539" w:type="dxa"/>
            <w:shd w:val="clear" w:color="auto" w:fill="D9D9D9" w:themeFill="background1" w:themeFillShade="D9"/>
          </w:tcPr>
          <w:p w14:paraId="132191F0" w14:textId="4E85891C" w:rsidR="00B351D0" w:rsidRPr="008D18C8" w:rsidRDefault="00B351D0" w:rsidP="00E93301">
            <w:pPr>
              <w:pStyle w:val="ListParagraph"/>
              <w:numPr>
                <w:ilvl w:val="1"/>
                <w:numId w:val="2"/>
              </w:numPr>
              <w:tabs>
                <w:tab w:val="left" w:pos="457"/>
              </w:tabs>
              <w:spacing w:after="120"/>
              <w:ind w:left="0" w:firstLine="0"/>
              <w:rPr>
                <w:rFonts w:ascii="Times New Roman" w:hAnsi="Times New Roman" w:cs="Times New Roman"/>
              </w:rPr>
            </w:pPr>
            <w:r w:rsidRPr="008D18C8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11057" w:type="dxa"/>
          </w:tcPr>
          <w:p w14:paraId="09E85D49" w14:textId="6FD8BFE8" w:rsidR="00B351D0" w:rsidRPr="008D18C8" w:rsidRDefault="00B351D0" w:rsidP="00E9330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351D0" w:rsidRPr="007C7A59" w14:paraId="69A47D95" w14:textId="77777777" w:rsidTr="003125E8">
        <w:tc>
          <w:tcPr>
            <w:tcW w:w="3539" w:type="dxa"/>
            <w:shd w:val="clear" w:color="auto" w:fill="D9D9D9" w:themeFill="background1" w:themeFillShade="D9"/>
          </w:tcPr>
          <w:p w14:paraId="1F578F5F" w14:textId="54712913" w:rsidR="00B351D0" w:rsidRPr="008D18C8" w:rsidRDefault="00B351D0" w:rsidP="00E93301">
            <w:pPr>
              <w:pStyle w:val="ListParagraph"/>
              <w:numPr>
                <w:ilvl w:val="1"/>
                <w:numId w:val="2"/>
              </w:numPr>
              <w:tabs>
                <w:tab w:val="left" w:pos="457"/>
              </w:tabs>
              <w:spacing w:after="120"/>
              <w:ind w:left="0" w:firstLine="0"/>
              <w:rPr>
                <w:rFonts w:ascii="Times New Roman" w:hAnsi="Times New Roman" w:cs="Times New Roman"/>
              </w:rPr>
            </w:pPr>
            <w:r w:rsidRPr="008D18C8">
              <w:rPr>
                <w:rFonts w:ascii="Times New Roman" w:hAnsi="Times New Roman" w:cs="Times New Roman"/>
              </w:rPr>
              <w:t>Projekto vykdytojas</w:t>
            </w:r>
            <w:r w:rsidR="008910FE" w:rsidRPr="008D18C8">
              <w:rPr>
                <w:rFonts w:ascii="Times New Roman" w:hAnsi="Times New Roman" w:cs="Times New Roman"/>
              </w:rPr>
              <w:t xml:space="preserve"> (Pareiškėjas)</w:t>
            </w:r>
          </w:p>
        </w:tc>
        <w:tc>
          <w:tcPr>
            <w:tcW w:w="11057" w:type="dxa"/>
          </w:tcPr>
          <w:p w14:paraId="7D24036E" w14:textId="694715F3" w:rsidR="00B351D0" w:rsidRPr="008D18C8" w:rsidRDefault="00B351D0" w:rsidP="00E9330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D355E" w:rsidRPr="007C7A59" w14:paraId="72579DC4" w14:textId="77777777" w:rsidTr="003125E8">
        <w:tc>
          <w:tcPr>
            <w:tcW w:w="3539" w:type="dxa"/>
            <w:shd w:val="clear" w:color="auto" w:fill="D9D9D9" w:themeFill="background1" w:themeFillShade="D9"/>
          </w:tcPr>
          <w:p w14:paraId="0F805FEC" w14:textId="4D1BB93F" w:rsidR="001D355E" w:rsidRPr="008D18C8" w:rsidRDefault="001D355E" w:rsidP="00E93301">
            <w:pPr>
              <w:pStyle w:val="ListParagraph"/>
              <w:numPr>
                <w:ilvl w:val="1"/>
                <w:numId w:val="2"/>
              </w:numPr>
              <w:tabs>
                <w:tab w:val="left" w:pos="457"/>
              </w:tabs>
              <w:spacing w:after="120"/>
              <w:ind w:left="0" w:firstLine="0"/>
              <w:rPr>
                <w:rFonts w:ascii="Times New Roman" w:hAnsi="Times New Roman" w:cs="Times New Roman"/>
              </w:rPr>
            </w:pPr>
            <w:r w:rsidRPr="008D18C8">
              <w:rPr>
                <w:rFonts w:ascii="Times New Roman" w:hAnsi="Times New Roman" w:cs="Times New Roman"/>
              </w:rPr>
              <w:t xml:space="preserve">Tikrinamo objekto </w:t>
            </w:r>
            <w:r w:rsidR="00A043DF" w:rsidRPr="008D18C8">
              <w:rPr>
                <w:rFonts w:ascii="Times New Roman" w:hAnsi="Times New Roman" w:cs="Times New Roman"/>
              </w:rPr>
              <w:t xml:space="preserve">gavimo </w:t>
            </w:r>
            <w:r w:rsidRPr="008D18C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1057" w:type="dxa"/>
          </w:tcPr>
          <w:p w14:paraId="4AEC9D33" w14:textId="6721F00E" w:rsidR="001D355E" w:rsidRPr="008D18C8" w:rsidRDefault="001D355E" w:rsidP="00E9330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027A7495" w14:textId="761852F1" w:rsidR="0079046B" w:rsidRDefault="001D355E" w:rsidP="00047D1C">
      <w:pPr>
        <w:pStyle w:val="Heading1"/>
        <w:numPr>
          <w:ilvl w:val="0"/>
          <w:numId w:val="2"/>
        </w:numPr>
      </w:pPr>
      <w:r w:rsidRPr="007C7A59">
        <w:t>PATIKROS KLAUSIMAI</w:t>
      </w:r>
    </w:p>
    <w:tbl>
      <w:tblPr>
        <w:tblW w:w="5000" w:type="pct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3"/>
        <w:gridCol w:w="1699"/>
        <w:gridCol w:w="6666"/>
        <w:gridCol w:w="990"/>
        <w:gridCol w:w="850"/>
        <w:gridCol w:w="993"/>
        <w:gridCol w:w="990"/>
        <w:gridCol w:w="993"/>
        <w:gridCol w:w="955"/>
      </w:tblGrid>
      <w:tr w:rsidR="00E12105" w:rsidRPr="002F0078" w14:paraId="056CAE02" w14:textId="77777777" w:rsidTr="00E7587F">
        <w:trPr>
          <w:trHeight w:val="91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A53C4C0" w14:textId="7777777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F00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B00590" w14:textId="4543C8FD" w:rsidR="002F0078" w:rsidRPr="00EA4E9A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A4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Kriterijus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26ECE" w14:textId="6CF15351" w:rsidR="002F0078" w:rsidRPr="00EA4E9A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A4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Kriterijaus vertinimo</w:t>
            </w:r>
            <w:r w:rsidR="001A6072" w:rsidRPr="00EA4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metodas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F1BAAA" w14:textId="77777777" w:rsidR="002F0078" w:rsidRPr="00EA4E9A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A4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Didžiausias galimas kriterijaus balas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092DFD5" w14:textId="77777777" w:rsidR="002F0078" w:rsidRPr="00EA4E9A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A4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Kriterijaus įvertinimas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DA19A37" w14:textId="412D0708" w:rsidR="002F0078" w:rsidRPr="00EA4E9A" w:rsidRDefault="001A6072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A4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Kriterijaus s</w:t>
            </w:r>
            <w:r w:rsidR="002F0078" w:rsidRPr="00EA4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vorio koeficientas </w:t>
            </w:r>
            <w:r w:rsidR="002F0078" w:rsidRPr="00EA4E9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(jei taikoma)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BA5ED6C" w14:textId="77777777" w:rsidR="002F0078" w:rsidRPr="00EA4E9A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A4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Suteiktų balų skaičius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7922B7B" w14:textId="7777777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F00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Minimalus privalomas surinkti balų skaičius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D9AC462" w14:textId="7777777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F00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Komentarai</w:t>
            </w:r>
          </w:p>
        </w:tc>
      </w:tr>
      <w:tr w:rsidR="00E12105" w:rsidRPr="002F0078" w14:paraId="76685C02" w14:textId="77777777" w:rsidTr="00E7587F">
        <w:trPr>
          <w:trHeight w:val="401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5C445D" w14:textId="20207D55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F00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5808B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821F" w14:textId="7A145CCB" w:rsidR="002F0078" w:rsidRPr="00EA4E9A" w:rsidRDefault="003125E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EA4E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Didžiausias </w:t>
            </w:r>
            <w:proofErr w:type="spellStart"/>
            <w:r w:rsidRPr="00EA4E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biometano</w:t>
            </w:r>
            <w:proofErr w:type="spellEnd"/>
            <w:r w:rsidRPr="00EA4E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du</w:t>
            </w:r>
            <w:r w:rsidR="00E758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Pr="00EA4E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ų gamybos įrenginio pajėgumas tenkantis </w:t>
            </w:r>
            <w:r w:rsidRPr="00EA4E9A">
              <w:rPr>
                <w:rFonts w:ascii="Times New Roman" w:hAnsi="Times New Roman" w:cs="Times New Roman"/>
                <w:color w:val="000000"/>
              </w:rPr>
              <w:t>vienam tūkstančiui viešųjų investicijų</w:t>
            </w:r>
            <w:r w:rsidRPr="00EA4E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45B3" w14:textId="42C0AAD3" w:rsidR="00E7587F" w:rsidRPr="00E7587F" w:rsidRDefault="00E7587F" w:rsidP="00E758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8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Įvertinamas </w:t>
            </w:r>
            <w:proofErr w:type="spellStart"/>
            <w:r w:rsidRPr="00E758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biometano</w:t>
            </w:r>
            <w:proofErr w:type="spellEnd"/>
            <w:r w:rsidRPr="00E758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dujų gamybos įrenginio pajėgumas tenkantis vienam tūkstančiui viešųjų investicijų (GPP):</w:t>
            </w:r>
          </w:p>
          <w:p w14:paraId="21B5BFAB" w14:textId="77777777" w:rsidR="00E7587F" w:rsidRPr="00E7587F" w:rsidRDefault="00E7587F" w:rsidP="00E758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486BC37" w14:textId="456B4AEA" w:rsidR="00E7587F" w:rsidRPr="00E7587F" w:rsidRDefault="00E7587F" w:rsidP="00E758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87F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BE3BF2" wp14:editId="4D40AE4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41910</wp:posOffset>
                      </wp:positionV>
                      <wp:extent cx="2133600" cy="347345"/>
                      <wp:effectExtent l="0" t="0" r="0" b="3810"/>
                      <wp:wrapNone/>
                      <wp:docPr id="1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00C23-14EB-42B3-A71E-3AE7486BC9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0E60C5" w14:textId="77777777" w:rsidR="00E7587F" w:rsidRDefault="00E7587F" w:rsidP="00E7587F">
                                  <w:pPr>
                                    <w:rPr>
                                      <w:rFonts w:ascii="Cambria Math" w:eastAsia="+mn-ea" w:hAnsi="Cambria Math" w:cs="+mn-cs"/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w:rPr>
                                          <w:rFonts w:ascii="Cambria Math" w:eastAsia="+mn-ea" w:hAnsi="Cambria Math" w:cs="+mn-cs"/>
                                          <w:color w:val="000000"/>
                                        </w:rPr>
                                        <m:t>GPP=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(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</w:rPr>
                                            <m:t>GP</m:t>
                                          </m:r>
                                        </m:num>
                                        <m:den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</w:rPr>
                                                <m:t xml:space="preserve">BPI×FI% </m:t>
                                              </m:r>
                                            </m:e>
                                          </m:d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) x 1000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E3B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.25pt;margin-top:3.3pt;width:168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" filled="f" stroked="f">
                      <v:textbox style="mso-fit-shape-to-text:t" inset="0,0,0,0">
                        <w:txbxContent>
                          <w:p w14:paraId="6D0E60C5" w14:textId="77777777" w:rsidR="00E7587F" w:rsidRDefault="00E7587F" w:rsidP="00E7587F">
                            <w:pPr>
                              <w:rPr>
                                <w:rFonts w:ascii="Cambria Math" w:eastAsia="+mn-ea" w:hAnsi="Cambria Math" w:cs="+mn-cs"/>
                                <w:i/>
                                <w:iCs/>
                                <w:color w:val="00000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</w:rPr>
                                  <m:t>GPP=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(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</w:rPr>
                                      <m:t>GP</m:t>
                                    </m:r>
                                  </m:num>
                                  <m:den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 xml:space="preserve">BPI×FI% 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) x 1000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30E5CE" w14:textId="77777777" w:rsidR="00E7587F" w:rsidRPr="00E7587F" w:rsidRDefault="00E7587F" w:rsidP="00E758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EECD3CB" w14:textId="77777777" w:rsidR="00E7587F" w:rsidRPr="00E7587F" w:rsidRDefault="00E7587F" w:rsidP="00E758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8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GP – gamybos įrenginio pajėgumas  kubiniais metrais per valandą;</w:t>
            </w:r>
          </w:p>
          <w:p w14:paraId="3E860948" w14:textId="77777777" w:rsidR="00E7587F" w:rsidRPr="00E7587F" w:rsidRDefault="00E7587F" w:rsidP="00E758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8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BPI – bendra projekto tinkamų finansuoti išlaidų suma, eurais;</w:t>
            </w:r>
          </w:p>
          <w:p w14:paraId="39E878C6" w14:textId="4025BA6A" w:rsidR="00E7587F" w:rsidRPr="00E7587F" w:rsidRDefault="00E7587F" w:rsidP="00E758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8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FI% - taikomas finansavimo intensyvumas, procentais;</w:t>
            </w:r>
          </w:p>
          <w:p w14:paraId="266E0831" w14:textId="77777777" w:rsidR="00E7587F" w:rsidRPr="00E7587F" w:rsidRDefault="00E7587F" w:rsidP="00E758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8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Jeigu GPP ≥0,4, skiriami 4 balai;</w:t>
            </w:r>
          </w:p>
          <w:p w14:paraId="663D057B" w14:textId="77777777" w:rsidR="00E7587F" w:rsidRPr="00E7587F" w:rsidRDefault="00E7587F" w:rsidP="00E758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8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Jeigu GPP ≥0,3, skiriami 3 balai;</w:t>
            </w:r>
          </w:p>
          <w:p w14:paraId="4E083D0A" w14:textId="77777777" w:rsidR="00E7587F" w:rsidRPr="00E7587F" w:rsidRDefault="00E7587F" w:rsidP="00E7587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8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Jeigu GPP ≥ 0,2, skiriami 2 balai;</w:t>
            </w:r>
          </w:p>
          <w:p w14:paraId="2E07AD0A" w14:textId="6C629542" w:rsidR="003125E8" w:rsidRPr="00E7587F" w:rsidRDefault="00E7587F" w:rsidP="00E7587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8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Jeigu GPP ≥ 0,1, skiriamas 1 balas.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20F0" w14:textId="5943C978" w:rsidR="002F0078" w:rsidRPr="007D3408" w:rsidRDefault="005808BF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408">
              <w:rPr>
                <w:rFonts w:ascii="Times New Roman" w:eastAsia="Times New Roman" w:hAnsi="Times New Roman" w:cs="Times New Roman"/>
                <w:lang w:eastAsia="lt-LT"/>
              </w:rPr>
              <w:t>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7BE3" w14:textId="1894ECDE" w:rsidR="002F0078" w:rsidRPr="007D340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B876" w14:textId="048E49A7" w:rsidR="002F0078" w:rsidRPr="007D3408" w:rsidRDefault="005808BF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408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7097" w14:textId="027BD0EF" w:rsidR="002F0078" w:rsidRPr="00EA4E9A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616" w14:textId="6A13539E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ACAD" w14:textId="54B5CC8F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E12105" w:rsidRPr="002F0078" w14:paraId="0EFF391A" w14:textId="77777777" w:rsidTr="00E7587F">
        <w:trPr>
          <w:trHeight w:val="3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9EBFE6" w14:textId="1C84AB5B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F00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5808B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34A81C" w14:textId="2849FCC1" w:rsidR="002F0078" w:rsidRPr="00EA4E9A" w:rsidRDefault="005808BF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4E9A">
              <w:rPr>
                <w:rFonts w:ascii="Times New Roman" w:hAnsi="Times New Roman" w:cs="Times New Roman"/>
              </w:rPr>
              <w:t>Pareiškėjo įmonės dydis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748CDC" w14:textId="77777777" w:rsidR="00383707" w:rsidRDefault="005808BF" w:rsidP="00EA4E9A">
            <w:pPr>
              <w:tabs>
                <w:tab w:val="left" w:pos="271"/>
                <w:tab w:val="left" w:pos="993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lang w:val="lt"/>
              </w:rPr>
            </w:pPr>
            <w:r w:rsidRPr="00EA4E9A">
              <w:rPr>
                <w:rFonts w:ascii="Times New Roman" w:hAnsi="Times New Roman" w:cs="Times New Roman"/>
                <w:lang w:val="lt"/>
              </w:rPr>
              <w:t xml:space="preserve">Prioritetas teikiamas labai mažoms ir mažoms įmonėms bei žemės ūkio veiklos subjektams: </w:t>
            </w:r>
          </w:p>
          <w:p w14:paraId="3B2171A4" w14:textId="7BEE991B" w:rsidR="00EA4E9A" w:rsidRDefault="005808BF" w:rsidP="00EA4E9A">
            <w:pPr>
              <w:tabs>
                <w:tab w:val="left" w:pos="271"/>
                <w:tab w:val="left" w:pos="993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lang w:val="lt"/>
              </w:rPr>
            </w:pPr>
            <w:r w:rsidRPr="00EA4E9A">
              <w:rPr>
                <w:rFonts w:ascii="Times New Roman" w:hAnsi="Times New Roman" w:cs="Times New Roman"/>
                <w:lang w:val="lt"/>
              </w:rPr>
              <w:t>1. kai pareiškėjas yra žemės ūkio veiklos subjektas jam skiriami 1 balai;</w:t>
            </w:r>
          </w:p>
          <w:p w14:paraId="2C21ED93" w14:textId="09DB3F8B" w:rsidR="002F0078" w:rsidRPr="00EA4E9A" w:rsidRDefault="005808BF" w:rsidP="00EA4E9A">
            <w:pPr>
              <w:tabs>
                <w:tab w:val="left" w:pos="271"/>
                <w:tab w:val="left" w:pos="993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lang w:val="lt"/>
              </w:rPr>
            </w:pPr>
            <w:r w:rsidRPr="00EA4E9A">
              <w:rPr>
                <w:rFonts w:ascii="Times New Roman" w:hAnsi="Times New Roman" w:cs="Times New Roman"/>
                <w:lang w:val="lt"/>
              </w:rPr>
              <w:lastRenderedPageBreak/>
              <w:t>2. kai pareiškėjas yra labai maža, maža įmonė, jam skiriama 0,5 balo.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EB1B" w14:textId="63C1B20E" w:rsidR="002F0078" w:rsidRPr="00EA4E9A" w:rsidRDefault="005808BF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lt-LT"/>
              </w:rPr>
            </w:pPr>
            <w:r w:rsidRPr="00EA4E9A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7F4852" w14:textId="77777777" w:rsidR="002F0078" w:rsidRPr="00EA4E9A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063FA3" w14:textId="4C789A32" w:rsidR="002F0078" w:rsidRPr="00EA4E9A" w:rsidRDefault="005808BF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lt-LT"/>
              </w:rPr>
            </w:pPr>
            <w:r w:rsidRPr="00EA4E9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C445DA" w14:textId="77777777" w:rsidR="002F0078" w:rsidRPr="00EA4E9A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89CC8" w14:textId="7777777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635D4D" w14:textId="7777777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12105" w:rsidRPr="002F0078" w14:paraId="6E4ACE14" w14:textId="77777777" w:rsidTr="00E7587F">
        <w:trPr>
          <w:trHeight w:val="3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E6406" w14:textId="4E57E1F7" w:rsidR="002F0078" w:rsidRPr="002F0078" w:rsidRDefault="005808BF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02242" w14:textId="6320CFB4" w:rsidR="002F0078" w:rsidRPr="00EA4E9A" w:rsidRDefault="005808BF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4E9A">
              <w:rPr>
                <w:rFonts w:ascii="Times New Roman" w:hAnsi="Times New Roman" w:cs="Times New Roman"/>
              </w:rPr>
              <w:t>Atliekų ir (ar) liekanų žiedinės vertės išnaudojimas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EFCFE" w14:textId="7A02BF0B" w:rsidR="002F0078" w:rsidRPr="00532CDF" w:rsidRDefault="006C4E00" w:rsidP="006C4E0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CDF">
              <w:rPr>
                <w:rFonts w:ascii="Times New Roman" w:hAnsi="Times New Roman" w:cs="Times New Roman"/>
                <w:i/>
                <w:iCs/>
                <w:lang w:val="lt"/>
              </w:rPr>
              <w:t xml:space="preserve">Prioritetas teikiamas pareiškėjams, kurie </w:t>
            </w:r>
            <w:proofErr w:type="spellStart"/>
            <w:r w:rsidRPr="00532CDF">
              <w:rPr>
                <w:rFonts w:ascii="Times New Roman" w:hAnsi="Times New Roman" w:cs="Times New Roman"/>
                <w:i/>
                <w:iCs/>
                <w:lang w:val="lt"/>
              </w:rPr>
              <w:t>biometano</w:t>
            </w:r>
            <w:proofErr w:type="spellEnd"/>
            <w:r w:rsidRPr="00532CDF">
              <w:rPr>
                <w:rFonts w:ascii="Times New Roman" w:hAnsi="Times New Roman" w:cs="Times New Roman"/>
                <w:i/>
                <w:iCs/>
                <w:lang w:val="lt"/>
              </w:rPr>
              <w:t xml:space="preserve"> gamybai </w:t>
            </w:r>
            <w:r w:rsidRPr="00532CDF">
              <w:rPr>
                <w:rFonts w:ascii="Times New Roman" w:hAnsi="Times New Roman" w:cs="Times New Roman"/>
                <w:b/>
                <w:bCs/>
                <w:i/>
                <w:iCs/>
                <w:lang w:val="lt"/>
              </w:rPr>
              <w:t>naudoja ar naudos</w:t>
            </w:r>
            <w:r w:rsidRPr="00532CDF">
              <w:rPr>
                <w:rFonts w:ascii="Times New Roman" w:hAnsi="Times New Roman" w:cs="Times New Roman"/>
                <w:i/>
                <w:iCs/>
                <w:lang w:val="lt"/>
              </w:rPr>
              <w:t xml:space="preserve"> </w:t>
            </w:r>
            <w:proofErr w:type="spellStart"/>
            <w:r w:rsidRPr="00532CDF">
              <w:rPr>
                <w:rFonts w:ascii="Times New Roman" w:hAnsi="Times New Roman" w:cs="Times New Roman"/>
                <w:i/>
                <w:iCs/>
                <w:lang w:val="lt"/>
              </w:rPr>
              <w:t>biometano</w:t>
            </w:r>
            <w:proofErr w:type="spellEnd"/>
            <w:r w:rsidRPr="00532CDF">
              <w:rPr>
                <w:rFonts w:ascii="Times New Roman" w:hAnsi="Times New Roman" w:cs="Times New Roman"/>
                <w:i/>
                <w:iCs/>
                <w:lang w:val="lt"/>
              </w:rPr>
              <w:t xml:space="preserve"> įrenginio eksploatavimo metu atliekas ir (ar) liekanas susidarančias vykdant kitą ūkinę veiklą pareiškėjui ir (ar) partneriui arba pareiškėjo susijusiai įmonei priklausančiame objekte nutolusiame ne toliau kaip per 10 km. nuo </w:t>
            </w:r>
            <w:proofErr w:type="spellStart"/>
            <w:r w:rsidRPr="00532CDF">
              <w:rPr>
                <w:rFonts w:ascii="Times New Roman" w:hAnsi="Times New Roman" w:cs="Times New Roman"/>
                <w:i/>
                <w:iCs/>
                <w:lang w:val="lt"/>
              </w:rPr>
              <w:t>biometano</w:t>
            </w:r>
            <w:proofErr w:type="spellEnd"/>
            <w:r w:rsidRPr="00532CDF">
              <w:rPr>
                <w:rFonts w:ascii="Times New Roman" w:hAnsi="Times New Roman" w:cs="Times New Roman"/>
                <w:i/>
                <w:iCs/>
                <w:lang w:val="lt"/>
              </w:rPr>
              <w:t xml:space="preserve"> gamybos vietos. Atliekų ir (ar) liekanų kiekis turi būti nemažesnis kaip pusė </w:t>
            </w:r>
            <w:proofErr w:type="spellStart"/>
            <w:r w:rsidRPr="00532CDF">
              <w:rPr>
                <w:rFonts w:ascii="Times New Roman" w:hAnsi="Times New Roman" w:cs="Times New Roman"/>
                <w:i/>
                <w:iCs/>
                <w:lang w:val="lt"/>
              </w:rPr>
              <w:t>biometano</w:t>
            </w:r>
            <w:proofErr w:type="spellEnd"/>
            <w:r w:rsidRPr="00532CDF">
              <w:rPr>
                <w:rFonts w:ascii="Times New Roman" w:hAnsi="Times New Roman" w:cs="Times New Roman"/>
                <w:i/>
                <w:iCs/>
                <w:lang w:val="lt"/>
              </w:rPr>
              <w:t xml:space="preserve"> gamybai reikalingų žaliavų. Skiriamas 1 balas.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6CE5" w14:textId="71905246" w:rsidR="002F0078" w:rsidRPr="00EA4E9A" w:rsidRDefault="005808BF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lt-LT"/>
              </w:rPr>
            </w:pPr>
            <w:r w:rsidRPr="00EA4E9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781D" w14:textId="77777777" w:rsidR="002F0078" w:rsidRPr="00EA4E9A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D217" w14:textId="517541DC" w:rsidR="002F0078" w:rsidRPr="00EA4E9A" w:rsidRDefault="005808BF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lt-LT"/>
              </w:rPr>
            </w:pPr>
            <w:r w:rsidRPr="00EA4E9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A93A" w14:textId="77777777" w:rsidR="002F0078" w:rsidRPr="00EA4E9A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ECFC" w14:textId="7777777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745C" w14:textId="7777777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8BF" w:rsidRPr="002F0078" w14:paraId="6CE49BF1" w14:textId="77777777" w:rsidTr="00E7587F">
        <w:trPr>
          <w:trHeight w:val="125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BB3E" w14:textId="7777777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1B9B" w14:textId="7777777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BDA3A" w14:textId="7777777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0" w:name="NK_vertinimas_(1.2.4)!C48"/>
            <w:bookmarkEnd w:id="0"/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DFE9DD" w14:textId="77777777" w:rsidR="002F0078" w:rsidRPr="002F0078" w:rsidRDefault="002F0078" w:rsidP="002F0078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51BBACC" w14:textId="77777777" w:rsidR="002F0078" w:rsidRPr="002F0078" w:rsidRDefault="002F0078" w:rsidP="002F0078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F00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SUMA: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F315" w14:textId="1A6C7A8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57B4" w14:textId="0559ED3F" w:rsidR="002F0078" w:rsidRPr="002F0078" w:rsidRDefault="005808BF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EA4E9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DE45D85" w14:textId="77777777" w:rsidR="002F0078" w:rsidRPr="002F0078" w:rsidRDefault="002F0078" w:rsidP="002F00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4086132E" w14:textId="77777777" w:rsidR="00D3720E" w:rsidRPr="00D3720E" w:rsidRDefault="00D3720E" w:rsidP="00E93301">
      <w:pPr>
        <w:pStyle w:val="ListParagraph"/>
        <w:keepNext/>
        <w:keepLines/>
        <w:numPr>
          <w:ilvl w:val="0"/>
          <w:numId w:val="13"/>
        </w:numPr>
        <w:tabs>
          <w:tab w:val="left" w:pos="426"/>
        </w:tabs>
        <w:spacing w:before="40" w:after="0" w:line="360" w:lineRule="auto"/>
        <w:ind w:left="0" w:firstLine="0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color w:val="FFFFFF" w:themeColor="background1"/>
          <w:sz w:val="2"/>
          <w:szCs w:val="2"/>
        </w:rPr>
      </w:pPr>
    </w:p>
    <w:p w14:paraId="3074F36A" w14:textId="77777777" w:rsidR="00D3720E" w:rsidRPr="00D3720E" w:rsidRDefault="00D3720E" w:rsidP="00E93301">
      <w:pPr>
        <w:pStyle w:val="ListParagraph"/>
        <w:keepNext/>
        <w:keepLines/>
        <w:numPr>
          <w:ilvl w:val="0"/>
          <w:numId w:val="13"/>
        </w:numPr>
        <w:tabs>
          <w:tab w:val="left" w:pos="426"/>
        </w:tabs>
        <w:spacing w:before="40" w:after="0" w:line="360" w:lineRule="auto"/>
        <w:ind w:left="0" w:firstLine="0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color w:val="FFFFFF" w:themeColor="background1"/>
          <w:sz w:val="2"/>
          <w:szCs w:val="2"/>
        </w:rPr>
      </w:pPr>
    </w:p>
    <w:p w14:paraId="5024AE22" w14:textId="2756BBD8" w:rsidR="00AB1327" w:rsidRDefault="005808BF" w:rsidP="00047D1C">
      <w:pPr>
        <w:pStyle w:val="Heading1"/>
        <w:numPr>
          <w:ilvl w:val="0"/>
          <w:numId w:val="2"/>
        </w:numPr>
      </w:pPr>
      <w:r>
        <w:t>S</w:t>
      </w:r>
      <w:r w:rsidR="00EC0E11" w:rsidRPr="00EC0E11">
        <w:t>PRENDIMAS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2F4D33" w14:paraId="29B50397" w14:textId="77777777" w:rsidTr="00EA4E9A">
        <w:tc>
          <w:tcPr>
            <w:tcW w:w="14596" w:type="dxa"/>
          </w:tcPr>
          <w:p w14:paraId="5348C4DC" w14:textId="65EF45D4" w:rsidR="002F4D33" w:rsidRDefault="002F4D33" w:rsidP="008864ED">
            <w:pPr>
              <w:pStyle w:val="Heading2"/>
              <w:outlineLvl w:val="1"/>
            </w:pPr>
          </w:p>
        </w:tc>
      </w:tr>
    </w:tbl>
    <w:p w14:paraId="33C976D2" w14:textId="7CC8C12D" w:rsidR="002D7EEE" w:rsidRDefault="002D7EEE" w:rsidP="00047D1C">
      <w:pPr>
        <w:pStyle w:val="Heading1"/>
        <w:numPr>
          <w:ilvl w:val="0"/>
          <w:numId w:val="2"/>
        </w:numPr>
        <w:rPr>
          <w:b w:val="0"/>
        </w:rPr>
      </w:pPr>
      <w:r w:rsidRPr="002D7EEE">
        <w:t xml:space="preserve">PASTABOS </w:t>
      </w:r>
      <w:r w:rsidR="00624ECB">
        <w:t>PAREIŠKĖJUI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1259C3" w14:paraId="570E1E21" w14:textId="77777777" w:rsidTr="00EA4E9A">
        <w:trPr>
          <w:trHeight w:val="481"/>
        </w:trPr>
        <w:tc>
          <w:tcPr>
            <w:tcW w:w="14596" w:type="dxa"/>
          </w:tcPr>
          <w:p w14:paraId="3EB5947C" w14:textId="4571218A" w:rsidR="001259C3" w:rsidRDefault="001259C3" w:rsidP="00E9330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5F87EA" w14:textId="2043DFA9" w:rsidR="002D7EEE" w:rsidRDefault="002D7EEE" w:rsidP="00047D1C">
      <w:pPr>
        <w:pStyle w:val="Heading1"/>
        <w:numPr>
          <w:ilvl w:val="0"/>
          <w:numId w:val="2"/>
        </w:numPr>
        <w:rPr>
          <w:b w:val="0"/>
          <w:bCs/>
        </w:rPr>
      </w:pPr>
      <w:r w:rsidRPr="70CCFC48">
        <w:rPr>
          <w:bCs/>
        </w:rPr>
        <w:t>PASTABOS (</w:t>
      </w:r>
      <w:r w:rsidRPr="008D18C8">
        <w:t>nesiunčiamos</w:t>
      </w:r>
      <w:r w:rsidRPr="70CCFC48">
        <w:rPr>
          <w:bCs/>
        </w:rPr>
        <w:t xml:space="preserve"> </w:t>
      </w:r>
      <w:r w:rsidR="003C4819" w:rsidRPr="70CCFC48">
        <w:rPr>
          <w:bCs/>
        </w:rPr>
        <w:t>Pareiškėjui/</w:t>
      </w:r>
      <w:r w:rsidRPr="70CCFC48">
        <w:rPr>
          <w:bCs/>
        </w:rPr>
        <w:t>Projekto vykdytojui)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2D7EEE" w14:paraId="1FA5FB0B" w14:textId="77777777" w:rsidTr="00EA4E9A">
        <w:trPr>
          <w:trHeight w:val="1137"/>
        </w:trPr>
        <w:tc>
          <w:tcPr>
            <w:tcW w:w="14596" w:type="dxa"/>
          </w:tcPr>
          <w:p w14:paraId="2D22806F" w14:textId="219CEEE9" w:rsidR="002D7EEE" w:rsidRDefault="002D7EEE" w:rsidP="005808B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D6B894E" w14:textId="77777777" w:rsidR="002D7EEE" w:rsidRPr="002D7EEE" w:rsidRDefault="002D7EEE" w:rsidP="00E93301">
      <w:pPr>
        <w:rPr>
          <w:rFonts w:ascii="Times New Roman" w:hAnsi="Times New Roman" w:cs="Times New Roman"/>
          <w:b/>
        </w:rPr>
      </w:pPr>
    </w:p>
    <w:sectPr w:rsidR="002D7EEE" w:rsidRPr="002D7EEE" w:rsidSect="003125E8">
      <w:pgSz w:w="16838" w:h="11906" w:orient="landscape"/>
      <w:pgMar w:top="566" w:right="1134" w:bottom="424" w:left="1135" w:header="34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48EB" w14:textId="77777777" w:rsidR="00BC420F" w:rsidRDefault="00BC420F" w:rsidP="00B351D0">
      <w:pPr>
        <w:spacing w:after="0" w:line="240" w:lineRule="auto"/>
      </w:pPr>
      <w:r>
        <w:separator/>
      </w:r>
    </w:p>
  </w:endnote>
  <w:endnote w:type="continuationSeparator" w:id="0">
    <w:p w14:paraId="53EC8441" w14:textId="77777777" w:rsidR="00BC420F" w:rsidRDefault="00BC420F" w:rsidP="00B351D0">
      <w:pPr>
        <w:spacing w:after="0" w:line="240" w:lineRule="auto"/>
      </w:pPr>
      <w:r>
        <w:continuationSeparator/>
      </w:r>
    </w:p>
  </w:endnote>
  <w:endnote w:type="continuationNotice" w:id="1">
    <w:p w14:paraId="4B7D0BF5" w14:textId="77777777" w:rsidR="00BC420F" w:rsidRDefault="00BC42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7A19" w14:textId="77777777" w:rsidR="00BC420F" w:rsidRDefault="00BC420F" w:rsidP="00B351D0">
      <w:pPr>
        <w:spacing w:after="0" w:line="240" w:lineRule="auto"/>
      </w:pPr>
      <w:r>
        <w:separator/>
      </w:r>
    </w:p>
  </w:footnote>
  <w:footnote w:type="continuationSeparator" w:id="0">
    <w:p w14:paraId="3AC84E44" w14:textId="77777777" w:rsidR="00BC420F" w:rsidRDefault="00BC420F" w:rsidP="00B351D0">
      <w:pPr>
        <w:spacing w:after="0" w:line="240" w:lineRule="auto"/>
      </w:pPr>
      <w:r>
        <w:continuationSeparator/>
      </w:r>
    </w:p>
  </w:footnote>
  <w:footnote w:type="continuationNotice" w:id="1">
    <w:p w14:paraId="1736B8EC" w14:textId="77777777" w:rsidR="00BC420F" w:rsidRDefault="00BC42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6406"/>
    <w:multiLevelType w:val="hybridMultilevel"/>
    <w:tmpl w:val="071AEF28"/>
    <w:lvl w:ilvl="0" w:tplc="20DA99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0577E"/>
    <w:multiLevelType w:val="multilevel"/>
    <w:tmpl w:val="863AD2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6C6D9B"/>
    <w:multiLevelType w:val="multilevel"/>
    <w:tmpl w:val="7902DC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F691AA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B15AC4"/>
    <w:multiLevelType w:val="multilevel"/>
    <w:tmpl w:val="27C4E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45B0520"/>
    <w:multiLevelType w:val="multilevel"/>
    <w:tmpl w:val="2D3CC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B3E442B"/>
    <w:multiLevelType w:val="multilevel"/>
    <w:tmpl w:val="7902DC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BAF4964"/>
    <w:multiLevelType w:val="multilevel"/>
    <w:tmpl w:val="04601D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D85A0C"/>
    <w:multiLevelType w:val="hybridMultilevel"/>
    <w:tmpl w:val="6DAA8CEA"/>
    <w:lvl w:ilvl="0" w:tplc="606ED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727357">
    <w:abstractNumId w:val="0"/>
  </w:num>
  <w:num w:numId="2" w16cid:durableId="978611795">
    <w:abstractNumId w:val="7"/>
  </w:num>
  <w:num w:numId="3" w16cid:durableId="1894733576">
    <w:abstractNumId w:val="6"/>
  </w:num>
  <w:num w:numId="4" w16cid:durableId="32199850">
    <w:abstractNumId w:val="10"/>
  </w:num>
  <w:num w:numId="5" w16cid:durableId="1168863894">
    <w:abstractNumId w:val="1"/>
  </w:num>
  <w:num w:numId="6" w16cid:durableId="257368401">
    <w:abstractNumId w:val="2"/>
  </w:num>
  <w:num w:numId="7" w16cid:durableId="730428423">
    <w:abstractNumId w:val="4"/>
  </w:num>
  <w:num w:numId="8" w16cid:durableId="944075502">
    <w:abstractNumId w:val="8"/>
  </w:num>
  <w:num w:numId="9" w16cid:durableId="1688092122">
    <w:abstractNumId w:val="7"/>
  </w:num>
  <w:num w:numId="10" w16cid:durableId="319502921">
    <w:abstractNumId w:val="7"/>
  </w:num>
  <w:num w:numId="11" w16cid:durableId="831724382">
    <w:abstractNumId w:val="7"/>
  </w:num>
  <w:num w:numId="12" w16cid:durableId="122844011">
    <w:abstractNumId w:val="7"/>
  </w:num>
  <w:num w:numId="13" w16cid:durableId="1446805133">
    <w:abstractNumId w:val="5"/>
  </w:num>
  <w:num w:numId="14" w16cid:durableId="2034990417">
    <w:abstractNumId w:val="3"/>
  </w:num>
  <w:num w:numId="15" w16cid:durableId="9837930">
    <w:abstractNumId w:val="9"/>
  </w:num>
  <w:num w:numId="16" w16cid:durableId="1725332680">
    <w:abstractNumId w:val="7"/>
  </w:num>
  <w:num w:numId="17" w16cid:durableId="513694973">
    <w:abstractNumId w:val="7"/>
  </w:num>
  <w:num w:numId="18" w16cid:durableId="1333988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43533"/>
    <w:rsid w:val="00047D1C"/>
    <w:rsid w:val="0005060E"/>
    <w:rsid w:val="00057242"/>
    <w:rsid w:val="000572E0"/>
    <w:rsid w:val="0006111F"/>
    <w:rsid w:val="00076E44"/>
    <w:rsid w:val="00084997"/>
    <w:rsid w:val="000D677C"/>
    <w:rsid w:val="000E1BDC"/>
    <w:rsid w:val="000E64C3"/>
    <w:rsid w:val="000F0C95"/>
    <w:rsid w:val="00104DAE"/>
    <w:rsid w:val="00114817"/>
    <w:rsid w:val="0012151E"/>
    <w:rsid w:val="001259C3"/>
    <w:rsid w:val="00137468"/>
    <w:rsid w:val="00150A02"/>
    <w:rsid w:val="00161FFE"/>
    <w:rsid w:val="001A6072"/>
    <w:rsid w:val="001B1711"/>
    <w:rsid w:val="001D355E"/>
    <w:rsid w:val="001F6B02"/>
    <w:rsid w:val="00203EAE"/>
    <w:rsid w:val="00207A46"/>
    <w:rsid w:val="0023763D"/>
    <w:rsid w:val="0024066B"/>
    <w:rsid w:val="002514A2"/>
    <w:rsid w:val="002537E4"/>
    <w:rsid w:val="00277CDC"/>
    <w:rsid w:val="002B3590"/>
    <w:rsid w:val="002B6055"/>
    <w:rsid w:val="002C7C44"/>
    <w:rsid w:val="002D7EEE"/>
    <w:rsid w:val="002F0078"/>
    <w:rsid w:val="002F4D33"/>
    <w:rsid w:val="003013EE"/>
    <w:rsid w:val="003125E8"/>
    <w:rsid w:val="00360A4B"/>
    <w:rsid w:val="003714BD"/>
    <w:rsid w:val="00383707"/>
    <w:rsid w:val="00387BA3"/>
    <w:rsid w:val="003A0CE3"/>
    <w:rsid w:val="003B42F4"/>
    <w:rsid w:val="003B55C8"/>
    <w:rsid w:val="003C4819"/>
    <w:rsid w:val="003E60ED"/>
    <w:rsid w:val="003F2286"/>
    <w:rsid w:val="0042288E"/>
    <w:rsid w:val="00435582"/>
    <w:rsid w:val="00443102"/>
    <w:rsid w:val="00474602"/>
    <w:rsid w:val="00487D77"/>
    <w:rsid w:val="004F39F2"/>
    <w:rsid w:val="00524BAD"/>
    <w:rsid w:val="00526A14"/>
    <w:rsid w:val="00532CDF"/>
    <w:rsid w:val="005421A3"/>
    <w:rsid w:val="005437BC"/>
    <w:rsid w:val="00575564"/>
    <w:rsid w:val="005808BF"/>
    <w:rsid w:val="00590917"/>
    <w:rsid w:val="005A780B"/>
    <w:rsid w:val="005F3E2C"/>
    <w:rsid w:val="00603120"/>
    <w:rsid w:val="00604CC3"/>
    <w:rsid w:val="00624ECB"/>
    <w:rsid w:val="00647162"/>
    <w:rsid w:val="006A41F7"/>
    <w:rsid w:val="006A5A06"/>
    <w:rsid w:val="006C4E00"/>
    <w:rsid w:val="006E129C"/>
    <w:rsid w:val="006F1E26"/>
    <w:rsid w:val="00700D50"/>
    <w:rsid w:val="007033FE"/>
    <w:rsid w:val="00710DF4"/>
    <w:rsid w:val="00724F66"/>
    <w:rsid w:val="007304E8"/>
    <w:rsid w:val="00737DCF"/>
    <w:rsid w:val="007427BA"/>
    <w:rsid w:val="00786A9F"/>
    <w:rsid w:val="0079046B"/>
    <w:rsid w:val="00796CB1"/>
    <w:rsid w:val="007A07D5"/>
    <w:rsid w:val="007B7EB2"/>
    <w:rsid w:val="007C49AD"/>
    <w:rsid w:val="007C4F58"/>
    <w:rsid w:val="007C7A59"/>
    <w:rsid w:val="007D3408"/>
    <w:rsid w:val="007D5464"/>
    <w:rsid w:val="007E5232"/>
    <w:rsid w:val="00820E9C"/>
    <w:rsid w:val="00841EF0"/>
    <w:rsid w:val="008711CE"/>
    <w:rsid w:val="008864ED"/>
    <w:rsid w:val="008910FE"/>
    <w:rsid w:val="008D18C8"/>
    <w:rsid w:val="008D238F"/>
    <w:rsid w:val="009137FF"/>
    <w:rsid w:val="009727F0"/>
    <w:rsid w:val="0097282F"/>
    <w:rsid w:val="0099583A"/>
    <w:rsid w:val="009B7414"/>
    <w:rsid w:val="009D017F"/>
    <w:rsid w:val="009D1156"/>
    <w:rsid w:val="009F0AA0"/>
    <w:rsid w:val="009F786E"/>
    <w:rsid w:val="00A033E1"/>
    <w:rsid w:val="00A043DF"/>
    <w:rsid w:val="00A14DA4"/>
    <w:rsid w:val="00A60CFF"/>
    <w:rsid w:val="00A6297D"/>
    <w:rsid w:val="00A81016"/>
    <w:rsid w:val="00AA44E2"/>
    <w:rsid w:val="00AA698F"/>
    <w:rsid w:val="00AA7138"/>
    <w:rsid w:val="00AB1327"/>
    <w:rsid w:val="00AE1D79"/>
    <w:rsid w:val="00B351D0"/>
    <w:rsid w:val="00B56BF0"/>
    <w:rsid w:val="00B75FCE"/>
    <w:rsid w:val="00BC420F"/>
    <w:rsid w:val="00BF5217"/>
    <w:rsid w:val="00C10C82"/>
    <w:rsid w:val="00C1181F"/>
    <w:rsid w:val="00C87EAD"/>
    <w:rsid w:val="00CA709E"/>
    <w:rsid w:val="00CD1E52"/>
    <w:rsid w:val="00CD5BE7"/>
    <w:rsid w:val="00CE4CB2"/>
    <w:rsid w:val="00D13C72"/>
    <w:rsid w:val="00D3720E"/>
    <w:rsid w:val="00D400C1"/>
    <w:rsid w:val="00D93284"/>
    <w:rsid w:val="00D95176"/>
    <w:rsid w:val="00D95B46"/>
    <w:rsid w:val="00DB30E3"/>
    <w:rsid w:val="00DD76D5"/>
    <w:rsid w:val="00DE25D9"/>
    <w:rsid w:val="00E01DE9"/>
    <w:rsid w:val="00E06CD0"/>
    <w:rsid w:val="00E12105"/>
    <w:rsid w:val="00E3045E"/>
    <w:rsid w:val="00E7587F"/>
    <w:rsid w:val="00E93301"/>
    <w:rsid w:val="00EA4E9A"/>
    <w:rsid w:val="00EA742D"/>
    <w:rsid w:val="00EC0E11"/>
    <w:rsid w:val="00ED47D5"/>
    <w:rsid w:val="00EF1EA6"/>
    <w:rsid w:val="00F0383C"/>
    <w:rsid w:val="00F67075"/>
    <w:rsid w:val="00F8350B"/>
    <w:rsid w:val="00FB71F4"/>
    <w:rsid w:val="00FC20DE"/>
    <w:rsid w:val="00FD7366"/>
    <w:rsid w:val="00FE62CE"/>
    <w:rsid w:val="12E67BA8"/>
    <w:rsid w:val="135EFA43"/>
    <w:rsid w:val="3F99669F"/>
    <w:rsid w:val="70CCF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0ECD"/>
  <w15:chartTrackingRefBased/>
  <w15:docId w15:val="{5020F4EC-9C25-4C31-8402-CAA85FB7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8D18C8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D18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basedOn w:val="Normal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5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8D18C8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8D18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rmal-p">
    <w:name w:val="normal-p"/>
    <w:basedOn w:val="Normal"/>
    <w:rsid w:val="005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DefaultParagraphFont"/>
    <w:rsid w:val="005421A3"/>
  </w:style>
  <w:style w:type="character" w:customStyle="1" w:styleId="font241">
    <w:name w:val="font241"/>
    <w:basedOn w:val="DefaultParagraphFont"/>
    <w:rsid w:val="002F007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21">
    <w:name w:val="font221"/>
    <w:basedOn w:val="DefaultParagraphFont"/>
    <w:rsid w:val="002F007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Procesų valdymo skyrius|1d2453fc-c175-46b4-b9fe-6151c1a059d8;Finansų skyrius|7d9d544b-d496-4126-a894-fd0e68da2d8e;Energetikos ir aplinkos apsaugos projektų skyrius|66914be9-8437-476f-ab9d-874648d15705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B08E6-4F96-4FF1-9FFD-EA9E150A8226}"/>
</file>

<file path=customXml/itemProps2.xml><?xml version="1.0" encoding="utf-8"?>
<ds:datastoreItem xmlns:ds="http://schemas.openxmlformats.org/officeDocument/2006/customXml" ds:itemID="{FFA04220-C06E-4ADD-B6BB-1ABCD37A436D}"/>
</file>

<file path=customXml/itemProps3.xml><?xml version="1.0" encoding="utf-8"?>
<ds:datastoreItem xmlns:ds="http://schemas.openxmlformats.org/officeDocument/2006/customXml" ds:itemID="{4F6B42CA-3765-4844-8A3F-333D44EEEA87}"/>
</file>

<file path=customXml/itemProps4.xml><?xml version="1.0" encoding="utf-8"?>
<ds:datastoreItem xmlns:ds="http://schemas.openxmlformats.org/officeDocument/2006/customXml" ds:itemID="{BD233863-AC95-4FB1-846F-A21C580A3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1_Tinkamumo finansuoti PL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 vertinimo PL</dc:title>
  <dc:subject/>
  <dc:creator>Zita  Markevičienė</dc:creator>
  <cp:keywords/>
  <dc:description/>
  <cp:lastModifiedBy>Rūta Navikienė</cp:lastModifiedBy>
  <cp:revision>3</cp:revision>
  <dcterms:created xsi:type="dcterms:W3CDTF">2022-08-24T07:58:00Z</dcterms:created>
  <dcterms:modified xsi:type="dcterms:W3CDTF">2022-08-25T11:50:00Z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IsMyDocuments">
    <vt:bool>true</vt:bool>
  </property>
  <property fmtid="{D5CDD505-2E9C-101B-9397-08002B2CF9AE}" pid="4" name="TaxCatchAll">
    <vt:lpwstr>62;#Finansų skyrius|7d9d544b-d496-4126-a894-fd0e68da2d8e;#3680;#Energetikos ir aplinkos apsaugos projektų skyrius|66914be9-8437-476f-ab9d-874648d15705;#3308;#Procesų valdymo skyrius|1d2453fc-c175-46b4-b9fe-6151c1a059d8</vt:lpwstr>
  </property>
  <property fmtid="{D5CDD505-2E9C-101B-9397-08002B2CF9AE}" pid="5" name="DmsPermissionsFlags">
    <vt:lpwstr>,SECTRUE,</vt:lpwstr>
  </property>
  <property fmtid="{D5CDD505-2E9C-101B-9397-08002B2CF9AE}" pid="6" name="DmsPermissionsDivisions">
    <vt:lpwstr>3680;#Energetikos ir aplinkos apsaugos projektų skyrius|66914be9-8437-476f-ab9d-874648d15705</vt:lpwstr>
  </property>
  <property fmtid="{D5CDD505-2E9C-101B-9397-08002B2CF9AE}" pid="7" name="DmsPermissionsUsers">
    <vt:lpwstr>1152;#Rūta Navikienė;#1113;#Kristina Dėjė</vt:lpwstr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