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A7DE2" w14:textId="77777777" w:rsidR="00C8139F" w:rsidRPr="00C8139F" w:rsidRDefault="00C8139F" w:rsidP="00C8139F">
      <w:pPr>
        <w:spacing w:after="0" w:line="240" w:lineRule="auto"/>
        <w:jc w:val="center"/>
        <w:rPr>
          <w:rFonts w:ascii="Times New Roman" w:eastAsia="Times New Roman" w:hAnsi="Times New Roman" w:cs="Times New Roman"/>
          <w:b/>
          <w:bCs/>
          <w:sz w:val="24"/>
          <w:szCs w:val="24"/>
          <w:lang w:val="lt-LT" w:eastAsia="lt-LT"/>
        </w:rPr>
      </w:pPr>
      <w:r w:rsidRPr="00C8139F">
        <w:rPr>
          <w:rFonts w:ascii="Times New Roman" w:eastAsia="Times New Roman" w:hAnsi="Times New Roman" w:cs="Times New Roman"/>
          <w:b/>
          <w:bCs/>
          <w:sz w:val="24"/>
          <w:szCs w:val="24"/>
          <w:lang w:val="lt-LT" w:eastAsia="lt-LT"/>
        </w:rPr>
        <w:t xml:space="preserve">LIETUVOS RESPUBLIKOS </w:t>
      </w:r>
      <w:r>
        <w:rPr>
          <w:rFonts w:ascii="Times New Roman" w:eastAsia="Times New Roman" w:hAnsi="Times New Roman" w:cs="Times New Roman"/>
          <w:b/>
          <w:bCs/>
          <w:sz w:val="24"/>
          <w:szCs w:val="24"/>
          <w:lang w:val="lt-LT" w:eastAsia="lt-LT"/>
        </w:rPr>
        <w:t>VIDAUS REIKALŲ</w:t>
      </w:r>
      <w:r w:rsidRPr="00C8139F">
        <w:rPr>
          <w:rFonts w:ascii="Times New Roman" w:eastAsia="Times New Roman" w:hAnsi="Times New Roman" w:cs="Times New Roman"/>
          <w:b/>
          <w:bCs/>
          <w:sz w:val="24"/>
          <w:szCs w:val="24"/>
          <w:lang w:val="lt-LT" w:eastAsia="lt-LT"/>
        </w:rPr>
        <w:t xml:space="preserve"> MINISTERIJA</w:t>
      </w:r>
    </w:p>
    <w:p w14:paraId="6BBC4341" w14:textId="77777777" w:rsidR="00C8139F" w:rsidRPr="00C8139F" w:rsidRDefault="00C8139F" w:rsidP="00C8139F">
      <w:pPr>
        <w:spacing w:after="0" w:line="240" w:lineRule="auto"/>
        <w:jc w:val="center"/>
        <w:rPr>
          <w:rFonts w:ascii="Times New Roman" w:eastAsia="Times New Roman" w:hAnsi="Times New Roman" w:cs="Times New Roman"/>
          <w:b/>
          <w:bCs/>
          <w:sz w:val="24"/>
          <w:szCs w:val="24"/>
          <w:lang w:val="lt-LT" w:eastAsia="lt-LT"/>
        </w:rPr>
      </w:pPr>
    </w:p>
    <w:p w14:paraId="306D1411" w14:textId="64734BCB" w:rsidR="00C8139F" w:rsidRDefault="00BE3347" w:rsidP="00C8139F">
      <w:pPr>
        <w:spacing w:after="0" w:line="240" w:lineRule="auto"/>
        <w:jc w:val="center"/>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eastAsia="lt-LT"/>
        </w:rPr>
        <w:t>VšĮ CENTRINĖS PROJEKTŲ VALDYMO AGENTŪROS</w:t>
      </w:r>
      <w:r w:rsidR="007176C4">
        <w:rPr>
          <w:rFonts w:ascii="Times New Roman" w:eastAsia="Times New Roman" w:hAnsi="Times New Roman" w:cs="Times New Roman"/>
          <w:b/>
          <w:bCs/>
          <w:sz w:val="24"/>
          <w:szCs w:val="24"/>
          <w:lang w:eastAsia="lt-LT"/>
        </w:rPr>
        <w:t>,</w:t>
      </w:r>
      <w:r>
        <w:rPr>
          <w:rFonts w:ascii="Times New Roman" w:eastAsia="Times New Roman" w:hAnsi="Times New Roman" w:cs="Times New Roman"/>
          <w:b/>
          <w:bCs/>
          <w:sz w:val="24"/>
          <w:szCs w:val="24"/>
          <w:lang w:eastAsia="lt-LT"/>
        </w:rPr>
        <w:t xml:space="preserve"> LIETUVOS RESPUBLIKOS SOCIALINĖS APSAUGOS IR DARBO MINISTERIJOS</w:t>
      </w:r>
      <w:r w:rsidR="007176C4">
        <w:rPr>
          <w:rFonts w:ascii="Times New Roman" w:eastAsia="Times New Roman" w:hAnsi="Times New Roman" w:cs="Times New Roman"/>
          <w:b/>
          <w:bCs/>
          <w:sz w:val="24"/>
          <w:szCs w:val="24"/>
          <w:lang w:eastAsia="lt-LT"/>
        </w:rPr>
        <w:t xml:space="preserve"> IR LIETUVOS RESPUBLIKOS FINANSŲ MINISTERIJOS</w:t>
      </w:r>
      <w:r w:rsidR="00024BE9">
        <w:rPr>
          <w:rFonts w:ascii="Times New Roman" w:eastAsia="Times New Roman" w:hAnsi="Times New Roman" w:cs="Times New Roman"/>
          <w:b/>
          <w:bCs/>
          <w:sz w:val="24"/>
          <w:szCs w:val="24"/>
          <w:lang w:val="lt-LT" w:eastAsia="lt-LT"/>
        </w:rPr>
        <w:t>,</w:t>
      </w:r>
      <w:r w:rsidR="00C8139F" w:rsidRPr="00C8139F">
        <w:rPr>
          <w:rFonts w:ascii="Times New Roman" w:eastAsia="Times New Roman" w:hAnsi="Times New Roman" w:cs="Times New Roman"/>
          <w:b/>
          <w:bCs/>
          <w:sz w:val="24"/>
          <w:szCs w:val="24"/>
          <w:lang w:val="lt-LT" w:eastAsia="lt-LT"/>
        </w:rPr>
        <w:t xml:space="preserve"> PATEIKTŲ PASTABŲ IR PASIŪLYMŲ </w:t>
      </w:r>
    </w:p>
    <w:p w14:paraId="63A7A8F7" w14:textId="77777777" w:rsidR="00C8139F" w:rsidRPr="00C8139F" w:rsidRDefault="00C8139F" w:rsidP="00C8139F">
      <w:pPr>
        <w:spacing w:after="0" w:line="240" w:lineRule="auto"/>
        <w:jc w:val="center"/>
        <w:rPr>
          <w:rFonts w:ascii="Times New Roman" w:eastAsia="Times New Roman" w:hAnsi="Times New Roman" w:cs="Times New Roman"/>
          <w:b/>
          <w:bCs/>
          <w:iCs/>
          <w:kern w:val="16"/>
          <w:sz w:val="24"/>
          <w:szCs w:val="24"/>
          <w:lang w:val="lt-LT" w:eastAsia="lt-LT"/>
        </w:rPr>
      </w:pPr>
      <w:r w:rsidRPr="00C8139F">
        <w:rPr>
          <w:rFonts w:ascii="Times New Roman" w:eastAsia="Times New Roman" w:hAnsi="Times New Roman" w:cs="Times New Roman"/>
          <w:b/>
          <w:bCs/>
          <w:sz w:val="24"/>
          <w:szCs w:val="24"/>
          <w:lang w:val="lt-LT" w:eastAsia="lt-LT"/>
        </w:rPr>
        <w:t xml:space="preserve">DĖL </w:t>
      </w:r>
      <w:r w:rsidRPr="00C8139F">
        <w:rPr>
          <w:rFonts w:ascii="Times New Roman" w:eastAsia="Times New Roman" w:hAnsi="Times New Roman" w:cs="Times New Roman"/>
          <w:b/>
          <w:bCs/>
          <w:kern w:val="16"/>
          <w:sz w:val="24"/>
          <w:szCs w:val="24"/>
          <w:lang w:val="lt-LT" w:eastAsia="lt-LT"/>
        </w:rPr>
        <w:t xml:space="preserve">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RENGIMUI“ </w:t>
      </w:r>
      <w:r w:rsidRPr="00C8139F">
        <w:rPr>
          <w:rFonts w:ascii="Times New Roman" w:eastAsia="Times New Roman" w:hAnsi="Times New Roman" w:cs="Times New Roman"/>
          <w:b/>
          <w:bCs/>
          <w:iCs/>
          <w:kern w:val="16"/>
          <w:sz w:val="24"/>
          <w:szCs w:val="24"/>
          <w:lang w:val="lt-LT" w:eastAsia="lt-LT"/>
        </w:rPr>
        <w:t>PROJEKTŲ FINANSAVIMO SĄLYGŲ APRAŠ</w:t>
      </w:r>
      <w:r w:rsidR="002A1FC6">
        <w:rPr>
          <w:rFonts w:ascii="Times New Roman" w:eastAsia="Times New Roman" w:hAnsi="Times New Roman" w:cs="Times New Roman"/>
          <w:b/>
          <w:bCs/>
          <w:iCs/>
          <w:kern w:val="16"/>
          <w:sz w:val="24"/>
          <w:szCs w:val="24"/>
          <w:lang w:val="lt-LT" w:eastAsia="lt-LT"/>
        </w:rPr>
        <w:t>O PROJEKTO DERINIMAS</w:t>
      </w:r>
    </w:p>
    <w:p w14:paraId="3209EEF0" w14:textId="77777777" w:rsidR="00C8139F" w:rsidRPr="00C8139F" w:rsidRDefault="00C8139F" w:rsidP="00C8139F">
      <w:pPr>
        <w:spacing w:after="0" w:line="240" w:lineRule="auto"/>
        <w:rPr>
          <w:rFonts w:ascii="Times New Roman" w:eastAsia="Times New Roman" w:hAnsi="Times New Roman" w:cs="Times New Roman"/>
          <w:b/>
          <w:bCs/>
          <w:sz w:val="24"/>
          <w:szCs w:val="24"/>
          <w:lang w:val="lt-LT" w:eastAsia="lt-LT"/>
        </w:rPr>
      </w:pPr>
    </w:p>
    <w:tbl>
      <w:tblPr>
        <w:tblStyle w:val="Lentelstinklelis"/>
        <w:tblW w:w="14742" w:type="dxa"/>
        <w:tblInd w:w="108" w:type="dxa"/>
        <w:tblLook w:val="04A0" w:firstRow="1" w:lastRow="0" w:firstColumn="1" w:lastColumn="0" w:noHBand="0" w:noVBand="1"/>
      </w:tblPr>
      <w:tblGrid>
        <w:gridCol w:w="6804"/>
        <w:gridCol w:w="7938"/>
      </w:tblGrid>
      <w:tr w:rsidR="00C8139F" w:rsidRPr="00C8139F" w14:paraId="3751F0CC" w14:textId="77777777" w:rsidTr="007875A2">
        <w:tc>
          <w:tcPr>
            <w:tcW w:w="6804" w:type="dxa"/>
          </w:tcPr>
          <w:p w14:paraId="4220338C" w14:textId="3E08F837" w:rsidR="00C8139F" w:rsidRPr="00C8139F" w:rsidRDefault="007176C4" w:rsidP="007176C4">
            <w:pPr>
              <w:rPr>
                <w:rFonts w:eastAsia="Times New Roman"/>
                <w:b/>
                <w:szCs w:val="24"/>
                <w:lang w:eastAsia="lt-LT"/>
              </w:rPr>
            </w:pPr>
            <w:r w:rsidRPr="007176C4">
              <w:rPr>
                <w:rFonts w:eastAsia="Times New Roman"/>
                <w:b/>
                <w:bCs/>
                <w:szCs w:val="24"/>
                <w:lang w:eastAsia="lt-LT"/>
              </w:rPr>
              <w:t xml:space="preserve">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rengimui“ </w:t>
            </w:r>
            <w:r w:rsidRPr="007176C4">
              <w:rPr>
                <w:rFonts w:eastAsia="Times New Roman"/>
                <w:b/>
                <w:bCs/>
                <w:iCs/>
                <w:szCs w:val="24"/>
                <w:lang w:eastAsia="lt-LT"/>
              </w:rPr>
              <w:t>pro</w:t>
            </w:r>
            <w:r>
              <w:rPr>
                <w:rFonts w:eastAsia="Times New Roman"/>
                <w:b/>
                <w:bCs/>
                <w:iCs/>
                <w:szCs w:val="24"/>
                <w:lang w:eastAsia="lt-LT"/>
              </w:rPr>
              <w:t>jektų finansavimo sąlygų aprašo</w:t>
            </w:r>
            <w:r w:rsidR="005A6420">
              <w:rPr>
                <w:rFonts w:eastAsia="Times New Roman"/>
                <w:b/>
                <w:bCs/>
                <w:iCs/>
                <w:szCs w:val="24"/>
                <w:lang w:eastAsia="lt-LT"/>
              </w:rPr>
              <w:t xml:space="preserve"> projekto</w:t>
            </w:r>
            <w:r>
              <w:rPr>
                <w:rFonts w:eastAsia="Times New Roman"/>
                <w:b/>
                <w:bCs/>
                <w:iCs/>
                <w:szCs w:val="24"/>
                <w:lang w:eastAsia="lt-LT"/>
              </w:rPr>
              <w:t xml:space="preserve"> (toliau – Projektas, PFSA) </w:t>
            </w:r>
            <w:r w:rsidR="00024BE9" w:rsidRPr="00024BE9">
              <w:rPr>
                <w:rFonts w:eastAsia="Times New Roman"/>
                <w:b/>
                <w:szCs w:val="24"/>
                <w:lang w:eastAsia="lt-LT"/>
              </w:rPr>
              <w:t xml:space="preserve">išsiuntimo </w:t>
            </w:r>
            <w:r w:rsidR="00BE3347">
              <w:rPr>
                <w:rFonts w:eastAsia="Times New Roman"/>
                <w:b/>
                <w:szCs w:val="24"/>
                <w:lang w:eastAsia="lt-LT"/>
              </w:rPr>
              <w:t xml:space="preserve">VšĮ Centrinei projektų </w:t>
            </w:r>
            <w:r w:rsidR="00A56D0B">
              <w:rPr>
                <w:rFonts w:eastAsia="Times New Roman"/>
                <w:b/>
                <w:szCs w:val="24"/>
                <w:lang w:eastAsia="lt-LT"/>
              </w:rPr>
              <w:t xml:space="preserve">valdymo </w:t>
            </w:r>
            <w:r w:rsidR="00BE3347">
              <w:rPr>
                <w:rFonts w:eastAsia="Times New Roman"/>
                <w:b/>
                <w:szCs w:val="24"/>
                <w:lang w:eastAsia="lt-LT"/>
              </w:rPr>
              <w:t>agentūrai (toliau – CPVA), Lietuvos Respublikos socialinės apsaugos ir darbo ministerijai ir Lietuvos Respublikos žemės ūkio ministerijai bei paskelbimo 2021.esinvesticijos.lt bei miestobendruomene.lt</w:t>
            </w:r>
            <w:r w:rsidR="00024BE9" w:rsidRPr="00024BE9">
              <w:rPr>
                <w:rFonts w:eastAsia="Times New Roman"/>
                <w:b/>
                <w:szCs w:val="24"/>
                <w:lang w:eastAsia="lt-LT"/>
              </w:rPr>
              <w:t>, data</w:t>
            </w:r>
          </w:p>
        </w:tc>
        <w:tc>
          <w:tcPr>
            <w:tcW w:w="7938" w:type="dxa"/>
          </w:tcPr>
          <w:p w14:paraId="68664AD6" w14:textId="4956C7F0" w:rsidR="00C8139F" w:rsidRPr="00C8139F" w:rsidRDefault="00C8139F" w:rsidP="00BE3347">
            <w:pPr>
              <w:rPr>
                <w:rFonts w:eastAsia="Times New Roman"/>
                <w:szCs w:val="24"/>
                <w:highlight w:val="yellow"/>
                <w:lang w:eastAsia="lt-LT"/>
              </w:rPr>
            </w:pPr>
            <w:r w:rsidRPr="00C8139F">
              <w:rPr>
                <w:rFonts w:eastAsia="Times New Roman"/>
                <w:szCs w:val="24"/>
                <w:lang w:eastAsia="lt-LT"/>
              </w:rPr>
              <w:t>202</w:t>
            </w:r>
            <w:r>
              <w:rPr>
                <w:rFonts w:eastAsia="Times New Roman"/>
                <w:szCs w:val="24"/>
                <w:lang w:eastAsia="lt-LT"/>
              </w:rPr>
              <w:t>2</w:t>
            </w:r>
            <w:r w:rsidRPr="00C8139F">
              <w:rPr>
                <w:rFonts w:eastAsia="Times New Roman"/>
                <w:szCs w:val="24"/>
                <w:lang w:eastAsia="lt-LT"/>
              </w:rPr>
              <w:t>-</w:t>
            </w:r>
            <w:r w:rsidR="00BE3347">
              <w:rPr>
                <w:rFonts w:eastAsia="Times New Roman"/>
                <w:szCs w:val="24"/>
                <w:lang w:eastAsia="lt-LT"/>
              </w:rPr>
              <w:t>12</w:t>
            </w:r>
            <w:r w:rsidRPr="00C8139F">
              <w:rPr>
                <w:rFonts w:eastAsia="Times New Roman"/>
                <w:szCs w:val="24"/>
                <w:lang w:eastAsia="lt-LT"/>
              </w:rPr>
              <w:t>-</w:t>
            </w:r>
            <w:r w:rsidR="00BE3347">
              <w:rPr>
                <w:rFonts w:eastAsia="Times New Roman"/>
                <w:szCs w:val="24"/>
                <w:lang w:eastAsia="lt-LT"/>
              </w:rPr>
              <w:t>13</w:t>
            </w:r>
          </w:p>
        </w:tc>
      </w:tr>
      <w:tr w:rsidR="00530E0F" w:rsidRPr="00C8139F" w14:paraId="756C2D07" w14:textId="77777777" w:rsidTr="007875A2">
        <w:tc>
          <w:tcPr>
            <w:tcW w:w="6804" w:type="dxa"/>
          </w:tcPr>
          <w:p w14:paraId="5B0A6B31" w14:textId="0B2A14BD" w:rsidR="00530E0F" w:rsidRPr="00024BE9" w:rsidRDefault="00530E0F" w:rsidP="00BE3347">
            <w:pPr>
              <w:rPr>
                <w:rFonts w:eastAsia="Times New Roman"/>
                <w:b/>
                <w:szCs w:val="24"/>
                <w:lang w:eastAsia="lt-LT"/>
              </w:rPr>
            </w:pPr>
            <w:r>
              <w:rPr>
                <w:rFonts w:eastAsia="Times New Roman"/>
                <w:b/>
                <w:szCs w:val="24"/>
                <w:lang w:eastAsia="lt-LT"/>
              </w:rPr>
              <w:t>Projekto išsiuntimo Finansų ministerijai data</w:t>
            </w:r>
          </w:p>
        </w:tc>
        <w:tc>
          <w:tcPr>
            <w:tcW w:w="7938" w:type="dxa"/>
          </w:tcPr>
          <w:p w14:paraId="39BF27F1" w14:textId="77F1D1D5" w:rsidR="00530E0F" w:rsidRPr="00C8139F" w:rsidRDefault="00530E0F" w:rsidP="00BE3347">
            <w:pPr>
              <w:rPr>
                <w:rFonts w:eastAsia="Times New Roman"/>
                <w:szCs w:val="24"/>
                <w:lang w:eastAsia="lt-LT"/>
              </w:rPr>
            </w:pPr>
            <w:r>
              <w:rPr>
                <w:rFonts w:eastAsia="Times New Roman"/>
                <w:szCs w:val="24"/>
                <w:lang w:eastAsia="lt-LT"/>
              </w:rPr>
              <w:t>2022-01-16</w:t>
            </w:r>
          </w:p>
        </w:tc>
      </w:tr>
      <w:tr w:rsidR="00C8139F" w:rsidRPr="00C8139F" w14:paraId="543F7FC5" w14:textId="77777777" w:rsidTr="007875A2">
        <w:tc>
          <w:tcPr>
            <w:tcW w:w="6804" w:type="dxa"/>
          </w:tcPr>
          <w:p w14:paraId="5D8FA204" w14:textId="77777777" w:rsidR="00C8139F" w:rsidRPr="00C8139F" w:rsidRDefault="00C8139F" w:rsidP="00C8139F">
            <w:pPr>
              <w:rPr>
                <w:rFonts w:eastAsia="Times New Roman"/>
                <w:b/>
                <w:szCs w:val="24"/>
                <w:lang w:eastAsia="lt-LT"/>
              </w:rPr>
            </w:pPr>
            <w:r w:rsidRPr="00C8139F">
              <w:rPr>
                <w:rFonts w:eastAsia="Times New Roman"/>
                <w:b/>
                <w:szCs w:val="24"/>
                <w:lang w:eastAsia="lt-LT"/>
              </w:rPr>
              <w:t>Ar gauta pastabų ir (ar) pasiūlymų?</w:t>
            </w:r>
          </w:p>
          <w:p w14:paraId="6A476079" w14:textId="410B130F" w:rsidR="00C8139F" w:rsidRPr="00024BE9" w:rsidRDefault="00024BE9" w:rsidP="00C8139F">
            <w:pPr>
              <w:rPr>
                <w:rFonts w:eastAsia="Times New Roman"/>
                <w:szCs w:val="24"/>
                <w:lang w:eastAsia="lt-LT"/>
              </w:rPr>
            </w:pPr>
            <w:r w:rsidRPr="00024BE9">
              <w:rPr>
                <w:rFonts w:eastAsia="Times New Roman"/>
                <w:szCs w:val="24"/>
                <w:lang w:eastAsia="lt-LT"/>
              </w:rPr>
              <w:t>Jei pastabų ir pasiūlymų nebuvo gauta, į kitą klausimą neatsakoma ir toliau esančios lentelės skiltys nepildomos</w:t>
            </w:r>
          </w:p>
        </w:tc>
        <w:tc>
          <w:tcPr>
            <w:tcW w:w="7938" w:type="dxa"/>
          </w:tcPr>
          <w:p w14:paraId="4F4CE6CF" w14:textId="77777777" w:rsidR="00C8139F" w:rsidRPr="00C8139F" w:rsidRDefault="00377D01" w:rsidP="00C8139F">
            <w:pPr>
              <w:rPr>
                <w:rFonts w:eastAsia="Times New Roman"/>
                <w:szCs w:val="24"/>
                <w:lang w:eastAsia="lt-LT"/>
              </w:rPr>
            </w:pPr>
            <w:sdt>
              <w:sdtPr>
                <w:rPr>
                  <w:rFonts w:eastAsia="Times New Roman"/>
                  <w:szCs w:val="24"/>
                  <w:lang w:eastAsia="lt-LT"/>
                </w:rPr>
                <w:id w:val="1312749902"/>
              </w:sdtPr>
              <w:sdtEndPr/>
              <w:sdtContent>
                <w:bookmarkStart w:id="0" w:name="Check1"/>
                <w:r w:rsidR="00C8139F" w:rsidRPr="00C8139F">
                  <w:rPr>
                    <w:rFonts w:eastAsia="Times New Roman"/>
                    <w:szCs w:val="24"/>
                    <w:lang w:eastAsia="lt-LT"/>
                  </w:rPr>
                  <w:fldChar w:fldCharType="begin">
                    <w:ffData>
                      <w:name w:val="Check1"/>
                      <w:enabled/>
                      <w:calcOnExit w:val="0"/>
                      <w:checkBox>
                        <w:sizeAuto/>
                        <w:default w:val="1"/>
                      </w:checkBox>
                    </w:ffData>
                  </w:fldChar>
                </w:r>
                <w:r w:rsidR="00C8139F" w:rsidRPr="00C8139F">
                  <w:rPr>
                    <w:rFonts w:eastAsia="Times New Roman"/>
                    <w:szCs w:val="24"/>
                    <w:lang w:eastAsia="lt-LT"/>
                  </w:rPr>
                  <w:instrText xml:space="preserve"> FORMCHECKBOX </w:instrText>
                </w:r>
                <w:r>
                  <w:rPr>
                    <w:rFonts w:eastAsia="Times New Roman"/>
                    <w:szCs w:val="24"/>
                    <w:lang w:eastAsia="lt-LT"/>
                  </w:rPr>
                </w:r>
                <w:r>
                  <w:rPr>
                    <w:rFonts w:eastAsia="Times New Roman"/>
                    <w:szCs w:val="24"/>
                    <w:lang w:eastAsia="lt-LT"/>
                  </w:rPr>
                  <w:fldChar w:fldCharType="separate"/>
                </w:r>
                <w:r w:rsidR="00C8139F" w:rsidRPr="00C8139F">
                  <w:rPr>
                    <w:rFonts w:eastAsia="Times New Roman"/>
                    <w:szCs w:val="24"/>
                    <w:lang w:eastAsia="lt-LT"/>
                  </w:rPr>
                  <w:fldChar w:fldCharType="end"/>
                </w:r>
                <w:bookmarkEnd w:id="0"/>
                <w:r w:rsidR="00C8139F" w:rsidRPr="00C8139F">
                  <w:rPr>
                    <w:rFonts w:eastAsia="Times New Roman"/>
                    <w:szCs w:val="24"/>
                    <w:lang w:eastAsia="lt-LT"/>
                  </w:rPr>
                  <w:t xml:space="preserve"> </w:t>
                </w:r>
              </w:sdtContent>
            </w:sdt>
            <w:r w:rsidR="00C8139F" w:rsidRPr="00C8139F">
              <w:rPr>
                <w:rFonts w:eastAsia="Times New Roman"/>
                <w:szCs w:val="24"/>
                <w:lang w:eastAsia="lt-LT"/>
              </w:rPr>
              <w:t xml:space="preserve">Taip </w:t>
            </w:r>
            <w:sdt>
              <w:sdtPr>
                <w:rPr>
                  <w:rFonts w:eastAsia="Times New Roman"/>
                  <w:szCs w:val="24"/>
                  <w:lang w:eastAsia="lt-LT"/>
                </w:rPr>
                <w:id w:val="164368749"/>
              </w:sdtPr>
              <w:sdtEndPr/>
              <w:sdtContent>
                <w:r w:rsidR="00C8139F" w:rsidRPr="00C8139F">
                  <w:rPr>
                    <w:rFonts w:eastAsia="Times New Roman"/>
                    <w:szCs w:val="24"/>
                    <w:lang w:eastAsia="lt-LT"/>
                  </w:rPr>
                  <w:fldChar w:fldCharType="begin">
                    <w:ffData>
                      <w:name w:val="Check1"/>
                      <w:enabled/>
                      <w:calcOnExit w:val="0"/>
                      <w:checkBox>
                        <w:sizeAuto/>
                        <w:default w:val="0"/>
                      </w:checkBox>
                    </w:ffData>
                  </w:fldChar>
                </w:r>
                <w:r w:rsidR="00C8139F" w:rsidRPr="00C8139F">
                  <w:rPr>
                    <w:rFonts w:eastAsia="Times New Roman"/>
                    <w:szCs w:val="24"/>
                    <w:lang w:eastAsia="lt-LT"/>
                  </w:rPr>
                  <w:instrText xml:space="preserve"> FORMCHECKBOX </w:instrText>
                </w:r>
                <w:r>
                  <w:rPr>
                    <w:rFonts w:eastAsia="Times New Roman"/>
                    <w:szCs w:val="24"/>
                    <w:lang w:eastAsia="lt-LT"/>
                  </w:rPr>
                </w:r>
                <w:r>
                  <w:rPr>
                    <w:rFonts w:eastAsia="Times New Roman"/>
                    <w:szCs w:val="24"/>
                    <w:lang w:eastAsia="lt-LT"/>
                  </w:rPr>
                  <w:fldChar w:fldCharType="separate"/>
                </w:r>
                <w:r w:rsidR="00C8139F" w:rsidRPr="00C8139F">
                  <w:rPr>
                    <w:rFonts w:eastAsia="Times New Roman"/>
                    <w:szCs w:val="24"/>
                    <w:lang w:eastAsia="lt-LT"/>
                  </w:rPr>
                  <w:fldChar w:fldCharType="end"/>
                </w:r>
                <w:r w:rsidR="00C8139F" w:rsidRPr="00C8139F">
                  <w:rPr>
                    <w:rFonts w:eastAsia="Times New Roman"/>
                    <w:szCs w:val="24"/>
                    <w:lang w:eastAsia="lt-LT"/>
                  </w:rPr>
                  <w:t xml:space="preserve"> </w:t>
                </w:r>
              </w:sdtContent>
            </w:sdt>
            <w:r w:rsidR="00C8139F" w:rsidRPr="00C8139F">
              <w:rPr>
                <w:rFonts w:eastAsia="Times New Roman"/>
                <w:szCs w:val="24"/>
                <w:lang w:eastAsia="lt-LT"/>
              </w:rPr>
              <w:t xml:space="preserve"> Ne</w:t>
            </w:r>
            <w:r w:rsidR="00C8139F" w:rsidRPr="00C8139F">
              <w:rPr>
                <w:rFonts w:eastAsia="Times New Roman"/>
                <w:szCs w:val="24"/>
                <w:lang w:eastAsia="lt-LT"/>
              </w:rPr>
              <w:fldChar w:fldCharType="begin"/>
            </w:r>
            <w:r w:rsidR="00C8139F" w:rsidRPr="00C8139F">
              <w:rPr>
                <w:rFonts w:eastAsia="Times New Roman"/>
                <w:szCs w:val="24"/>
                <w:lang w:eastAsia="lt-LT"/>
              </w:rPr>
              <w:instrText xml:space="preserve"> FILLIN   \* MERGEFORMAT </w:instrText>
            </w:r>
            <w:r w:rsidR="00C8139F" w:rsidRPr="00C8139F">
              <w:rPr>
                <w:rFonts w:eastAsia="Times New Roman"/>
                <w:szCs w:val="24"/>
                <w:lang w:eastAsia="lt-LT"/>
              </w:rPr>
              <w:fldChar w:fldCharType="end"/>
            </w:r>
          </w:p>
        </w:tc>
      </w:tr>
      <w:tr w:rsidR="00C8139F" w:rsidRPr="00C8139F" w14:paraId="7C4DAC1C" w14:textId="77777777" w:rsidTr="007875A2">
        <w:tc>
          <w:tcPr>
            <w:tcW w:w="6804" w:type="dxa"/>
          </w:tcPr>
          <w:p w14:paraId="231589FA" w14:textId="77777777" w:rsidR="00C8139F" w:rsidRPr="00C8139F" w:rsidRDefault="00C8139F" w:rsidP="00C8139F">
            <w:pPr>
              <w:rPr>
                <w:rFonts w:eastAsia="Times New Roman"/>
                <w:b/>
                <w:szCs w:val="24"/>
                <w:lang w:eastAsia="lt-LT"/>
              </w:rPr>
            </w:pPr>
            <w:r w:rsidRPr="00C8139F">
              <w:rPr>
                <w:rFonts w:eastAsia="Times New Roman"/>
                <w:b/>
                <w:szCs w:val="24"/>
                <w:lang w:eastAsia="lt-LT"/>
              </w:rPr>
              <w:t>Ar į visas pastabas ir (ar) pasiūlymus atsižvelgta?</w:t>
            </w:r>
          </w:p>
          <w:p w14:paraId="0C5AF465" w14:textId="22CD21E1" w:rsidR="00C8139F" w:rsidRPr="00024BE9" w:rsidRDefault="00024BE9" w:rsidP="00C8139F">
            <w:pPr>
              <w:rPr>
                <w:rFonts w:eastAsia="Times New Roman"/>
                <w:szCs w:val="24"/>
                <w:lang w:eastAsia="lt-LT"/>
              </w:rPr>
            </w:pPr>
            <w:r w:rsidRPr="00024BE9">
              <w:rPr>
                <w:rFonts w:eastAsia="Times New Roman"/>
                <w:szCs w:val="24"/>
                <w:lang w:eastAsia="lt-LT"/>
              </w:rPr>
              <w:t>Jei atsižvelgta į visas pastabas ir (ar) pasiūlymus, toliau esančios lentelės skiltys nepildomos</w:t>
            </w:r>
          </w:p>
        </w:tc>
        <w:tc>
          <w:tcPr>
            <w:tcW w:w="7938" w:type="dxa"/>
          </w:tcPr>
          <w:p w14:paraId="185E7F7D" w14:textId="77777777" w:rsidR="00C8139F" w:rsidRPr="00C8139F" w:rsidRDefault="00377D01" w:rsidP="00C8139F">
            <w:pPr>
              <w:rPr>
                <w:rFonts w:eastAsia="Times New Roman"/>
                <w:szCs w:val="24"/>
                <w:lang w:eastAsia="lt-LT"/>
              </w:rPr>
            </w:pPr>
            <w:sdt>
              <w:sdtPr>
                <w:rPr>
                  <w:rFonts w:eastAsia="Times New Roman"/>
                  <w:szCs w:val="24"/>
                  <w:lang w:eastAsia="lt-LT"/>
                </w:rPr>
                <w:id w:val="-1548671976"/>
              </w:sdtPr>
              <w:sdtEndPr/>
              <w:sdtContent>
                <w:r w:rsidR="00C8139F" w:rsidRPr="00C8139F">
                  <w:rPr>
                    <w:rFonts w:eastAsia="Times New Roman"/>
                    <w:szCs w:val="24"/>
                    <w:lang w:eastAsia="lt-LT"/>
                  </w:rPr>
                  <w:fldChar w:fldCharType="begin">
                    <w:ffData>
                      <w:name w:val="Check1"/>
                      <w:enabled/>
                      <w:calcOnExit w:val="0"/>
                      <w:checkBox>
                        <w:sizeAuto/>
                        <w:default w:val="0"/>
                      </w:checkBox>
                    </w:ffData>
                  </w:fldChar>
                </w:r>
                <w:r w:rsidR="00C8139F" w:rsidRPr="00C8139F">
                  <w:rPr>
                    <w:rFonts w:eastAsia="Times New Roman"/>
                    <w:szCs w:val="24"/>
                    <w:lang w:eastAsia="lt-LT"/>
                  </w:rPr>
                  <w:instrText xml:space="preserve"> FORMCHECKBOX </w:instrText>
                </w:r>
                <w:r>
                  <w:rPr>
                    <w:rFonts w:eastAsia="Times New Roman"/>
                    <w:szCs w:val="24"/>
                    <w:lang w:eastAsia="lt-LT"/>
                  </w:rPr>
                </w:r>
                <w:r>
                  <w:rPr>
                    <w:rFonts w:eastAsia="Times New Roman"/>
                    <w:szCs w:val="24"/>
                    <w:lang w:eastAsia="lt-LT"/>
                  </w:rPr>
                  <w:fldChar w:fldCharType="separate"/>
                </w:r>
                <w:r w:rsidR="00C8139F" w:rsidRPr="00C8139F">
                  <w:rPr>
                    <w:rFonts w:eastAsia="Times New Roman"/>
                    <w:szCs w:val="24"/>
                    <w:lang w:eastAsia="lt-LT"/>
                  </w:rPr>
                  <w:fldChar w:fldCharType="end"/>
                </w:r>
              </w:sdtContent>
            </w:sdt>
            <w:r w:rsidR="00C8139F" w:rsidRPr="00C8139F">
              <w:rPr>
                <w:rFonts w:eastAsia="Times New Roman"/>
                <w:szCs w:val="24"/>
                <w:lang w:eastAsia="lt-LT"/>
              </w:rPr>
              <w:t xml:space="preserve"> Taip </w:t>
            </w:r>
            <w:sdt>
              <w:sdtPr>
                <w:rPr>
                  <w:rFonts w:eastAsia="Times New Roman"/>
                  <w:szCs w:val="24"/>
                  <w:lang w:eastAsia="lt-LT"/>
                </w:rPr>
                <w:id w:val="-338542889"/>
              </w:sdtPr>
              <w:sdtEndPr/>
              <w:sdtContent>
                <w:r w:rsidR="00C8139F" w:rsidRPr="00C8139F">
                  <w:rPr>
                    <w:rFonts w:eastAsia="Times New Roman"/>
                    <w:szCs w:val="24"/>
                    <w:lang w:eastAsia="lt-LT"/>
                  </w:rPr>
                  <w:fldChar w:fldCharType="begin">
                    <w:ffData>
                      <w:name w:val=""/>
                      <w:enabled/>
                      <w:calcOnExit w:val="0"/>
                      <w:checkBox>
                        <w:sizeAuto/>
                        <w:default w:val="1"/>
                      </w:checkBox>
                    </w:ffData>
                  </w:fldChar>
                </w:r>
                <w:r w:rsidR="00C8139F" w:rsidRPr="00C8139F">
                  <w:rPr>
                    <w:rFonts w:eastAsia="Times New Roman"/>
                    <w:szCs w:val="24"/>
                    <w:lang w:eastAsia="lt-LT"/>
                  </w:rPr>
                  <w:instrText xml:space="preserve"> FORMCHECKBOX </w:instrText>
                </w:r>
                <w:r>
                  <w:rPr>
                    <w:rFonts w:eastAsia="Times New Roman"/>
                    <w:szCs w:val="24"/>
                    <w:lang w:eastAsia="lt-LT"/>
                  </w:rPr>
                </w:r>
                <w:r>
                  <w:rPr>
                    <w:rFonts w:eastAsia="Times New Roman"/>
                    <w:szCs w:val="24"/>
                    <w:lang w:eastAsia="lt-LT"/>
                  </w:rPr>
                  <w:fldChar w:fldCharType="separate"/>
                </w:r>
                <w:r w:rsidR="00C8139F" w:rsidRPr="00C8139F">
                  <w:rPr>
                    <w:rFonts w:eastAsia="Times New Roman"/>
                    <w:szCs w:val="24"/>
                    <w:lang w:eastAsia="lt-LT"/>
                  </w:rPr>
                  <w:fldChar w:fldCharType="end"/>
                </w:r>
              </w:sdtContent>
            </w:sdt>
            <w:r w:rsidR="00C8139F" w:rsidRPr="00C8139F">
              <w:rPr>
                <w:rFonts w:eastAsia="Times New Roman"/>
                <w:szCs w:val="24"/>
                <w:lang w:eastAsia="lt-LT"/>
              </w:rPr>
              <w:t xml:space="preserve"> Ne </w:t>
            </w:r>
          </w:p>
        </w:tc>
      </w:tr>
    </w:tbl>
    <w:p w14:paraId="4AD095DF" w14:textId="77777777" w:rsidR="00C8139F" w:rsidRPr="00C8139F" w:rsidRDefault="00C8139F" w:rsidP="00C8139F">
      <w:pPr>
        <w:spacing w:after="0" w:line="240" w:lineRule="auto"/>
        <w:rPr>
          <w:rFonts w:ascii="Times New Roman" w:eastAsia="Times New Roman" w:hAnsi="Times New Roman" w:cs="Times New Roman"/>
          <w:sz w:val="24"/>
          <w:szCs w:val="24"/>
          <w:lang w:val="lt-LT" w:eastAsia="lt-LT"/>
        </w:rPr>
      </w:pPr>
    </w:p>
    <w:tbl>
      <w:tblPr>
        <w:tblStyle w:val="Lentelstinklelis"/>
        <w:tblW w:w="14742" w:type="dxa"/>
        <w:tblInd w:w="108" w:type="dxa"/>
        <w:tblLayout w:type="fixed"/>
        <w:tblLook w:val="04A0" w:firstRow="1" w:lastRow="0" w:firstColumn="1" w:lastColumn="0" w:noHBand="0" w:noVBand="1"/>
      </w:tblPr>
      <w:tblGrid>
        <w:gridCol w:w="567"/>
        <w:gridCol w:w="1730"/>
        <w:gridCol w:w="7371"/>
        <w:gridCol w:w="5074"/>
      </w:tblGrid>
      <w:tr w:rsidR="00C8139F" w:rsidRPr="00C8139F" w14:paraId="4B3C6D79" w14:textId="77777777" w:rsidTr="00824337">
        <w:tc>
          <w:tcPr>
            <w:tcW w:w="567" w:type="dxa"/>
            <w:vAlign w:val="center"/>
          </w:tcPr>
          <w:p w14:paraId="3F1274D6" w14:textId="77777777" w:rsidR="00C8139F" w:rsidRPr="00C8139F" w:rsidRDefault="00C8139F" w:rsidP="00824337">
            <w:pPr>
              <w:jc w:val="center"/>
              <w:rPr>
                <w:rFonts w:eastAsia="Times New Roman"/>
                <w:b/>
                <w:szCs w:val="24"/>
                <w:lang w:eastAsia="lt-LT"/>
              </w:rPr>
            </w:pPr>
            <w:r w:rsidRPr="00C8139F">
              <w:rPr>
                <w:rFonts w:eastAsia="Times New Roman"/>
                <w:b/>
                <w:szCs w:val="24"/>
                <w:lang w:eastAsia="lt-LT"/>
              </w:rPr>
              <w:t>Nr.</w:t>
            </w:r>
          </w:p>
        </w:tc>
        <w:tc>
          <w:tcPr>
            <w:tcW w:w="1730" w:type="dxa"/>
            <w:vAlign w:val="center"/>
          </w:tcPr>
          <w:p w14:paraId="42191401" w14:textId="77777777" w:rsidR="00C8139F" w:rsidRPr="00C8139F" w:rsidRDefault="00C8139F" w:rsidP="00824337">
            <w:pPr>
              <w:jc w:val="center"/>
              <w:rPr>
                <w:rFonts w:eastAsia="Times New Roman"/>
                <w:b/>
                <w:szCs w:val="24"/>
                <w:lang w:eastAsia="lt-LT"/>
              </w:rPr>
            </w:pPr>
            <w:r w:rsidRPr="00C8139F">
              <w:rPr>
                <w:rFonts w:eastAsia="Times New Roman"/>
                <w:b/>
                <w:szCs w:val="24"/>
                <w:lang w:eastAsia="lt-LT"/>
              </w:rPr>
              <w:t>Institucija</w:t>
            </w:r>
          </w:p>
        </w:tc>
        <w:tc>
          <w:tcPr>
            <w:tcW w:w="7371" w:type="dxa"/>
            <w:vAlign w:val="center"/>
          </w:tcPr>
          <w:p w14:paraId="5721312B" w14:textId="77777777" w:rsidR="00C8139F" w:rsidRPr="00C8139F" w:rsidRDefault="00C8139F" w:rsidP="00824337">
            <w:pPr>
              <w:jc w:val="center"/>
              <w:rPr>
                <w:rFonts w:eastAsia="Times New Roman"/>
                <w:b/>
                <w:szCs w:val="24"/>
                <w:lang w:eastAsia="lt-LT"/>
              </w:rPr>
            </w:pPr>
            <w:r w:rsidRPr="00C8139F">
              <w:rPr>
                <w:rFonts w:eastAsia="Times New Roman"/>
                <w:b/>
                <w:bCs/>
                <w:szCs w:val="24"/>
                <w:lang w:eastAsia="lt-LT"/>
              </w:rPr>
              <w:t>Pastabos ir pasiūlymai</w:t>
            </w:r>
          </w:p>
        </w:tc>
        <w:tc>
          <w:tcPr>
            <w:tcW w:w="5074" w:type="dxa"/>
          </w:tcPr>
          <w:p w14:paraId="2F68316A" w14:textId="77777777" w:rsidR="00C8139F" w:rsidRPr="00C8139F" w:rsidRDefault="00C8139F" w:rsidP="00C8139F">
            <w:pPr>
              <w:jc w:val="center"/>
              <w:rPr>
                <w:rFonts w:eastAsia="Times New Roman"/>
                <w:b/>
                <w:szCs w:val="24"/>
                <w:lang w:eastAsia="lt-LT"/>
              </w:rPr>
            </w:pPr>
            <w:r w:rsidRPr="00C8139F">
              <w:rPr>
                <w:rFonts w:eastAsia="Times New Roman"/>
                <w:b/>
                <w:bCs/>
                <w:szCs w:val="24"/>
                <w:lang w:eastAsia="lt-LT"/>
              </w:rPr>
              <w:t>Pastabų ir pasiūlymų vertinimas ir (jei taikoma) argumentai, kodėl neatsižvelgta į pastabas ar pasiūlymus</w:t>
            </w:r>
          </w:p>
        </w:tc>
      </w:tr>
      <w:tr w:rsidR="00C8139F" w:rsidRPr="00C8139F" w14:paraId="38293F34" w14:textId="77777777" w:rsidTr="007875A2">
        <w:tc>
          <w:tcPr>
            <w:tcW w:w="567" w:type="dxa"/>
          </w:tcPr>
          <w:p w14:paraId="68409D1C" w14:textId="77777777" w:rsidR="00C8139F" w:rsidRPr="00C8139F" w:rsidRDefault="00C8139F" w:rsidP="00C8139F">
            <w:pPr>
              <w:jc w:val="center"/>
              <w:rPr>
                <w:rFonts w:eastAsia="Times New Roman"/>
                <w:b/>
                <w:szCs w:val="24"/>
                <w:lang w:eastAsia="lt-LT"/>
              </w:rPr>
            </w:pPr>
            <w:r w:rsidRPr="00C8139F">
              <w:rPr>
                <w:rFonts w:eastAsia="Times New Roman"/>
                <w:b/>
                <w:szCs w:val="24"/>
                <w:lang w:eastAsia="lt-LT"/>
              </w:rPr>
              <w:t>1</w:t>
            </w:r>
            <w:r w:rsidR="00E17936">
              <w:rPr>
                <w:rFonts w:eastAsia="Times New Roman"/>
                <w:b/>
                <w:szCs w:val="24"/>
                <w:lang w:eastAsia="lt-LT"/>
              </w:rPr>
              <w:t>.</w:t>
            </w:r>
          </w:p>
        </w:tc>
        <w:tc>
          <w:tcPr>
            <w:tcW w:w="1730" w:type="dxa"/>
            <w:vMerge w:val="restart"/>
          </w:tcPr>
          <w:p w14:paraId="11D8396E" w14:textId="02C18BD3" w:rsidR="00C8139F" w:rsidRPr="00C8139F" w:rsidRDefault="005A099E" w:rsidP="00C8139F">
            <w:pPr>
              <w:rPr>
                <w:rFonts w:eastAsia="Times New Roman"/>
                <w:szCs w:val="24"/>
                <w:shd w:val="clear" w:color="auto" w:fill="FFFFFF"/>
                <w:lang w:eastAsia="lt-LT"/>
              </w:rPr>
            </w:pPr>
            <w:r>
              <w:rPr>
                <w:rFonts w:eastAsia="Times New Roman"/>
                <w:szCs w:val="24"/>
                <w:shd w:val="clear" w:color="auto" w:fill="FFFFFF"/>
                <w:lang w:eastAsia="lt-LT"/>
              </w:rPr>
              <w:t xml:space="preserve">Lietuvos Respublikos </w:t>
            </w:r>
            <w:r>
              <w:rPr>
                <w:rFonts w:eastAsia="Times New Roman"/>
                <w:szCs w:val="24"/>
                <w:shd w:val="clear" w:color="auto" w:fill="FFFFFF"/>
                <w:lang w:eastAsia="lt-LT"/>
              </w:rPr>
              <w:lastRenderedPageBreak/>
              <w:t>socialinės apsaugos ir darbo ministerija</w:t>
            </w:r>
          </w:p>
        </w:tc>
        <w:tc>
          <w:tcPr>
            <w:tcW w:w="7371" w:type="dxa"/>
          </w:tcPr>
          <w:p w14:paraId="2F1FE6E9" w14:textId="68C576A9" w:rsidR="00C8139F" w:rsidRPr="00C8139F" w:rsidRDefault="00522F43" w:rsidP="005A099E">
            <w:pPr>
              <w:rPr>
                <w:rFonts w:eastAsia="Times New Roman"/>
                <w:szCs w:val="24"/>
                <w:lang w:eastAsia="lt-LT"/>
              </w:rPr>
            </w:pPr>
            <w:r w:rsidRPr="00522F43">
              <w:rPr>
                <w:rFonts w:eastAsia="Times New Roman"/>
                <w:color w:val="000000"/>
                <w:szCs w:val="24"/>
              </w:rPr>
              <w:lastRenderedPageBreak/>
              <w:t>Pastaba dėl</w:t>
            </w:r>
            <w:r>
              <w:rPr>
                <w:rFonts w:eastAsia="Times New Roman"/>
                <w:color w:val="000000"/>
                <w:szCs w:val="24"/>
              </w:rPr>
              <w:t xml:space="preserve"> </w:t>
            </w:r>
            <w:r w:rsidR="005A099E">
              <w:rPr>
                <w:rFonts w:eastAsia="Times New Roman"/>
                <w:color w:val="000000"/>
                <w:szCs w:val="24"/>
              </w:rPr>
              <w:t xml:space="preserve">PFSA </w:t>
            </w:r>
            <w:r w:rsidR="005A099E" w:rsidRPr="005A099E">
              <w:rPr>
                <w:rFonts w:eastAsia="Times New Roman"/>
                <w:bCs/>
                <w:color w:val="000000"/>
                <w:szCs w:val="24"/>
              </w:rPr>
              <w:t xml:space="preserve">3 skyriaus Horizontaliųjų principų (toliau – HP) ir su jais susijusių Europos Sąjungos pagrindinių teisių chartijos (toliau – Chartija) </w:t>
            </w:r>
            <w:r w:rsidR="005A099E" w:rsidRPr="005A099E">
              <w:rPr>
                <w:rFonts w:eastAsia="Times New Roman"/>
                <w:bCs/>
                <w:color w:val="000000"/>
                <w:szCs w:val="24"/>
              </w:rPr>
              <w:lastRenderedPageBreak/>
              <w:t>nuostatų laikymosi reikalavimų</w:t>
            </w:r>
            <w:r>
              <w:rPr>
                <w:rFonts w:eastAsia="Times New Roman"/>
                <w:color w:val="000000"/>
                <w:szCs w:val="24"/>
              </w:rPr>
              <w:t>.</w:t>
            </w:r>
            <w:r>
              <w:rPr>
                <w:rFonts w:eastAsia="Times New Roman"/>
                <w:i/>
                <w:color w:val="000000"/>
                <w:szCs w:val="24"/>
              </w:rPr>
              <w:t xml:space="preserve"> </w:t>
            </w:r>
            <w:r w:rsidR="00E17936" w:rsidRPr="00E17936">
              <w:rPr>
                <w:rFonts w:eastAsia="Times New Roman"/>
                <w:i/>
                <w:color w:val="000000"/>
                <w:szCs w:val="24"/>
              </w:rPr>
              <w:t>Pasiūlymas:</w:t>
            </w:r>
            <w:r w:rsidR="00E17936">
              <w:rPr>
                <w:rFonts w:eastAsia="Times New Roman"/>
                <w:i/>
                <w:color w:val="000000"/>
                <w:szCs w:val="24"/>
              </w:rPr>
              <w:t xml:space="preserve"> </w:t>
            </w:r>
            <w:r w:rsidR="005A099E" w:rsidRPr="005A099E">
              <w:rPr>
                <w:rFonts w:eastAsia="Times New Roman"/>
                <w:color w:val="000000"/>
                <w:szCs w:val="24"/>
              </w:rPr>
              <w:t>Siūlytina nusimatyti konkrečius reikalavimus vietos plėtros strategijoms bei vietovės tiriamųjų studijų vykdymui, siekiant užtikrinti lygių galimybių horizontalųjį principą, t. y. nustatyti privalomą šių principų integraciją į strategijų ir studijų rengimą (pvz., rengiant strategijas privalomai turi būti įvertinta lyčių lygybės situacija, tautinių bendruomenių, asmenų su negalia vietos situacija; atliekant vietovės tiriamąją studiją įtraukiami respondentai iš įvairių visuomenės grupių ir pan.).</w:t>
            </w:r>
          </w:p>
        </w:tc>
        <w:tc>
          <w:tcPr>
            <w:tcW w:w="5074" w:type="dxa"/>
          </w:tcPr>
          <w:p w14:paraId="5DE2D385" w14:textId="42ED6B4E" w:rsidR="00233435" w:rsidRDefault="005A099E" w:rsidP="0035124C">
            <w:pPr>
              <w:rPr>
                <w:rFonts w:eastAsia="Times New Roman"/>
                <w:b/>
                <w:bCs/>
                <w:szCs w:val="24"/>
                <w:lang w:eastAsia="lt-LT"/>
              </w:rPr>
            </w:pPr>
            <w:r>
              <w:rPr>
                <w:rFonts w:eastAsia="Times New Roman"/>
                <w:b/>
                <w:bCs/>
                <w:szCs w:val="24"/>
                <w:lang w:eastAsia="lt-LT"/>
              </w:rPr>
              <w:lastRenderedPageBreak/>
              <w:t>Nea</w:t>
            </w:r>
            <w:r w:rsidR="0018423C" w:rsidRPr="000C662A">
              <w:rPr>
                <w:rFonts w:eastAsia="Times New Roman"/>
                <w:b/>
                <w:bCs/>
                <w:szCs w:val="24"/>
                <w:lang w:eastAsia="lt-LT"/>
              </w:rPr>
              <w:t>tsižvelgta.</w:t>
            </w:r>
          </w:p>
          <w:p w14:paraId="75EA4A17" w14:textId="3A76E233" w:rsidR="0035124C" w:rsidRPr="00233435" w:rsidRDefault="005A099E" w:rsidP="007176C4">
            <w:pPr>
              <w:rPr>
                <w:rFonts w:eastAsia="Times New Roman"/>
                <w:szCs w:val="24"/>
                <w:lang w:eastAsia="lt-LT"/>
              </w:rPr>
            </w:pPr>
            <w:r w:rsidRPr="00B368B4">
              <w:rPr>
                <w:rFonts w:eastAsia="Times New Roman"/>
                <w:szCs w:val="24"/>
                <w:lang w:eastAsia="lt-LT"/>
              </w:rPr>
              <w:lastRenderedPageBreak/>
              <w:t>Vietos plėtros strategijos rengiamos vadovaujantis Vietos plėtros strategijų rengimo ir atrankos taisyklėmis, patvirtintomis Lietuvos Respublikos vidaus reikalų ministro 2022 m. spalio 28 d. įsakymu Nr. 1V-672 „Dėl Vietos plėtros strategijų rengimo ir atrankos taisyklių patvirtinimo“ (toliau – Taisyklės). Taisyklėse nurodomi reikalavimai vietos plėtros strategijoms parengti. Strategijos kuriamos siekiant užtikrinti bendruomenės inicijuotos vietos plėtros metodo taikymą, kuris</w:t>
            </w:r>
            <w:r w:rsidR="00B368B4" w:rsidRPr="00B368B4">
              <w:rPr>
                <w:rFonts w:eastAsia="Times New Roman"/>
                <w:szCs w:val="24"/>
                <w:lang w:eastAsia="lt-LT"/>
              </w:rPr>
              <w:t xml:space="preserve"> skirtas </w:t>
            </w:r>
            <w:r w:rsidR="00B368B4" w:rsidRPr="00B368B4">
              <w:rPr>
                <w:rFonts w:eastAsia="Times New Roman"/>
                <w:szCs w:val="24"/>
                <w:lang w:eastAsia="lt-LT"/>
              </w:rPr>
              <w:t>įtraukti visuomenės narius į viešojo valdymo procesus.</w:t>
            </w:r>
            <w:r w:rsidR="007176C4">
              <w:rPr>
                <w:color w:val="0A3C61"/>
                <w:sz w:val="22"/>
                <w:szCs w:val="24"/>
                <w:shd w:val="clear" w:color="auto" w:fill="FBFBFB"/>
              </w:rPr>
              <w:t xml:space="preserve"> </w:t>
            </w:r>
            <w:r w:rsidR="00B368B4" w:rsidRPr="005A6420">
              <w:rPr>
                <w:szCs w:val="24"/>
                <w:shd w:val="clear" w:color="auto" w:fill="FBFBFB"/>
              </w:rPr>
              <w:t>Bendruomenei dalyvaujant lygiomis teisėmis su kitais partneriais stiprinami ryšiai tarp žmonių, verslo, valdžios institucijų, didinamas įvairių sektorių interesų grupių tarpusavio pasitikėjimas. Galimybė spręsti iššūkius perduodama tiems žmonėms, kurie juos patiria, tačiau nesitikima, kad jie tuos iššūkius išspręs vien savo jėgomis. Jiems padedama užmegzti ryšius ir derėtis su tais, kurie turi daugiau gebėjimų tai padaryti.</w:t>
            </w:r>
            <w:r w:rsidR="00B368B4" w:rsidRPr="007176C4">
              <w:rPr>
                <w:sz w:val="22"/>
                <w:szCs w:val="24"/>
                <w:shd w:val="clear" w:color="auto" w:fill="FBFBFB"/>
              </w:rPr>
              <w:t xml:space="preserve"> </w:t>
            </w:r>
            <w:r w:rsidR="00B368B4">
              <w:rPr>
                <w:szCs w:val="24"/>
                <w:shd w:val="clear" w:color="auto" w:fill="FBFBFB"/>
              </w:rPr>
              <w:t xml:space="preserve">Vietos plėtros strategijos </w:t>
            </w:r>
            <w:r w:rsidRPr="005A099E">
              <w:rPr>
                <w:rFonts w:eastAsia="Times New Roman"/>
                <w:szCs w:val="24"/>
                <w:lang w:eastAsia="lt-LT"/>
              </w:rPr>
              <w:t>skirt</w:t>
            </w:r>
            <w:r w:rsidR="00B368B4">
              <w:rPr>
                <w:rFonts w:eastAsia="Times New Roman"/>
                <w:szCs w:val="24"/>
                <w:lang w:eastAsia="lt-LT"/>
              </w:rPr>
              <w:t>o</w:t>
            </w:r>
            <w:r w:rsidRPr="005A099E">
              <w:rPr>
                <w:rFonts w:eastAsia="Times New Roman"/>
                <w:szCs w:val="24"/>
                <w:lang w:eastAsia="lt-LT"/>
              </w:rPr>
              <w:t xml:space="preserve">s </w:t>
            </w:r>
            <w:r w:rsidR="00B368B4">
              <w:rPr>
                <w:rFonts w:eastAsia="Times New Roman"/>
                <w:szCs w:val="24"/>
                <w:lang w:eastAsia="lt-LT"/>
              </w:rPr>
              <w:t xml:space="preserve"> spręsti </w:t>
            </w:r>
            <w:r w:rsidRPr="005A099E">
              <w:rPr>
                <w:rFonts w:eastAsia="Times New Roman"/>
                <w:szCs w:val="24"/>
                <w:lang w:eastAsia="lt-LT"/>
              </w:rPr>
              <w:t xml:space="preserve"> socialinę atskirtį patiriančių asmenų įtraukim</w:t>
            </w:r>
            <w:r w:rsidR="00B368B4">
              <w:rPr>
                <w:rFonts w:eastAsia="Times New Roman"/>
                <w:szCs w:val="24"/>
                <w:lang w:eastAsia="lt-LT"/>
              </w:rPr>
              <w:t>o</w:t>
            </w:r>
            <w:r w:rsidRPr="005A099E">
              <w:rPr>
                <w:rFonts w:eastAsia="Times New Roman"/>
                <w:szCs w:val="24"/>
                <w:lang w:eastAsia="lt-LT"/>
              </w:rPr>
              <w:t xml:space="preserve"> į socialinę ir ekonominę veiklą</w:t>
            </w:r>
            <w:r w:rsidR="00B368B4">
              <w:rPr>
                <w:rFonts w:eastAsia="Times New Roman"/>
                <w:szCs w:val="24"/>
                <w:lang w:eastAsia="lt-LT"/>
              </w:rPr>
              <w:t xml:space="preserve"> problemas</w:t>
            </w:r>
            <w:r w:rsidRPr="005A099E">
              <w:rPr>
                <w:rFonts w:eastAsia="Times New Roman"/>
                <w:szCs w:val="24"/>
                <w:lang w:eastAsia="lt-LT"/>
              </w:rPr>
              <w:t>, vykdant integruotus veiksmus</w:t>
            </w:r>
            <w:r w:rsidR="001A47EF" w:rsidRPr="001A47EF">
              <w:rPr>
                <w:rFonts w:eastAsia="Times New Roman"/>
                <w:szCs w:val="24"/>
                <w:lang w:eastAsia="lt-LT"/>
              </w:rPr>
              <w:t>, skatinti bendruomenėse socialinį verslą, padedantį vietoje spręsti pažeidžiamų grupių atskirties problemas</w:t>
            </w:r>
            <w:r w:rsidRPr="001A47EF">
              <w:rPr>
                <w:rFonts w:eastAsia="Times New Roman"/>
                <w:szCs w:val="24"/>
                <w:lang w:eastAsia="lt-LT"/>
              </w:rPr>
              <w:t>.</w:t>
            </w:r>
            <w:r w:rsidRPr="005A099E">
              <w:rPr>
                <w:rFonts w:eastAsia="Times New Roman"/>
                <w:szCs w:val="24"/>
                <w:lang w:eastAsia="lt-LT"/>
              </w:rPr>
              <w:t xml:space="preserve"> Pačių bendruomenių deleguoti atstovai mato ir gali nuspręsti, kurioje srityje patiriama daugiausia atskirties, o prieinamumo visiems principo užtikrinimo metu, į vietovės tiriamąją studiją įtraukiami respondentai iš įvairių visuomenės grupių. </w:t>
            </w:r>
          </w:p>
        </w:tc>
      </w:tr>
      <w:tr w:rsidR="00C8139F" w:rsidRPr="00C8139F" w14:paraId="441EC169" w14:textId="77777777" w:rsidTr="007875A2">
        <w:tc>
          <w:tcPr>
            <w:tcW w:w="567" w:type="dxa"/>
          </w:tcPr>
          <w:p w14:paraId="216A88A2" w14:textId="7DD80B0E" w:rsidR="00C8139F" w:rsidRPr="00C8139F" w:rsidRDefault="00C8139F" w:rsidP="00C8139F">
            <w:pPr>
              <w:jc w:val="center"/>
              <w:rPr>
                <w:rFonts w:eastAsia="Times New Roman"/>
                <w:b/>
                <w:szCs w:val="24"/>
                <w:lang w:eastAsia="lt-LT"/>
              </w:rPr>
            </w:pPr>
            <w:r w:rsidRPr="00C8139F">
              <w:rPr>
                <w:rFonts w:eastAsia="Times New Roman"/>
                <w:b/>
                <w:szCs w:val="24"/>
                <w:lang w:eastAsia="lt-LT"/>
              </w:rPr>
              <w:lastRenderedPageBreak/>
              <w:t>2</w:t>
            </w:r>
            <w:r w:rsidR="00091E69">
              <w:rPr>
                <w:rFonts w:eastAsia="Times New Roman"/>
                <w:b/>
                <w:szCs w:val="24"/>
                <w:lang w:eastAsia="lt-LT"/>
              </w:rPr>
              <w:t>.</w:t>
            </w:r>
          </w:p>
        </w:tc>
        <w:tc>
          <w:tcPr>
            <w:tcW w:w="1730" w:type="dxa"/>
            <w:vMerge/>
          </w:tcPr>
          <w:p w14:paraId="0F08610F" w14:textId="77777777" w:rsidR="00C8139F" w:rsidRPr="00C8139F" w:rsidRDefault="00C8139F" w:rsidP="00C8139F">
            <w:pPr>
              <w:rPr>
                <w:rFonts w:eastAsia="Times New Roman"/>
                <w:szCs w:val="24"/>
                <w:shd w:val="clear" w:color="auto" w:fill="FFFFFF"/>
                <w:lang w:eastAsia="lt-LT"/>
              </w:rPr>
            </w:pPr>
          </w:p>
        </w:tc>
        <w:tc>
          <w:tcPr>
            <w:tcW w:w="7371" w:type="dxa"/>
          </w:tcPr>
          <w:p w14:paraId="567EBB62" w14:textId="77777777" w:rsidR="005A099E" w:rsidRPr="00E17936" w:rsidRDefault="005A099E" w:rsidP="00C8139F">
            <w:pPr>
              <w:rPr>
                <w:rFonts w:eastAsia="Times New Roman"/>
                <w:szCs w:val="24"/>
                <w:lang w:eastAsia="lt-LT"/>
              </w:rPr>
            </w:pPr>
            <w:r w:rsidRPr="005A099E">
              <w:rPr>
                <w:rFonts w:eastAsia="Times New Roman"/>
                <w:szCs w:val="24"/>
                <w:lang w:eastAsia="lt-LT"/>
              </w:rPr>
              <w:t xml:space="preserve">Pastaba dėl PFSA </w:t>
            </w:r>
            <w:r w:rsidRPr="005A099E">
              <w:rPr>
                <w:rFonts w:eastAsia="Times New Roman"/>
                <w:bCs/>
                <w:szCs w:val="24"/>
                <w:lang w:eastAsia="lt-LT"/>
              </w:rPr>
              <w:t>3 skyriaus Horizontaliųjų principų (toliau – HP) ir su jais susijusių Europos Sąjungos pagrindinių teisių chartijos (toliau – Chartija) nuostatų laikymosi reikalavimų</w:t>
            </w:r>
            <w:r w:rsidRPr="005A099E">
              <w:rPr>
                <w:rFonts w:eastAsia="Times New Roman"/>
                <w:szCs w:val="24"/>
                <w:lang w:val="en-US" w:eastAsia="lt-LT"/>
              </w:rPr>
              <w:t>.</w:t>
            </w:r>
            <w:r w:rsidR="00522F43" w:rsidRPr="00522F43">
              <w:rPr>
                <w:rFonts w:eastAsia="Times New Roman"/>
                <w:szCs w:val="24"/>
                <w:lang w:val="en-US" w:eastAsia="lt-LT"/>
              </w:rPr>
              <w:t xml:space="preserve"> </w:t>
            </w:r>
          </w:p>
          <w:p w14:paraId="1D275BEA" w14:textId="6E7B161B" w:rsidR="005A099E" w:rsidRPr="005A099E" w:rsidRDefault="005A099E" w:rsidP="005A099E">
            <w:pPr>
              <w:rPr>
                <w:rFonts w:eastAsia="Times New Roman"/>
                <w:szCs w:val="24"/>
                <w:lang w:eastAsia="lt-LT"/>
              </w:rPr>
            </w:pPr>
            <w:r w:rsidRPr="005A099E">
              <w:rPr>
                <w:rFonts w:eastAsia="Times New Roman"/>
                <w:szCs w:val="24"/>
                <w:lang w:eastAsia="lt-LT"/>
              </w:rPr>
              <w:t>Nėra aišku kokios sąlygos ir (ar) kriterijai yra taikomi dėl Europos Sąjungos pagrindinių teisių chartijos įgyvendinimo, nes šie reikalavimai 3 punkte nedetalizuojami</w:t>
            </w:r>
            <w:r>
              <w:rPr>
                <w:rFonts w:eastAsia="Times New Roman"/>
                <w:szCs w:val="24"/>
                <w:lang w:eastAsia="lt-LT"/>
              </w:rPr>
              <w:t>.</w:t>
            </w:r>
          </w:p>
          <w:p w14:paraId="4F802463" w14:textId="56E78C38" w:rsidR="00C8139F" w:rsidRPr="00C8139F" w:rsidRDefault="00C8139F" w:rsidP="00C8139F">
            <w:pPr>
              <w:rPr>
                <w:rFonts w:eastAsia="Times New Roman"/>
                <w:szCs w:val="24"/>
                <w:lang w:eastAsia="lt-LT"/>
              </w:rPr>
            </w:pPr>
          </w:p>
          <w:p w14:paraId="0200BCB1" w14:textId="77777777" w:rsidR="00C8139F" w:rsidRPr="00C8139F" w:rsidRDefault="00C8139F" w:rsidP="00C8139F">
            <w:pPr>
              <w:rPr>
                <w:rFonts w:eastAsia="Times New Roman"/>
                <w:szCs w:val="24"/>
                <w:lang w:eastAsia="lt-LT"/>
              </w:rPr>
            </w:pPr>
          </w:p>
        </w:tc>
        <w:tc>
          <w:tcPr>
            <w:tcW w:w="5074" w:type="dxa"/>
          </w:tcPr>
          <w:p w14:paraId="715373CB" w14:textId="58517B79" w:rsidR="00015DA3" w:rsidRPr="00D77441" w:rsidRDefault="005A099E" w:rsidP="00E17936">
            <w:pPr>
              <w:rPr>
                <w:rFonts w:eastAsia="Times New Roman"/>
                <w:b/>
                <w:bCs/>
                <w:szCs w:val="24"/>
                <w:lang w:eastAsia="lt-LT"/>
              </w:rPr>
            </w:pPr>
            <w:r>
              <w:rPr>
                <w:rFonts w:eastAsia="Times New Roman"/>
                <w:b/>
                <w:bCs/>
                <w:szCs w:val="24"/>
                <w:lang w:eastAsia="lt-LT"/>
              </w:rPr>
              <w:t>Atsižvelgta</w:t>
            </w:r>
            <w:r w:rsidR="00E71ACD" w:rsidRPr="00D77441">
              <w:rPr>
                <w:rFonts w:eastAsia="Times New Roman"/>
                <w:b/>
                <w:bCs/>
                <w:szCs w:val="24"/>
                <w:lang w:eastAsia="lt-LT"/>
              </w:rPr>
              <w:t>.</w:t>
            </w:r>
          </w:p>
          <w:p w14:paraId="2A20B725" w14:textId="55301C79" w:rsidR="00015DA3" w:rsidRPr="00C8139F" w:rsidRDefault="002B4387" w:rsidP="005A099E">
            <w:pPr>
              <w:rPr>
                <w:rFonts w:eastAsia="Times New Roman"/>
                <w:szCs w:val="24"/>
                <w:lang w:eastAsia="lt-LT"/>
              </w:rPr>
            </w:pPr>
            <w:r w:rsidRPr="00D77441">
              <w:rPr>
                <w:rFonts w:eastAsia="Times New Roman"/>
                <w:bCs/>
                <w:szCs w:val="24"/>
                <w:lang w:eastAsia="lt-LT"/>
              </w:rPr>
              <w:t xml:space="preserve">PFSA papildomas </w:t>
            </w:r>
            <w:r w:rsidR="005A099E">
              <w:rPr>
                <w:rFonts w:eastAsia="Times New Roman"/>
                <w:bCs/>
                <w:szCs w:val="24"/>
                <w:lang w:eastAsia="lt-LT"/>
              </w:rPr>
              <w:t>3</w:t>
            </w:r>
            <w:r w:rsidR="00FE49FC" w:rsidRPr="00D77441">
              <w:rPr>
                <w:rFonts w:eastAsia="Times New Roman"/>
                <w:bCs/>
                <w:szCs w:val="24"/>
                <w:lang w:eastAsia="lt-LT"/>
              </w:rPr>
              <w:t xml:space="preserve">.1 </w:t>
            </w:r>
            <w:r w:rsidR="005A099E">
              <w:rPr>
                <w:rFonts w:eastAsia="Times New Roman"/>
                <w:bCs/>
                <w:szCs w:val="24"/>
                <w:lang w:eastAsia="lt-LT"/>
              </w:rPr>
              <w:t>skyriumi „</w:t>
            </w:r>
            <w:r w:rsidR="005A099E" w:rsidRPr="005A099E">
              <w:rPr>
                <w:rFonts w:eastAsia="Times New Roman"/>
                <w:bCs/>
                <w:iCs/>
                <w:szCs w:val="24"/>
                <w:lang w:eastAsia="lt-LT"/>
              </w:rPr>
              <w:t>Europos Sąjungos pagrindinių teisių chartijos (toliau – Chartija) reikalavimai</w:t>
            </w:r>
            <w:r w:rsidR="005A099E">
              <w:rPr>
                <w:rFonts w:eastAsia="Times New Roman"/>
                <w:bCs/>
                <w:iCs/>
                <w:szCs w:val="24"/>
                <w:lang w:eastAsia="lt-LT"/>
              </w:rPr>
              <w:t>“</w:t>
            </w:r>
            <w:r w:rsidRPr="005A099E">
              <w:rPr>
                <w:rFonts w:eastAsia="Times New Roman"/>
                <w:bCs/>
                <w:szCs w:val="24"/>
                <w:lang w:eastAsia="lt-LT"/>
              </w:rPr>
              <w:t>, j</w:t>
            </w:r>
            <w:r w:rsidR="005A099E" w:rsidRPr="005A099E">
              <w:rPr>
                <w:rFonts w:eastAsia="Times New Roman"/>
                <w:bCs/>
                <w:szCs w:val="24"/>
                <w:lang w:eastAsia="lt-LT"/>
              </w:rPr>
              <w:t>ame</w:t>
            </w:r>
            <w:r w:rsidRPr="005A099E">
              <w:rPr>
                <w:rFonts w:eastAsia="Times New Roman"/>
                <w:bCs/>
                <w:szCs w:val="24"/>
                <w:lang w:eastAsia="lt-LT"/>
              </w:rPr>
              <w:t xml:space="preserve"> išdėstant</w:t>
            </w:r>
            <w:bookmarkStart w:id="1" w:name="_GoBack"/>
            <w:bookmarkEnd w:id="1"/>
            <w:r w:rsidR="00FE49FC" w:rsidRPr="005A099E">
              <w:rPr>
                <w:rFonts w:eastAsia="Times New Roman"/>
                <w:bCs/>
                <w:szCs w:val="24"/>
                <w:lang w:eastAsia="lt-LT"/>
              </w:rPr>
              <w:t xml:space="preserve"> </w:t>
            </w:r>
            <w:r w:rsidR="00EB0999" w:rsidRPr="005A099E">
              <w:rPr>
                <w:rFonts w:eastAsia="Times New Roman"/>
                <w:bCs/>
                <w:szCs w:val="24"/>
                <w:lang w:eastAsia="lt-LT"/>
              </w:rPr>
              <w:t>„</w:t>
            </w:r>
            <w:r w:rsidR="005A099E" w:rsidRPr="005A099E">
              <w:rPr>
                <w:rFonts w:eastAsia="Times New Roman"/>
                <w:bCs/>
                <w:iCs/>
                <w:szCs w:val="24"/>
                <w:lang w:eastAsia="lt-LT"/>
              </w:rPr>
              <w:t>Pagal Aprašą numatyta veikla nepažeidžia 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w:t>
            </w:r>
            <w:r w:rsidR="005A099E">
              <w:rPr>
                <w:rFonts w:eastAsia="Times New Roman"/>
                <w:bCs/>
                <w:iCs/>
                <w:szCs w:val="24"/>
                <w:lang w:eastAsia="lt-LT"/>
              </w:rPr>
              <w:t>jų teisių; aplinkos apsaugos</w:t>
            </w:r>
            <w:r w:rsidR="00EB0999" w:rsidRPr="005A099E">
              <w:rPr>
                <w:rFonts w:eastAsia="Calibri"/>
                <w:iCs/>
                <w:szCs w:val="24"/>
              </w:rPr>
              <w:t>.“</w:t>
            </w:r>
          </w:p>
        </w:tc>
      </w:tr>
      <w:tr w:rsidR="00530E0F" w:rsidRPr="00C8139F" w14:paraId="019C15B3" w14:textId="77777777" w:rsidTr="007875A2">
        <w:tc>
          <w:tcPr>
            <w:tcW w:w="567" w:type="dxa"/>
          </w:tcPr>
          <w:p w14:paraId="225DCA78" w14:textId="01D434CF" w:rsidR="00530E0F" w:rsidRPr="00C8139F" w:rsidRDefault="00530E0F" w:rsidP="00DB24C8">
            <w:pPr>
              <w:jc w:val="center"/>
              <w:rPr>
                <w:rFonts w:eastAsia="Times New Roman"/>
                <w:b/>
                <w:szCs w:val="24"/>
                <w:lang w:eastAsia="lt-LT"/>
              </w:rPr>
            </w:pPr>
            <w:r>
              <w:rPr>
                <w:rFonts w:eastAsia="Times New Roman"/>
                <w:b/>
                <w:szCs w:val="24"/>
                <w:lang w:eastAsia="lt-LT"/>
              </w:rPr>
              <w:t>3.</w:t>
            </w:r>
          </w:p>
        </w:tc>
        <w:tc>
          <w:tcPr>
            <w:tcW w:w="1730" w:type="dxa"/>
            <w:vMerge w:val="restart"/>
          </w:tcPr>
          <w:p w14:paraId="1AC49CDC" w14:textId="77777777" w:rsidR="00530E0F" w:rsidRPr="002B72D2" w:rsidRDefault="00530E0F" w:rsidP="00C9564E">
            <w:pPr>
              <w:rPr>
                <w:rFonts w:eastAsia="Times New Roman"/>
                <w:szCs w:val="24"/>
                <w:shd w:val="clear" w:color="auto" w:fill="FFFFFF"/>
                <w:lang w:eastAsia="lt-LT"/>
              </w:rPr>
            </w:pPr>
            <w:r>
              <w:rPr>
                <w:rFonts w:eastAsia="Times New Roman"/>
                <w:szCs w:val="24"/>
                <w:shd w:val="clear" w:color="auto" w:fill="FFFFFF"/>
                <w:lang w:eastAsia="lt-LT"/>
              </w:rPr>
              <w:t>CPVA</w:t>
            </w:r>
          </w:p>
          <w:p w14:paraId="032D11E6" w14:textId="26B7A08C" w:rsidR="00530E0F" w:rsidRPr="002B72D2" w:rsidRDefault="00530E0F" w:rsidP="00C8139F">
            <w:pPr>
              <w:rPr>
                <w:rFonts w:eastAsia="Times New Roman"/>
                <w:szCs w:val="24"/>
                <w:shd w:val="clear" w:color="auto" w:fill="FFFFFF"/>
                <w:lang w:eastAsia="lt-LT"/>
              </w:rPr>
            </w:pPr>
          </w:p>
        </w:tc>
        <w:tc>
          <w:tcPr>
            <w:tcW w:w="7371" w:type="dxa"/>
          </w:tcPr>
          <w:p w14:paraId="73144FC9" w14:textId="0EE72B9A" w:rsidR="00530E0F" w:rsidRPr="00481E7A" w:rsidRDefault="00530E0F" w:rsidP="00C9564E">
            <w:pPr>
              <w:rPr>
                <w:rFonts w:eastAsia="Times New Roman"/>
                <w:szCs w:val="24"/>
                <w:lang w:eastAsia="lt-LT"/>
              </w:rPr>
            </w:pPr>
            <w:r w:rsidRPr="00481E7A">
              <w:rPr>
                <w:rFonts w:eastAsia="Times New Roman"/>
                <w:szCs w:val="24"/>
                <w:lang w:eastAsia="lt-LT"/>
              </w:rPr>
              <w:t>Rekomenduojame visą PFSA perkelti ant aktualios patvirtintos formos</w:t>
            </w:r>
          </w:p>
        </w:tc>
        <w:tc>
          <w:tcPr>
            <w:tcW w:w="5074" w:type="dxa"/>
          </w:tcPr>
          <w:p w14:paraId="6D45CACE" w14:textId="40F81A5B" w:rsidR="00530E0F" w:rsidRDefault="00530E0F" w:rsidP="00C9564E">
            <w:pPr>
              <w:rPr>
                <w:rFonts w:eastAsia="Times New Roman"/>
                <w:szCs w:val="24"/>
                <w:lang w:eastAsia="lt-LT"/>
              </w:rPr>
            </w:pPr>
            <w:r>
              <w:rPr>
                <w:rFonts w:eastAsia="Times New Roman"/>
                <w:b/>
                <w:szCs w:val="24"/>
                <w:lang w:eastAsia="lt-LT"/>
              </w:rPr>
              <w:t>A</w:t>
            </w:r>
            <w:r w:rsidRPr="00C8139F">
              <w:rPr>
                <w:rFonts w:eastAsia="Times New Roman"/>
                <w:b/>
                <w:szCs w:val="24"/>
                <w:lang w:eastAsia="lt-LT"/>
              </w:rPr>
              <w:t>tsižvelgta.</w:t>
            </w:r>
            <w:r w:rsidRPr="00C8139F">
              <w:rPr>
                <w:rFonts w:eastAsia="Times New Roman"/>
                <w:szCs w:val="24"/>
                <w:lang w:eastAsia="lt-LT"/>
              </w:rPr>
              <w:t xml:space="preserve"> </w:t>
            </w:r>
          </w:p>
          <w:p w14:paraId="29822A43" w14:textId="0917EE4D" w:rsidR="00530E0F" w:rsidRPr="00522F43" w:rsidRDefault="00530E0F" w:rsidP="00522F43">
            <w:pPr>
              <w:rPr>
                <w:rFonts w:eastAsia="Times New Roman"/>
                <w:szCs w:val="24"/>
                <w:lang w:eastAsia="lt-LT"/>
              </w:rPr>
            </w:pPr>
          </w:p>
        </w:tc>
      </w:tr>
      <w:tr w:rsidR="00530E0F" w:rsidRPr="00C8139F" w14:paraId="187BEDC2" w14:textId="77777777" w:rsidTr="007875A2">
        <w:tc>
          <w:tcPr>
            <w:tcW w:w="567" w:type="dxa"/>
          </w:tcPr>
          <w:p w14:paraId="5BF920D5" w14:textId="2B1053F1" w:rsidR="00530E0F" w:rsidRPr="00C8139F" w:rsidRDefault="00530E0F" w:rsidP="00DB24C8">
            <w:pPr>
              <w:jc w:val="center"/>
              <w:rPr>
                <w:rFonts w:eastAsia="Times New Roman"/>
                <w:b/>
                <w:szCs w:val="24"/>
                <w:lang w:eastAsia="lt-LT"/>
              </w:rPr>
            </w:pPr>
            <w:r>
              <w:rPr>
                <w:rFonts w:eastAsia="Times New Roman"/>
                <w:b/>
                <w:szCs w:val="24"/>
                <w:lang w:eastAsia="lt-LT"/>
              </w:rPr>
              <w:t>4.</w:t>
            </w:r>
          </w:p>
        </w:tc>
        <w:tc>
          <w:tcPr>
            <w:tcW w:w="1730" w:type="dxa"/>
            <w:vMerge/>
          </w:tcPr>
          <w:p w14:paraId="7F6D7D0B" w14:textId="2649DB53" w:rsidR="00530E0F" w:rsidRPr="00C8139F" w:rsidRDefault="00530E0F" w:rsidP="00C8139F">
            <w:pPr>
              <w:rPr>
                <w:rFonts w:eastAsia="Times New Roman"/>
                <w:szCs w:val="24"/>
                <w:shd w:val="clear" w:color="auto" w:fill="FFFFFF"/>
                <w:lang w:eastAsia="lt-LT"/>
              </w:rPr>
            </w:pPr>
          </w:p>
        </w:tc>
        <w:tc>
          <w:tcPr>
            <w:tcW w:w="7371" w:type="dxa"/>
          </w:tcPr>
          <w:p w14:paraId="406AB35D" w14:textId="7A0A0DE1" w:rsidR="00530E0F" w:rsidRPr="00481E7A" w:rsidRDefault="00530E0F" w:rsidP="00481E7A">
            <w:pPr>
              <w:rPr>
                <w:rFonts w:eastAsia="Times New Roman"/>
                <w:szCs w:val="24"/>
                <w:lang w:eastAsia="lt-LT"/>
              </w:rPr>
            </w:pPr>
            <w:r w:rsidRPr="00481E7A">
              <w:rPr>
                <w:rFonts w:eastAsia="Times New Roman"/>
                <w:szCs w:val="24"/>
                <w:lang w:eastAsia="lt-LT"/>
              </w:rPr>
              <w:t>Pagal patvirtintą 2022–2030 metų Viešojo valdymo plėtros programos pažangos priemonės Nr. 01-004-08-04-01 „Didinti visuomenės įsitraukimą į vietos problemų sprendimą“ aprašą (</w:t>
            </w:r>
            <w:r w:rsidR="00773AD3">
              <w:rPr>
                <w:rFonts w:eastAsia="Times New Roman"/>
                <w:szCs w:val="24"/>
                <w:lang w:eastAsia="lt-LT"/>
              </w:rPr>
              <w:t xml:space="preserve">toliau – </w:t>
            </w:r>
            <w:r w:rsidRPr="00481E7A">
              <w:rPr>
                <w:rFonts w:eastAsia="Times New Roman"/>
                <w:szCs w:val="24"/>
                <w:lang w:eastAsia="lt-LT"/>
              </w:rPr>
              <w:t xml:space="preserve">PPA) PFSA lentelėje „Veiklos ar poveiklės, kurioms nustatomos projektų finansavimo sąlygos“ stulpelyje „Veiklos pavadinimas“ turėtų būti dvi atskiros poveiklės: „1.1. Bendruomenės inicijuotos vietos plėtros metodo (BIVP) taikymas: parama vietos plėtros strategijų rengimui“ Sostinės regione“ ir „1.2. Bendruomenės inicijuotos vietos plėtros metodo (BIVP) taikymas: parama vietos plėtros strategijų rengimui“ Vidurio ir Vakarų Lietuvos regione“. Siūlome </w:t>
            </w:r>
            <w:r>
              <w:rPr>
                <w:rFonts w:eastAsia="Times New Roman"/>
                <w:szCs w:val="24"/>
                <w:lang w:eastAsia="lt-LT"/>
              </w:rPr>
              <w:t xml:space="preserve">po kiekviena poveikle nurodyti </w:t>
            </w:r>
            <w:r w:rsidRPr="00481E7A">
              <w:rPr>
                <w:rFonts w:eastAsia="Times New Roman"/>
                <w:szCs w:val="24"/>
                <w:lang w:eastAsia="lt-LT"/>
              </w:rPr>
              <w:t>tos poveiklės siektinas rodiklio reikšmes. Taip pat rekomenduojame poveiklės pavadinimą į PFSA perkelti visą pilną su poveiklės numeriu, tokiu, koks nurodytas PPA</w:t>
            </w:r>
            <w:r w:rsidR="00DA378F">
              <w:rPr>
                <w:rFonts w:eastAsia="Times New Roman"/>
                <w:szCs w:val="24"/>
                <w:lang w:eastAsia="lt-LT"/>
              </w:rPr>
              <w:t>.</w:t>
            </w:r>
          </w:p>
        </w:tc>
        <w:tc>
          <w:tcPr>
            <w:tcW w:w="5074" w:type="dxa"/>
          </w:tcPr>
          <w:p w14:paraId="520B59AC" w14:textId="23BDC7A5" w:rsidR="00530E0F" w:rsidRPr="00C8139F" w:rsidRDefault="00530E0F" w:rsidP="00C9564E">
            <w:pPr>
              <w:rPr>
                <w:rFonts w:eastAsia="Times New Roman"/>
                <w:szCs w:val="24"/>
                <w:lang w:eastAsia="lt-LT"/>
              </w:rPr>
            </w:pPr>
            <w:r>
              <w:rPr>
                <w:rFonts w:eastAsia="Times New Roman"/>
                <w:b/>
                <w:szCs w:val="24"/>
                <w:lang w:eastAsia="lt-LT"/>
              </w:rPr>
              <w:t>A</w:t>
            </w:r>
            <w:r w:rsidRPr="00C8139F">
              <w:rPr>
                <w:rFonts w:eastAsia="Times New Roman"/>
                <w:b/>
                <w:szCs w:val="24"/>
                <w:lang w:eastAsia="lt-LT"/>
              </w:rPr>
              <w:t>tsižvelgta.</w:t>
            </w:r>
            <w:r w:rsidRPr="00C8139F">
              <w:rPr>
                <w:rFonts w:eastAsia="Times New Roman"/>
                <w:szCs w:val="24"/>
                <w:lang w:eastAsia="lt-LT"/>
              </w:rPr>
              <w:t xml:space="preserve"> </w:t>
            </w:r>
          </w:p>
        </w:tc>
      </w:tr>
      <w:tr w:rsidR="00530E0F" w:rsidRPr="00C8139F" w14:paraId="50365D91" w14:textId="77777777" w:rsidTr="007875A2">
        <w:tc>
          <w:tcPr>
            <w:tcW w:w="567" w:type="dxa"/>
          </w:tcPr>
          <w:p w14:paraId="655CEFE2" w14:textId="6B329BBC" w:rsidR="00530E0F" w:rsidRPr="00C8139F" w:rsidRDefault="00530E0F" w:rsidP="00DB24C8">
            <w:pPr>
              <w:jc w:val="center"/>
              <w:rPr>
                <w:rFonts w:eastAsia="Times New Roman"/>
                <w:b/>
                <w:szCs w:val="24"/>
                <w:lang w:eastAsia="lt-LT"/>
              </w:rPr>
            </w:pPr>
            <w:r>
              <w:rPr>
                <w:rFonts w:eastAsia="Times New Roman"/>
                <w:b/>
                <w:szCs w:val="24"/>
                <w:lang w:eastAsia="lt-LT"/>
              </w:rPr>
              <w:t>5.</w:t>
            </w:r>
          </w:p>
        </w:tc>
        <w:tc>
          <w:tcPr>
            <w:tcW w:w="1730" w:type="dxa"/>
            <w:vMerge/>
          </w:tcPr>
          <w:p w14:paraId="396BAB16" w14:textId="78B58919" w:rsidR="00530E0F" w:rsidRPr="00C8139F" w:rsidRDefault="00530E0F" w:rsidP="00C8139F">
            <w:pPr>
              <w:rPr>
                <w:rFonts w:eastAsia="Times New Roman"/>
                <w:szCs w:val="24"/>
                <w:shd w:val="clear" w:color="auto" w:fill="FFFFFF"/>
                <w:lang w:eastAsia="lt-LT"/>
              </w:rPr>
            </w:pPr>
          </w:p>
        </w:tc>
        <w:tc>
          <w:tcPr>
            <w:tcW w:w="7371" w:type="dxa"/>
          </w:tcPr>
          <w:p w14:paraId="728F39BD" w14:textId="6EC36ACC" w:rsidR="00530E0F" w:rsidRPr="00481E7A" w:rsidRDefault="00530E0F" w:rsidP="00481E7A">
            <w:pPr>
              <w:rPr>
                <w:rFonts w:eastAsia="Times New Roman"/>
                <w:szCs w:val="24"/>
                <w:lang w:eastAsia="lt-LT"/>
              </w:rPr>
            </w:pPr>
            <w:r w:rsidRPr="00481E7A">
              <w:rPr>
                <w:rFonts w:eastAsia="Times New Roman"/>
                <w:szCs w:val="24"/>
                <w:lang w:eastAsia="lt-LT"/>
              </w:rPr>
              <w:t xml:space="preserve">PFSA lentelėje „Veiklos ar poveiklės, kurioms nustatomos projektų finansavimo sąlygos“ stulpelyje „Finansavimo šaltinis“ esančią informaciją siūlome papildyti nurodant finansavimo šaltinį </w:t>
            </w:r>
            <w:r>
              <w:rPr>
                <w:rFonts w:eastAsia="Times New Roman"/>
                <w:szCs w:val="24"/>
                <w:lang w:eastAsia="lt-LT"/>
              </w:rPr>
              <w:t>–</w:t>
            </w:r>
            <w:r w:rsidRPr="00481E7A">
              <w:rPr>
                <w:rFonts w:eastAsia="Times New Roman"/>
                <w:szCs w:val="24"/>
                <w:lang w:eastAsia="lt-LT"/>
              </w:rPr>
              <w:t xml:space="preserve"> Valstybės biudžeto (VB) lėšas, kadangi PFSA 2 dalyje „Reikalavimai projektams“  </w:t>
            </w:r>
            <w:r w:rsidRPr="00481E7A">
              <w:rPr>
                <w:rFonts w:eastAsia="Times New Roman"/>
                <w:szCs w:val="24"/>
                <w:lang w:eastAsia="lt-LT"/>
              </w:rPr>
              <w:lastRenderedPageBreak/>
              <w:t xml:space="preserve">2.8 punkte ir 2.8.1 ir 2.8.2 papunkčiuose Projekto veikloms įgyvendinti yra  numatytas finansavimas iš </w:t>
            </w:r>
            <w:r w:rsidRPr="00481E7A">
              <w:rPr>
                <w:rFonts w:eastAsia="Times New Roman"/>
                <w:iCs/>
                <w:szCs w:val="24"/>
                <w:lang w:eastAsia="lt-LT"/>
              </w:rPr>
              <w:t>Lietuvos Respublikos valstybės biudžeto lėšų</w:t>
            </w:r>
            <w:r w:rsidR="00773AD3">
              <w:rPr>
                <w:rFonts w:eastAsia="Times New Roman"/>
                <w:iCs/>
                <w:szCs w:val="24"/>
                <w:lang w:eastAsia="lt-LT"/>
              </w:rPr>
              <w:t>.</w:t>
            </w:r>
          </w:p>
        </w:tc>
        <w:tc>
          <w:tcPr>
            <w:tcW w:w="5074" w:type="dxa"/>
          </w:tcPr>
          <w:p w14:paraId="7BA70430" w14:textId="77777777" w:rsidR="00530E0F" w:rsidRPr="00C8139F" w:rsidRDefault="00530E0F" w:rsidP="00D41FCB">
            <w:pPr>
              <w:rPr>
                <w:rFonts w:eastAsia="Times New Roman"/>
                <w:szCs w:val="24"/>
                <w:lang w:eastAsia="lt-LT"/>
              </w:rPr>
            </w:pPr>
            <w:r>
              <w:rPr>
                <w:rFonts w:eastAsia="Times New Roman"/>
                <w:b/>
                <w:szCs w:val="24"/>
                <w:lang w:eastAsia="lt-LT"/>
              </w:rPr>
              <w:lastRenderedPageBreak/>
              <w:t>A</w:t>
            </w:r>
            <w:r w:rsidRPr="00C8139F">
              <w:rPr>
                <w:rFonts w:eastAsia="Times New Roman"/>
                <w:b/>
                <w:szCs w:val="24"/>
                <w:lang w:eastAsia="lt-LT"/>
              </w:rPr>
              <w:t>tsižvelgta.</w:t>
            </w:r>
            <w:r w:rsidRPr="00C8139F">
              <w:rPr>
                <w:rFonts w:eastAsia="Times New Roman"/>
                <w:szCs w:val="24"/>
                <w:lang w:eastAsia="lt-LT"/>
              </w:rPr>
              <w:t xml:space="preserve"> </w:t>
            </w:r>
          </w:p>
          <w:p w14:paraId="5158A171" w14:textId="579CDE83" w:rsidR="00530E0F" w:rsidRPr="00C8139F" w:rsidRDefault="00530E0F" w:rsidP="00D41FCB">
            <w:pPr>
              <w:rPr>
                <w:rFonts w:eastAsia="Times New Roman"/>
                <w:szCs w:val="24"/>
                <w:lang w:val="en-US" w:eastAsia="lt-LT"/>
              </w:rPr>
            </w:pPr>
          </w:p>
        </w:tc>
      </w:tr>
      <w:tr w:rsidR="00530E0F" w:rsidRPr="00C8139F" w14:paraId="324FF2EC" w14:textId="77777777" w:rsidTr="007875A2">
        <w:tc>
          <w:tcPr>
            <w:tcW w:w="567" w:type="dxa"/>
          </w:tcPr>
          <w:p w14:paraId="183E9579" w14:textId="44FAF6FA" w:rsidR="00530E0F" w:rsidRDefault="00530E0F" w:rsidP="00DB24C8">
            <w:pPr>
              <w:jc w:val="center"/>
              <w:rPr>
                <w:rFonts w:eastAsia="Times New Roman"/>
                <w:b/>
                <w:szCs w:val="24"/>
                <w:lang w:eastAsia="lt-LT"/>
              </w:rPr>
            </w:pPr>
            <w:r>
              <w:rPr>
                <w:rFonts w:eastAsia="Times New Roman"/>
                <w:b/>
                <w:szCs w:val="24"/>
                <w:lang w:eastAsia="lt-LT"/>
              </w:rPr>
              <w:lastRenderedPageBreak/>
              <w:t>6.</w:t>
            </w:r>
          </w:p>
        </w:tc>
        <w:tc>
          <w:tcPr>
            <w:tcW w:w="1730" w:type="dxa"/>
            <w:vMerge/>
          </w:tcPr>
          <w:p w14:paraId="33F913A8" w14:textId="3B517F3D" w:rsidR="00530E0F" w:rsidRPr="00C8139F" w:rsidRDefault="00530E0F" w:rsidP="00C8139F">
            <w:pPr>
              <w:rPr>
                <w:rFonts w:eastAsia="Times New Roman"/>
                <w:szCs w:val="24"/>
                <w:shd w:val="clear" w:color="auto" w:fill="FFFFFF"/>
                <w:lang w:eastAsia="lt-LT"/>
              </w:rPr>
            </w:pPr>
          </w:p>
        </w:tc>
        <w:tc>
          <w:tcPr>
            <w:tcW w:w="7371" w:type="dxa"/>
          </w:tcPr>
          <w:p w14:paraId="52615DBE" w14:textId="77777777" w:rsidR="00530E0F" w:rsidRDefault="00530E0F" w:rsidP="00481E7A">
            <w:pPr>
              <w:rPr>
                <w:rFonts w:eastAsia="Times New Roman"/>
                <w:bCs/>
                <w:iCs/>
                <w:szCs w:val="24"/>
                <w:lang w:eastAsia="lt-LT"/>
              </w:rPr>
            </w:pPr>
            <w:r w:rsidRPr="00481E7A">
              <w:rPr>
                <w:rFonts w:eastAsia="Times New Roman"/>
                <w:iCs/>
                <w:szCs w:val="24"/>
                <w:lang w:eastAsia="lt-LT"/>
              </w:rPr>
              <w:t>P</w:t>
            </w:r>
            <w:r w:rsidRPr="00481E7A">
              <w:rPr>
                <w:rFonts w:eastAsia="Times New Roman"/>
                <w:szCs w:val="24"/>
                <w:lang w:eastAsia="lt-LT"/>
              </w:rPr>
              <w:t>FSA lentelėje aprašant Rodiklį „</w:t>
            </w:r>
            <w:r w:rsidRPr="00481E7A">
              <w:rPr>
                <w:rFonts w:eastAsia="Times New Roman"/>
                <w:iCs/>
                <w:szCs w:val="24"/>
                <w:lang w:eastAsia="lt-LT"/>
              </w:rPr>
              <w:t xml:space="preserve">Parengtos BIVP strategijos“ nurodant šio rodiklio kodą, siūlome įtraukti ir šio rodiklio numerį vadovaujantis  patvirtintu </w:t>
            </w:r>
            <w:r w:rsidRPr="00481E7A">
              <w:rPr>
                <w:rFonts w:eastAsia="Times New Roman"/>
                <w:szCs w:val="24"/>
                <w:lang w:eastAsia="lt-LT"/>
              </w:rPr>
              <w:t xml:space="preserve">Stebėsenos rodiklių nustatymo ir skaičiavimo aprašo 3 priedu „Stebėsenos rodikliams priskirtinų kodų sąrašas“  </w:t>
            </w:r>
            <w:r w:rsidRPr="00481E7A">
              <w:rPr>
                <w:rFonts w:eastAsia="Times New Roman"/>
                <w:iCs/>
                <w:szCs w:val="24"/>
                <w:lang w:eastAsia="lt-LT"/>
              </w:rPr>
              <w:t xml:space="preserve">- </w:t>
            </w:r>
            <w:r w:rsidRPr="00481E7A">
              <w:rPr>
                <w:rFonts w:eastAsia="Times New Roman"/>
                <w:bCs/>
                <w:iCs/>
                <w:szCs w:val="24"/>
                <w:lang w:eastAsia="lt-LT"/>
              </w:rPr>
              <w:t xml:space="preserve">P.N.2.4720, kadangi šis rodiklis pagal stebėsenos rodiklio „Parengtos BIVP strategijos“ aprašymo kortelę </w:t>
            </w:r>
            <w:r w:rsidRPr="00481E7A">
              <w:rPr>
                <w:rFonts w:eastAsia="Times New Roman"/>
                <w:b/>
                <w:szCs w:val="24"/>
                <w:lang w:eastAsia="lt-LT"/>
              </w:rPr>
              <w:t xml:space="preserve"> </w:t>
            </w:r>
            <w:r w:rsidRPr="00481E7A">
              <w:rPr>
                <w:rFonts w:eastAsia="Times New Roman"/>
                <w:bCs/>
                <w:iCs/>
                <w:szCs w:val="24"/>
                <w:lang w:eastAsia="lt-LT"/>
              </w:rPr>
              <w:t>yra 2021-2027 IP nacionalinis produkto rodiklis (P.N.2.4720).</w:t>
            </w:r>
          </w:p>
          <w:p w14:paraId="7573DF8E" w14:textId="2DB50722" w:rsidR="00530E0F" w:rsidRPr="00481E7A" w:rsidRDefault="00530E0F" w:rsidP="0002669B">
            <w:pPr>
              <w:rPr>
                <w:rFonts w:eastAsia="Times New Roman"/>
                <w:szCs w:val="24"/>
                <w:lang w:eastAsia="lt-LT"/>
              </w:rPr>
            </w:pPr>
            <w:r>
              <w:rPr>
                <w:rFonts w:eastAsia="Times New Roman"/>
                <w:bCs/>
                <w:iCs/>
                <w:szCs w:val="24"/>
                <w:lang w:eastAsia="lt-LT"/>
              </w:rPr>
              <w:t xml:space="preserve">Taip pat siūloma </w:t>
            </w:r>
            <w:r w:rsidRPr="0002669B">
              <w:rPr>
                <w:rFonts w:eastAsia="Times New Roman"/>
                <w:bCs/>
                <w:iCs/>
                <w:szCs w:val="24"/>
                <w:lang w:eastAsia="lt-LT"/>
              </w:rPr>
              <w:t>iš rodiklio kortelės perkelti dokumentus, kurie turės būti teikiami rodiklio pasiekimui pagrįsti,</w:t>
            </w:r>
            <w:r>
              <w:rPr>
                <w:rFonts w:eastAsia="Times New Roman"/>
                <w:bCs/>
                <w:iCs/>
                <w:szCs w:val="24"/>
                <w:lang w:eastAsia="lt-LT"/>
              </w:rPr>
              <w:t xml:space="preserve"> lentelės dalyje „Siektina reikšmė“</w:t>
            </w:r>
            <w:r w:rsidRPr="0002669B">
              <w:rPr>
                <w:rFonts w:eastAsia="Times New Roman"/>
                <w:bCs/>
                <w:iCs/>
                <w:szCs w:val="24"/>
                <w:lang w:eastAsia="lt-LT"/>
              </w:rPr>
              <w:t xml:space="preserve"> pvz. Rodiklis laikomas pasiektu parengus BIVP strategiją.</w:t>
            </w:r>
          </w:p>
        </w:tc>
        <w:tc>
          <w:tcPr>
            <w:tcW w:w="5074" w:type="dxa"/>
          </w:tcPr>
          <w:p w14:paraId="72D66FDC" w14:textId="14DF6956" w:rsidR="00530E0F" w:rsidRDefault="00530E0F" w:rsidP="008207AE">
            <w:pPr>
              <w:rPr>
                <w:rFonts w:eastAsia="Times New Roman"/>
                <w:b/>
                <w:szCs w:val="24"/>
                <w:lang w:eastAsia="lt-LT"/>
              </w:rPr>
            </w:pPr>
            <w:r w:rsidRPr="00D77441">
              <w:rPr>
                <w:rFonts w:eastAsia="Times New Roman"/>
                <w:b/>
                <w:szCs w:val="24"/>
                <w:lang w:eastAsia="lt-LT"/>
              </w:rPr>
              <w:t>A</w:t>
            </w:r>
            <w:r>
              <w:rPr>
                <w:rFonts w:eastAsia="Times New Roman"/>
                <w:b/>
                <w:szCs w:val="24"/>
                <w:lang w:eastAsia="lt-LT"/>
              </w:rPr>
              <w:t>tsižvelgta iš dalies.</w:t>
            </w:r>
          </w:p>
          <w:p w14:paraId="59D8D4BE" w14:textId="4F386BD6" w:rsidR="00530E0F" w:rsidRDefault="00530E0F" w:rsidP="008207AE">
            <w:pPr>
              <w:rPr>
                <w:rFonts w:eastAsia="Times New Roman"/>
                <w:szCs w:val="24"/>
                <w:lang w:eastAsia="lt-LT"/>
              </w:rPr>
            </w:pPr>
            <w:r>
              <w:rPr>
                <w:rFonts w:eastAsia="Times New Roman"/>
                <w:szCs w:val="24"/>
                <w:lang w:eastAsia="lt-LT"/>
              </w:rPr>
              <w:t xml:space="preserve">Rodiklio pavadinimas patikslintas, nurodant rodiklio numerį. </w:t>
            </w:r>
          </w:p>
          <w:p w14:paraId="79544E62" w14:textId="1A07169C" w:rsidR="00530E0F" w:rsidRPr="008207AE" w:rsidRDefault="00530E0F" w:rsidP="001D1B83">
            <w:pPr>
              <w:rPr>
                <w:rFonts w:eastAsia="Times New Roman"/>
                <w:b/>
                <w:szCs w:val="24"/>
                <w:lang w:eastAsia="lt-LT"/>
              </w:rPr>
            </w:pPr>
            <w:r>
              <w:rPr>
                <w:rFonts w:eastAsia="Times New Roman"/>
                <w:szCs w:val="24"/>
                <w:lang w:eastAsia="lt-LT"/>
              </w:rPr>
              <w:t xml:space="preserve">Reikalavimai dėl dokumentų pateikimo rodiklio pasiekimui pagrįsti </w:t>
            </w:r>
            <w:r w:rsidRPr="0002669B">
              <w:rPr>
                <w:rFonts w:eastAsia="Times New Roman"/>
                <w:szCs w:val="24"/>
                <w:lang w:eastAsia="lt-LT"/>
              </w:rPr>
              <w:t>numatyti 2.12 papunktyje. Atsižvelgiant į pastabą papildomas 2.12 papunktis, kuriame numatome pasiekimo faktą fiksuojantį momentą iš rodiklio kortelės</w:t>
            </w:r>
            <w:r w:rsidR="00773AD3">
              <w:rPr>
                <w:rFonts w:eastAsia="Times New Roman"/>
                <w:szCs w:val="24"/>
                <w:lang w:eastAsia="lt-LT"/>
              </w:rPr>
              <w:t>, kurios viešai prieinamos www.vrm.lt interneto svetainėje</w:t>
            </w:r>
            <w:r>
              <w:rPr>
                <w:rFonts w:eastAsia="Times New Roman"/>
                <w:szCs w:val="24"/>
                <w:lang w:eastAsia="lt-LT"/>
              </w:rPr>
              <w:t>. 2.12 papunktis išdėstomas taip: „</w:t>
            </w:r>
            <w:r w:rsidRPr="0002669B">
              <w:rPr>
                <w:rFonts w:eastAsia="Times New Roman"/>
                <w:iCs/>
                <w:szCs w:val="24"/>
                <w:lang w:eastAsia="lt-LT"/>
              </w:rPr>
              <w:t>Rodiklis užskaitomas ir išlaidos apmokamos po to, kai parengiama ir Strategijų rengimo taisyklių 23 punkte nustatyta tvarka patvirtinama vietos plėtros strategija. Rodiklis laikomas pasiektu parengus BIVP strategiją. Rodiklio pasiekimo fakto patvirtinimo dokumentai</w:t>
            </w:r>
            <w:r>
              <w:rPr>
                <w:rFonts w:eastAsia="Times New Roman"/>
                <w:iCs/>
                <w:szCs w:val="24"/>
                <w:lang w:eastAsia="lt-LT"/>
              </w:rPr>
              <w:t> </w:t>
            </w:r>
            <w:r w:rsidRPr="0002669B">
              <w:rPr>
                <w:rFonts w:eastAsia="Times New Roman"/>
                <w:iCs/>
                <w:szCs w:val="24"/>
                <w:lang w:eastAsia="lt-LT"/>
              </w:rPr>
              <w:t>– p</w:t>
            </w:r>
            <w:r w:rsidRPr="0002669B">
              <w:rPr>
                <w:rFonts w:eastAsia="Times New Roman"/>
                <w:bCs/>
                <w:iCs/>
                <w:szCs w:val="24"/>
                <w:lang w:eastAsia="lt-LT"/>
              </w:rPr>
              <w:t>arengtos ir patvirtintos vietos plėtros strategijos kopija bei jos patvirtinimą įrodančio dokumento kopija (visuotinio miesto VVG narių susirinkimo arba kolegialaus valdymo organo, jeigu jam visuotinis narių susirinkimas yra suteikęs šią teisę, sprendimas, kuriuo patvirtinta įgyvendinant projekto veiklas parengta vietos plėtros strategija).</w:t>
            </w:r>
            <w:r>
              <w:rPr>
                <w:rFonts w:eastAsia="Times New Roman"/>
                <w:iCs/>
                <w:szCs w:val="24"/>
                <w:lang w:eastAsia="lt-LT"/>
              </w:rPr>
              <w:t>“</w:t>
            </w:r>
          </w:p>
        </w:tc>
      </w:tr>
      <w:tr w:rsidR="00530E0F" w:rsidRPr="00C8139F" w14:paraId="3761A6BA" w14:textId="77777777" w:rsidTr="007875A2">
        <w:tc>
          <w:tcPr>
            <w:tcW w:w="567" w:type="dxa"/>
          </w:tcPr>
          <w:p w14:paraId="09955FF4" w14:textId="700D4A88" w:rsidR="00530E0F" w:rsidRDefault="00530E0F" w:rsidP="00DB24C8">
            <w:pPr>
              <w:jc w:val="center"/>
              <w:rPr>
                <w:rFonts w:eastAsia="Times New Roman"/>
                <w:b/>
                <w:szCs w:val="24"/>
                <w:lang w:eastAsia="lt-LT"/>
              </w:rPr>
            </w:pPr>
            <w:r>
              <w:rPr>
                <w:rFonts w:eastAsia="Times New Roman"/>
                <w:b/>
                <w:szCs w:val="24"/>
                <w:lang w:eastAsia="lt-LT"/>
              </w:rPr>
              <w:t>7.</w:t>
            </w:r>
          </w:p>
        </w:tc>
        <w:tc>
          <w:tcPr>
            <w:tcW w:w="1730" w:type="dxa"/>
            <w:vMerge/>
          </w:tcPr>
          <w:p w14:paraId="428ED5BA" w14:textId="46A7873D" w:rsidR="00530E0F" w:rsidRPr="00C8139F" w:rsidRDefault="00530E0F" w:rsidP="00C8139F">
            <w:pPr>
              <w:rPr>
                <w:rFonts w:eastAsia="Times New Roman"/>
                <w:szCs w:val="24"/>
                <w:shd w:val="clear" w:color="auto" w:fill="FFFFFF"/>
                <w:lang w:eastAsia="lt-LT"/>
              </w:rPr>
            </w:pPr>
          </w:p>
        </w:tc>
        <w:tc>
          <w:tcPr>
            <w:tcW w:w="7371" w:type="dxa"/>
          </w:tcPr>
          <w:p w14:paraId="7CAA2259" w14:textId="2D916658" w:rsidR="00530E0F" w:rsidRPr="00481E7A" w:rsidRDefault="00530E0F" w:rsidP="00481E7A">
            <w:pPr>
              <w:rPr>
                <w:rFonts w:eastAsia="Times New Roman"/>
                <w:iCs/>
                <w:szCs w:val="24"/>
                <w:lang w:eastAsia="lt-LT"/>
              </w:rPr>
            </w:pPr>
            <w:r w:rsidRPr="0002669B">
              <w:rPr>
                <w:rFonts w:eastAsia="Times New Roman"/>
                <w:iCs/>
                <w:szCs w:val="24"/>
                <w:lang w:eastAsia="lt-LT"/>
              </w:rPr>
              <w:t xml:space="preserve">Atsižvelgiant į VPAT ir PAFT nustatytus PĮP pateikimo, PĮP vertinimo, finansavimo skyrimo ir projekto sutarties sudarymo terminus, </w:t>
            </w:r>
            <w:bookmarkStart w:id="2" w:name="_Hlk123631781"/>
            <w:r w:rsidRPr="0002669B">
              <w:rPr>
                <w:rFonts w:eastAsia="Times New Roman"/>
                <w:iCs/>
                <w:szCs w:val="24"/>
                <w:lang w:eastAsia="lt-LT"/>
              </w:rPr>
              <w:t>prašome įvertinti poreikį tikslinti veiklų pabaigos terminą arba numatyti galimybę šį terminą pratęsti.</w:t>
            </w:r>
            <w:bookmarkEnd w:id="2"/>
          </w:p>
        </w:tc>
        <w:tc>
          <w:tcPr>
            <w:tcW w:w="5074" w:type="dxa"/>
          </w:tcPr>
          <w:p w14:paraId="079F9235" w14:textId="77777777" w:rsidR="00530E0F" w:rsidRDefault="00530E0F" w:rsidP="008207AE">
            <w:pPr>
              <w:rPr>
                <w:rFonts w:eastAsia="Times New Roman"/>
                <w:b/>
                <w:szCs w:val="24"/>
                <w:lang w:eastAsia="lt-LT"/>
              </w:rPr>
            </w:pPr>
            <w:r>
              <w:rPr>
                <w:rFonts w:eastAsia="Times New Roman"/>
                <w:b/>
                <w:szCs w:val="24"/>
                <w:lang w:eastAsia="lt-LT"/>
              </w:rPr>
              <w:t>Atsižvelgta.</w:t>
            </w:r>
          </w:p>
          <w:p w14:paraId="25F4B21C" w14:textId="4E8846F7" w:rsidR="00530E0F" w:rsidRPr="0002669B" w:rsidRDefault="00530E0F" w:rsidP="00F761DA">
            <w:pPr>
              <w:rPr>
                <w:rFonts w:eastAsia="Times New Roman"/>
                <w:szCs w:val="24"/>
                <w:lang w:eastAsia="lt-LT"/>
              </w:rPr>
            </w:pPr>
            <w:r>
              <w:rPr>
                <w:rFonts w:eastAsia="Times New Roman"/>
                <w:iCs/>
                <w:szCs w:val="24"/>
                <w:lang w:eastAsia="lt-LT"/>
              </w:rPr>
              <w:t>Projekto veiklų</w:t>
            </w:r>
            <w:r w:rsidRPr="0002669B">
              <w:rPr>
                <w:rFonts w:eastAsia="Times New Roman"/>
                <w:iCs/>
                <w:szCs w:val="24"/>
                <w:lang w:eastAsia="lt-LT"/>
              </w:rPr>
              <w:t xml:space="preserve"> </w:t>
            </w:r>
            <w:r>
              <w:rPr>
                <w:rFonts w:eastAsia="Times New Roman"/>
                <w:iCs/>
                <w:szCs w:val="24"/>
                <w:lang w:eastAsia="lt-LT"/>
              </w:rPr>
              <w:t xml:space="preserve">įgyvendinimo terminas pratęstas </w:t>
            </w:r>
            <w:r w:rsidRPr="0002669B">
              <w:rPr>
                <w:rFonts w:eastAsia="Times New Roman"/>
                <w:iCs/>
                <w:szCs w:val="24"/>
                <w:lang w:eastAsia="lt-LT"/>
              </w:rPr>
              <w:t>iki 2023 m. spalio 1 d.</w:t>
            </w:r>
          </w:p>
        </w:tc>
      </w:tr>
      <w:tr w:rsidR="00530E0F" w:rsidRPr="00C8139F" w14:paraId="12592294" w14:textId="77777777" w:rsidTr="007875A2">
        <w:tc>
          <w:tcPr>
            <w:tcW w:w="567" w:type="dxa"/>
          </w:tcPr>
          <w:p w14:paraId="6052D6DD" w14:textId="0FB8A8BD" w:rsidR="00530E0F" w:rsidRDefault="00530E0F" w:rsidP="00DB24C8">
            <w:pPr>
              <w:jc w:val="center"/>
              <w:rPr>
                <w:rFonts w:eastAsia="Times New Roman"/>
                <w:b/>
                <w:szCs w:val="24"/>
                <w:lang w:eastAsia="lt-LT"/>
              </w:rPr>
            </w:pPr>
            <w:r>
              <w:rPr>
                <w:rFonts w:eastAsia="Times New Roman"/>
                <w:b/>
                <w:szCs w:val="24"/>
                <w:lang w:eastAsia="lt-LT"/>
              </w:rPr>
              <w:t>8.</w:t>
            </w:r>
          </w:p>
        </w:tc>
        <w:tc>
          <w:tcPr>
            <w:tcW w:w="1730" w:type="dxa"/>
            <w:vMerge/>
          </w:tcPr>
          <w:p w14:paraId="6509C508" w14:textId="38824F70" w:rsidR="00530E0F" w:rsidRDefault="00530E0F" w:rsidP="00C8139F">
            <w:pPr>
              <w:rPr>
                <w:rFonts w:eastAsia="Times New Roman"/>
                <w:szCs w:val="24"/>
                <w:shd w:val="clear" w:color="auto" w:fill="FFFFFF"/>
                <w:lang w:eastAsia="lt-LT"/>
              </w:rPr>
            </w:pPr>
          </w:p>
        </w:tc>
        <w:tc>
          <w:tcPr>
            <w:tcW w:w="7371" w:type="dxa"/>
          </w:tcPr>
          <w:p w14:paraId="42D8C190" w14:textId="3707F9E5" w:rsidR="00530E0F" w:rsidRPr="00481E7A" w:rsidRDefault="00530E0F" w:rsidP="00DB24C8">
            <w:pPr>
              <w:rPr>
                <w:rFonts w:eastAsia="Times New Roman"/>
                <w:szCs w:val="24"/>
                <w:lang w:eastAsia="lt-LT"/>
              </w:rPr>
            </w:pPr>
            <w:r w:rsidRPr="00481E7A">
              <w:rPr>
                <w:rFonts w:eastAsia="Times New Roman"/>
                <w:bCs/>
                <w:iCs/>
                <w:szCs w:val="24"/>
                <w:lang w:eastAsia="lt-LT"/>
              </w:rPr>
              <w:t>PFSA 1 dalyje „Taikomi teisės aktai“ siūlome nurodytus teisės aktus išskirti į bendruosius ir specialiuosius.</w:t>
            </w:r>
          </w:p>
        </w:tc>
        <w:tc>
          <w:tcPr>
            <w:tcW w:w="5074" w:type="dxa"/>
          </w:tcPr>
          <w:p w14:paraId="4EA6AF18" w14:textId="77777777" w:rsidR="00530E0F" w:rsidRDefault="00530E0F" w:rsidP="00D41FCB">
            <w:pPr>
              <w:rPr>
                <w:rFonts w:eastAsia="Times New Roman"/>
                <w:b/>
                <w:szCs w:val="24"/>
                <w:lang w:eastAsia="lt-LT"/>
              </w:rPr>
            </w:pPr>
            <w:r>
              <w:rPr>
                <w:rFonts w:eastAsia="Times New Roman"/>
                <w:b/>
                <w:szCs w:val="24"/>
                <w:lang w:eastAsia="lt-LT"/>
              </w:rPr>
              <w:t>Atsižvelgta.</w:t>
            </w:r>
          </w:p>
          <w:p w14:paraId="10867C3E" w14:textId="0EBB0052" w:rsidR="00530E0F" w:rsidRPr="00E55009" w:rsidRDefault="00530E0F" w:rsidP="004A671B">
            <w:pPr>
              <w:rPr>
                <w:rFonts w:eastAsia="Times New Roman"/>
                <w:szCs w:val="24"/>
                <w:lang w:eastAsia="lt-LT"/>
              </w:rPr>
            </w:pPr>
          </w:p>
        </w:tc>
      </w:tr>
      <w:tr w:rsidR="00530E0F" w:rsidRPr="00C8139F" w14:paraId="6D41153B" w14:textId="77777777" w:rsidTr="007875A2">
        <w:tc>
          <w:tcPr>
            <w:tcW w:w="567" w:type="dxa"/>
          </w:tcPr>
          <w:p w14:paraId="46F50C59" w14:textId="57461F07" w:rsidR="00530E0F" w:rsidRDefault="00530E0F" w:rsidP="00C8139F">
            <w:pPr>
              <w:jc w:val="center"/>
              <w:rPr>
                <w:rFonts w:eastAsia="Times New Roman"/>
                <w:b/>
                <w:szCs w:val="24"/>
                <w:lang w:eastAsia="lt-LT"/>
              </w:rPr>
            </w:pPr>
            <w:r>
              <w:rPr>
                <w:rFonts w:eastAsia="Times New Roman"/>
                <w:b/>
                <w:szCs w:val="24"/>
                <w:lang w:eastAsia="lt-LT"/>
              </w:rPr>
              <w:t>9.</w:t>
            </w:r>
          </w:p>
        </w:tc>
        <w:tc>
          <w:tcPr>
            <w:tcW w:w="1730" w:type="dxa"/>
            <w:vMerge/>
          </w:tcPr>
          <w:p w14:paraId="41E790E4" w14:textId="1825AD94" w:rsidR="00530E0F" w:rsidRDefault="00530E0F" w:rsidP="00C8139F">
            <w:pPr>
              <w:rPr>
                <w:rFonts w:eastAsia="Times New Roman"/>
                <w:szCs w:val="24"/>
                <w:shd w:val="clear" w:color="auto" w:fill="FFFFFF"/>
                <w:lang w:eastAsia="lt-LT"/>
              </w:rPr>
            </w:pPr>
          </w:p>
        </w:tc>
        <w:tc>
          <w:tcPr>
            <w:tcW w:w="7371" w:type="dxa"/>
          </w:tcPr>
          <w:p w14:paraId="268D9DE7" w14:textId="77777777" w:rsidR="00530E0F" w:rsidRPr="00481E7A" w:rsidRDefault="00530E0F" w:rsidP="00DB24C8">
            <w:pPr>
              <w:rPr>
                <w:rFonts w:eastAsia="Times New Roman"/>
                <w:bCs/>
                <w:iCs/>
                <w:szCs w:val="24"/>
                <w:lang w:eastAsia="lt-LT"/>
              </w:rPr>
            </w:pPr>
            <w:r w:rsidRPr="00481E7A">
              <w:rPr>
                <w:rFonts w:eastAsia="Times New Roman"/>
                <w:bCs/>
                <w:iCs/>
                <w:szCs w:val="24"/>
                <w:lang w:eastAsia="lt-LT"/>
              </w:rPr>
              <w:t>PFSA 2 dalyje „Reikalavimai projektams“ 2.14 punktą siūlome papildyti nuostatomis, kad „Kartu su projekto įgyvendinimo planu pareiškėjas turi pateikti šiuos priedus:</w:t>
            </w:r>
          </w:p>
          <w:p w14:paraId="21EF7299" w14:textId="77777777" w:rsidR="00530E0F" w:rsidRPr="00481E7A" w:rsidRDefault="00530E0F" w:rsidP="00481E7A">
            <w:pPr>
              <w:numPr>
                <w:ilvl w:val="0"/>
                <w:numId w:val="7"/>
              </w:numPr>
              <w:rPr>
                <w:rFonts w:eastAsia="Times New Roman"/>
                <w:bCs/>
                <w:iCs/>
                <w:szCs w:val="24"/>
                <w:lang w:eastAsia="lt-LT"/>
              </w:rPr>
            </w:pPr>
            <w:r w:rsidRPr="00481E7A">
              <w:rPr>
                <w:rFonts w:eastAsia="Times New Roman"/>
                <w:bCs/>
                <w:iCs/>
                <w:szCs w:val="24"/>
                <w:lang w:eastAsia="lt-LT"/>
              </w:rPr>
              <w:lastRenderedPageBreak/>
              <w:t>dokumentus, pagrindžiančius projekto išlaidų pagrįstumą (sudarytos sutartys, komerciniai pasiūlymai, nuorodos į rinkoje esančias kainas, išlaidų skaičiavimai).</w:t>
            </w:r>
          </w:p>
          <w:p w14:paraId="6BAE5D82" w14:textId="13C56243" w:rsidR="00530E0F" w:rsidRPr="00DB24C8" w:rsidRDefault="00530E0F" w:rsidP="00481E7A">
            <w:pPr>
              <w:numPr>
                <w:ilvl w:val="0"/>
                <w:numId w:val="7"/>
              </w:numPr>
              <w:rPr>
                <w:rFonts w:eastAsia="Times New Roman"/>
                <w:bCs/>
                <w:iCs/>
                <w:szCs w:val="24"/>
                <w:lang w:eastAsia="lt-LT"/>
              </w:rPr>
            </w:pPr>
            <w:r w:rsidRPr="00481E7A">
              <w:rPr>
                <w:rFonts w:eastAsia="Times New Roman"/>
                <w:bCs/>
                <w:iCs/>
                <w:szCs w:val="24"/>
                <w:lang w:eastAsia="lt-LT"/>
              </w:rPr>
              <w:t xml:space="preserve">dokumentus, pagrindžiančius darbo užmokesčio išlaidų pagrįstumą (veiklų sąrašas, kuriame būtų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Įkainio pagrindimui turi būti pateikti įrodantys dokumentai, pavyzdžiui, 2–3 mėn. laikotarpio analogiškos pareigybės nuasmenintas priskaitymo-apmokėjimo žiniaraštis, įrodantis darbo užmokesčio paskyrimo ir išmokėjimo faktą. </w:t>
            </w:r>
          </w:p>
        </w:tc>
        <w:tc>
          <w:tcPr>
            <w:tcW w:w="5074" w:type="dxa"/>
          </w:tcPr>
          <w:p w14:paraId="05B2B600" w14:textId="77777777" w:rsidR="00530E0F" w:rsidRPr="00DB24C8" w:rsidRDefault="00530E0F" w:rsidP="00DB24C8">
            <w:pPr>
              <w:rPr>
                <w:rFonts w:eastAsia="Times New Roman"/>
                <w:b/>
                <w:szCs w:val="24"/>
                <w:lang w:eastAsia="lt-LT"/>
              </w:rPr>
            </w:pPr>
            <w:r w:rsidRPr="00DB24C8">
              <w:rPr>
                <w:rFonts w:eastAsia="Times New Roman"/>
                <w:b/>
                <w:szCs w:val="24"/>
                <w:lang w:eastAsia="lt-LT"/>
              </w:rPr>
              <w:lastRenderedPageBreak/>
              <w:t>Atsižvelgta.</w:t>
            </w:r>
          </w:p>
          <w:p w14:paraId="1B462689" w14:textId="77777777" w:rsidR="00530E0F" w:rsidRDefault="00530E0F" w:rsidP="00D41FCB">
            <w:pPr>
              <w:rPr>
                <w:rFonts w:eastAsia="Times New Roman"/>
                <w:b/>
                <w:szCs w:val="24"/>
                <w:lang w:eastAsia="lt-LT"/>
              </w:rPr>
            </w:pPr>
          </w:p>
        </w:tc>
      </w:tr>
      <w:tr w:rsidR="00530E0F" w:rsidRPr="00C8139F" w14:paraId="748A4A77" w14:textId="77777777" w:rsidTr="007875A2">
        <w:tc>
          <w:tcPr>
            <w:tcW w:w="567" w:type="dxa"/>
          </w:tcPr>
          <w:p w14:paraId="784B1311" w14:textId="244AA4DF" w:rsidR="00530E0F" w:rsidRDefault="00530E0F" w:rsidP="00C8139F">
            <w:pPr>
              <w:jc w:val="center"/>
              <w:rPr>
                <w:rFonts w:eastAsia="Times New Roman"/>
                <w:b/>
                <w:szCs w:val="24"/>
                <w:lang w:eastAsia="lt-LT"/>
              </w:rPr>
            </w:pPr>
            <w:r>
              <w:rPr>
                <w:rFonts w:eastAsia="Times New Roman"/>
                <w:b/>
                <w:szCs w:val="24"/>
                <w:lang w:eastAsia="lt-LT"/>
              </w:rPr>
              <w:lastRenderedPageBreak/>
              <w:t>10.</w:t>
            </w:r>
          </w:p>
        </w:tc>
        <w:tc>
          <w:tcPr>
            <w:tcW w:w="1730" w:type="dxa"/>
            <w:vMerge/>
          </w:tcPr>
          <w:p w14:paraId="73277B8B" w14:textId="4597C258" w:rsidR="00530E0F" w:rsidRDefault="00530E0F" w:rsidP="00C8139F">
            <w:pPr>
              <w:rPr>
                <w:rFonts w:eastAsia="Times New Roman"/>
                <w:szCs w:val="24"/>
                <w:shd w:val="clear" w:color="auto" w:fill="FFFFFF"/>
                <w:lang w:eastAsia="lt-LT"/>
              </w:rPr>
            </w:pPr>
          </w:p>
        </w:tc>
        <w:tc>
          <w:tcPr>
            <w:tcW w:w="7371" w:type="dxa"/>
          </w:tcPr>
          <w:p w14:paraId="5CF5B4A2" w14:textId="77777777" w:rsidR="00530E0F" w:rsidRPr="00F761DA" w:rsidRDefault="00530E0F" w:rsidP="00F761DA">
            <w:pPr>
              <w:rPr>
                <w:rFonts w:eastAsia="Times New Roman"/>
                <w:bCs/>
                <w:iCs/>
                <w:szCs w:val="24"/>
                <w:lang w:eastAsia="lt-LT"/>
              </w:rPr>
            </w:pPr>
            <w:bookmarkStart w:id="3" w:name="_Hlk123636263"/>
            <w:r w:rsidRPr="00F761DA">
              <w:rPr>
                <w:rFonts w:eastAsia="Times New Roman"/>
                <w:bCs/>
                <w:iCs/>
                <w:szCs w:val="24"/>
                <w:lang w:eastAsia="lt-LT"/>
              </w:rPr>
              <w:t>Trūksta aiškumo, kurie dokumentai turi būti pateikti siekiant įsitikinti kitų 4 p. reikalavimų atitikimu.</w:t>
            </w:r>
          </w:p>
          <w:p w14:paraId="4CBB73D0" w14:textId="591FA25C" w:rsidR="00530E0F" w:rsidRPr="00481E7A" w:rsidRDefault="00530E0F" w:rsidP="00F761DA">
            <w:pPr>
              <w:rPr>
                <w:rFonts w:eastAsia="Times New Roman"/>
                <w:bCs/>
                <w:iCs/>
                <w:szCs w:val="24"/>
                <w:lang w:eastAsia="lt-LT"/>
              </w:rPr>
            </w:pPr>
            <w:r w:rsidRPr="00F761DA">
              <w:rPr>
                <w:rFonts w:eastAsia="Times New Roman"/>
                <w:bCs/>
                <w:iCs/>
                <w:szCs w:val="24"/>
                <w:lang w:eastAsia="lt-LT"/>
              </w:rPr>
              <w:t>Ar nereikėtų į deklaraciją taip pat įtraukti nuostatų dėl atitikimo 4.1, 4.2, 4.4.3 ir 4.7 p.?</w:t>
            </w:r>
            <w:bookmarkEnd w:id="3"/>
          </w:p>
        </w:tc>
        <w:tc>
          <w:tcPr>
            <w:tcW w:w="5074" w:type="dxa"/>
          </w:tcPr>
          <w:p w14:paraId="2A7A9DBA" w14:textId="190D7F54" w:rsidR="00530E0F" w:rsidRDefault="00530E0F" w:rsidP="00DB24C8">
            <w:pPr>
              <w:rPr>
                <w:rFonts w:eastAsia="Times New Roman"/>
                <w:b/>
                <w:szCs w:val="24"/>
                <w:lang w:eastAsia="lt-LT"/>
              </w:rPr>
            </w:pPr>
            <w:r>
              <w:rPr>
                <w:rFonts w:eastAsia="Times New Roman"/>
                <w:b/>
                <w:szCs w:val="24"/>
                <w:lang w:eastAsia="lt-LT"/>
              </w:rPr>
              <w:t>Atsižvelgta iš dalies.</w:t>
            </w:r>
          </w:p>
          <w:p w14:paraId="31C09D15" w14:textId="72CA3131" w:rsidR="00530E0F" w:rsidRDefault="00530E0F" w:rsidP="005C2481">
            <w:pPr>
              <w:rPr>
                <w:rFonts w:eastAsia="Times New Roman"/>
                <w:szCs w:val="24"/>
                <w:lang w:eastAsia="lt-LT"/>
              </w:rPr>
            </w:pPr>
            <w:r>
              <w:rPr>
                <w:rFonts w:eastAsia="Times New Roman"/>
                <w:szCs w:val="24"/>
                <w:lang w:eastAsia="lt-LT"/>
              </w:rPr>
              <w:t xml:space="preserve">Deklaracija papildyta 5 punktu, kuris išdėstytas taip: „5. </w:t>
            </w:r>
            <w:r w:rsidRPr="006C78C1">
              <w:rPr>
                <w:rFonts w:eastAsia="Times New Roman"/>
                <w:szCs w:val="24"/>
                <w:lang w:eastAsia="lt-LT"/>
              </w:rPr>
              <w:t>Projekto pareiškėjas atitinka Strategijų rengimo taisyklių 4.7 papunktyje nurodytus reikalavimus: patvirtinama, kad pareiškėjas nėra skolingas Valstybinei mokesčių inspekcijai prie Lietuvos Respublikos finansų ministerijos ir Valstybinio socialinio draudimo fondo valdybai prie Socialinės apsaugos ir darbo ministerijos</w:t>
            </w:r>
            <w:r>
              <w:rPr>
                <w:rFonts w:eastAsia="Times New Roman"/>
                <w:szCs w:val="24"/>
                <w:lang w:eastAsia="lt-LT"/>
              </w:rPr>
              <w:t xml:space="preserve">“. </w:t>
            </w:r>
          </w:p>
          <w:p w14:paraId="4E56D731" w14:textId="455708C5" w:rsidR="00530E0F" w:rsidRPr="00F761DA" w:rsidRDefault="00530E0F" w:rsidP="005C2481">
            <w:pPr>
              <w:rPr>
                <w:rFonts w:eastAsia="Times New Roman"/>
                <w:szCs w:val="24"/>
                <w:lang w:eastAsia="lt-LT"/>
              </w:rPr>
            </w:pPr>
            <w:r>
              <w:rPr>
                <w:rFonts w:eastAsia="Times New Roman"/>
                <w:szCs w:val="24"/>
                <w:lang w:eastAsia="lt-LT"/>
              </w:rPr>
              <w:t xml:space="preserve">Nuostatos dėl Taisyklių </w:t>
            </w:r>
            <w:r w:rsidRPr="00F761DA">
              <w:rPr>
                <w:rFonts w:eastAsia="Times New Roman"/>
                <w:szCs w:val="24"/>
                <w:lang w:eastAsia="lt-LT"/>
              </w:rPr>
              <w:t>4.1-4.3 punktų ir kt. punktų</w:t>
            </w:r>
            <w:r>
              <w:rPr>
                <w:rFonts w:eastAsia="Times New Roman"/>
                <w:szCs w:val="24"/>
                <w:lang w:eastAsia="lt-LT"/>
              </w:rPr>
              <w:t xml:space="preserve"> reikalavimų deklaracijoje yra,</w:t>
            </w:r>
            <w:r w:rsidRPr="00F761DA">
              <w:rPr>
                <w:rFonts w:eastAsia="Times New Roman"/>
                <w:szCs w:val="24"/>
                <w:lang w:eastAsia="lt-LT"/>
              </w:rPr>
              <w:t xml:space="preserve"> be to, 2.14.2. papunktyje nurodoma, kad turi būti pateikti dokumentai ar nuorodos į viešai prieinamus dokumentus, kad VVG atitinka spec</w:t>
            </w:r>
            <w:r>
              <w:rPr>
                <w:rFonts w:eastAsia="Times New Roman"/>
                <w:szCs w:val="24"/>
                <w:lang w:eastAsia="lt-LT"/>
              </w:rPr>
              <w:t>ialiuosius projektų</w:t>
            </w:r>
            <w:r w:rsidRPr="00F761DA">
              <w:rPr>
                <w:rFonts w:eastAsia="Times New Roman"/>
                <w:szCs w:val="24"/>
                <w:lang w:eastAsia="lt-LT"/>
              </w:rPr>
              <w:t xml:space="preserve"> </w:t>
            </w:r>
            <w:r>
              <w:rPr>
                <w:rFonts w:eastAsia="Times New Roman"/>
                <w:szCs w:val="24"/>
                <w:lang w:eastAsia="lt-LT"/>
              </w:rPr>
              <w:t>atrankos kriterijus, kurie</w:t>
            </w:r>
            <w:r w:rsidRPr="00F761DA">
              <w:rPr>
                <w:rFonts w:eastAsia="Times New Roman"/>
                <w:szCs w:val="24"/>
                <w:lang w:eastAsia="lt-LT"/>
              </w:rPr>
              <w:t xml:space="preserve"> yra  atitiktis Taisyklių 4 punkto reikalavimams.</w:t>
            </w:r>
          </w:p>
        </w:tc>
      </w:tr>
      <w:tr w:rsidR="00530E0F" w:rsidRPr="00C8139F" w14:paraId="25FA026E" w14:textId="77777777" w:rsidTr="007875A2">
        <w:tc>
          <w:tcPr>
            <w:tcW w:w="567" w:type="dxa"/>
          </w:tcPr>
          <w:p w14:paraId="38A627A5" w14:textId="3D01B765" w:rsidR="00530E0F" w:rsidRDefault="00530E0F" w:rsidP="00F761DA">
            <w:pPr>
              <w:jc w:val="center"/>
              <w:rPr>
                <w:rFonts w:eastAsia="Times New Roman"/>
                <w:b/>
                <w:szCs w:val="24"/>
                <w:lang w:eastAsia="lt-LT"/>
              </w:rPr>
            </w:pPr>
            <w:r>
              <w:rPr>
                <w:rFonts w:eastAsia="Times New Roman"/>
                <w:b/>
                <w:szCs w:val="24"/>
                <w:lang w:eastAsia="lt-LT"/>
              </w:rPr>
              <w:t>11.</w:t>
            </w:r>
          </w:p>
        </w:tc>
        <w:tc>
          <w:tcPr>
            <w:tcW w:w="1730" w:type="dxa"/>
            <w:vMerge/>
          </w:tcPr>
          <w:p w14:paraId="594BB1D1" w14:textId="42AE48DD" w:rsidR="00530E0F" w:rsidRDefault="00530E0F" w:rsidP="00C8139F">
            <w:pPr>
              <w:rPr>
                <w:rFonts w:eastAsia="Times New Roman"/>
                <w:szCs w:val="24"/>
                <w:shd w:val="clear" w:color="auto" w:fill="FFFFFF"/>
                <w:lang w:eastAsia="lt-LT"/>
              </w:rPr>
            </w:pPr>
          </w:p>
        </w:tc>
        <w:tc>
          <w:tcPr>
            <w:tcW w:w="7371" w:type="dxa"/>
          </w:tcPr>
          <w:p w14:paraId="47F186B4" w14:textId="77D157CE" w:rsidR="00530E0F" w:rsidRPr="00481E7A" w:rsidRDefault="00530E0F" w:rsidP="00DB24C8">
            <w:pPr>
              <w:rPr>
                <w:rFonts w:eastAsia="Times New Roman"/>
                <w:bCs/>
                <w:iCs/>
                <w:szCs w:val="24"/>
                <w:lang w:eastAsia="lt-LT"/>
              </w:rPr>
            </w:pPr>
            <w:r w:rsidRPr="00481E7A">
              <w:rPr>
                <w:rFonts w:eastAsia="Times New Roman"/>
                <w:bCs/>
                <w:iCs/>
                <w:szCs w:val="24"/>
                <w:lang w:eastAsia="lt-LT"/>
              </w:rPr>
              <w:t xml:space="preserve">PFSA 3 dalyje „Horizontaliųjų principų  ir su jais susijusių Europos Sąjungos pagrindinių teisių chartijos  nuostatų laikymosi reikalavimai“ siūlome aprašyti detaliau kaip yra suprantamas 3.3 punkte įvardintas </w:t>
            </w:r>
            <w:r w:rsidRPr="00481E7A">
              <w:rPr>
                <w:rFonts w:eastAsia="Times New Roman"/>
                <w:bCs/>
                <w:iCs/>
                <w:szCs w:val="24"/>
                <w:lang w:eastAsia="lt-LT"/>
              </w:rPr>
              <w:lastRenderedPageBreak/>
              <w:t xml:space="preserve">inovatyvumo principas – pateikti jo definiciją ar paaiškinimą, tam, kad Pareiškėjas, kuriam suformuotas reikalavimas minime punkte laikytis inovatyvumo principo, suprastų, kokių konkrečių reikalavimų jis turi laikytis. </w:t>
            </w:r>
          </w:p>
        </w:tc>
        <w:tc>
          <w:tcPr>
            <w:tcW w:w="5074" w:type="dxa"/>
          </w:tcPr>
          <w:p w14:paraId="1B18664B" w14:textId="77777777" w:rsidR="00530E0F" w:rsidRDefault="00530E0F" w:rsidP="00D41FCB">
            <w:pPr>
              <w:rPr>
                <w:rFonts w:eastAsia="Times New Roman"/>
                <w:b/>
                <w:szCs w:val="24"/>
                <w:lang w:eastAsia="lt-LT"/>
              </w:rPr>
            </w:pPr>
            <w:r>
              <w:rPr>
                <w:rFonts w:eastAsia="Times New Roman"/>
                <w:b/>
                <w:szCs w:val="24"/>
                <w:lang w:eastAsia="lt-LT"/>
              </w:rPr>
              <w:lastRenderedPageBreak/>
              <w:t>Atsižvelgta.</w:t>
            </w:r>
          </w:p>
          <w:p w14:paraId="17C970D3" w14:textId="2168E663" w:rsidR="00530E0F" w:rsidRPr="00DB24C8" w:rsidRDefault="00530E0F" w:rsidP="00DB24C8">
            <w:pPr>
              <w:rPr>
                <w:rFonts w:eastAsia="Times New Roman"/>
                <w:iCs/>
                <w:szCs w:val="24"/>
                <w:lang w:eastAsia="lt-LT"/>
              </w:rPr>
            </w:pPr>
            <w:r w:rsidRPr="00DB24C8">
              <w:rPr>
                <w:rFonts w:eastAsia="Times New Roman"/>
                <w:szCs w:val="24"/>
                <w:lang w:eastAsia="lt-LT"/>
              </w:rPr>
              <w:t>3.3. papunktis išdėstytas taip: „</w:t>
            </w:r>
            <w:r w:rsidRPr="00DB24C8">
              <w:rPr>
                <w:rFonts w:eastAsia="Times New Roman"/>
                <w:iCs/>
                <w:szCs w:val="24"/>
                <w:lang w:eastAsia="lt-LT"/>
              </w:rPr>
              <w:t xml:space="preserve">Įgyvendinant projekto veiklas turėtų būti laikomasi inovatyvumo </w:t>
            </w:r>
            <w:r w:rsidRPr="00DB24C8">
              <w:rPr>
                <w:rFonts w:eastAsia="Times New Roman"/>
                <w:iCs/>
                <w:szCs w:val="24"/>
                <w:lang w:eastAsia="lt-LT"/>
              </w:rPr>
              <w:lastRenderedPageBreak/>
              <w:t>(kūrybingumo) pricipo, t. y. įgyvendinant veiklas vykdomi inovatyvūs viešieji pirkimai, taikomos naujos technologijos, kuriami ar diegiami inovatyvūs sprendimai ir pan.“</w:t>
            </w:r>
          </w:p>
        </w:tc>
      </w:tr>
      <w:tr w:rsidR="00530E0F" w:rsidRPr="00C8139F" w14:paraId="7CBAF0E6" w14:textId="77777777" w:rsidTr="007875A2">
        <w:tc>
          <w:tcPr>
            <w:tcW w:w="567" w:type="dxa"/>
          </w:tcPr>
          <w:p w14:paraId="0D397C59" w14:textId="7B2F965C" w:rsidR="00530E0F" w:rsidRDefault="00530E0F" w:rsidP="0002669B">
            <w:pPr>
              <w:jc w:val="center"/>
              <w:rPr>
                <w:rFonts w:eastAsia="Times New Roman"/>
                <w:b/>
                <w:szCs w:val="24"/>
                <w:lang w:eastAsia="lt-LT"/>
              </w:rPr>
            </w:pPr>
            <w:r>
              <w:rPr>
                <w:rFonts w:eastAsia="Times New Roman"/>
                <w:b/>
                <w:szCs w:val="24"/>
                <w:lang w:eastAsia="lt-LT"/>
              </w:rPr>
              <w:lastRenderedPageBreak/>
              <w:t>12.</w:t>
            </w:r>
          </w:p>
        </w:tc>
        <w:tc>
          <w:tcPr>
            <w:tcW w:w="1730" w:type="dxa"/>
            <w:vMerge/>
          </w:tcPr>
          <w:p w14:paraId="716427A3" w14:textId="7F8D984A" w:rsidR="00530E0F" w:rsidRDefault="00530E0F" w:rsidP="00C8139F">
            <w:pPr>
              <w:rPr>
                <w:rFonts w:eastAsia="Times New Roman"/>
                <w:szCs w:val="24"/>
                <w:shd w:val="clear" w:color="auto" w:fill="FFFFFF"/>
                <w:lang w:eastAsia="lt-LT"/>
              </w:rPr>
            </w:pPr>
          </w:p>
        </w:tc>
        <w:tc>
          <w:tcPr>
            <w:tcW w:w="7371" w:type="dxa"/>
          </w:tcPr>
          <w:p w14:paraId="3FDEFDC4" w14:textId="77777777" w:rsidR="00530E0F" w:rsidRDefault="00530E0F" w:rsidP="00557A87">
            <w:pPr>
              <w:rPr>
                <w:rFonts w:eastAsia="Times New Roman"/>
                <w:bCs/>
                <w:iCs/>
                <w:szCs w:val="24"/>
                <w:lang w:eastAsia="lt-LT"/>
              </w:rPr>
            </w:pPr>
            <w:r w:rsidRPr="00481E7A">
              <w:rPr>
                <w:rFonts w:eastAsia="Times New Roman"/>
                <w:bCs/>
                <w:iCs/>
                <w:szCs w:val="24"/>
                <w:lang w:eastAsia="lt-LT"/>
              </w:rPr>
              <w:t xml:space="preserve">Valstybės pagalbos ir de minimis pagalbos buvimo ar nebuvimo patikros lape nurodoma, kad finansavimas pagal PFSA nėra valstybės pagalba, kadangi „Finansavimas negali iškraipyti konkurencijos ir veikti prekybos tarp ES šalių, kadangi finansavimas skiriamas ne pelno siekiantiems viešiesiems juridiniams asmenims miesto VVG neprekiaujantiems prekėmis ar paslaugomis ir nekonkuruojantiems tarpusavyje. Nors viena iš miesto VVG narių partnerių yra asocijuotos verslo struktūros ir (ar) įmonės, tačiau šie privatūs ūkio subjektai yra lokalūs/nedideli, veikia tik lokalioje miesto VVG teritorijai priskirtoje teritorijoje. Laikytina, kad įgyvendinus priemonę, numatoma vykdyti veikla neveiks prekybos tarp ES šalių dėl savo lokalaus pobūdžio, kadangi projektais vykdomos veiklos orientuotos į vietos bendruomenių ir vietos veiklos grupių poreikius“. </w:t>
            </w:r>
            <w:r w:rsidRPr="00481E7A">
              <w:rPr>
                <w:rFonts w:eastAsia="Times New Roman"/>
                <w:bCs/>
                <w:iCs/>
                <w:szCs w:val="24"/>
                <w:lang w:eastAsia="lt-LT"/>
              </w:rPr>
              <w:br/>
              <w:t>Atsižvelgiant į tai, rengiant vietos plėtros strategijas bei planuojant strategijų įgyvendinimo veiklas ir priemones, turėtų būti atsižvelgiama į tai, ir planuojamos priemonės, kurios tiesiogiai ir/ar netiesiogiai susijusios su verslo subjektais, turėtų būti skirtos tik tokiems verslo subjektams, kurie yra nedideli/lokalūs, veikia tik lokalioje miesto VVG teritorijoje (jų veikla negalėtų įtakoti prekybos tarp šalių narių).</w:t>
            </w:r>
          </w:p>
          <w:p w14:paraId="2A519918" w14:textId="444B8B9F" w:rsidR="00530E0F" w:rsidRPr="00481E7A" w:rsidRDefault="00530E0F" w:rsidP="00557A87">
            <w:pPr>
              <w:rPr>
                <w:rFonts w:eastAsia="Times New Roman"/>
                <w:bCs/>
                <w:iCs/>
                <w:szCs w:val="24"/>
                <w:lang w:eastAsia="lt-LT"/>
              </w:rPr>
            </w:pPr>
            <w:r w:rsidRPr="00F761DA">
              <w:rPr>
                <w:rFonts w:eastAsia="Times New Roman"/>
                <w:bCs/>
                <w:iCs/>
                <w:szCs w:val="24"/>
                <w:lang w:eastAsia="lt-LT"/>
              </w:rPr>
              <w:t>Taip pat pažymėtina tai, kad planuojant VVG strategijos veiklas ir priemones turi būti užtikrinta, kad suplanuotos įgyvendinti veiklos ir priemonės būtų suderinamos su konkurencijos teise ir valstybės pagalbos teikimo taisyklėmis (jei pagal tam tikras numatytas priemones būtų numatoma teikti valstybės pagalbą).</w:t>
            </w:r>
          </w:p>
        </w:tc>
        <w:tc>
          <w:tcPr>
            <w:tcW w:w="5074" w:type="dxa"/>
          </w:tcPr>
          <w:p w14:paraId="0994D2DF" w14:textId="77777777" w:rsidR="00530E0F" w:rsidRDefault="00530E0F" w:rsidP="00D41FCB">
            <w:pPr>
              <w:rPr>
                <w:rFonts w:eastAsia="Times New Roman"/>
                <w:b/>
                <w:szCs w:val="24"/>
                <w:lang w:eastAsia="lt-LT"/>
              </w:rPr>
            </w:pPr>
            <w:r>
              <w:rPr>
                <w:rFonts w:eastAsia="Times New Roman"/>
                <w:b/>
                <w:szCs w:val="24"/>
                <w:lang w:eastAsia="lt-LT"/>
              </w:rPr>
              <w:t>Neatsižvelgta.</w:t>
            </w:r>
          </w:p>
          <w:p w14:paraId="2664BF0C" w14:textId="59067F66" w:rsidR="00530E0F" w:rsidRDefault="00530E0F" w:rsidP="00557A87">
            <w:pPr>
              <w:rPr>
                <w:rFonts w:eastAsia="Times New Roman"/>
                <w:szCs w:val="24"/>
                <w:lang w:eastAsia="lt-LT"/>
              </w:rPr>
            </w:pPr>
            <w:r>
              <w:rPr>
                <w:rFonts w:eastAsia="Times New Roman"/>
                <w:szCs w:val="24"/>
                <w:lang w:eastAsia="lt-LT"/>
              </w:rPr>
              <w:t xml:space="preserve">Kadangi vietos plėtros strategijos rengiamos tik </w:t>
            </w:r>
            <w:r w:rsidRPr="00557A87">
              <w:rPr>
                <w:rFonts w:eastAsia="Times New Roman"/>
                <w:szCs w:val="24"/>
                <w:lang w:eastAsia="lt-LT"/>
              </w:rPr>
              <w:t>vienai iš Taisyklių 10.1–10.5 papunkčiuose nurodytas sąlygas atitinkančių teritorijų</w:t>
            </w:r>
            <w:r>
              <w:rPr>
                <w:rFonts w:eastAsia="Times New Roman"/>
                <w:szCs w:val="24"/>
                <w:lang w:eastAsia="lt-LT"/>
              </w:rPr>
              <w:t>, veiklas įgyvendinantys verslo subjektai jas turės įgyvendinti tik lokaliose, konkrečiai nustatytose teritorijose ir turės atstovauti apibrėžtą teritoriją, ši nuostata įvardijama Taisyklėse.</w:t>
            </w:r>
          </w:p>
          <w:p w14:paraId="176AF162" w14:textId="41A8FCC3" w:rsidR="00530E0F" w:rsidRPr="001D1B83" w:rsidRDefault="00530E0F" w:rsidP="001D1B83">
            <w:pPr>
              <w:rPr>
                <w:rFonts w:eastAsia="Times New Roman"/>
                <w:szCs w:val="24"/>
                <w:lang w:eastAsia="lt-LT"/>
              </w:rPr>
            </w:pPr>
            <w:r>
              <w:rPr>
                <w:rFonts w:eastAsia="Times New Roman"/>
                <w:szCs w:val="24"/>
                <w:lang w:eastAsia="lt-LT"/>
              </w:rPr>
              <w:t xml:space="preserve">Dėl suderinimo su konkurencijos teise ir valstybės pagalbos teikimo taisyklėmis (jei pagal tam tikras numatytas priemones būtų numatoma teikti valstybės pagalbą) </w:t>
            </w:r>
            <w:r w:rsidRPr="001D1B83">
              <w:rPr>
                <w:rFonts w:eastAsia="Times New Roman"/>
                <w:szCs w:val="24"/>
                <w:lang w:eastAsia="lt-LT"/>
              </w:rPr>
              <w:t xml:space="preserve">bus atsižvelgiama rengiant veiklų įgyvendinimo PFSA ir </w:t>
            </w:r>
            <w:r>
              <w:rPr>
                <w:rFonts w:eastAsia="Times New Roman"/>
                <w:szCs w:val="24"/>
                <w:lang w:eastAsia="lt-LT"/>
              </w:rPr>
              <w:t>š</w:t>
            </w:r>
            <w:r w:rsidRPr="001D1B83">
              <w:rPr>
                <w:rFonts w:eastAsia="Times New Roman"/>
                <w:szCs w:val="24"/>
                <w:lang w:eastAsia="lt-LT"/>
              </w:rPr>
              <w:t>ie reikalavimai bus nustatyti</w:t>
            </w:r>
            <w:r>
              <w:rPr>
                <w:rFonts w:eastAsia="Times New Roman"/>
                <w:szCs w:val="24"/>
                <w:lang w:eastAsia="lt-LT"/>
              </w:rPr>
              <w:t xml:space="preserve"> jame</w:t>
            </w:r>
            <w:r w:rsidRPr="001D1B83">
              <w:rPr>
                <w:rFonts w:eastAsia="Times New Roman"/>
                <w:szCs w:val="24"/>
                <w:lang w:eastAsia="lt-LT"/>
              </w:rPr>
              <w:t>.</w:t>
            </w:r>
          </w:p>
        </w:tc>
      </w:tr>
      <w:tr w:rsidR="00530E0F" w:rsidRPr="00C8139F" w14:paraId="729A3B5A" w14:textId="77777777" w:rsidTr="007875A2">
        <w:tc>
          <w:tcPr>
            <w:tcW w:w="567" w:type="dxa"/>
          </w:tcPr>
          <w:p w14:paraId="4B69538F" w14:textId="3371640C" w:rsidR="00530E0F" w:rsidRDefault="00530E0F" w:rsidP="00F761DA">
            <w:pPr>
              <w:jc w:val="center"/>
              <w:rPr>
                <w:rFonts w:eastAsia="Times New Roman"/>
                <w:b/>
                <w:szCs w:val="24"/>
                <w:lang w:eastAsia="lt-LT"/>
              </w:rPr>
            </w:pPr>
            <w:r>
              <w:rPr>
                <w:rFonts w:eastAsia="Times New Roman"/>
                <w:b/>
                <w:szCs w:val="24"/>
                <w:lang w:eastAsia="lt-LT"/>
              </w:rPr>
              <w:t>13.</w:t>
            </w:r>
          </w:p>
        </w:tc>
        <w:tc>
          <w:tcPr>
            <w:tcW w:w="1730" w:type="dxa"/>
            <w:vMerge/>
          </w:tcPr>
          <w:p w14:paraId="22B76AF8" w14:textId="4A3B7AAD" w:rsidR="00530E0F" w:rsidRDefault="00530E0F" w:rsidP="00C8139F">
            <w:pPr>
              <w:rPr>
                <w:rFonts w:eastAsia="Times New Roman"/>
                <w:szCs w:val="24"/>
                <w:shd w:val="clear" w:color="auto" w:fill="FFFFFF"/>
                <w:lang w:eastAsia="lt-LT"/>
              </w:rPr>
            </w:pPr>
          </w:p>
        </w:tc>
        <w:tc>
          <w:tcPr>
            <w:tcW w:w="7371" w:type="dxa"/>
          </w:tcPr>
          <w:p w14:paraId="718F73A6" w14:textId="250361A8" w:rsidR="00530E0F" w:rsidRPr="00DB24C8" w:rsidRDefault="00530E0F" w:rsidP="00481E7A">
            <w:pPr>
              <w:rPr>
                <w:rFonts w:eastAsia="Times New Roman"/>
                <w:bCs/>
                <w:iCs/>
                <w:szCs w:val="24"/>
                <w:lang w:eastAsia="lt-LT"/>
              </w:rPr>
            </w:pPr>
            <w:bookmarkStart w:id="4" w:name="_Hlk123638247"/>
            <w:bookmarkStart w:id="5" w:name="_Hlk123638248"/>
            <w:r w:rsidRPr="001D1B83">
              <w:rPr>
                <w:rFonts w:eastAsia="Times New Roman"/>
                <w:bCs/>
                <w:iCs/>
                <w:szCs w:val="24"/>
                <w:lang w:eastAsia="lt-LT"/>
              </w:rPr>
              <w:t>2.16 p. nustato reikalavimus viešinimui (pirmo rinkinio apimtyje), siekiant neklaidinti pareiškėjų, antro rinkinio fiksuotas sumas FS-01-03 ir FS-01-04 siūlome išimti iš PFSA.</w:t>
            </w:r>
            <w:bookmarkEnd w:id="4"/>
            <w:bookmarkEnd w:id="5"/>
          </w:p>
        </w:tc>
        <w:tc>
          <w:tcPr>
            <w:tcW w:w="5074" w:type="dxa"/>
          </w:tcPr>
          <w:p w14:paraId="664A55A6" w14:textId="4B144042" w:rsidR="00530E0F" w:rsidRDefault="00530E0F" w:rsidP="00D41FCB">
            <w:pPr>
              <w:rPr>
                <w:rFonts w:eastAsia="Times New Roman"/>
                <w:b/>
                <w:szCs w:val="24"/>
                <w:lang w:eastAsia="lt-LT"/>
              </w:rPr>
            </w:pPr>
            <w:r>
              <w:rPr>
                <w:rFonts w:eastAsia="Times New Roman"/>
                <w:b/>
                <w:szCs w:val="24"/>
                <w:lang w:eastAsia="lt-LT"/>
              </w:rPr>
              <w:t>Atsižvelgta.</w:t>
            </w:r>
          </w:p>
          <w:p w14:paraId="2754930E" w14:textId="62F20AA0" w:rsidR="00530E0F" w:rsidRPr="00557A87" w:rsidRDefault="00530E0F" w:rsidP="00D41FCB">
            <w:pPr>
              <w:rPr>
                <w:rFonts w:eastAsia="Times New Roman"/>
                <w:szCs w:val="24"/>
                <w:lang w:eastAsia="lt-LT"/>
              </w:rPr>
            </w:pPr>
          </w:p>
        </w:tc>
      </w:tr>
      <w:tr w:rsidR="00DA378F" w:rsidRPr="00C8139F" w14:paraId="0B5F4488" w14:textId="77777777" w:rsidTr="007875A2">
        <w:tc>
          <w:tcPr>
            <w:tcW w:w="567" w:type="dxa"/>
          </w:tcPr>
          <w:p w14:paraId="0666630E" w14:textId="53147898" w:rsidR="00DA378F" w:rsidRDefault="00DA378F" w:rsidP="00F761DA">
            <w:pPr>
              <w:jc w:val="center"/>
              <w:rPr>
                <w:rFonts w:eastAsia="Times New Roman"/>
                <w:b/>
                <w:szCs w:val="24"/>
                <w:lang w:eastAsia="lt-LT"/>
              </w:rPr>
            </w:pPr>
            <w:r>
              <w:rPr>
                <w:rFonts w:eastAsia="Times New Roman"/>
                <w:b/>
                <w:szCs w:val="24"/>
                <w:lang w:eastAsia="lt-LT"/>
              </w:rPr>
              <w:t>14.</w:t>
            </w:r>
          </w:p>
        </w:tc>
        <w:tc>
          <w:tcPr>
            <w:tcW w:w="1730" w:type="dxa"/>
            <w:vMerge w:val="restart"/>
          </w:tcPr>
          <w:p w14:paraId="20F2CC1B" w14:textId="297A8498" w:rsidR="00DA378F" w:rsidRDefault="00DA378F" w:rsidP="00C8139F">
            <w:pPr>
              <w:rPr>
                <w:rFonts w:eastAsia="Times New Roman"/>
                <w:szCs w:val="24"/>
                <w:shd w:val="clear" w:color="auto" w:fill="FFFFFF"/>
                <w:lang w:eastAsia="lt-LT"/>
              </w:rPr>
            </w:pPr>
            <w:r>
              <w:rPr>
                <w:rFonts w:eastAsia="Times New Roman"/>
                <w:szCs w:val="24"/>
                <w:shd w:val="clear" w:color="auto" w:fill="FFFFFF"/>
                <w:lang w:eastAsia="lt-LT"/>
              </w:rPr>
              <w:t>Finansų ministerija</w:t>
            </w:r>
          </w:p>
        </w:tc>
        <w:tc>
          <w:tcPr>
            <w:tcW w:w="7371" w:type="dxa"/>
          </w:tcPr>
          <w:p w14:paraId="1D8CEE3E" w14:textId="0A5D9126" w:rsidR="00DA378F" w:rsidRPr="001D1B83" w:rsidRDefault="00DA378F" w:rsidP="00DA378F">
            <w:pPr>
              <w:rPr>
                <w:rFonts w:eastAsia="Times New Roman"/>
                <w:bCs/>
                <w:iCs/>
                <w:szCs w:val="24"/>
                <w:lang w:eastAsia="lt-LT"/>
              </w:rPr>
            </w:pPr>
            <w:r>
              <w:rPr>
                <w:rFonts w:eastAsia="Times New Roman"/>
                <w:bCs/>
                <w:iCs/>
                <w:szCs w:val="24"/>
                <w:lang w:eastAsia="lt-LT"/>
              </w:rPr>
              <w:t xml:space="preserve">Papildyti PFSA </w:t>
            </w:r>
            <w:r w:rsidRPr="00530E0F">
              <w:rPr>
                <w:rFonts w:eastAsia="Times New Roman"/>
                <w:bCs/>
                <w:iCs/>
                <w:szCs w:val="24"/>
                <w:lang w:eastAsia="lt-LT"/>
              </w:rPr>
              <w:t xml:space="preserve">rezultato </w:t>
            </w:r>
            <w:r>
              <w:rPr>
                <w:rFonts w:eastAsia="Times New Roman"/>
                <w:bCs/>
                <w:iCs/>
                <w:szCs w:val="24"/>
                <w:lang w:eastAsia="lt-LT"/>
              </w:rPr>
              <w:t xml:space="preserve">stebėsenos rodikliu </w:t>
            </w:r>
            <w:r w:rsidRPr="00530E0F">
              <w:rPr>
                <w:rFonts w:eastAsia="Times New Roman"/>
                <w:bCs/>
                <w:iCs/>
                <w:szCs w:val="24"/>
                <w:lang w:eastAsia="lt-LT"/>
              </w:rPr>
              <w:t>„Pilietinės visuomenės ir privačiojo sektoriaus subjektai, dalyvavę rengiant ir (ar) įgyvendinant vietos plėtros strategijas“</w:t>
            </w:r>
            <w:r>
              <w:rPr>
                <w:rFonts w:eastAsia="Times New Roman"/>
                <w:bCs/>
                <w:iCs/>
                <w:szCs w:val="24"/>
                <w:lang w:eastAsia="lt-LT"/>
              </w:rPr>
              <w:t>.</w:t>
            </w:r>
          </w:p>
        </w:tc>
        <w:tc>
          <w:tcPr>
            <w:tcW w:w="5074" w:type="dxa"/>
          </w:tcPr>
          <w:p w14:paraId="5B5AB449" w14:textId="77777777" w:rsidR="00DA378F" w:rsidRPr="005A6420" w:rsidRDefault="00DA378F" w:rsidP="00DA378F">
            <w:pPr>
              <w:rPr>
                <w:rFonts w:eastAsia="Times New Roman"/>
                <w:b/>
                <w:szCs w:val="24"/>
                <w:lang w:eastAsia="lt-LT"/>
              </w:rPr>
            </w:pPr>
            <w:r w:rsidRPr="005A6420">
              <w:rPr>
                <w:rFonts w:eastAsia="Times New Roman"/>
                <w:b/>
                <w:szCs w:val="24"/>
                <w:lang w:eastAsia="lt-LT"/>
              </w:rPr>
              <w:t>Atsižvelgta.</w:t>
            </w:r>
          </w:p>
          <w:p w14:paraId="429C9079" w14:textId="77777777" w:rsidR="00DA378F" w:rsidRDefault="00DA378F" w:rsidP="00D41FCB">
            <w:pPr>
              <w:rPr>
                <w:rFonts w:eastAsia="Times New Roman"/>
                <w:b/>
                <w:szCs w:val="24"/>
                <w:lang w:eastAsia="lt-LT"/>
              </w:rPr>
            </w:pPr>
          </w:p>
        </w:tc>
      </w:tr>
      <w:tr w:rsidR="00DA378F" w:rsidRPr="00C8139F" w14:paraId="4122FD2C" w14:textId="77777777" w:rsidTr="007875A2">
        <w:tc>
          <w:tcPr>
            <w:tcW w:w="567" w:type="dxa"/>
          </w:tcPr>
          <w:p w14:paraId="422796F0" w14:textId="20AF2376" w:rsidR="00DA378F" w:rsidRDefault="00DA378F" w:rsidP="00F761DA">
            <w:pPr>
              <w:jc w:val="center"/>
              <w:rPr>
                <w:rFonts w:eastAsia="Times New Roman"/>
                <w:b/>
                <w:szCs w:val="24"/>
                <w:lang w:eastAsia="lt-LT"/>
              </w:rPr>
            </w:pPr>
            <w:r>
              <w:rPr>
                <w:rFonts w:eastAsia="Times New Roman"/>
                <w:b/>
                <w:szCs w:val="24"/>
                <w:lang w:eastAsia="lt-LT"/>
              </w:rPr>
              <w:t>15.</w:t>
            </w:r>
          </w:p>
        </w:tc>
        <w:tc>
          <w:tcPr>
            <w:tcW w:w="1730" w:type="dxa"/>
            <w:vMerge/>
          </w:tcPr>
          <w:p w14:paraId="03D66030" w14:textId="77777777" w:rsidR="00DA378F" w:rsidRDefault="00DA378F" w:rsidP="00C8139F">
            <w:pPr>
              <w:rPr>
                <w:rFonts w:eastAsia="Times New Roman"/>
                <w:szCs w:val="24"/>
                <w:shd w:val="clear" w:color="auto" w:fill="FFFFFF"/>
                <w:lang w:eastAsia="lt-LT"/>
              </w:rPr>
            </w:pPr>
          </w:p>
        </w:tc>
        <w:tc>
          <w:tcPr>
            <w:tcW w:w="7371" w:type="dxa"/>
          </w:tcPr>
          <w:p w14:paraId="5234D399" w14:textId="7F4264C0" w:rsidR="00DA378F" w:rsidRPr="001D1B83" w:rsidRDefault="00DA378F" w:rsidP="00481E7A">
            <w:pPr>
              <w:rPr>
                <w:rFonts w:eastAsia="Times New Roman"/>
                <w:bCs/>
                <w:iCs/>
                <w:szCs w:val="24"/>
                <w:lang w:eastAsia="lt-LT"/>
              </w:rPr>
            </w:pPr>
            <w:r>
              <w:rPr>
                <w:rFonts w:eastAsia="Times New Roman"/>
                <w:bCs/>
                <w:iCs/>
                <w:szCs w:val="24"/>
                <w:lang w:eastAsia="lt-LT"/>
              </w:rPr>
              <w:t>Stebėsenos rodiklius išskaidyti pagal poveikles.</w:t>
            </w:r>
          </w:p>
        </w:tc>
        <w:tc>
          <w:tcPr>
            <w:tcW w:w="5074" w:type="dxa"/>
          </w:tcPr>
          <w:p w14:paraId="79070362" w14:textId="77777777" w:rsidR="00DA378F" w:rsidRPr="005A6420" w:rsidRDefault="00DA378F" w:rsidP="00DA378F">
            <w:pPr>
              <w:rPr>
                <w:rFonts w:eastAsia="Times New Roman"/>
                <w:b/>
                <w:szCs w:val="24"/>
                <w:lang w:eastAsia="lt-LT"/>
              </w:rPr>
            </w:pPr>
            <w:r w:rsidRPr="005A6420">
              <w:rPr>
                <w:rFonts w:eastAsia="Times New Roman"/>
                <w:b/>
                <w:szCs w:val="24"/>
                <w:lang w:eastAsia="lt-LT"/>
              </w:rPr>
              <w:t>Atsižvelgta.</w:t>
            </w:r>
          </w:p>
          <w:p w14:paraId="4FA67D55" w14:textId="77777777" w:rsidR="00DA378F" w:rsidRDefault="00DA378F" w:rsidP="00D41FCB">
            <w:pPr>
              <w:rPr>
                <w:rFonts w:eastAsia="Times New Roman"/>
                <w:b/>
                <w:szCs w:val="24"/>
                <w:lang w:eastAsia="lt-LT"/>
              </w:rPr>
            </w:pPr>
          </w:p>
        </w:tc>
      </w:tr>
      <w:tr w:rsidR="00DA378F" w:rsidRPr="00C8139F" w14:paraId="649E603D" w14:textId="77777777" w:rsidTr="007875A2">
        <w:tc>
          <w:tcPr>
            <w:tcW w:w="567" w:type="dxa"/>
          </w:tcPr>
          <w:p w14:paraId="628D9076" w14:textId="0C7BE66C" w:rsidR="00DA378F" w:rsidRDefault="00DA378F" w:rsidP="00F761DA">
            <w:pPr>
              <w:jc w:val="center"/>
              <w:rPr>
                <w:rFonts w:eastAsia="Times New Roman"/>
                <w:b/>
                <w:szCs w:val="24"/>
                <w:lang w:eastAsia="lt-LT"/>
              </w:rPr>
            </w:pPr>
            <w:r>
              <w:rPr>
                <w:rFonts w:eastAsia="Times New Roman"/>
                <w:b/>
                <w:szCs w:val="24"/>
                <w:lang w:eastAsia="lt-LT"/>
              </w:rPr>
              <w:lastRenderedPageBreak/>
              <w:t>16.</w:t>
            </w:r>
          </w:p>
        </w:tc>
        <w:tc>
          <w:tcPr>
            <w:tcW w:w="1730" w:type="dxa"/>
            <w:vMerge/>
          </w:tcPr>
          <w:p w14:paraId="6BEBDF13" w14:textId="77777777" w:rsidR="00DA378F" w:rsidRDefault="00DA378F" w:rsidP="00C8139F">
            <w:pPr>
              <w:rPr>
                <w:rFonts w:eastAsia="Times New Roman"/>
                <w:szCs w:val="24"/>
                <w:shd w:val="clear" w:color="auto" w:fill="FFFFFF"/>
                <w:lang w:eastAsia="lt-LT"/>
              </w:rPr>
            </w:pPr>
          </w:p>
        </w:tc>
        <w:tc>
          <w:tcPr>
            <w:tcW w:w="7371" w:type="dxa"/>
          </w:tcPr>
          <w:p w14:paraId="52D9BE6F" w14:textId="6283861B" w:rsidR="00DA378F" w:rsidRDefault="00DA378F" w:rsidP="00EA7B65">
            <w:pPr>
              <w:rPr>
                <w:rFonts w:eastAsia="Times New Roman"/>
                <w:bCs/>
                <w:iCs/>
                <w:szCs w:val="24"/>
                <w:lang w:eastAsia="lt-LT"/>
              </w:rPr>
            </w:pPr>
            <w:r>
              <w:rPr>
                <w:rFonts w:eastAsia="Times New Roman"/>
                <w:bCs/>
                <w:iCs/>
                <w:szCs w:val="24"/>
                <w:lang w:eastAsia="lt-LT"/>
              </w:rPr>
              <w:t xml:space="preserve">Po stebėsenos rodiklių lentele įrašyti pastabą, kurioje būtų nuoroda į </w:t>
            </w:r>
            <w:r w:rsidR="00EA7B65">
              <w:rPr>
                <w:rFonts w:eastAsia="Times New Roman"/>
                <w:bCs/>
                <w:iCs/>
                <w:szCs w:val="24"/>
                <w:lang w:eastAsia="lt-LT"/>
              </w:rPr>
              <w:t xml:space="preserve">interneto svetainėje paviešintas stebėsenos </w:t>
            </w:r>
            <w:r>
              <w:rPr>
                <w:rFonts w:eastAsia="Times New Roman"/>
                <w:bCs/>
                <w:iCs/>
                <w:szCs w:val="24"/>
                <w:lang w:eastAsia="lt-LT"/>
              </w:rPr>
              <w:t>rodiklių</w:t>
            </w:r>
            <w:r w:rsidR="00EA7B65">
              <w:rPr>
                <w:rFonts w:eastAsia="Times New Roman"/>
                <w:bCs/>
                <w:iCs/>
                <w:szCs w:val="24"/>
                <w:lang w:eastAsia="lt-LT"/>
              </w:rPr>
              <w:t xml:space="preserve"> aprašymo</w:t>
            </w:r>
            <w:r>
              <w:rPr>
                <w:rFonts w:eastAsia="Times New Roman"/>
                <w:bCs/>
                <w:iCs/>
                <w:szCs w:val="24"/>
                <w:lang w:eastAsia="lt-LT"/>
              </w:rPr>
              <w:t xml:space="preserve"> korteles.</w:t>
            </w:r>
          </w:p>
        </w:tc>
        <w:tc>
          <w:tcPr>
            <w:tcW w:w="5074" w:type="dxa"/>
          </w:tcPr>
          <w:p w14:paraId="066B7CC6" w14:textId="61B51F3D" w:rsidR="00DA378F" w:rsidRPr="00DA378F" w:rsidRDefault="00EA7B65" w:rsidP="00DA378F">
            <w:pPr>
              <w:rPr>
                <w:rFonts w:eastAsia="Times New Roman"/>
                <w:b/>
                <w:szCs w:val="24"/>
                <w:lang w:eastAsia="lt-LT"/>
              </w:rPr>
            </w:pPr>
            <w:r>
              <w:rPr>
                <w:rFonts w:eastAsia="Times New Roman"/>
                <w:b/>
                <w:szCs w:val="24"/>
                <w:lang w:eastAsia="lt-LT"/>
              </w:rPr>
              <w:t>Atsižvelgta.</w:t>
            </w:r>
          </w:p>
        </w:tc>
      </w:tr>
      <w:tr w:rsidR="00DA378F" w:rsidRPr="00C8139F" w14:paraId="3AD60983" w14:textId="77777777" w:rsidTr="007875A2">
        <w:tc>
          <w:tcPr>
            <w:tcW w:w="567" w:type="dxa"/>
          </w:tcPr>
          <w:p w14:paraId="364F596C" w14:textId="2010D33A" w:rsidR="00DA378F" w:rsidRDefault="00DA378F" w:rsidP="00DA378F">
            <w:pPr>
              <w:jc w:val="center"/>
              <w:rPr>
                <w:rFonts w:eastAsia="Times New Roman"/>
                <w:b/>
                <w:szCs w:val="24"/>
                <w:lang w:eastAsia="lt-LT"/>
              </w:rPr>
            </w:pPr>
            <w:r>
              <w:rPr>
                <w:rFonts w:eastAsia="Times New Roman"/>
                <w:b/>
                <w:szCs w:val="24"/>
                <w:lang w:eastAsia="lt-LT"/>
              </w:rPr>
              <w:t>17.</w:t>
            </w:r>
          </w:p>
        </w:tc>
        <w:tc>
          <w:tcPr>
            <w:tcW w:w="1730" w:type="dxa"/>
            <w:vMerge/>
          </w:tcPr>
          <w:p w14:paraId="1D264C2B" w14:textId="77777777" w:rsidR="00DA378F" w:rsidRDefault="00DA378F" w:rsidP="00C8139F">
            <w:pPr>
              <w:rPr>
                <w:rFonts w:eastAsia="Times New Roman"/>
                <w:szCs w:val="24"/>
                <w:shd w:val="clear" w:color="auto" w:fill="FFFFFF"/>
                <w:lang w:eastAsia="lt-LT"/>
              </w:rPr>
            </w:pPr>
          </w:p>
        </w:tc>
        <w:tc>
          <w:tcPr>
            <w:tcW w:w="7371" w:type="dxa"/>
          </w:tcPr>
          <w:p w14:paraId="6144CF7B" w14:textId="3D64C947" w:rsidR="00DA378F" w:rsidRPr="001D1B83" w:rsidRDefault="00DA378F" w:rsidP="00DA378F">
            <w:pPr>
              <w:rPr>
                <w:rFonts w:eastAsia="Times New Roman"/>
                <w:bCs/>
                <w:iCs/>
                <w:szCs w:val="24"/>
                <w:lang w:eastAsia="lt-LT"/>
              </w:rPr>
            </w:pPr>
            <w:r>
              <w:rPr>
                <w:rFonts w:eastAsia="Times New Roman"/>
                <w:bCs/>
                <w:iCs/>
                <w:szCs w:val="24"/>
                <w:lang w:eastAsia="lt-LT"/>
              </w:rPr>
              <w:t>Prie taikomų teisės aktų nenurodyti pažangos priemonės aprašo, kadangi PFSA yra pažangos p</w:t>
            </w:r>
            <w:r w:rsidRPr="00530E0F">
              <w:rPr>
                <w:rFonts w:eastAsia="Times New Roman"/>
                <w:bCs/>
                <w:iCs/>
                <w:szCs w:val="24"/>
                <w:lang w:eastAsia="lt-LT"/>
              </w:rPr>
              <w:t>riemonės</w:t>
            </w:r>
            <w:r>
              <w:rPr>
                <w:rFonts w:eastAsia="Times New Roman"/>
                <w:bCs/>
                <w:iCs/>
                <w:szCs w:val="24"/>
                <w:lang w:eastAsia="lt-LT"/>
              </w:rPr>
              <w:t xml:space="preserve"> aprašo</w:t>
            </w:r>
            <w:r w:rsidRPr="00530E0F">
              <w:rPr>
                <w:rFonts w:eastAsia="Times New Roman"/>
                <w:bCs/>
                <w:iCs/>
                <w:szCs w:val="24"/>
                <w:lang w:eastAsia="lt-LT"/>
              </w:rPr>
              <w:t xml:space="preserve"> priedas</w:t>
            </w:r>
            <w:r>
              <w:rPr>
                <w:rFonts w:eastAsia="Times New Roman"/>
                <w:bCs/>
                <w:iCs/>
                <w:szCs w:val="24"/>
                <w:lang w:eastAsia="lt-LT"/>
              </w:rPr>
              <w:t>, vietoj jo siūlytina įtraukti Plėtros programą.</w:t>
            </w:r>
          </w:p>
        </w:tc>
        <w:tc>
          <w:tcPr>
            <w:tcW w:w="5074" w:type="dxa"/>
          </w:tcPr>
          <w:p w14:paraId="5C3F8E4C" w14:textId="77777777" w:rsidR="00DA378F" w:rsidRPr="005A6420" w:rsidRDefault="00DA378F" w:rsidP="00DA378F">
            <w:pPr>
              <w:rPr>
                <w:rFonts w:eastAsia="Times New Roman"/>
                <w:b/>
                <w:szCs w:val="24"/>
                <w:lang w:eastAsia="lt-LT"/>
              </w:rPr>
            </w:pPr>
            <w:r w:rsidRPr="005A6420">
              <w:rPr>
                <w:rFonts w:eastAsia="Times New Roman"/>
                <w:b/>
                <w:szCs w:val="24"/>
                <w:lang w:eastAsia="lt-LT"/>
              </w:rPr>
              <w:t>Atsižvelgta.</w:t>
            </w:r>
          </w:p>
          <w:p w14:paraId="27D894ED" w14:textId="77777777" w:rsidR="00DA378F" w:rsidRDefault="00DA378F" w:rsidP="00D41FCB">
            <w:pPr>
              <w:rPr>
                <w:rFonts w:eastAsia="Times New Roman"/>
                <w:b/>
                <w:szCs w:val="24"/>
                <w:lang w:eastAsia="lt-LT"/>
              </w:rPr>
            </w:pPr>
          </w:p>
        </w:tc>
      </w:tr>
      <w:tr w:rsidR="00DA378F" w:rsidRPr="00C8139F" w14:paraId="23434F34" w14:textId="77777777" w:rsidTr="007875A2">
        <w:tc>
          <w:tcPr>
            <w:tcW w:w="567" w:type="dxa"/>
          </w:tcPr>
          <w:p w14:paraId="4E6E4294" w14:textId="464E99A2" w:rsidR="00DA378F" w:rsidRDefault="00DA378F" w:rsidP="00DA378F">
            <w:pPr>
              <w:jc w:val="center"/>
              <w:rPr>
                <w:rFonts w:eastAsia="Times New Roman"/>
                <w:b/>
                <w:szCs w:val="24"/>
                <w:lang w:eastAsia="lt-LT"/>
              </w:rPr>
            </w:pPr>
            <w:r>
              <w:rPr>
                <w:rFonts w:eastAsia="Times New Roman"/>
                <w:b/>
                <w:szCs w:val="24"/>
                <w:lang w:eastAsia="lt-LT"/>
              </w:rPr>
              <w:t>18.</w:t>
            </w:r>
          </w:p>
        </w:tc>
        <w:tc>
          <w:tcPr>
            <w:tcW w:w="1730" w:type="dxa"/>
            <w:vMerge/>
          </w:tcPr>
          <w:p w14:paraId="76FCFD1B" w14:textId="77777777" w:rsidR="00DA378F" w:rsidRDefault="00DA378F" w:rsidP="00C8139F">
            <w:pPr>
              <w:rPr>
                <w:rFonts w:eastAsia="Times New Roman"/>
                <w:szCs w:val="24"/>
                <w:shd w:val="clear" w:color="auto" w:fill="FFFFFF"/>
                <w:lang w:eastAsia="lt-LT"/>
              </w:rPr>
            </w:pPr>
          </w:p>
        </w:tc>
        <w:tc>
          <w:tcPr>
            <w:tcW w:w="7371" w:type="dxa"/>
          </w:tcPr>
          <w:p w14:paraId="6286F0BD" w14:textId="22BFC384" w:rsidR="00DA378F" w:rsidRDefault="00DA378F" w:rsidP="00DA378F">
            <w:pPr>
              <w:rPr>
                <w:rFonts w:eastAsia="Times New Roman"/>
                <w:bCs/>
                <w:iCs/>
                <w:szCs w:val="24"/>
                <w:lang w:eastAsia="lt-LT"/>
              </w:rPr>
            </w:pPr>
            <w:r>
              <w:rPr>
                <w:rFonts w:eastAsia="Times New Roman"/>
                <w:bCs/>
                <w:iCs/>
                <w:szCs w:val="24"/>
                <w:lang w:eastAsia="lt-LT"/>
              </w:rPr>
              <w:t>Reikšmingos žalos nedarymo principo vertinimo anketą pateikti aktualioje formoje.</w:t>
            </w:r>
          </w:p>
        </w:tc>
        <w:tc>
          <w:tcPr>
            <w:tcW w:w="5074" w:type="dxa"/>
          </w:tcPr>
          <w:p w14:paraId="6DCE6D48" w14:textId="23FA71DF" w:rsidR="00DA378F" w:rsidRPr="00DA378F" w:rsidRDefault="00DA378F" w:rsidP="00DA378F">
            <w:pPr>
              <w:rPr>
                <w:rFonts w:eastAsia="Times New Roman"/>
                <w:b/>
                <w:szCs w:val="24"/>
                <w:lang w:eastAsia="lt-LT"/>
              </w:rPr>
            </w:pPr>
            <w:r>
              <w:rPr>
                <w:rFonts w:eastAsia="Times New Roman"/>
                <w:b/>
                <w:szCs w:val="24"/>
                <w:lang w:eastAsia="lt-LT"/>
              </w:rPr>
              <w:t>Atsižvelgta.</w:t>
            </w:r>
          </w:p>
        </w:tc>
      </w:tr>
    </w:tbl>
    <w:p w14:paraId="50B064A2" w14:textId="4CC4AEED" w:rsidR="00933462" w:rsidRDefault="00933462"/>
    <w:sectPr w:rsidR="00933462" w:rsidSect="000C662A">
      <w:headerReference w:type="default" r:id="rId8"/>
      <w:pgSz w:w="16838" w:h="11906" w:orient="landscape"/>
      <w:pgMar w:top="1701" w:right="1701" w:bottom="567" w:left="1134"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04BC52" w16cid:durableId="278BB0D4"/>
  <w16cid:commentId w16cid:paraId="0E49319F" w16cid:durableId="278BB129"/>
  <w16cid:commentId w16cid:paraId="5A022BCB" w16cid:durableId="278BB14F"/>
  <w16cid:commentId w16cid:paraId="0ED714D9" w16cid:durableId="278BB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E70AA" w14:textId="77777777" w:rsidR="00377D01" w:rsidRDefault="00377D01" w:rsidP="00A6163A">
      <w:pPr>
        <w:spacing w:after="0" w:line="240" w:lineRule="auto"/>
      </w:pPr>
      <w:r>
        <w:separator/>
      </w:r>
    </w:p>
  </w:endnote>
  <w:endnote w:type="continuationSeparator" w:id="0">
    <w:p w14:paraId="4DF11DC1" w14:textId="77777777" w:rsidR="00377D01" w:rsidRDefault="00377D01" w:rsidP="00A61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4F9EA" w14:textId="77777777" w:rsidR="00377D01" w:rsidRDefault="00377D01" w:rsidP="00A6163A">
      <w:pPr>
        <w:spacing w:after="0" w:line="240" w:lineRule="auto"/>
      </w:pPr>
      <w:r>
        <w:separator/>
      </w:r>
    </w:p>
  </w:footnote>
  <w:footnote w:type="continuationSeparator" w:id="0">
    <w:p w14:paraId="34C77C47" w14:textId="77777777" w:rsidR="00377D01" w:rsidRDefault="00377D01" w:rsidP="00A616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784285"/>
      <w:docPartObj>
        <w:docPartGallery w:val="Page Numbers (Top of Page)"/>
        <w:docPartUnique/>
      </w:docPartObj>
    </w:sdtPr>
    <w:sdtEndPr>
      <w:rPr>
        <w:rFonts w:ascii="Times New Roman" w:hAnsi="Times New Roman" w:cs="Times New Roman"/>
        <w:noProof/>
      </w:rPr>
    </w:sdtEndPr>
    <w:sdtContent>
      <w:p w14:paraId="1A624223" w14:textId="1E363981" w:rsidR="00A6163A" w:rsidRPr="000C662A" w:rsidRDefault="00A6163A">
        <w:pPr>
          <w:pStyle w:val="Antrats"/>
          <w:jc w:val="center"/>
          <w:rPr>
            <w:rFonts w:ascii="Times New Roman" w:hAnsi="Times New Roman" w:cs="Times New Roman"/>
          </w:rPr>
        </w:pPr>
        <w:r w:rsidRPr="000C662A">
          <w:rPr>
            <w:rFonts w:ascii="Times New Roman" w:hAnsi="Times New Roman" w:cs="Times New Roman"/>
          </w:rPr>
          <w:fldChar w:fldCharType="begin"/>
        </w:r>
        <w:r w:rsidRPr="000C662A">
          <w:rPr>
            <w:rFonts w:ascii="Times New Roman" w:hAnsi="Times New Roman" w:cs="Times New Roman"/>
          </w:rPr>
          <w:instrText xml:space="preserve"> PAGE   \* MERGEFORMAT </w:instrText>
        </w:r>
        <w:r w:rsidRPr="000C662A">
          <w:rPr>
            <w:rFonts w:ascii="Times New Roman" w:hAnsi="Times New Roman" w:cs="Times New Roman"/>
          </w:rPr>
          <w:fldChar w:fldCharType="separate"/>
        </w:r>
        <w:r w:rsidR="00693012">
          <w:rPr>
            <w:rFonts w:ascii="Times New Roman" w:hAnsi="Times New Roman" w:cs="Times New Roman"/>
            <w:noProof/>
          </w:rPr>
          <w:t>7</w:t>
        </w:r>
        <w:r w:rsidRPr="000C662A">
          <w:rPr>
            <w:rFonts w:ascii="Times New Roman" w:hAnsi="Times New Roman" w:cs="Times New Roman"/>
            <w:noProof/>
          </w:rPr>
          <w:fldChar w:fldCharType="end"/>
        </w:r>
      </w:p>
    </w:sdtContent>
  </w:sdt>
  <w:p w14:paraId="09A97BE6" w14:textId="77777777" w:rsidR="00A6163A" w:rsidRDefault="00A616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61CEE"/>
    <w:multiLevelType w:val="hybridMultilevel"/>
    <w:tmpl w:val="0E7C2B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CA63F65"/>
    <w:multiLevelType w:val="hybridMultilevel"/>
    <w:tmpl w:val="8278C20E"/>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
    <w:nsid w:val="1D7D70E4"/>
    <w:multiLevelType w:val="hybridMultilevel"/>
    <w:tmpl w:val="4CDE3CAE"/>
    <w:lvl w:ilvl="0" w:tplc="7C4CE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60444D"/>
    <w:multiLevelType w:val="hybridMultilevel"/>
    <w:tmpl w:val="E064FF4E"/>
    <w:lvl w:ilvl="0" w:tplc="B4362B42">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nsid w:val="52EB470C"/>
    <w:multiLevelType w:val="hybridMultilevel"/>
    <w:tmpl w:val="E064FF4E"/>
    <w:lvl w:ilvl="0" w:tplc="B4362B42">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nsid w:val="724A5E45"/>
    <w:multiLevelType w:val="multilevel"/>
    <w:tmpl w:val="8160D0E8"/>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75C60B22"/>
    <w:multiLevelType w:val="hybridMultilevel"/>
    <w:tmpl w:val="5BBCA29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6"/>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656"/>
    <w:rsid w:val="00015DA3"/>
    <w:rsid w:val="00016A13"/>
    <w:rsid w:val="00024BE9"/>
    <w:rsid w:val="0002669B"/>
    <w:rsid w:val="00091E69"/>
    <w:rsid w:val="000A07C4"/>
    <w:rsid w:val="000C662A"/>
    <w:rsid w:val="000C73E4"/>
    <w:rsid w:val="000D511C"/>
    <w:rsid w:val="000E7F4B"/>
    <w:rsid w:val="00142213"/>
    <w:rsid w:val="0018423C"/>
    <w:rsid w:val="00190805"/>
    <w:rsid w:val="001A47EF"/>
    <w:rsid w:val="001A4AA5"/>
    <w:rsid w:val="001D1B83"/>
    <w:rsid w:val="00215295"/>
    <w:rsid w:val="00233435"/>
    <w:rsid w:val="002813B3"/>
    <w:rsid w:val="0029338C"/>
    <w:rsid w:val="002A1FC6"/>
    <w:rsid w:val="002B4387"/>
    <w:rsid w:val="002B72D2"/>
    <w:rsid w:val="002D3936"/>
    <w:rsid w:val="0035124C"/>
    <w:rsid w:val="00377D01"/>
    <w:rsid w:val="003D07B3"/>
    <w:rsid w:val="003D69EA"/>
    <w:rsid w:val="003F4CA0"/>
    <w:rsid w:val="0040569B"/>
    <w:rsid w:val="00453452"/>
    <w:rsid w:val="00481E7A"/>
    <w:rsid w:val="00486DDB"/>
    <w:rsid w:val="004A671B"/>
    <w:rsid w:val="004B145C"/>
    <w:rsid w:val="004B7FDF"/>
    <w:rsid w:val="004F1ADF"/>
    <w:rsid w:val="00522F43"/>
    <w:rsid w:val="00530E0F"/>
    <w:rsid w:val="00557A87"/>
    <w:rsid w:val="00577B64"/>
    <w:rsid w:val="005A099E"/>
    <w:rsid w:val="005A6420"/>
    <w:rsid w:val="005C2481"/>
    <w:rsid w:val="005C39F7"/>
    <w:rsid w:val="005D5AE6"/>
    <w:rsid w:val="00623FDD"/>
    <w:rsid w:val="00642C4C"/>
    <w:rsid w:val="00693012"/>
    <w:rsid w:val="006C78C1"/>
    <w:rsid w:val="00713D6D"/>
    <w:rsid w:val="00714E76"/>
    <w:rsid w:val="007176C4"/>
    <w:rsid w:val="00773AD3"/>
    <w:rsid w:val="007C3447"/>
    <w:rsid w:val="008207AE"/>
    <w:rsid w:val="00824337"/>
    <w:rsid w:val="0083514E"/>
    <w:rsid w:val="008355B1"/>
    <w:rsid w:val="00851F46"/>
    <w:rsid w:val="008A5D54"/>
    <w:rsid w:val="00920A44"/>
    <w:rsid w:val="00933462"/>
    <w:rsid w:val="00970033"/>
    <w:rsid w:val="00985D9C"/>
    <w:rsid w:val="009C17D2"/>
    <w:rsid w:val="009D2471"/>
    <w:rsid w:val="00A5613B"/>
    <w:rsid w:val="00A56D0B"/>
    <w:rsid w:val="00A6163A"/>
    <w:rsid w:val="00A73067"/>
    <w:rsid w:val="00AD79EF"/>
    <w:rsid w:val="00B2629A"/>
    <w:rsid w:val="00B32BCF"/>
    <w:rsid w:val="00B368B4"/>
    <w:rsid w:val="00B65728"/>
    <w:rsid w:val="00B9594E"/>
    <w:rsid w:val="00BE3347"/>
    <w:rsid w:val="00BF6674"/>
    <w:rsid w:val="00C050E9"/>
    <w:rsid w:val="00C17AA2"/>
    <w:rsid w:val="00C23663"/>
    <w:rsid w:val="00C30F06"/>
    <w:rsid w:val="00C60998"/>
    <w:rsid w:val="00C8139F"/>
    <w:rsid w:val="00C85E0C"/>
    <w:rsid w:val="00C9564E"/>
    <w:rsid w:val="00CA3864"/>
    <w:rsid w:val="00CA5F4E"/>
    <w:rsid w:val="00D41FCB"/>
    <w:rsid w:val="00D5559E"/>
    <w:rsid w:val="00D75511"/>
    <w:rsid w:val="00D77441"/>
    <w:rsid w:val="00D839C3"/>
    <w:rsid w:val="00D91274"/>
    <w:rsid w:val="00D913F8"/>
    <w:rsid w:val="00D93A7A"/>
    <w:rsid w:val="00DA378F"/>
    <w:rsid w:val="00DB0D05"/>
    <w:rsid w:val="00DB24C8"/>
    <w:rsid w:val="00DC043C"/>
    <w:rsid w:val="00DD4473"/>
    <w:rsid w:val="00E01656"/>
    <w:rsid w:val="00E17936"/>
    <w:rsid w:val="00E24C4E"/>
    <w:rsid w:val="00E55009"/>
    <w:rsid w:val="00E70274"/>
    <w:rsid w:val="00E71ACD"/>
    <w:rsid w:val="00EA7B65"/>
    <w:rsid w:val="00EB0999"/>
    <w:rsid w:val="00F761DA"/>
    <w:rsid w:val="00FA23CC"/>
    <w:rsid w:val="00FA537B"/>
    <w:rsid w:val="00FE4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8D28"/>
  <w15:chartTrackingRefBased/>
  <w15:docId w15:val="{7397F9A4-BF71-4502-879C-57591393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8139F"/>
    <w:pPr>
      <w:spacing w:after="0" w:line="240" w:lineRule="auto"/>
      <w:jc w:val="both"/>
    </w:pPr>
    <w:rPr>
      <w:rFonts w:ascii="Times New Roman" w:hAnsi="Times New Roman" w:cs="Times New Roman"/>
      <w:sz w:val="24"/>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semiHidden/>
    <w:unhideWhenUsed/>
    <w:rsid w:val="00015DA3"/>
    <w:rPr>
      <w:sz w:val="16"/>
      <w:szCs w:val="16"/>
    </w:rPr>
  </w:style>
  <w:style w:type="paragraph" w:styleId="Komentarotekstas">
    <w:name w:val="annotation text"/>
    <w:aliases w:val=" Char,Char"/>
    <w:basedOn w:val="prastasis"/>
    <w:link w:val="KomentarotekstasDiagrama"/>
    <w:uiPriority w:val="99"/>
    <w:unhideWhenUsed/>
    <w:qFormat/>
    <w:rsid w:val="00015DA3"/>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uiPriority w:val="99"/>
    <w:rsid w:val="00015DA3"/>
    <w:rPr>
      <w:sz w:val="20"/>
      <w:szCs w:val="20"/>
    </w:rPr>
  </w:style>
  <w:style w:type="paragraph" w:styleId="Komentarotema">
    <w:name w:val="annotation subject"/>
    <w:basedOn w:val="Komentarotekstas"/>
    <w:next w:val="Komentarotekstas"/>
    <w:link w:val="KomentarotemaDiagrama"/>
    <w:uiPriority w:val="99"/>
    <w:semiHidden/>
    <w:unhideWhenUsed/>
    <w:rsid w:val="00015DA3"/>
    <w:rPr>
      <w:b/>
      <w:bCs/>
    </w:rPr>
  </w:style>
  <w:style w:type="character" w:customStyle="1" w:styleId="KomentarotemaDiagrama">
    <w:name w:val="Komentaro tema Diagrama"/>
    <w:basedOn w:val="KomentarotekstasDiagrama"/>
    <w:link w:val="Komentarotema"/>
    <w:uiPriority w:val="99"/>
    <w:semiHidden/>
    <w:rsid w:val="00015DA3"/>
    <w:rPr>
      <w:b/>
      <w:bCs/>
      <w:sz w:val="20"/>
      <w:szCs w:val="20"/>
    </w:rPr>
  </w:style>
  <w:style w:type="paragraph" w:styleId="Debesliotekstas">
    <w:name w:val="Balloon Text"/>
    <w:basedOn w:val="prastasis"/>
    <w:link w:val="DebesliotekstasDiagrama"/>
    <w:uiPriority w:val="99"/>
    <w:semiHidden/>
    <w:unhideWhenUsed/>
    <w:rsid w:val="00015DA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5DA3"/>
    <w:rPr>
      <w:rFonts w:ascii="Segoe UI" w:hAnsi="Segoe UI" w:cs="Segoe UI"/>
      <w:sz w:val="18"/>
      <w:szCs w:val="18"/>
    </w:rPr>
  </w:style>
  <w:style w:type="character" w:styleId="Hipersaitas">
    <w:name w:val="Hyperlink"/>
    <w:basedOn w:val="Numatytasispastraiposriftas"/>
    <w:uiPriority w:val="99"/>
    <w:unhideWhenUsed/>
    <w:rsid w:val="00642C4C"/>
    <w:rPr>
      <w:color w:val="0563C1" w:themeColor="hyperlink"/>
      <w:u w:val="single"/>
    </w:rPr>
  </w:style>
  <w:style w:type="paragraph" w:styleId="Sraopastraipa">
    <w:name w:val="List Paragraph"/>
    <w:basedOn w:val="prastasis"/>
    <w:uiPriority w:val="34"/>
    <w:qFormat/>
    <w:rsid w:val="00A6163A"/>
    <w:pPr>
      <w:ind w:left="720"/>
      <w:contextualSpacing/>
    </w:pPr>
  </w:style>
  <w:style w:type="paragraph" w:styleId="Antrats">
    <w:name w:val="header"/>
    <w:basedOn w:val="prastasis"/>
    <w:link w:val="AntratsDiagrama"/>
    <w:uiPriority w:val="99"/>
    <w:unhideWhenUsed/>
    <w:rsid w:val="00A6163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6163A"/>
  </w:style>
  <w:style w:type="paragraph" w:styleId="Porat">
    <w:name w:val="footer"/>
    <w:basedOn w:val="prastasis"/>
    <w:link w:val="PoratDiagrama"/>
    <w:uiPriority w:val="99"/>
    <w:unhideWhenUsed/>
    <w:rsid w:val="00A6163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61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4869">
      <w:bodyDiv w:val="1"/>
      <w:marLeft w:val="0"/>
      <w:marRight w:val="0"/>
      <w:marTop w:val="0"/>
      <w:marBottom w:val="0"/>
      <w:divBdr>
        <w:top w:val="none" w:sz="0" w:space="0" w:color="auto"/>
        <w:left w:val="none" w:sz="0" w:space="0" w:color="auto"/>
        <w:bottom w:val="none" w:sz="0" w:space="0" w:color="auto"/>
        <w:right w:val="none" w:sz="0" w:space="0" w:color="auto"/>
      </w:divBdr>
    </w:div>
    <w:div w:id="58865984">
      <w:bodyDiv w:val="1"/>
      <w:marLeft w:val="0"/>
      <w:marRight w:val="0"/>
      <w:marTop w:val="0"/>
      <w:marBottom w:val="0"/>
      <w:divBdr>
        <w:top w:val="none" w:sz="0" w:space="0" w:color="auto"/>
        <w:left w:val="none" w:sz="0" w:space="0" w:color="auto"/>
        <w:bottom w:val="none" w:sz="0" w:space="0" w:color="auto"/>
        <w:right w:val="none" w:sz="0" w:space="0" w:color="auto"/>
      </w:divBdr>
    </w:div>
    <w:div w:id="193034113">
      <w:bodyDiv w:val="1"/>
      <w:marLeft w:val="0"/>
      <w:marRight w:val="0"/>
      <w:marTop w:val="0"/>
      <w:marBottom w:val="0"/>
      <w:divBdr>
        <w:top w:val="none" w:sz="0" w:space="0" w:color="auto"/>
        <w:left w:val="none" w:sz="0" w:space="0" w:color="auto"/>
        <w:bottom w:val="none" w:sz="0" w:space="0" w:color="auto"/>
        <w:right w:val="none" w:sz="0" w:space="0" w:color="auto"/>
      </w:divBdr>
    </w:div>
    <w:div w:id="199710829">
      <w:bodyDiv w:val="1"/>
      <w:marLeft w:val="0"/>
      <w:marRight w:val="0"/>
      <w:marTop w:val="0"/>
      <w:marBottom w:val="0"/>
      <w:divBdr>
        <w:top w:val="none" w:sz="0" w:space="0" w:color="auto"/>
        <w:left w:val="none" w:sz="0" w:space="0" w:color="auto"/>
        <w:bottom w:val="none" w:sz="0" w:space="0" w:color="auto"/>
        <w:right w:val="none" w:sz="0" w:space="0" w:color="auto"/>
      </w:divBdr>
    </w:div>
    <w:div w:id="346295145">
      <w:bodyDiv w:val="1"/>
      <w:marLeft w:val="0"/>
      <w:marRight w:val="0"/>
      <w:marTop w:val="0"/>
      <w:marBottom w:val="0"/>
      <w:divBdr>
        <w:top w:val="none" w:sz="0" w:space="0" w:color="auto"/>
        <w:left w:val="none" w:sz="0" w:space="0" w:color="auto"/>
        <w:bottom w:val="none" w:sz="0" w:space="0" w:color="auto"/>
        <w:right w:val="none" w:sz="0" w:space="0" w:color="auto"/>
      </w:divBdr>
    </w:div>
    <w:div w:id="357312540">
      <w:bodyDiv w:val="1"/>
      <w:marLeft w:val="0"/>
      <w:marRight w:val="0"/>
      <w:marTop w:val="0"/>
      <w:marBottom w:val="0"/>
      <w:divBdr>
        <w:top w:val="none" w:sz="0" w:space="0" w:color="auto"/>
        <w:left w:val="none" w:sz="0" w:space="0" w:color="auto"/>
        <w:bottom w:val="none" w:sz="0" w:space="0" w:color="auto"/>
        <w:right w:val="none" w:sz="0" w:space="0" w:color="auto"/>
      </w:divBdr>
    </w:div>
    <w:div w:id="470907001">
      <w:bodyDiv w:val="1"/>
      <w:marLeft w:val="0"/>
      <w:marRight w:val="0"/>
      <w:marTop w:val="0"/>
      <w:marBottom w:val="0"/>
      <w:divBdr>
        <w:top w:val="none" w:sz="0" w:space="0" w:color="auto"/>
        <w:left w:val="none" w:sz="0" w:space="0" w:color="auto"/>
        <w:bottom w:val="none" w:sz="0" w:space="0" w:color="auto"/>
        <w:right w:val="none" w:sz="0" w:space="0" w:color="auto"/>
      </w:divBdr>
    </w:div>
    <w:div w:id="574359000">
      <w:bodyDiv w:val="1"/>
      <w:marLeft w:val="0"/>
      <w:marRight w:val="0"/>
      <w:marTop w:val="0"/>
      <w:marBottom w:val="0"/>
      <w:divBdr>
        <w:top w:val="none" w:sz="0" w:space="0" w:color="auto"/>
        <w:left w:val="none" w:sz="0" w:space="0" w:color="auto"/>
        <w:bottom w:val="none" w:sz="0" w:space="0" w:color="auto"/>
        <w:right w:val="none" w:sz="0" w:space="0" w:color="auto"/>
      </w:divBdr>
    </w:div>
    <w:div w:id="625551739">
      <w:bodyDiv w:val="1"/>
      <w:marLeft w:val="0"/>
      <w:marRight w:val="0"/>
      <w:marTop w:val="0"/>
      <w:marBottom w:val="0"/>
      <w:divBdr>
        <w:top w:val="none" w:sz="0" w:space="0" w:color="auto"/>
        <w:left w:val="none" w:sz="0" w:space="0" w:color="auto"/>
        <w:bottom w:val="none" w:sz="0" w:space="0" w:color="auto"/>
        <w:right w:val="none" w:sz="0" w:space="0" w:color="auto"/>
      </w:divBdr>
    </w:div>
    <w:div w:id="658386758">
      <w:bodyDiv w:val="1"/>
      <w:marLeft w:val="0"/>
      <w:marRight w:val="0"/>
      <w:marTop w:val="0"/>
      <w:marBottom w:val="0"/>
      <w:divBdr>
        <w:top w:val="none" w:sz="0" w:space="0" w:color="auto"/>
        <w:left w:val="none" w:sz="0" w:space="0" w:color="auto"/>
        <w:bottom w:val="none" w:sz="0" w:space="0" w:color="auto"/>
        <w:right w:val="none" w:sz="0" w:space="0" w:color="auto"/>
      </w:divBdr>
    </w:div>
    <w:div w:id="740368224">
      <w:bodyDiv w:val="1"/>
      <w:marLeft w:val="0"/>
      <w:marRight w:val="0"/>
      <w:marTop w:val="0"/>
      <w:marBottom w:val="0"/>
      <w:divBdr>
        <w:top w:val="none" w:sz="0" w:space="0" w:color="auto"/>
        <w:left w:val="none" w:sz="0" w:space="0" w:color="auto"/>
        <w:bottom w:val="none" w:sz="0" w:space="0" w:color="auto"/>
        <w:right w:val="none" w:sz="0" w:space="0" w:color="auto"/>
      </w:divBdr>
    </w:div>
    <w:div w:id="775254631">
      <w:bodyDiv w:val="1"/>
      <w:marLeft w:val="0"/>
      <w:marRight w:val="0"/>
      <w:marTop w:val="0"/>
      <w:marBottom w:val="0"/>
      <w:divBdr>
        <w:top w:val="none" w:sz="0" w:space="0" w:color="auto"/>
        <w:left w:val="none" w:sz="0" w:space="0" w:color="auto"/>
        <w:bottom w:val="none" w:sz="0" w:space="0" w:color="auto"/>
        <w:right w:val="none" w:sz="0" w:space="0" w:color="auto"/>
      </w:divBdr>
    </w:div>
    <w:div w:id="790055472">
      <w:bodyDiv w:val="1"/>
      <w:marLeft w:val="0"/>
      <w:marRight w:val="0"/>
      <w:marTop w:val="0"/>
      <w:marBottom w:val="0"/>
      <w:divBdr>
        <w:top w:val="none" w:sz="0" w:space="0" w:color="auto"/>
        <w:left w:val="none" w:sz="0" w:space="0" w:color="auto"/>
        <w:bottom w:val="none" w:sz="0" w:space="0" w:color="auto"/>
        <w:right w:val="none" w:sz="0" w:space="0" w:color="auto"/>
      </w:divBdr>
    </w:div>
    <w:div w:id="837043129">
      <w:bodyDiv w:val="1"/>
      <w:marLeft w:val="0"/>
      <w:marRight w:val="0"/>
      <w:marTop w:val="0"/>
      <w:marBottom w:val="0"/>
      <w:divBdr>
        <w:top w:val="none" w:sz="0" w:space="0" w:color="auto"/>
        <w:left w:val="none" w:sz="0" w:space="0" w:color="auto"/>
        <w:bottom w:val="none" w:sz="0" w:space="0" w:color="auto"/>
        <w:right w:val="none" w:sz="0" w:space="0" w:color="auto"/>
      </w:divBdr>
    </w:div>
    <w:div w:id="869807174">
      <w:bodyDiv w:val="1"/>
      <w:marLeft w:val="0"/>
      <w:marRight w:val="0"/>
      <w:marTop w:val="0"/>
      <w:marBottom w:val="0"/>
      <w:divBdr>
        <w:top w:val="none" w:sz="0" w:space="0" w:color="auto"/>
        <w:left w:val="none" w:sz="0" w:space="0" w:color="auto"/>
        <w:bottom w:val="none" w:sz="0" w:space="0" w:color="auto"/>
        <w:right w:val="none" w:sz="0" w:space="0" w:color="auto"/>
      </w:divBdr>
    </w:div>
    <w:div w:id="887910407">
      <w:bodyDiv w:val="1"/>
      <w:marLeft w:val="0"/>
      <w:marRight w:val="0"/>
      <w:marTop w:val="0"/>
      <w:marBottom w:val="0"/>
      <w:divBdr>
        <w:top w:val="none" w:sz="0" w:space="0" w:color="auto"/>
        <w:left w:val="none" w:sz="0" w:space="0" w:color="auto"/>
        <w:bottom w:val="none" w:sz="0" w:space="0" w:color="auto"/>
        <w:right w:val="none" w:sz="0" w:space="0" w:color="auto"/>
      </w:divBdr>
    </w:div>
    <w:div w:id="889922625">
      <w:bodyDiv w:val="1"/>
      <w:marLeft w:val="0"/>
      <w:marRight w:val="0"/>
      <w:marTop w:val="0"/>
      <w:marBottom w:val="0"/>
      <w:divBdr>
        <w:top w:val="none" w:sz="0" w:space="0" w:color="auto"/>
        <w:left w:val="none" w:sz="0" w:space="0" w:color="auto"/>
        <w:bottom w:val="none" w:sz="0" w:space="0" w:color="auto"/>
        <w:right w:val="none" w:sz="0" w:space="0" w:color="auto"/>
      </w:divBdr>
    </w:div>
    <w:div w:id="893389540">
      <w:bodyDiv w:val="1"/>
      <w:marLeft w:val="0"/>
      <w:marRight w:val="0"/>
      <w:marTop w:val="0"/>
      <w:marBottom w:val="0"/>
      <w:divBdr>
        <w:top w:val="none" w:sz="0" w:space="0" w:color="auto"/>
        <w:left w:val="none" w:sz="0" w:space="0" w:color="auto"/>
        <w:bottom w:val="none" w:sz="0" w:space="0" w:color="auto"/>
        <w:right w:val="none" w:sz="0" w:space="0" w:color="auto"/>
      </w:divBdr>
    </w:div>
    <w:div w:id="987711367">
      <w:bodyDiv w:val="1"/>
      <w:marLeft w:val="0"/>
      <w:marRight w:val="0"/>
      <w:marTop w:val="0"/>
      <w:marBottom w:val="0"/>
      <w:divBdr>
        <w:top w:val="none" w:sz="0" w:space="0" w:color="auto"/>
        <w:left w:val="none" w:sz="0" w:space="0" w:color="auto"/>
        <w:bottom w:val="none" w:sz="0" w:space="0" w:color="auto"/>
        <w:right w:val="none" w:sz="0" w:space="0" w:color="auto"/>
      </w:divBdr>
    </w:div>
    <w:div w:id="1012493028">
      <w:bodyDiv w:val="1"/>
      <w:marLeft w:val="0"/>
      <w:marRight w:val="0"/>
      <w:marTop w:val="0"/>
      <w:marBottom w:val="0"/>
      <w:divBdr>
        <w:top w:val="none" w:sz="0" w:space="0" w:color="auto"/>
        <w:left w:val="none" w:sz="0" w:space="0" w:color="auto"/>
        <w:bottom w:val="none" w:sz="0" w:space="0" w:color="auto"/>
        <w:right w:val="none" w:sz="0" w:space="0" w:color="auto"/>
      </w:divBdr>
    </w:div>
    <w:div w:id="1108084649">
      <w:bodyDiv w:val="1"/>
      <w:marLeft w:val="0"/>
      <w:marRight w:val="0"/>
      <w:marTop w:val="0"/>
      <w:marBottom w:val="0"/>
      <w:divBdr>
        <w:top w:val="none" w:sz="0" w:space="0" w:color="auto"/>
        <w:left w:val="none" w:sz="0" w:space="0" w:color="auto"/>
        <w:bottom w:val="none" w:sz="0" w:space="0" w:color="auto"/>
        <w:right w:val="none" w:sz="0" w:space="0" w:color="auto"/>
      </w:divBdr>
    </w:div>
    <w:div w:id="1113405821">
      <w:bodyDiv w:val="1"/>
      <w:marLeft w:val="0"/>
      <w:marRight w:val="0"/>
      <w:marTop w:val="0"/>
      <w:marBottom w:val="0"/>
      <w:divBdr>
        <w:top w:val="none" w:sz="0" w:space="0" w:color="auto"/>
        <w:left w:val="none" w:sz="0" w:space="0" w:color="auto"/>
        <w:bottom w:val="none" w:sz="0" w:space="0" w:color="auto"/>
        <w:right w:val="none" w:sz="0" w:space="0" w:color="auto"/>
      </w:divBdr>
    </w:div>
    <w:div w:id="1130981417">
      <w:bodyDiv w:val="1"/>
      <w:marLeft w:val="0"/>
      <w:marRight w:val="0"/>
      <w:marTop w:val="0"/>
      <w:marBottom w:val="0"/>
      <w:divBdr>
        <w:top w:val="none" w:sz="0" w:space="0" w:color="auto"/>
        <w:left w:val="none" w:sz="0" w:space="0" w:color="auto"/>
        <w:bottom w:val="none" w:sz="0" w:space="0" w:color="auto"/>
        <w:right w:val="none" w:sz="0" w:space="0" w:color="auto"/>
      </w:divBdr>
      <w:divsChild>
        <w:div w:id="1369448400">
          <w:marLeft w:val="0"/>
          <w:marRight w:val="0"/>
          <w:marTop w:val="0"/>
          <w:marBottom w:val="0"/>
          <w:divBdr>
            <w:top w:val="none" w:sz="0" w:space="0" w:color="auto"/>
            <w:left w:val="none" w:sz="0" w:space="0" w:color="auto"/>
            <w:bottom w:val="none" w:sz="0" w:space="0" w:color="auto"/>
            <w:right w:val="none" w:sz="0" w:space="0" w:color="auto"/>
          </w:divBdr>
        </w:div>
        <w:div w:id="1907763731">
          <w:marLeft w:val="0"/>
          <w:marRight w:val="0"/>
          <w:marTop w:val="0"/>
          <w:marBottom w:val="0"/>
          <w:divBdr>
            <w:top w:val="none" w:sz="0" w:space="0" w:color="auto"/>
            <w:left w:val="none" w:sz="0" w:space="0" w:color="auto"/>
            <w:bottom w:val="none" w:sz="0" w:space="0" w:color="auto"/>
            <w:right w:val="none" w:sz="0" w:space="0" w:color="auto"/>
          </w:divBdr>
        </w:div>
        <w:div w:id="845942149">
          <w:marLeft w:val="0"/>
          <w:marRight w:val="0"/>
          <w:marTop w:val="0"/>
          <w:marBottom w:val="0"/>
          <w:divBdr>
            <w:top w:val="none" w:sz="0" w:space="0" w:color="auto"/>
            <w:left w:val="none" w:sz="0" w:space="0" w:color="auto"/>
            <w:bottom w:val="none" w:sz="0" w:space="0" w:color="auto"/>
            <w:right w:val="none" w:sz="0" w:space="0" w:color="auto"/>
          </w:divBdr>
        </w:div>
      </w:divsChild>
    </w:div>
    <w:div w:id="1171797815">
      <w:bodyDiv w:val="1"/>
      <w:marLeft w:val="0"/>
      <w:marRight w:val="0"/>
      <w:marTop w:val="0"/>
      <w:marBottom w:val="0"/>
      <w:divBdr>
        <w:top w:val="none" w:sz="0" w:space="0" w:color="auto"/>
        <w:left w:val="none" w:sz="0" w:space="0" w:color="auto"/>
        <w:bottom w:val="none" w:sz="0" w:space="0" w:color="auto"/>
        <w:right w:val="none" w:sz="0" w:space="0" w:color="auto"/>
      </w:divBdr>
    </w:div>
    <w:div w:id="1186867835">
      <w:bodyDiv w:val="1"/>
      <w:marLeft w:val="0"/>
      <w:marRight w:val="0"/>
      <w:marTop w:val="0"/>
      <w:marBottom w:val="0"/>
      <w:divBdr>
        <w:top w:val="none" w:sz="0" w:space="0" w:color="auto"/>
        <w:left w:val="none" w:sz="0" w:space="0" w:color="auto"/>
        <w:bottom w:val="none" w:sz="0" w:space="0" w:color="auto"/>
        <w:right w:val="none" w:sz="0" w:space="0" w:color="auto"/>
      </w:divBdr>
    </w:div>
    <w:div w:id="1195264926">
      <w:bodyDiv w:val="1"/>
      <w:marLeft w:val="0"/>
      <w:marRight w:val="0"/>
      <w:marTop w:val="0"/>
      <w:marBottom w:val="0"/>
      <w:divBdr>
        <w:top w:val="none" w:sz="0" w:space="0" w:color="auto"/>
        <w:left w:val="none" w:sz="0" w:space="0" w:color="auto"/>
        <w:bottom w:val="none" w:sz="0" w:space="0" w:color="auto"/>
        <w:right w:val="none" w:sz="0" w:space="0" w:color="auto"/>
      </w:divBdr>
    </w:div>
    <w:div w:id="1239822595">
      <w:bodyDiv w:val="1"/>
      <w:marLeft w:val="0"/>
      <w:marRight w:val="0"/>
      <w:marTop w:val="0"/>
      <w:marBottom w:val="0"/>
      <w:divBdr>
        <w:top w:val="none" w:sz="0" w:space="0" w:color="auto"/>
        <w:left w:val="none" w:sz="0" w:space="0" w:color="auto"/>
        <w:bottom w:val="none" w:sz="0" w:space="0" w:color="auto"/>
        <w:right w:val="none" w:sz="0" w:space="0" w:color="auto"/>
      </w:divBdr>
    </w:div>
    <w:div w:id="1392776274">
      <w:bodyDiv w:val="1"/>
      <w:marLeft w:val="0"/>
      <w:marRight w:val="0"/>
      <w:marTop w:val="0"/>
      <w:marBottom w:val="0"/>
      <w:divBdr>
        <w:top w:val="none" w:sz="0" w:space="0" w:color="auto"/>
        <w:left w:val="none" w:sz="0" w:space="0" w:color="auto"/>
        <w:bottom w:val="none" w:sz="0" w:space="0" w:color="auto"/>
        <w:right w:val="none" w:sz="0" w:space="0" w:color="auto"/>
      </w:divBdr>
    </w:div>
    <w:div w:id="1518422353">
      <w:bodyDiv w:val="1"/>
      <w:marLeft w:val="0"/>
      <w:marRight w:val="0"/>
      <w:marTop w:val="0"/>
      <w:marBottom w:val="0"/>
      <w:divBdr>
        <w:top w:val="none" w:sz="0" w:space="0" w:color="auto"/>
        <w:left w:val="none" w:sz="0" w:space="0" w:color="auto"/>
        <w:bottom w:val="none" w:sz="0" w:space="0" w:color="auto"/>
        <w:right w:val="none" w:sz="0" w:space="0" w:color="auto"/>
      </w:divBdr>
    </w:div>
    <w:div w:id="1553731751">
      <w:bodyDiv w:val="1"/>
      <w:marLeft w:val="0"/>
      <w:marRight w:val="0"/>
      <w:marTop w:val="0"/>
      <w:marBottom w:val="0"/>
      <w:divBdr>
        <w:top w:val="none" w:sz="0" w:space="0" w:color="auto"/>
        <w:left w:val="none" w:sz="0" w:space="0" w:color="auto"/>
        <w:bottom w:val="none" w:sz="0" w:space="0" w:color="auto"/>
        <w:right w:val="none" w:sz="0" w:space="0" w:color="auto"/>
      </w:divBdr>
    </w:div>
    <w:div w:id="1657799480">
      <w:bodyDiv w:val="1"/>
      <w:marLeft w:val="0"/>
      <w:marRight w:val="0"/>
      <w:marTop w:val="0"/>
      <w:marBottom w:val="0"/>
      <w:divBdr>
        <w:top w:val="none" w:sz="0" w:space="0" w:color="auto"/>
        <w:left w:val="none" w:sz="0" w:space="0" w:color="auto"/>
        <w:bottom w:val="none" w:sz="0" w:space="0" w:color="auto"/>
        <w:right w:val="none" w:sz="0" w:space="0" w:color="auto"/>
      </w:divBdr>
    </w:div>
    <w:div w:id="1695302306">
      <w:bodyDiv w:val="1"/>
      <w:marLeft w:val="0"/>
      <w:marRight w:val="0"/>
      <w:marTop w:val="0"/>
      <w:marBottom w:val="0"/>
      <w:divBdr>
        <w:top w:val="none" w:sz="0" w:space="0" w:color="auto"/>
        <w:left w:val="none" w:sz="0" w:space="0" w:color="auto"/>
        <w:bottom w:val="none" w:sz="0" w:space="0" w:color="auto"/>
        <w:right w:val="none" w:sz="0" w:space="0" w:color="auto"/>
      </w:divBdr>
    </w:div>
    <w:div w:id="1701123650">
      <w:bodyDiv w:val="1"/>
      <w:marLeft w:val="0"/>
      <w:marRight w:val="0"/>
      <w:marTop w:val="0"/>
      <w:marBottom w:val="0"/>
      <w:divBdr>
        <w:top w:val="none" w:sz="0" w:space="0" w:color="auto"/>
        <w:left w:val="none" w:sz="0" w:space="0" w:color="auto"/>
        <w:bottom w:val="none" w:sz="0" w:space="0" w:color="auto"/>
        <w:right w:val="none" w:sz="0" w:space="0" w:color="auto"/>
      </w:divBdr>
    </w:div>
    <w:div w:id="1763598912">
      <w:bodyDiv w:val="1"/>
      <w:marLeft w:val="0"/>
      <w:marRight w:val="0"/>
      <w:marTop w:val="0"/>
      <w:marBottom w:val="0"/>
      <w:divBdr>
        <w:top w:val="none" w:sz="0" w:space="0" w:color="auto"/>
        <w:left w:val="none" w:sz="0" w:space="0" w:color="auto"/>
        <w:bottom w:val="none" w:sz="0" w:space="0" w:color="auto"/>
        <w:right w:val="none" w:sz="0" w:space="0" w:color="auto"/>
      </w:divBdr>
    </w:div>
    <w:div w:id="1782451399">
      <w:bodyDiv w:val="1"/>
      <w:marLeft w:val="0"/>
      <w:marRight w:val="0"/>
      <w:marTop w:val="0"/>
      <w:marBottom w:val="0"/>
      <w:divBdr>
        <w:top w:val="none" w:sz="0" w:space="0" w:color="auto"/>
        <w:left w:val="none" w:sz="0" w:space="0" w:color="auto"/>
        <w:bottom w:val="none" w:sz="0" w:space="0" w:color="auto"/>
        <w:right w:val="none" w:sz="0" w:space="0" w:color="auto"/>
      </w:divBdr>
    </w:div>
    <w:div w:id="1874540425">
      <w:bodyDiv w:val="1"/>
      <w:marLeft w:val="0"/>
      <w:marRight w:val="0"/>
      <w:marTop w:val="0"/>
      <w:marBottom w:val="0"/>
      <w:divBdr>
        <w:top w:val="none" w:sz="0" w:space="0" w:color="auto"/>
        <w:left w:val="none" w:sz="0" w:space="0" w:color="auto"/>
        <w:bottom w:val="none" w:sz="0" w:space="0" w:color="auto"/>
        <w:right w:val="none" w:sz="0" w:space="0" w:color="auto"/>
      </w:divBdr>
    </w:div>
    <w:div w:id="1994722547">
      <w:bodyDiv w:val="1"/>
      <w:marLeft w:val="0"/>
      <w:marRight w:val="0"/>
      <w:marTop w:val="0"/>
      <w:marBottom w:val="0"/>
      <w:divBdr>
        <w:top w:val="none" w:sz="0" w:space="0" w:color="auto"/>
        <w:left w:val="none" w:sz="0" w:space="0" w:color="auto"/>
        <w:bottom w:val="none" w:sz="0" w:space="0" w:color="auto"/>
        <w:right w:val="none" w:sz="0" w:space="0" w:color="auto"/>
      </w:divBdr>
    </w:div>
    <w:div w:id="2029941557">
      <w:bodyDiv w:val="1"/>
      <w:marLeft w:val="0"/>
      <w:marRight w:val="0"/>
      <w:marTop w:val="0"/>
      <w:marBottom w:val="0"/>
      <w:divBdr>
        <w:top w:val="none" w:sz="0" w:space="0" w:color="auto"/>
        <w:left w:val="none" w:sz="0" w:space="0" w:color="auto"/>
        <w:bottom w:val="none" w:sz="0" w:space="0" w:color="auto"/>
        <w:right w:val="none" w:sz="0" w:space="0" w:color="auto"/>
      </w:divBdr>
    </w:div>
    <w:div w:id="2031762185">
      <w:bodyDiv w:val="1"/>
      <w:marLeft w:val="0"/>
      <w:marRight w:val="0"/>
      <w:marTop w:val="0"/>
      <w:marBottom w:val="0"/>
      <w:divBdr>
        <w:top w:val="none" w:sz="0" w:space="0" w:color="auto"/>
        <w:left w:val="none" w:sz="0" w:space="0" w:color="auto"/>
        <w:bottom w:val="none" w:sz="0" w:space="0" w:color="auto"/>
        <w:right w:val="none" w:sz="0" w:space="0" w:color="auto"/>
      </w:divBdr>
    </w:div>
    <w:div w:id="207481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63A79-73BD-453D-960D-69CEE206C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9232</Words>
  <Characters>5263</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14467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Barčienė</dc:creator>
  <cp:keywords/>
  <dc:description/>
  <cp:lastModifiedBy>Indrė Barčienė</cp:lastModifiedBy>
  <cp:revision>4</cp:revision>
  <dcterms:created xsi:type="dcterms:W3CDTF">2023-02-07T05:50:00Z</dcterms:created>
  <dcterms:modified xsi:type="dcterms:W3CDTF">2023-02-07T06:29:00Z</dcterms:modified>
</cp:coreProperties>
</file>