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A6006" w14:textId="77777777" w:rsidR="00612D28" w:rsidRDefault="00612D28" w:rsidP="00612D28">
      <w:pPr>
        <w:widowControl w:val="0"/>
        <w:ind w:left="9639"/>
        <w:jc w:val="both"/>
        <w:textAlignment w:val="baseline"/>
        <w:rPr>
          <w:szCs w:val="24"/>
        </w:rPr>
      </w:pPr>
      <w:r>
        <w:rPr>
          <w:bCs/>
          <w:szCs w:val="24"/>
        </w:rPr>
        <w:t>2021–2027 metų Europos Sąjungos fondų investicijų programos</w:t>
      </w:r>
      <w:r>
        <w:rPr>
          <w:szCs w:val="24"/>
        </w:rPr>
        <w:t xml:space="preserve"> ir</w:t>
      </w:r>
      <w:r>
        <w:rPr>
          <w:bCs/>
          <w:szCs w:val="24"/>
        </w:rPr>
        <w:t xml:space="preserve"> </w:t>
      </w:r>
      <w:r>
        <w:rPr>
          <w:szCs w:val="24"/>
        </w:rPr>
        <w:t xml:space="preserve">Ekonomikos gaivinimo ir atsparumo didinimo plano „Naujos kartos Lietuva“ administravimo taisyklių </w:t>
      </w:r>
    </w:p>
    <w:p w14:paraId="0AC2B933" w14:textId="77777777" w:rsidR="00612D28" w:rsidRDefault="00612D28" w:rsidP="00612D28">
      <w:pPr>
        <w:widowControl w:val="0"/>
        <w:ind w:left="9639"/>
        <w:jc w:val="both"/>
        <w:textAlignment w:val="baseline"/>
        <w:rPr>
          <w:szCs w:val="24"/>
        </w:rPr>
      </w:pPr>
      <w:r>
        <w:rPr>
          <w:szCs w:val="24"/>
        </w:rPr>
        <w:t>6 priedas</w:t>
      </w:r>
    </w:p>
    <w:p w14:paraId="6B47861B" w14:textId="77777777" w:rsidR="00612D28" w:rsidRDefault="00612D28" w:rsidP="00612D28">
      <w:pPr>
        <w:widowControl w:val="0"/>
        <w:jc w:val="right"/>
        <w:textAlignment w:val="baseline"/>
        <w:rPr>
          <w:szCs w:val="24"/>
        </w:rPr>
      </w:pPr>
    </w:p>
    <w:p w14:paraId="6F31F7B5" w14:textId="31F0BCEF" w:rsidR="00BA6FE1" w:rsidRDefault="00612D28" w:rsidP="00612D28">
      <w:pPr>
        <w:widowControl w:val="0"/>
        <w:jc w:val="right"/>
        <w:textAlignment w:val="baseline"/>
        <w:rPr>
          <w:szCs w:val="24"/>
        </w:rPr>
      </w:pPr>
      <w:r>
        <w:rPr>
          <w:b/>
          <w:szCs w:val="24"/>
        </w:rPr>
        <w:t>(Pasiūlymo dėl projektų specialiųjų ir prioritetinių atrankos kriterijų nustatymo ir (arba) keitimo bei vertinimo metodikos forma)</w:t>
      </w:r>
    </w:p>
    <w:p w14:paraId="664E2DAF" w14:textId="61D3E5F3" w:rsidR="00BA6FE1" w:rsidRDefault="00BA6FE1" w:rsidP="5FF1B640">
      <w:pPr>
        <w:widowControl w:val="0"/>
        <w:textAlignment w:val="baseline"/>
      </w:pPr>
    </w:p>
    <w:p w14:paraId="33BF563A" w14:textId="39FFD1BD" w:rsidR="5F750184" w:rsidRDefault="5F750184" w:rsidP="5FF1B640">
      <w:pPr>
        <w:jc w:val="center"/>
        <w:rPr>
          <w:szCs w:val="24"/>
        </w:rPr>
      </w:pPr>
      <w:r w:rsidRPr="5FF1B640">
        <w:rPr>
          <w:color w:val="000000" w:themeColor="text1"/>
          <w:szCs w:val="24"/>
          <w:u w:val="single"/>
        </w:rPr>
        <w:t>Lietuvos Respublikos energetikos ministerija</w:t>
      </w:r>
    </w:p>
    <w:p w14:paraId="2A2DD340" w14:textId="0C743DE6" w:rsidR="5FF1B640" w:rsidRDefault="5FF1B640" w:rsidP="5FF1B640">
      <w:pPr>
        <w:widowControl w:val="0"/>
        <w:jc w:val="center"/>
      </w:pPr>
    </w:p>
    <w:p w14:paraId="5AE29B7C" w14:textId="608CEBF5" w:rsidR="00BA6FE1" w:rsidRDefault="00CB7CAE">
      <w:pPr>
        <w:widowControl w:val="0"/>
        <w:jc w:val="center"/>
        <w:textAlignment w:val="baseline"/>
        <w:rPr>
          <w:sz w:val="22"/>
          <w:szCs w:val="22"/>
        </w:rPr>
      </w:pPr>
      <w:r>
        <w:rPr>
          <w:sz w:val="22"/>
          <w:szCs w:val="22"/>
        </w:rPr>
        <w:t xml:space="preserve">(ministerijos </w:t>
      </w:r>
      <w:r>
        <w:rPr>
          <w:i/>
          <w:szCs w:val="24"/>
        </w:rPr>
        <w:t>arba regiono plėtros tarybos</w:t>
      </w:r>
      <w:r>
        <w:rPr>
          <w:sz w:val="22"/>
          <w:szCs w:val="22"/>
        </w:rPr>
        <w:t xml:space="preserve"> pavadinimas)</w:t>
      </w:r>
    </w:p>
    <w:p w14:paraId="06A2625F" w14:textId="77777777" w:rsidR="00BA6FE1" w:rsidRDefault="00BA6FE1">
      <w:pPr>
        <w:widowControl w:val="0"/>
        <w:textAlignment w:val="baseline"/>
        <w:rPr>
          <w:szCs w:val="24"/>
        </w:rPr>
      </w:pPr>
    </w:p>
    <w:p w14:paraId="7B9C31DB" w14:textId="02034D2D" w:rsidR="5FF1B640" w:rsidRDefault="00F76ABD" w:rsidP="5FF1B640">
      <w:r>
        <w:rPr>
          <w:color w:val="000000" w:themeColor="text1"/>
          <w:szCs w:val="24"/>
          <w:u w:val="single"/>
        </w:rPr>
        <w:t>_______________________________</w:t>
      </w:r>
    </w:p>
    <w:p w14:paraId="2706FAD6" w14:textId="77777777" w:rsidR="00BA6FE1" w:rsidRDefault="00CB7CAE">
      <w:pPr>
        <w:widowControl w:val="0"/>
        <w:ind w:left="1276"/>
        <w:textAlignment w:val="baseline"/>
        <w:rPr>
          <w:szCs w:val="24"/>
        </w:rPr>
      </w:pPr>
      <w:r>
        <w:rPr>
          <w:szCs w:val="24"/>
        </w:rPr>
        <w:t>(gavėjas)</w:t>
      </w:r>
    </w:p>
    <w:p w14:paraId="51D1B5B7" w14:textId="77777777" w:rsidR="00BA6FE1" w:rsidRDefault="00BA6FE1">
      <w:pPr>
        <w:widowControl w:val="0"/>
        <w:textAlignment w:val="baseline"/>
        <w:rPr>
          <w:szCs w:val="24"/>
        </w:rPr>
      </w:pPr>
    </w:p>
    <w:p w14:paraId="7534FC61" w14:textId="4C2F64DB" w:rsidR="00BA6FE1" w:rsidRDefault="00CB7CAE">
      <w:pPr>
        <w:widowControl w:val="0"/>
        <w:jc w:val="center"/>
        <w:textAlignment w:val="baseline"/>
        <w:rPr>
          <w:b/>
          <w:szCs w:val="24"/>
        </w:rPr>
      </w:pPr>
      <w:r>
        <w:rPr>
          <w:b/>
          <w:szCs w:val="24"/>
        </w:rPr>
        <w:t>PASIŪLYMAS DĖL PROJEKTŲ SPECIALIŲJŲ IR PRIORITETINIŲ ATRANKOS KRITERIJŲ NUSTATYMO IR (ARBA) KEITIMO BEI VERTINIMO METODIKA</w:t>
      </w:r>
    </w:p>
    <w:p w14:paraId="0CC2F959" w14:textId="77777777" w:rsidR="00BA6FE1" w:rsidRDefault="00BA6FE1">
      <w:pPr>
        <w:widowControl w:val="0"/>
        <w:jc w:val="center"/>
        <w:textAlignment w:val="baseline"/>
        <w:rPr>
          <w:szCs w:val="24"/>
        </w:rPr>
      </w:pPr>
    </w:p>
    <w:p w14:paraId="2EE47239" w14:textId="6EB2F7A1" w:rsidR="00BA6FE1" w:rsidRDefault="00CB7CAE">
      <w:pPr>
        <w:widowControl w:val="0"/>
        <w:jc w:val="center"/>
        <w:textAlignment w:val="baseline"/>
      </w:pPr>
      <w:r>
        <w:t>20</w:t>
      </w:r>
      <w:r w:rsidR="751F570D">
        <w:t>2</w:t>
      </w:r>
      <w:r w:rsidR="55D7BD09">
        <w:t>3</w:t>
      </w:r>
      <w:r>
        <w:t xml:space="preserve"> m. _______</w:t>
      </w:r>
      <w:r w:rsidR="009D7F0D">
        <w:t>___________</w:t>
      </w:r>
      <w:r>
        <w:t>_d.</w:t>
      </w:r>
    </w:p>
    <w:p w14:paraId="0CFEB29A" w14:textId="77777777" w:rsidR="00BA6FE1" w:rsidRDefault="00BA6FE1">
      <w:pPr>
        <w:widowControl w:val="0"/>
        <w:jc w:val="center"/>
        <w:textAlignment w:val="baseline"/>
        <w:rPr>
          <w:szCs w:val="24"/>
        </w:rPr>
      </w:pPr>
    </w:p>
    <w:p w14:paraId="523DCB94" w14:textId="77777777" w:rsidR="00BA6FE1" w:rsidRDefault="00BA6FE1">
      <w:pPr>
        <w:widowControl w:val="0"/>
        <w:spacing w:line="240" w:lineRule="exact"/>
        <w:textAlignment w:val="baseline"/>
        <w:rPr>
          <w:bCs/>
          <w:i/>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9"/>
        <w:gridCol w:w="8868"/>
      </w:tblGrid>
      <w:tr w:rsidR="00BA6FE1" w14:paraId="77188082" w14:textId="77777777" w:rsidTr="42399EE1">
        <w:tc>
          <w:tcPr>
            <w:tcW w:w="6345" w:type="dxa"/>
            <w:shd w:val="clear" w:color="auto" w:fill="auto"/>
            <w:vAlign w:val="center"/>
          </w:tcPr>
          <w:p w14:paraId="27B7C8B4" w14:textId="26D73FFD" w:rsidR="00BA6FE1" w:rsidRDefault="00CB7CAE">
            <w:pPr>
              <w:widowControl w:val="0"/>
              <w:textAlignment w:val="baseline"/>
              <w:rPr>
                <w:b/>
                <w:szCs w:val="24"/>
              </w:rPr>
            </w:pPr>
            <w:r>
              <w:rPr>
                <w:b/>
                <w:szCs w:val="24"/>
              </w:rPr>
              <w:t>Pasiūlymą dėl projektų atrankos kriterijų nustatymo ir (arba) keitimo bei vertinimo metodiką teikianti institucija</w:t>
            </w:r>
          </w:p>
        </w:tc>
        <w:tc>
          <w:tcPr>
            <w:tcW w:w="9008" w:type="dxa"/>
            <w:shd w:val="clear" w:color="auto" w:fill="auto"/>
            <w:vAlign w:val="center"/>
          </w:tcPr>
          <w:p w14:paraId="509B765C" w14:textId="3E5417F5" w:rsidR="00BA6FE1" w:rsidRDefault="0384231E" w:rsidP="5E871860">
            <w:pPr>
              <w:widowControl w:val="0"/>
              <w:textAlignment w:val="baseline"/>
              <w:rPr>
                <w:i/>
                <w:iCs/>
              </w:rPr>
            </w:pPr>
            <w:r w:rsidRPr="5E871860">
              <w:rPr>
                <w:color w:val="000000" w:themeColor="text1"/>
              </w:rPr>
              <w:t>Lietuvos Respublikos energetikos ministerija</w:t>
            </w:r>
          </w:p>
        </w:tc>
      </w:tr>
      <w:tr w:rsidR="00BA6FE1" w14:paraId="5BE1F7E2" w14:textId="77777777" w:rsidTr="42399EE1">
        <w:tc>
          <w:tcPr>
            <w:tcW w:w="6345" w:type="dxa"/>
            <w:shd w:val="clear" w:color="auto" w:fill="auto"/>
            <w:vAlign w:val="center"/>
          </w:tcPr>
          <w:p w14:paraId="0206FA4F" w14:textId="4BEED8B3" w:rsidR="00BA6FE1" w:rsidRDefault="00CB7CAE">
            <w:pPr>
              <w:widowControl w:val="0"/>
              <w:textAlignment w:val="baseline"/>
              <w:rPr>
                <w:b/>
                <w:szCs w:val="24"/>
              </w:rPr>
            </w:pPr>
            <w:r>
              <w:rPr>
                <w:b/>
                <w:szCs w:val="24"/>
              </w:rPr>
              <w:t>Pažangos priemonės veiklos (</w:t>
            </w:r>
            <w:proofErr w:type="spellStart"/>
            <w:r>
              <w:rPr>
                <w:b/>
                <w:szCs w:val="24"/>
              </w:rPr>
              <w:t>poveiklės</w:t>
            </w:r>
            <w:proofErr w:type="spellEnd"/>
            <w:r>
              <w:rPr>
                <w:b/>
                <w:szCs w:val="24"/>
              </w:rPr>
              <w:t>) pavadinimas</w:t>
            </w:r>
          </w:p>
        </w:tc>
        <w:tc>
          <w:tcPr>
            <w:tcW w:w="9008" w:type="dxa"/>
            <w:shd w:val="clear" w:color="auto" w:fill="auto"/>
            <w:vAlign w:val="center"/>
          </w:tcPr>
          <w:p w14:paraId="60BD5E92" w14:textId="0893C598" w:rsidR="00BA6FE1" w:rsidRDefault="00F44434" w:rsidP="00F44434">
            <w:pPr>
              <w:widowControl w:val="0"/>
              <w:jc w:val="both"/>
              <w:textAlignment w:val="baseline"/>
            </w:pPr>
            <w:r>
              <w:t>2021-2030 metų plėtros programos valdytojos Lietuvos Respublikos energetikos ministerijos energetikos plėtros programos pažangos priemonės Nr. 03-001-06-03-03 „</w:t>
            </w:r>
            <w:r w:rsidR="008736D5">
              <w:t>Į</w:t>
            </w:r>
            <w:r>
              <w:t xml:space="preserve">gyvendinti  degalų iš </w:t>
            </w:r>
            <w:r w:rsidR="008736D5">
              <w:t>AEI</w:t>
            </w:r>
            <w:r>
              <w:t xml:space="preserve"> gamybos priemones ir plėtoti jų panaudojimo infrastruktūrą transporto sektoriuje“  veikla „</w:t>
            </w:r>
            <w:r w:rsidR="008736D5">
              <w:t>S</w:t>
            </w:r>
            <w:r>
              <w:t>kystųjų biodegalų gamybos skatinimas“</w:t>
            </w:r>
          </w:p>
        </w:tc>
      </w:tr>
      <w:tr w:rsidR="00BA6FE1" w14:paraId="31AE92AE" w14:textId="77777777" w:rsidTr="42399EE1">
        <w:tc>
          <w:tcPr>
            <w:tcW w:w="6345" w:type="dxa"/>
            <w:shd w:val="clear" w:color="auto" w:fill="auto"/>
            <w:vAlign w:val="center"/>
          </w:tcPr>
          <w:p w14:paraId="06EF78B7" w14:textId="77C8EE32" w:rsidR="00BA6FE1" w:rsidRDefault="00CB7CAE">
            <w:pPr>
              <w:widowControl w:val="0"/>
              <w:textAlignment w:val="baseline"/>
              <w:rPr>
                <w:b/>
                <w:szCs w:val="24"/>
              </w:rPr>
            </w:pPr>
            <w:r>
              <w:rPr>
                <w:b/>
                <w:szCs w:val="24"/>
              </w:rPr>
              <w:t>Pažangos priemonės veiklai (</w:t>
            </w:r>
            <w:proofErr w:type="spellStart"/>
            <w:r>
              <w:rPr>
                <w:b/>
                <w:szCs w:val="24"/>
              </w:rPr>
              <w:t>poveiklei</w:t>
            </w:r>
            <w:proofErr w:type="spellEnd"/>
            <w:r>
              <w:rPr>
                <w:b/>
                <w:szCs w:val="24"/>
              </w:rPr>
              <w:t>) skirta finansavimo suma (mln. eurų)</w:t>
            </w:r>
          </w:p>
        </w:tc>
        <w:tc>
          <w:tcPr>
            <w:tcW w:w="9008" w:type="dxa"/>
            <w:shd w:val="clear" w:color="auto" w:fill="auto"/>
            <w:vAlign w:val="center"/>
          </w:tcPr>
          <w:p w14:paraId="2BF6AF44" w14:textId="729B7329" w:rsidR="00BA6FE1" w:rsidRPr="00FC77DF" w:rsidRDefault="00A959AA" w:rsidP="5E871860">
            <w:pPr>
              <w:spacing w:line="259" w:lineRule="auto"/>
              <w:rPr>
                <w:lang w:val="en-US"/>
              </w:rPr>
            </w:pPr>
            <w:r>
              <w:rPr>
                <w:lang w:val="en-US"/>
              </w:rPr>
              <w:t>8,7</w:t>
            </w:r>
          </w:p>
        </w:tc>
      </w:tr>
      <w:tr w:rsidR="00BA6FE1" w14:paraId="390279EA" w14:textId="77777777" w:rsidTr="00134B6E">
        <w:trPr>
          <w:trHeight w:val="332"/>
        </w:trPr>
        <w:tc>
          <w:tcPr>
            <w:tcW w:w="6345" w:type="dxa"/>
            <w:shd w:val="clear" w:color="auto" w:fill="auto"/>
            <w:vAlign w:val="center"/>
          </w:tcPr>
          <w:p w14:paraId="113DE1EC" w14:textId="78882A84" w:rsidR="00BA6FE1" w:rsidRDefault="00CB7CAE">
            <w:pPr>
              <w:widowControl w:val="0"/>
              <w:textAlignment w:val="baseline"/>
              <w:rPr>
                <w:b/>
                <w:szCs w:val="24"/>
              </w:rPr>
            </w:pPr>
            <w:r>
              <w:rPr>
                <w:b/>
                <w:szCs w:val="24"/>
              </w:rPr>
              <w:t>Finansavimo šaltinis (-</w:t>
            </w:r>
            <w:proofErr w:type="spellStart"/>
            <w:r>
              <w:rPr>
                <w:b/>
                <w:szCs w:val="24"/>
              </w:rPr>
              <w:t>iai</w:t>
            </w:r>
            <w:proofErr w:type="spellEnd"/>
            <w:r>
              <w:rPr>
                <w:b/>
                <w:szCs w:val="24"/>
              </w:rPr>
              <w:t>)</w:t>
            </w:r>
          </w:p>
        </w:tc>
        <w:tc>
          <w:tcPr>
            <w:tcW w:w="9008" w:type="dxa"/>
            <w:shd w:val="clear" w:color="auto" w:fill="auto"/>
            <w:vAlign w:val="center"/>
          </w:tcPr>
          <w:p w14:paraId="0E10E3DE" w14:textId="5132DBE4" w:rsidR="00BA6FE1" w:rsidRDefault="00B741CF" w:rsidP="5E871860">
            <w:pPr>
              <w:rPr>
                <w:i/>
                <w:iCs/>
              </w:rPr>
            </w:pPr>
            <w:r w:rsidRPr="00654111">
              <w:rPr>
                <w:szCs w:val="24"/>
              </w:rPr>
              <w:t xml:space="preserve">Ekonomikos gaivinimo ir atsparumo didinimo </w:t>
            </w:r>
            <w:r w:rsidR="007F47DA">
              <w:rPr>
                <w:szCs w:val="24"/>
              </w:rPr>
              <w:t>planas</w:t>
            </w:r>
            <w:r w:rsidR="007F47DA" w:rsidRPr="007F47DA">
              <w:rPr>
                <w:szCs w:val="24"/>
              </w:rPr>
              <w:t xml:space="preserve"> „</w:t>
            </w:r>
            <w:r w:rsidR="007F47DA">
              <w:rPr>
                <w:szCs w:val="24"/>
              </w:rPr>
              <w:t xml:space="preserve">Naujos kartos Lietuva“ </w:t>
            </w:r>
            <w:r w:rsidR="00FD692F">
              <w:rPr>
                <w:szCs w:val="24"/>
              </w:rPr>
              <w:t xml:space="preserve">(toliau – </w:t>
            </w:r>
            <w:r w:rsidR="007F47DA" w:rsidRPr="007F47DA">
              <w:rPr>
                <w:szCs w:val="24"/>
              </w:rPr>
              <w:t>Planas „Naujos kartos Lietuva“</w:t>
            </w:r>
            <w:r w:rsidR="00FD692F">
              <w:rPr>
                <w:szCs w:val="24"/>
              </w:rPr>
              <w:t>)</w:t>
            </w:r>
          </w:p>
        </w:tc>
      </w:tr>
      <w:tr w:rsidR="00BA6FE1" w14:paraId="4C57846C" w14:textId="77777777" w:rsidTr="42399EE1">
        <w:tc>
          <w:tcPr>
            <w:tcW w:w="6345" w:type="dxa"/>
            <w:shd w:val="clear" w:color="auto" w:fill="auto"/>
            <w:vAlign w:val="center"/>
          </w:tcPr>
          <w:p w14:paraId="2F0BDDAD" w14:textId="1AD41399" w:rsidR="00BA6FE1" w:rsidRDefault="00CB7CAE">
            <w:pPr>
              <w:widowControl w:val="0"/>
              <w:textAlignment w:val="baseline"/>
              <w:rPr>
                <w:b/>
                <w:szCs w:val="24"/>
              </w:rPr>
            </w:pPr>
            <w:r>
              <w:rPr>
                <w:b/>
                <w:bCs/>
                <w:szCs w:val="24"/>
              </w:rPr>
              <w:t>Prioritetas ar komponentas</w:t>
            </w:r>
          </w:p>
        </w:tc>
        <w:tc>
          <w:tcPr>
            <w:tcW w:w="9008" w:type="dxa"/>
            <w:shd w:val="clear" w:color="auto" w:fill="auto"/>
            <w:vAlign w:val="center"/>
          </w:tcPr>
          <w:p w14:paraId="7543FD40" w14:textId="272AAD25" w:rsidR="00BA6FE1" w:rsidRDefault="007F47DA" w:rsidP="5E871860">
            <w:pPr>
              <w:widowControl w:val="0"/>
              <w:textAlignment w:val="baseline"/>
            </w:pPr>
            <w:bookmarkStart w:id="0" w:name="_Toc98339806"/>
            <w:r>
              <w:t>2 k</w:t>
            </w:r>
            <w:r w:rsidR="00F25E35">
              <w:t>ompon</w:t>
            </w:r>
            <w:r w:rsidR="00382AFF">
              <w:t>entas</w:t>
            </w:r>
            <w:r w:rsidR="00C2752F">
              <w:t xml:space="preserve"> „Žal</w:t>
            </w:r>
            <w:r w:rsidR="00382AFF">
              <w:t>ioji</w:t>
            </w:r>
            <w:r w:rsidR="00C2752F">
              <w:t xml:space="preserve"> </w:t>
            </w:r>
            <w:r w:rsidR="00C2752F" w:rsidRPr="00274E72">
              <w:t>Lietuv</w:t>
            </w:r>
            <w:bookmarkEnd w:id="0"/>
            <w:r w:rsidR="00382AFF">
              <w:t>os transformacija</w:t>
            </w:r>
            <w:r w:rsidR="00C2752F">
              <w:t>“</w:t>
            </w:r>
          </w:p>
        </w:tc>
      </w:tr>
      <w:tr w:rsidR="00BA6FE1" w14:paraId="336BAD4A" w14:textId="77777777" w:rsidTr="42399EE1">
        <w:tc>
          <w:tcPr>
            <w:tcW w:w="6345" w:type="dxa"/>
            <w:shd w:val="clear" w:color="auto" w:fill="auto"/>
            <w:vAlign w:val="center"/>
          </w:tcPr>
          <w:p w14:paraId="3F00C7BD" w14:textId="4D595484" w:rsidR="00BA6FE1" w:rsidRDefault="00CB7CAE">
            <w:pPr>
              <w:widowControl w:val="0"/>
              <w:textAlignment w:val="baseline"/>
              <w:rPr>
                <w:b/>
                <w:szCs w:val="24"/>
              </w:rPr>
            </w:pPr>
            <w:r>
              <w:rPr>
                <w:b/>
                <w:szCs w:val="24"/>
              </w:rPr>
              <w:t>Projektų atrankos būdas (finansavimo forma, kai įgyvendinamos finansinės priemonės)</w:t>
            </w:r>
          </w:p>
        </w:tc>
        <w:tc>
          <w:tcPr>
            <w:tcW w:w="9008" w:type="dxa"/>
            <w:shd w:val="clear" w:color="auto" w:fill="auto"/>
            <w:vAlign w:val="center"/>
          </w:tcPr>
          <w:p w14:paraId="1BFB854A" w14:textId="77777777" w:rsidR="00BA6FE1" w:rsidRDefault="00CB7CAE">
            <w:pPr>
              <w:widowControl w:val="0"/>
              <w:textAlignment w:val="baseline"/>
              <w:rPr>
                <w:szCs w:val="24"/>
              </w:rPr>
            </w:pPr>
            <w:r w:rsidRPr="42399EE1">
              <w:rPr>
                <w:b/>
                <w:bCs/>
                <w:lang w:eastAsia="lt-LT"/>
              </w:rPr>
              <w:t>□</w:t>
            </w:r>
            <w:r>
              <w:t xml:space="preserve"> Planavimo</w:t>
            </w:r>
          </w:p>
          <w:p w14:paraId="1B352361" w14:textId="2CBBC42E" w:rsidR="00BA6FE1" w:rsidRDefault="3B2DA69F" w:rsidP="42399EE1">
            <w:pPr>
              <w:widowControl w:val="0"/>
              <w:textAlignment w:val="baseline"/>
            </w:pPr>
            <w:r w:rsidRPr="42399EE1">
              <w:rPr>
                <w:b/>
                <w:bCs/>
                <w:color w:val="000000" w:themeColor="text1"/>
                <w:szCs w:val="24"/>
              </w:rPr>
              <w:t>X</w:t>
            </w:r>
            <w:r w:rsidR="6C48EBE6">
              <w:t xml:space="preserve"> Konkurso</w:t>
            </w:r>
          </w:p>
          <w:p w14:paraId="609AFC41" w14:textId="77777777" w:rsidR="00BA6FE1" w:rsidRDefault="00CB7CAE">
            <w:pPr>
              <w:widowControl w:val="0"/>
              <w:textAlignment w:val="baseline"/>
              <w:rPr>
                <w:szCs w:val="24"/>
              </w:rPr>
            </w:pPr>
            <w:r>
              <w:rPr>
                <w:b/>
                <w:bCs/>
                <w:szCs w:val="24"/>
                <w:lang w:eastAsia="lt-LT"/>
              </w:rPr>
              <w:t>□</w:t>
            </w:r>
            <w:r>
              <w:rPr>
                <w:szCs w:val="24"/>
              </w:rPr>
              <w:t xml:space="preserve"> Tęstinės projektų atrankos</w:t>
            </w:r>
          </w:p>
          <w:p w14:paraId="19502A19" w14:textId="73DFCF20" w:rsidR="00BA6FE1" w:rsidRPr="00FD692F" w:rsidRDefault="00CB7CAE" w:rsidP="00FD692F">
            <w:pPr>
              <w:widowControl w:val="0"/>
              <w:textAlignment w:val="baseline"/>
              <w:rPr>
                <w:szCs w:val="24"/>
              </w:rPr>
            </w:pPr>
            <w:r>
              <w:rPr>
                <w:b/>
                <w:bCs/>
                <w:szCs w:val="24"/>
                <w:lang w:eastAsia="lt-LT"/>
              </w:rPr>
              <w:lastRenderedPageBreak/>
              <w:t xml:space="preserve">□ </w:t>
            </w:r>
            <w:r>
              <w:rPr>
                <w:bCs/>
                <w:szCs w:val="24"/>
                <w:lang w:eastAsia="lt-LT"/>
              </w:rPr>
              <w:t>Finansinė priemonė</w:t>
            </w:r>
          </w:p>
        </w:tc>
      </w:tr>
      <w:tr w:rsidR="00BA6FE1" w14:paraId="424A16BA" w14:textId="77777777" w:rsidTr="42399EE1">
        <w:tc>
          <w:tcPr>
            <w:tcW w:w="6345" w:type="dxa"/>
            <w:shd w:val="clear" w:color="auto" w:fill="auto"/>
            <w:vAlign w:val="center"/>
          </w:tcPr>
          <w:p w14:paraId="44E3D02A" w14:textId="62C2CCFF" w:rsidR="00BA6FE1" w:rsidRDefault="00CB7CAE">
            <w:pPr>
              <w:widowControl w:val="0"/>
              <w:textAlignment w:val="baseline"/>
              <w:rPr>
                <w:b/>
                <w:szCs w:val="24"/>
              </w:rPr>
            </w:pPr>
            <w:r>
              <w:rPr>
                <w:b/>
                <w:szCs w:val="24"/>
              </w:rPr>
              <w:lastRenderedPageBreak/>
              <w:t xml:space="preserve">Atitiktis horizontaliesiems principams (toliau – HP) </w:t>
            </w:r>
          </w:p>
        </w:tc>
        <w:tc>
          <w:tcPr>
            <w:tcW w:w="9008" w:type="dxa"/>
            <w:shd w:val="clear" w:color="auto" w:fill="auto"/>
            <w:vAlign w:val="center"/>
          </w:tcPr>
          <w:p w14:paraId="06BEB1E0" w14:textId="71AD1E6B" w:rsidR="008E25C0" w:rsidRPr="006D610B" w:rsidRDefault="009162A6" w:rsidP="006B7330">
            <w:pPr>
              <w:tabs>
                <w:tab w:val="left" w:pos="860"/>
              </w:tabs>
              <w:jc w:val="both"/>
              <w:rPr>
                <w:rFonts w:eastAsiaTheme="minorHAnsi"/>
                <w:szCs w:val="24"/>
              </w:rPr>
            </w:pPr>
            <w:r>
              <w:rPr>
                <w:rFonts w:eastAsiaTheme="minorHAnsi"/>
                <w:szCs w:val="24"/>
              </w:rPr>
              <w:t>Veiklos</w:t>
            </w:r>
            <w:r w:rsidR="008E25C0" w:rsidRPr="006D610B">
              <w:rPr>
                <w:rFonts w:eastAsiaTheme="minorHAnsi"/>
                <w:szCs w:val="24"/>
              </w:rPr>
              <w:t xml:space="preserve"> įgyvendinimo metu neturi būti pažeidžiami horizontalieji principai: darnaus vystymosi, inovatyvumo (kūrybingumo),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w:t>
            </w:r>
          </w:p>
          <w:p w14:paraId="009C6510" w14:textId="77777777" w:rsidR="008E25C0" w:rsidRDefault="008E25C0" w:rsidP="006B7330">
            <w:pPr>
              <w:widowControl w:val="0"/>
              <w:jc w:val="both"/>
              <w:textAlignment w:val="baseline"/>
              <w:rPr>
                <w:color w:val="000000"/>
                <w:szCs w:val="24"/>
              </w:rPr>
            </w:pPr>
          </w:p>
          <w:p w14:paraId="72B5C4C1" w14:textId="797AC4A7" w:rsidR="00BA6FE1" w:rsidRPr="006D5A0F" w:rsidRDefault="009162A6" w:rsidP="006D5A0F">
            <w:pPr>
              <w:widowControl w:val="0"/>
              <w:jc w:val="both"/>
              <w:textAlignment w:val="baseline"/>
              <w:rPr>
                <w:iCs/>
                <w:szCs w:val="24"/>
              </w:rPr>
            </w:pPr>
            <w:r>
              <w:rPr>
                <w:color w:val="000000"/>
                <w:szCs w:val="24"/>
              </w:rPr>
              <w:t>Veikla</w:t>
            </w:r>
            <w:r w:rsidR="00C2322C">
              <w:rPr>
                <w:color w:val="000000"/>
                <w:szCs w:val="24"/>
              </w:rPr>
              <w:t xml:space="preserve">, vadovaujantis </w:t>
            </w:r>
            <w:hyperlink r:id="rId9" w:history="1">
              <w:r w:rsidR="00C2322C">
                <w:rPr>
                  <w:color w:val="0000FF"/>
                  <w:szCs w:val="24"/>
                  <w:u w:val="single"/>
                </w:rPr>
                <w:t>Europos Komisijos 2021 vasario 12 d. patvirtintomis Reikšmingos žalos nedarymo principo taikymo pagal Ekonomikos atsparumo ir didinimo priemonės reglamentą techninėmis gairėmis</w:t>
              </w:r>
            </w:hyperlink>
            <w:r w:rsidR="00C2322C">
              <w:rPr>
                <w:color w:val="000000"/>
                <w:szCs w:val="24"/>
              </w:rPr>
              <w:t xml:space="preserve">, atitinka reikšmingos žalos nedarymo principą, nes neturi neigiamo numatomo poveikio 6 aplinkos tikslams, nurodytiems </w:t>
            </w:r>
            <w:hyperlink r:id="rId10" w:history="1">
              <w:r w:rsidR="00C2322C">
                <w:rPr>
                  <w:color w:val="0000FF"/>
                  <w:szCs w:val="24"/>
                  <w:u w:val="single"/>
                </w:rPr>
                <w:t>2020 m. birželio 18 d. Europos Parlamento ir Tarybos reglamento (ES) Nr. 2020/852 dėl sistemos tvariam investavimui palengvinti sukūrimo, kuriuo iš dalies keičiamas Reglamentas (ES) 2019/2088</w:t>
              </w:r>
            </w:hyperlink>
            <w:r w:rsidR="00C2322C">
              <w:rPr>
                <w:color w:val="000000"/>
                <w:szCs w:val="24"/>
              </w:rPr>
              <w:t xml:space="preserve"> 17 straipsnyje</w:t>
            </w:r>
            <w:r w:rsidR="00C2322C" w:rsidRPr="00860B81">
              <w:rPr>
                <w:color w:val="000000"/>
                <w:szCs w:val="24"/>
              </w:rPr>
              <w:t>,</w:t>
            </w:r>
            <w:r w:rsidR="00C2322C" w:rsidRPr="007314EA">
              <w:rPr>
                <w:color w:val="000000"/>
                <w:szCs w:val="24"/>
              </w:rPr>
              <w:t xml:space="preserve"> </w:t>
            </w:r>
            <w:r w:rsidR="00C2322C">
              <w:rPr>
                <w:color w:val="000000"/>
                <w:szCs w:val="24"/>
              </w:rPr>
              <w:t>arba numatomas jų poveikis yra nereikšmingas, t. y. nedaro tiesioginio ir pirminio netiesioginio poveikio per visą gyvavimo ciklą</w:t>
            </w:r>
            <w:r w:rsidR="00C2322C">
              <w:rPr>
                <w:rFonts w:ascii="Helv" w:hAnsi="Helv" w:cs="Helv"/>
                <w:color w:val="000000"/>
                <w:szCs w:val="24"/>
              </w:rPr>
              <w:t>.</w:t>
            </w:r>
          </w:p>
        </w:tc>
      </w:tr>
      <w:tr w:rsidR="00BA6FE1" w14:paraId="54710AA5" w14:textId="77777777" w:rsidTr="42399EE1">
        <w:tc>
          <w:tcPr>
            <w:tcW w:w="6345" w:type="dxa"/>
            <w:shd w:val="clear" w:color="auto" w:fill="auto"/>
            <w:vAlign w:val="center"/>
          </w:tcPr>
          <w:p w14:paraId="1E4E3BC5" w14:textId="6D0B3A27" w:rsidR="00BA6FE1" w:rsidRDefault="00CB7CAE">
            <w:pPr>
              <w:widowControl w:val="0"/>
              <w:textAlignment w:val="baseline"/>
              <w:rPr>
                <w:b/>
                <w:szCs w:val="24"/>
              </w:rPr>
            </w:pPr>
            <w:r>
              <w:rPr>
                <w:b/>
                <w:szCs w:val="24"/>
              </w:rPr>
              <w:t>Atitiktis Europos Sąjungos pagrindinių teisių chartijai (toliau – Chartija)</w:t>
            </w:r>
          </w:p>
        </w:tc>
        <w:tc>
          <w:tcPr>
            <w:tcW w:w="9008" w:type="dxa"/>
            <w:shd w:val="clear" w:color="auto" w:fill="auto"/>
            <w:vAlign w:val="center"/>
          </w:tcPr>
          <w:p w14:paraId="3A57C6C3" w14:textId="4BDFDB8B" w:rsidR="00BA6FE1" w:rsidRPr="00135E5D" w:rsidRDefault="00C46C05" w:rsidP="00135E5D">
            <w:pPr>
              <w:widowControl w:val="0"/>
              <w:jc w:val="both"/>
              <w:textAlignment w:val="baseline"/>
              <w:rPr>
                <w:bCs/>
                <w:iCs/>
                <w:szCs w:val="24"/>
              </w:rPr>
            </w:pPr>
            <w:r>
              <w:rPr>
                <w:bCs/>
                <w:iCs/>
                <w:szCs w:val="24"/>
              </w:rPr>
              <w:t>Veikloje</w:t>
            </w:r>
            <w:r w:rsidR="00135E5D" w:rsidRPr="00135E5D">
              <w:rPr>
                <w:bCs/>
                <w:iCs/>
                <w:szCs w:val="24"/>
              </w:rPr>
              <w:t xml:space="preserve"> neturi būti numatyti veiksmai, kurie galėtų riboti ar pažeisti Chartijoje numatytas pagrindines teises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 </w:t>
            </w:r>
          </w:p>
        </w:tc>
      </w:tr>
    </w:tbl>
    <w:p w14:paraId="32060045" w14:textId="28EA8884" w:rsidR="5E871860" w:rsidRDefault="5E871860" w:rsidP="74F31E39">
      <w:pPr>
        <w:widowControl w:val="0"/>
        <w:jc w:val="both"/>
        <w:rPr>
          <w:i/>
          <w:iCs/>
          <w:lang w:eastAsia="lt-LT"/>
        </w:rPr>
      </w:pPr>
    </w:p>
    <w:tbl>
      <w:tblPr>
        <w:tblW w:w="0" w:type="auto"/>
        <w:tblLayout w:type="fixed"/>
        <w:tblLook w:val="04A0" w:firstRow="1" w:lastRow="0" w:firstColumn="1" w:lastColumn="0" w:noHBand="0" w:noVBand="1"/>
      </w:tblPr>
      <w:tblGrid>
        <w:gridCol w:w="6200"/>
        <w:gridCol w:w="8935"/>
      </w:tblGrid>
      <w:tr w:rsidR="74F31E39" w14:paraId="302A7BD1" w14:textId="77777777" w:rsidTr="74F31E39">
        <w:trPr>
          <w:trHeight w:val="300"/>
        </w:trPr>
        <w:tc>
          <w:tcPr>
            <w:tcW w:w="6200" w:type="dxa"/>
            <w:tcBorders>
              <w:top w:val="single" w:sz="8" w:space="0" w:color="auto"/>
              <w:left w:val="single" w:sz="8" w:space="0" w:color="auto"/>
              <w:bottom w:val="single" w:sz="8" w:space="0" w:color="auto"/>
              <w:right w:val="single" w:sz="8" w:space="0" w:color="auto"/>
            </w:tcBorders>
            <w:tcMar>
              <w:left w:w="108" w:type="dxa"/>
              <w:right w:w="108" w:type="dxa"/>
            </w:tcMar>
          </w:tcPr>
          <w:p w14:paraId="5BAE14B4" w14:textId="49495680" w:rsidR="74F31E39" w:rsidRDefault="74F31E39" w:rsidP="00433243">
            <w:pPr>
              <w:jc w:val="both"/>
              <w:rPr>
                <w:b/>
                <w:bCs/>
                <w:sz w:val="22"/>
                <w:szCs w:val="22"/>
                <w:lang w:val="lt"/>
              </w:rPr>
            </w:pPr>
            <w:r w:rsidRPr="74F31E39">
              <w:rPr>
                <w:b/>
                <w:bCs/>
                <w:color w:val="000000" w:themeColor="text1"/>
                <w:szCs w:val="24"/>
                <w:lang w:val="lt"/>
              </w:rPr>
              <w:t>X</w:t>
            </w:r>
            <w:r w:rsidRPr="74F31E39">
              <w:rPr>
                <w:b/>
                <w:bCs/>
                <w:sz w:val="22"/>
                <w:szCs w:val="22"/>
                <w:lang w:val="lt"/>
              </w:rPr>
              <w:t xml:space="preserve"> SPECIALUSIS PROJEKTŲ ATRANKOS KRITERIJUS</w:t>
            </w:r>
          </w:p>
          <w:p w14:paraId="7DE482B5" w14:textId="21CC119F" w:rsidR="74F31E39" w:rsidRDefault="74F31E39" w:rsidP="00433243">
            <w:pPr>
              <w:jc w:val="both"/>
              <w:rPr>
                <w:b/>
                <w:bCs/>
                <w:sz w:val="22"/>
                <w:szCs w:val="22"/>
                <w:lang w:val="lt"/>
              </w:rPr>
            </w:pPr>
            <w:r w:rsidRPr="74F31E39">
              <w:rPr>
                <w:b/>
                <w:bCs/>
                <w:sz w:val="22"/>
                <w:szCs w:val="22"/>
                <w:lang w:val="lt"/>
              </w:rPr>
              <w:t>□ PRIORITETINIS PROJEKTŲ ATRANKOS KRITERIJUS</w:t>
            </w:r>
          </w:p>
          <w:p w14:paraId="32E6945C" w14:textId="54209A5C" w:rsidR="74F31E39" w:rsidRDefault="74F31E39" w:rsidP="00433243">
            <w:pPr>
              <w:jc w:val="both"/>
              <w:rPr>
                <w:i/>
                <w:iCs/>
                <w:szCs w:val="24"/>
                <w:lang w:val="lt"/>
              </w:rPr>
            </w:pPr>
            <w:r w:rsidRPr="74F31E39">
              <w:rPr>
                <w:i/>
                <w:iCs/>
                <w:szCs w:val="24"/>
                <w:lang w:val="lt"/>
              </w:rPr>
              <w:t>(Pažymimas vienas iš galimų projektų atrankos kriterijų tipų.)</w:t>
            </w:r>
          </w:p>
        </w:tc>
        <w:tc>
          <w:tcPr>
            <w:tcW w:w="8935" w:type="dxa"/>
            <w:tcBorders>
              <w:top w:val="single" w:sz="8" w:space="0" w:color="auto"/>
              <w:left w:val="single" w:sz="8" w:space="0" w:color="auto"/>
              <w:bottom w:val="single" w:sz="8" w:space="0" w:color="auto"/>
              <w:right w:val="single" w:sz="8" w:space="0" w:color="auto"/>
            </w:tcBorders>
            <w:tcMar>
              <w:left w:w="108" w:type="dxa"/>
              <w:right w:w="108" w:type="dxa"/>
            </w:tcMar>
          </w:tcPr>
          <w:p w14:paraId="13CA2EF5" w14:textId="7FC330CA" w:rsidR="74F31E39" w:rsidRDefault="74F31E39" w:rsidP="00433243">
            <w:pPr>
              <w:jc w:val="both"/>
              <w:rPr>
                <w:b/>
                <w:bCs/>
                <w:szCs w:val="24"/>
                <w:lang w:val="lt"/>
              </w:rPr>
            </w:pPr>
            <w:r w:rsidRPr="74F31E39">
              <w:rPr>
                <w:b/>
                <w:bCs/>
                <w:color w:val="000000" w:themeColor="text1"/>
                <w:szCs w:val="24"/>
                <w:lang w:val="lt"/>
              </w:rPr>
              <w:t>X</w:t>
            </w:r>
            <w:r w:rsidRPr="74F31E39">
              <w:rPr>
                <w:b/>
                <w:bCs/>
                <w:szCs w:val="24"/>
                <w:lang w:val="lt"/>
              </w:rPr>
              <w:t xml:space="preserve"> Nustatymas</w:t>
            </w:r>
          </w:p>
          <w:p w14:paraId="6F7AABBF" w14:textId="33C3EA5A" w:rsidR="74F31E39" w:rsidRDefault="74F31E39" w:rsidP="00433243">
            <w:pPr>
              <w:jc w:val="both"/>
              <w:rPr>
                <w:b/>
                <w:bCs/>
                <w:szCs w:val="24"/>
                <w:lang w:val="lt"/>
              </w:rPr>
            </w:pPr>
            <w:r w:rsidRPr="74F31E39">
              <w:rPr>
                <w:b/>
                <w:bCs/>
                <w:szCs w:val="24"/>
                <w:lang w:val="lt"/>
              </w:rPr>
              <w:t>□ Keitimas</w:t>
            </w:r>
          </w:p>
        </w:tc>
      </w:tr>
      <w:tr w:rsidR="74F31E39" w14:paraId="673D1F04" w14:textId="77777777" w:rsidTr="74F31E39">
        <w:trPr>
          <w:trHeight w:val="555"/>
        </w:trPr>
        <w:tc>
          <w:tcPr>
            <w:tcW w:w="62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34C6BB" w14:textId="171D3EE7" w:rsidR="74F31E39" w:rsidRDefault="74F31E39">
            <w:r w:rsidRPr="74F31E39">
              <w:rPr>
                <w:b/>
                <w:bCs/>
                <w:szCs w:val="24"/>
                <w:lang w:val="lt"/>
              </w:rPr>
              <w:t>Projektų atrankos kriterijaus numeris ir pavadinimas</w:t>
            </w:r>
          </w:p>
        </w:tc>
        <w:tc>
          <w:tcPr>
            <w:tcW w:w="8935" w:type="dxa"/>
            <w:tcBorders>
              <w:top w:val="single" w:sz="8" w:space="0" w:color="auto"/>
              <w:left w:val="single" w:sz="8" w:space="0" w:color="auto"/>
              <w:bottom w:val="single" w:sz="8" w:space="0" w:color="auto"/>
              <w:right w:val="single" w:sz="8" w:space="0" w:color="auto"/>
            </w:tcBorders>
            <w:tcMar>
              <w:left w:w="108" w:type="dxa"/>
              <w:right w:w="108" w:type="dxa"/>
            </w:tcMar>
          </w:tcPr>
          <w:p w14:paraId="67B8F58A" w14:textId="52033C6A" w:rsidR="74F31E39" w:rsidRDefault="74F31E39" w:rsidP="00433243">
            <w:pPr>
              <w:tabs>
                <w:tab w:val="left" w:pos="457"/>
              </w:tabs>
              <w:jc w:val="both"/>
              <w:rPr>
                <w:color w:val="000000" w:themeColor="text1"/>
                <w:szCs w:val="24"/>
                <w:lang w:val="lt"/>
              </w:rPr>
            </w:pPr>
            <w:r w:rsidRPr="74F31E39">
              <w:rPr>
                <w:color w:val="000000" w:themeColor="text1"/>
                <w:szCs w:val="24"/>
              </w:rPr>
              <w:t xml:space="preserve">1. </w:t>
            </w:r>
            <w:r w:rsidRPr="74F31E39">
              <w:rPr>
                <w:color w:val="000000" w:themeColor="text1"/>
                <w:szCs w:val="24"/>
                <w:lang w:val="lt"/>
              </w:rPr>
              <w:t>Jungtinio projekto (toliau – JP) projektų pareiškėjai yra labai mažos, mažos, vidutinės ir didelės įmonės (juridiniai asmenys) bei žemės ūkio kooperatinės bendrovės, veikiančios ne trumpiau kaip vienerius metus ir kurių vidutinės metinės pajamos per pastaruosius 3 finansinius metus arba per laikotarpį nuo įmonės įregistravimo dienos (jeigu įmonė vykdė veikla mažiau nei 3 finansinius metus) yra ne mažesnės kaip 300 000 Eur.</w:t>
            </w:r>
          </w:p>
        </w:tc>
      </w:tr>
      <w:tr w:rsidR="74F31E39" w14:paraId="3EC1D4D4" w14:textId="77777777" w:rsidTr="74F31E39">
        <w:trPr>
          <w:trHeight w:val="300"/>
        </w:trPr>
        <w:tc>
          <w:tcPr>
            <w:tcW w:w="62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F793DC" w14:textId="45389A99" w:rsidR="74F31E39" w:rsidRDefault="74F31E39">
            <w:r w:rsidRPr="74F31E39">
              <w:rPr>
                <w:b/>
                <w:bCs/>
                <w:szCs w:val="24"/>
                <w:lang w:val="lt"/>
              </w:rPr>
              <w:t>Projektų atrankos kriterijaus vertinimo metodas ir taikymas</w:t>
            </w:r>
          </w:p>
        </w:tc>
        <w:tc>
          <w:tcPr>
            <w:tcW w:w="8935" w:type="dxa"/>
            <w:tcBorders>
              <w:top w:val="single" w:sz="8" w:space="0" w:color="auto"/>
              <w:left w:val="single" w:sz="8" w:space="0" w:color="auto"/>
              <w:bottom w:val="single" w:sz="8" w:space="0" w:color="auto"/>
              <w:right w:val="single" w:sz="8" w:space="0" w:color="auto"/>
            </w:tcBorders>
            <w:tcMar>
              <w:left w:w="108" w:type="dxa"/>
              <w:right w:w="108" w:type="dxa"/>
            </w:tcMar>
          </w:tcPr>
          <w:p w14:paraId="09470709" w14:textId="02C0B2A4" w:rsidR="74F31E39" w:rsidRDefault="74F31E39" w:rsidP="74F31E39">
            <w:pPr>
              <w:jc w:val="both"/>
              <w:rPr>
                <w:color w:val="000000" w:themeColor="text1"/>
                <w:szCs w:val="24"/>
                <w:lang w:val="lt"/>
              </w:rPr>
            </w:pPr>
            <w:r w:rsidRPr="74F31E39">
              <w:rPr>
                <w:color w:val="000000" w:themeColor="text1"/>
                <w:szCs w:val="24"/>
                <w:lang w:val="lt"/>
              </w:rPr>
              <w:t>Vertinama, ar paraiškos pateikimo metu JP projektų pareiškėjai turi pakankamai patirties, t. y. įmonė (</w:t>
            </w:r>
            <w:r w:rsidRPr="74F31E39">
              <w:rPr>
                <w:szCs w:val="24"/>
                <w:lang w:val="lt"/>
              </w:rPr>
              <w:t>juridinis asmuo) arba žemės ūkio kooperatinė bendrovė</w:t>
            </w:r>
            <w:r w:rsidRPr="74F31E39">
              <w:rPr>
                <w:color w:val="000000" w:themeColor="text1"/>
                <w:szCs w:val="24"/>
                <w:lang w:val="lt"/>
              </w:rPr>
              <w:t xml:space="preserve"> yra registruota ne trumpiau nei 1 metus.</w:t>
            </w:r>
          </w:p>
          <w:p w14:paraId="0DF8FB4E" w14:textId="01EED7BB" w:rsidR="74F31E39" w:rsidRDefault="74F31E39" w:rsidP="74F31E39">
            <w:pPr>
              <w:jc w:val="both"/>
              <w:rPr>
                <w:szCs w:val="24"/>
                <w:lang w:val="lt"/>
              </w:rPr>
            </w:pPr>
            <w:r w:rsidRPr="74F31E39">
              <w:rPr>
                <w:color w:val="000000" w:themeColor="text1"/>
                <w:szCs w:val="24"/>
                <w:lang w:val="lt"/>
              </w:rPr>
              <w:t>Taip pat vertinamos pareiškėjo v</w:t>
            </w:r>
            <w:r w:rsidRPr="74F31E39">
              <w:rPr>
                <w:szCs w:val="24"/>
                <w:lang w:val="lt"/>
              </w:rPr>
              <w:t>idutinės metinės pajamos.</w:t>
            </w:r>
          </w:p>
          <w:p w14:paraId="420304BE" w14:textId="57583031" w:rsidR="74F31E39" w:rsidRDefault="74F31E39" w:rsidP="74F31E39">
            <w:pPr>
              <w:jc w:val="both"/>
              <w:rPr>
                <w:szCs w:val="24"/>
                <w:lang w:val="lt"/>
              </w:rPr>
            </w:pPr>
            <w:r w:rsidRPr="74F31E39">
              <w:rPr>
                <w:szCs w:val="24"/>
                <w:lang w:val="lt"/>
              </w:rPr>
              <w:lastRenderedPageBreak/>
              <w:t>Vidutinės metinės pajamos – finansinių metų pardavimo pajamos, nurodytos pelno (nuostolių) ataskaitoje arba jai prilygintoje finansinėje ataskaitoje. Jei pateikta pelno (nuostolių) ataskaita ne už visus finansinius metus (įmonė įsteigta metų bėgyje), atliekamas perskaičiavimas pagal žemiau nustatytą formulę:</w:t>
            </w:r>
          </w:p>
          <w:p w14:paraId="4300711C" w14:textId="7BC2B4D1" w:rsidR="74F31E39" w:rsidRDefault="74F31E39" w:rsidP="74F31E39">
            <w:pPr>
              <w:jc w:val="both"/>
              <w:rPr>
                <w:szCs w:val="24"/>
                <w:lang w:val="lt"/>
              </w:rPr>
            </w:pPr>
            <w:r w:rsidRPr="74F31E39">
              <w:rPr>
                <w:szCs w:val="24"/>
                <w:lang w:val="lt"/>
              </w:rPr>
              <w:t xml:space="preserve"> </w:t>
            </w:r>
          </w:p>
          <w:p w14:paraId="22CEC73B" w14:textId="30D7FBB8" w:rsidR="74F31E39" w:rsidRDefault="74F31E39" w:rsidP="74F31E39">
            <w:pPr>
              <w:jc w:val="both"/>
              <w:rPr>
                <w:szCs w:val="24"/>
                <w:lang w:val="lt"/>
              </w:rPr>
            </w:pPr>
          </w:p>
          <w:p w14:paraId="736EE6E6" w14:textId="412DF1FA" w:rsidR="4A3613F3" w:rsidRDefault="4A3613F3" w:rsidP="74F31E39">
            <w:pPr>
              <w:jc w:val="both"/>
            </w:pPr>
            <w:r>
              <w:rPr>
                <w:noProof/>
              </w:rPr>
              <w:drawing>
                <wp:inline distT="0" distB="0" distL="0" distR="0" wp14:anchorId="3219947C" wp14:editId="40EF07A0">
                  <wp:extent cx="4572000" cy="352425"/>
                  <wp:effectExtent l="0" t="0" r="0" b="0"/>
                  <wp:docPr id="219865101" name="Picture 219865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572000" cy="352425"/>
                          </a:xfrm>
                          <a:prstGeom prst="rect">
                            <a:avLst/>
                          </a:prstGeom>
                        </pic:spPr>
                      </pic:pic>
                    </a:graphicData>
                  </a:graphic>
                </wp:inline>
              </w:drawing>
            </w:r>
          </w:p>
          <w:p w14:paraId="7A14AFFA" w14:textId="156A1C96" w:rsidR="74F31E39" w:rsidRDefault="74F31E39" w:rsidP="74F31E39">
            <w:pPr>
              <w:jc w:val="both"/>
              <w:rPr>
                <w:szCs w:val="24"/>
                <w:lang w:val="lt"/>
              </w:rPr>
            </w:pPr>
            <w:r w:rsidRPr="74F31E39">
              <w:rPr>
                <w:szCs w:val="24"/>
                <w:lang w:val="lt"/>
              </w:rPr>
              <w:t xml:space="preserve"> </w:t>
            </w:r>
          </w:p>
          <w:p w14:paraId="691A7953" w14:textId="570838D4" w:rsidR="74F31E39" w:rsidRDefault="74F31E39" w:rsidP="74F31E39">
            <w:pPr>
              <w:jc w:val="both"/>
              <w:rPr>
                <w:szCs w:val="24"/>
                <w:lang w:val="lt"/>
              </w:rPr>
            </w:pPr>
            <w:r w:rsidRPr="74F31E39">
              <w:rPr>
                <w:szCs w:val="24"/>
                <w:lang w:val="lt"/>
              </w:rPr>
              <w:t xml:space="preserve"> </w:t>
            </w:r>
          </w:p>
          <w:p w14:paraId="24FDCB59" w14:textId="621A5D79" w:rsidR="74F31E39" w:rsidRDefault="74F31E39" w:rsidP="74F31E39">
            <w:pPr>
              <w:jc w:val="both"/>
              <w:rPr>
                <w:szCs w:val="24"/>
                <w:lang w:val="lt"/>
              </w:rPr>
            </w:pPr>
            <w:r w:rsidRPr="74F31E39">
              <w:rPr>
                <w:szCs w:val="24"/>
                <w:lang w:val="lt"/>
              </w:rPr>
              <w:t>Šis projektų atrankos kriterijus taikomas tik JP projekto vertinimo metu.</w:t>
            </w:r>
          </w:p>
        </w:tc>
      </w:tr>
      <w:tr w:rsidR="74F31E39" w14:paraId="0C2573AC" w14:textId="77777777" w:rsidTr="74F31E39">
        <w:trPr>
          <w:trHeight w:val="300"/>
        </w:trPr>
        <w:tc>
          <w:tcPr>
            <w:tcW w:w="62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20A3DB" w14:textId="37610ABF" w:rsidR="74F31E39" w:rsidRDefault="74F31E39">
            <w:r w:rsidRPr="74F31E39">
              <w:rPr>
                <w:b/>
                <w:bCs/>
                <w:szCs w:val="24"/>
                <w:lang w:val="lt"/>
              </w:rPr>
              <w:lastRenderedPageBreak/>
              <w:t>Projektų atrankos kriterijaus pasirinkimo pagrindimas</w:t>
            </w:r>
          </w:p>
        </w:tc>
        <w:tc>
          <w:tcPr>
            <w:tcW w:w="8935" w:type="dxa"/>
            <w:tcBorders>
              <w:top w:val="single" w:sz="8" w:space="0" w:color="auto"/>
              <w:left w:val="single" w:sz="8" w:space="0" w:color="auto"/>
              <w:bottom w:val="single" w:sz="8" w:space="0" w:color="auto"/>
              <w:right w:val="single" w:sz="8" w:space="0" w:color="auto"/>
            </w:tcBorders>
            <w:tcMar>
              <w:left w:w="108" w:type="dxa"/>
              <w:right w:w="108" w:type="dxa"/>
            </w:tcMar>
          </w:tcPr>
          <w:p w14:paraId="14569E04" w14:textId="49D5EBCA" w:rsidR="74F31E39" w:rsidRDefault="74F31E39" w:rsidP="00433243">
            <w:pPr>
              <w:spacing w:line="276" w:lineRule="auto"/>
              <w:jc w:val="both"/>
              <w:rPr>
                <w:szCs w:val="24"/>
                <w:lang w:val="lt"/>
              </w:rPr>
            </w:pPr>
            <w:r w:rsidRPr="74F31E39">
              <w:rPr>
                <w:color w:val="000000" w:themeColor="text1"/>
                <w:szCs w:val="24"/>
                <w:lang w:val="lt"/>
              </w:rPr>
              <w:t xml:space="preserve">Šiuo kriterijumi užtikrinama, kad nebus dirbtinai steigiamos įmonės arba </w:t>
            </w:r>
            <w:r w:rsidRPr="74F31E39">
              <w:rPr>
                <w:szCs w:val="24"/>
                <w:lang w:val="lt"/>
              </w:rPr>
              <w:t>žemės ūkio kooperatinės bendrovės</w:t>
            </w:r>
            <w:r w:rsidRPr="74F31E39">
              <w:rPr>
                <w:color w:val="000000" w:themeColor="text1"/>
                <w:szCs w:val="24"/>
                <w:lang w:val="lt"/>
              </w:rPr>
              <w:t xml:space="preserve">, siekiant pasinaudoti parama, o projektus </w:t>
            </w:r>
            <w:r w:rsidRPr="74F31E39">
              <w:rPr>
                <w:szCs w:val="24"/>
                <w:lang w:val="lt"/>
              </w:rPr>
              <w:t xml:space="preserve">sieks įgyvendinti ne ką tik įsikūrę, bet jau rinkoje įsitvirtinę subjektai.   </w:t>
            </w:r>
          </w:p>
          <w:p w14:paraId="6ABCD281" w14:textId="008FA092" w:rsidR="74F31E39" w:rsidRDefault="74F31E39" w:rsidP="74F31E39">
            <w:pPr>
              <w:spacing w:line="276" w:lineRule="auto"/>
              <w:jc w:val="both"/>
              <w:rPr>
                <w:color w:val="000000" w:themeColor="text1"/>
                <w:szCs w:val="24"/>
                <w:lang w:val="lt"/>
              </w:rPr>
            </w:pPr>
            <w:r w:rsidRPr="74F31E39">
              <w:rPr>
                <w:color w:val="000000" w:themeColor="text1"/>
                <w:szCs w:val="24"/>
                <w:lang w:val="lt"/>
              </w:rPr>
              <w:t xml:space="preserve"> </w:t>
            </w:r>
          </w:p>
          <w:p w14:paraId="51E5E8F4" w14:textId="5B061FE1" w:rsidR="74F31E39" w:rsidRDefault="74F31E39" w:rsidP="00433243">
            <w:pPr>
              <w:jc w:val="both"/>
              <w:rPr>
                <w:szCs w:val="24"/>
                <w:lang w:val="lt"/>
              </w:rPr>
            </w:pPr>
            <w:r w:rsidRPr="74F31E39">
              <w:rPr>
                <w:szCs w:val="24"/>
                <w:lang w:val="lt"/>
              </w:rPr>
              <w:t>Pasirinktas kriterijus prisidės prie pažangos priemonės Nr.</w:t>
            </w:r>
            <w:r w:rsidRPr="74F31E39">
              <w:rPr>
                <w:b/>
                <w:bCs/>
                <w:szCs w:val="24"/>
                <w:lang w:val="lt"/>
              </w:rPr>
              <w:t xml:space="preserve"> </w:t>
            </w:r>
            <w:r w:rsidRPr="74F31E39">
              <w:rPr>
                <w:szCs w:val="24"/>
                <w:lang w:val="lt"/>
              </w:rPr>
              <w:t xml:space="preserve">03-001-06-03-03 „Įgyvendinti  degalų iš AEI gamybos priemones ir plėtoti jų panaudojimo infrastruktūrą transporto sektoriuje“  </w:t>
            </w:r>
            <w:r w:rsidRPr="74F31E39">
              <w:rPr>
                <w:b/>
                <w:bCs/>
                <w:color w:val="000000" w:themeColor="text1"/>
                <w:szCs w:val="24"/>
                <w:lang w:val="lt"/>
              </w:rPr>
              <w:t xml:space="preserve"> </w:t>
            </w:r>
            <w:r w:rsidRPr="74F31E39">
              <w:rPr>
                <w:szCs w:val="24"/>
                <w:lang w:val="lt"/>
              </w:rPr>
              <w:t>produkto rodiklio „Papildomas metinis skystųjų antros kartos biodegalų gamybos kiekis“ P-03-001-06-03-03-04 pasiekimo.</w:t>
            </w:r>
          </w:p>
          <w:p w14:paraId="1818FAFA" w14:textId="6E788681" w:rsidR="74F31E39" w:rsidRDefault="74F31E39" w:rsidP="00433243">
            <w:pPr>
              <w:jc w:val="both"/>
              <w:rPr>
                <w:color w:val="000000" w:themeColor="text1"/>
                <w:szCs w:val="24"/>
                <w:lang w:val="lt"/>
              </w:rPr>
            </w:pPr>
          </w:p>
        </w:tc>
      </w:tr>
    </w:tbl>
    <w:p w14:paraId="1E4FE289" w14:textId="778BF895" w:rsidR="42399EE1" w:rsidRDefault="42399EE1" w:rsidP="74F31E39">
      <w:pPr>
        <w:widowControl w:val="0"/>
        <w:jc w:val="both"/>
        <w:rPr>
          <w:i/>
          <w:iCs/>
          <w:lang w:eastAsia="lt-LT"/>
        </w:rPr>
      </w:pPr>
    </w:p>
    <w:p w14:paraId="18278980" w14:textId="7A11F988" w:rsidR="42399EE1" w:rsidRDefault="42399EE1" w:rsidP="74F31E39">
      <w:pPr>
        <w:widowControl w:val="0"/>
      </w:pPr>
    </w:p>
    <w:p w14:paraId="6C94FF19" w14:textId="42E50F09" w:rsidR="42399EE1" w:rsidRDefault="42399EE1" w:rsidP="74F31E39">
      <w:pPr>
        <w:widowControl w:val="0"/>
        <w:jc w:val="both"/>
        <w:rPr>
          <w:i/>
          <w:iCs/>
          <w:lang w:eastAsia="lt-LT"/>
        </w:rPr>
      </w:pPr>
    </w:p>
    <w:p w14:paraId="5CA15C1B" w14:textId="110979EC" w:rsidR="5E871860" w:rsidRPr="006F512D" w:rsidRDefault="5E871860" w:rsidP="42399EE1">
      <w:pPr>
        <w:widowControl w:val="0"/>
        <w:jc w:val="both"/>
        <w:rPr>
          <w:i/>
          <w:iCs/>
          <w:lang w:val="en-US" w:eastAsia="lt-LT"/>
        </w:rPr>
      </w:pPr>
    </w:p>
    <w:p w14:paraId="209C3D18" w14:textId="19C8584F" w:rsidR="42399EE1" w:rsidRDefault="42399EE1" w:rsidP="42399EE1">
      <w:pPr>
        <w:widowControl w:val="0"/>
        <w:jc w:val="both"/>
        <w:rPr>
          <w:i/>
          <w:iCs/>
          <w:lang w:eastAsia="lt-LT"/>
        </w:rPr>
      </w:pPr>
    </w:p>
    <w:tbl>
      <w:tblPr>
        <w:tblW w:w="0" w:type="auto"/>
        <w:tblLayout w:type="fixed"/>
        <w:tblLook w:val="04A0" w:firstRow="1" w:lastRow="0" w:firstColumn="1" w:lastColumn="0" w:noHBand="0" w:noVBand="1"/>
      </w:tblPr>
      <w:tblGrid>
        <w:gridCol w:w="6255"/>
        <w:gridCol w:w="8865"/>
      </w:tblGrid>
      <w:tr w:rsidR="42399EE1" w14:paraId="58FEE424" w14:textId="77777777" w:rsidTr="1C92BD7D">
        <w:tc>
          <w:tcPr>
            <w:tcW w:w="6255" w:type="dxa"/>
            <w:tcBorders>
              <w:top w:val="single" w:sz="6" w:space="0" w:color="auto"/>
              <w:left w:val="single" w:sz="6" w:space="0" w:color="auto"/>
              <w:bottom w:val="single" w:sz="6" w:space="0" w:color="auto"/>
              <w:right w:val="single" w:sz="6" w:space="0" w:color="auto"/>
            </w:tcBorders>
          </w:tcPr>
          <w:p w14:paraId="37AC26BE" w14:textId="4846BFF2" w:rsidR="42399EE1" w:rsidRDefault="42399EE1" w:rsidP="42399EE1">
            <w:pPr>
              <w:jc w:val="both"/>
              <w:rPr>
                <w:rFonts w:ascii="Segoe UI" w:eastAsia="Segoe UI" w:hAnsi="Segoe UI" w:cs="Segoe UI"/>
                <w:color w:val="000000" w:themeColor="text1"/>
                <w:sz w:val="22"/>
                <w:szCs w:val="22"/>
                <w:lang w:val="en-GB"/>
              </w:rPr>
            </w:pPr>
            <w:r w:rsidRPr="42399EE1">
              <w:rPr>
                <w:rFonts w:ascii="Segoe UI" w:eastAsia="Segoe UI" w:hAnsi="Segoe UI" w:cs="Segoe UI"/>
                <w:b/>
                <w:bCs/>
                <w:color w:val="000000" w:themeColor="text1"/>
                <w:sz w:val="22"/>
                <w:szCs w:val="22"/>
              </w:rPr>
              <w:t>□ SPECIALUSIS PROJEKTŲ ATRANKOS KRITERIJUS</w:t>
            </w:r>
          </w:p>
          <w:p w14:paraId="2FECC1ED" w14:textId="168201DD" w:rsidR="42399EE1" w:rsidRDefault="42399EE1" w:rsidP="42399EE1">
            <w:pPr>
              <w:jc w:val="both"/>
              <w:rPr>
                <w:rFonts w:ascii="Segoe UI" w:eastAsia="Segoe UI" w:hAnsi="Segoe UI" w:cs="Segoe UI"/>
                <w:color w:val="000000" w:themeColor="text1"/>
                <w:sz w:val="22"/>
                <w:szCs w:val="22"/>
                <w:lang w:val="en-GB"/>
              </w:rPr>
            </w:pPr>
            <w:r w:rsidRPr="42399EE1">
              <w:rPr>
                <w:b/>
                <w:bCs/>
                <w:color w:val="000000" w:themeColor="text1"/>
                <w:szCs w:val="24"/>
              </w:rPr>
              <w:t>X</w:t>
            </w:r>
            <w:r w:rsidRPr="42399EE1">
              <w:rPr>
                <w:rFonts w:ascii="Segoe UI" w:eastAsia="Segoe UI" w:hAnsi="Segoe UI" w:cs="Segoe UI"/>
                <w:b/>
                <w:bCs/>
                <w:color w:val="000000" w:themeColor="text1"/>
                <w:sz w:val="22"/>
                <w:szCs w:val="22"/>
              </w:rPr>
              <w:t xml:space="preserve"> PRIORITETINIS PROJEKTŲ ATRANKOS KRITERIJUS</w:t>
            </w:r>
          </w:p>
          <w:p w14:paraId="5F504D50" w14:textId="48204C52" w:rsidR="42399EE1" w:rsidRDefault="42399EE1" w:rsidP="42399EE1">
            <w:pPr>
              <w:jc w:val="both"/>
              <w:rPr>
                <w:color w:val="000000" w:themeColor="text1"/>
                <w:szCs w:val="24"/>
                <w:lang w:val="en-GB"/>
              </w:rPr>
            </w:pPr>
            <w:r w:rsidRPr="42399EE1">
              <w:rPr>
                <w:i/>
                <w:iCs/>
                <w:color w:val="000000" w:themeColor="text1"/>
                <w:szCs w:val="24"/>
              </w:rPr>
              <w:t>(Pažymimas vienas iš galimų projektų atrankos kriterijų tipų.)</w:t>
            </w:r>
          </w:p>
        </w:tc>
        <w:tc>
          <w:tcPr>
            <w:tcW w:w="8865" w:type="dxa"/>
            <w:tcBorders>
              <w:top w:val="single" w:sz="6" w:space="0" w:color="auto"/>
              <w:left w:val="single" w:sz="6" w:space="0" w:color="auto"/>
              <w:bottom w:val="single" w:sz="6" w:space="0" w:color="auto"/>
              <w:right w:val="single" w:sz="6" w:space="0" w:color="auto"/>
            </w:tcBorders>
          </w:tcPr>
          <w:p w14:paraId="7618CE51" w14:textId="19CB5986" w:rsidR="42399EE1" w:rsidRDefault="42399EE1" w:rsidP="42399EE1">
            <w:pPr>
              <w:jc w:val="both"/>
              <w:rPr>
                <w:rFonts w:ascii="Segoe UI" w:eastAsia="Segoe UI" w:hAnsi="Segoe UI" w:cs="Segoe UI"/>
                <w:color w:val="000000" w:themeColor="text1"/>
                <w:szCs w:val="24"/>
                <w:lang w:val="en-GB"/>
              </w:rPr>
            </w:pPr>
            <w:r w:rsidRPr="42399EE1">
              <w:rPr>
                <w:b/>
                <w:bCs/>
                <w:color w:val="000000" w:themeColor="text1"/>
                <w:szCs w:val="24"/>
              </w:rPr>
              <w:t>X</w:t>
            </w:r>
            <w:r w:rsidRPr="42399EE1">
              <w:rPr>
                <w:rFonts w:ascii="Segoe UI" w:eastAsia="Segoe UI" w:hAnsi="Segoe UI" w:cs="Segoe UI"/>
                <w:b/>
                <w:bCs/>
                <w:color w:val="000000" w:themeColor="text1"/>
                <w:szCs w:val="24"/>
              </w:rPr>
              <w:t xml:space="preserve"> Nustatymas</w:t>
            </w:r>
          </w:p>
          <w:p w14:paraId="033C7845" w14:textId="6C682134" w:rsidR="42399EE1" w:rsidRDefault="42399EE1" w:rsidP="42399EE1">
            <w:pPr>
              <w:jc w:val="both"/>
              <w:rPr>
                <w:rFonts w:ascii="Segoe UI" w:eastAsia="Segoe UI" w:hAnsi="Segoe UI" w:cs="Segoe UI"/>
                <w:color w:val="000000" w:themeColor="text1"/>
                <w:szCs w:val="24"/>
                <w:lang w:val="en-GB"/>
              </w:rPr>
            </w:pPr>
            <w:r w:rsidRPr="42399EE1">
              <w:rPr>
                <w:rFonts w:ascii="Segoe UI" w:eastAsia="Segoe UI" w:hAnsi="Segoe UI" w:cs="Segoe UI"/>
                <w:b/>
                <w:bCs/>
                <w:color w:val="000000" w:themeColor="text1"/>
                <w:szCs w:val="24"/>
              </w:rPr>
              <w:t>□ Keitimas</w:t>
            </w:r>
          </w:p>
        </w:tc>
      </w:tr>
      <w:tr w:rsidR="42399EE1" w14:paraId="115CB7FA" w14:textId="77777777" w:rsidTr="1C92BD7D">
        <w:tc>
          <w:tcPr>
            <w:tcW w:w="6255" w:type="dxa"/>
            <w:tcBorders>
              <w:top w:val="single" w:sz="6" w:space="0" w:color="auto"/>
              <w:left w:val="single" w:sz="6" w:space="0" w:color="auto"/>
              <w:bottom w:val="single" w:sz="6" w:space="0" w:color="auto"/>
              <w:right w:val="single" w:sz="6" w:space="0" w:color="auto"/>
            </w:tcBorders>
            <w:vAlign w:val="center"/>
          </w:tcPr>
          <w:p w14:paraId="37A29EF6" w14:textId="359372EB" w:rsidR="42399EE1" w:rsidRPr="00524BAB" w:rsidRDefault="42399EE1" w:rsidP="42399EE1">
            <w:pPr>
              <w:rPr>
                <w:color w:val="000000" w:themeColor="text1"/>
                <w:szCs w:val="24"/>
                <w:lang w:val="en-GB"/>
              </w:rPr>
            </w:pPr>
            <w:r w:rsidRPr="00524BAB">
              <w:rPr>
                <w:b/>
                <w:bCs/>
                <w:color w:val="000000" w:themeColor="text1"/>
                <w:szCs w:val="24"/>
              </w:rPr>
              <w:t>Projektų atrankos kriterijaus numeris ir pavadinimas</w:t>
            </w:r>
          </w:p>
        </w:tc>
        <w:tc>
          <w:tcPr>
            <w:tcW w:w="8865" w:type="dxa"/>
            <w:tcBorders>
              <w:top w:val="single" w:sz="6" w:space="0" w:color="auto"/>
              <w:left w:val="single" w:sz="6" w:space="0" w:color="auto"/>
              <w:bottom w:val="single" w:sz="6" w:space="0" w:color="auto"/>
              <w:right w:val="single" w:sz="6" w:space="0" w:color="auto"/>
            </w:tcBorders>
          </w:tcPr>
          <w:p w14:paraId="6BE17CA2" w14:textId="62D2BD7E" w:rsidR="42399EE1" w:rsidRDefault="66E6FDE6" w:rsidP="74F31E39">
            <w:pPr>
              <w:jc w:val="both"/>
              <w:rPr>
                <w:color w:val="000000" w:themeColor="text1"/>
                <w:lang w:val="en-GB"/>
              </w:rPr>
            </w:pPr>
            <w:r w:rsidRPr="74F31E39">
              <w:rPr>
                <w:rStyle w:val="normaltextrun"/>
                <w:color w:val="000000"/>
                <w:lang w:val="en-US"/>
              </w:rPr>
              <w:t>2</w:t>
            </w:r>
            <w:r w:rsidR="00535952" w:rsidRPr="74F31E39">
              <w:rPr>
                <w:rStyle w:val="normaltextrun"/>
                <w:color w:val="000000"/>
                <w:lang w:val="en-US"/>
              </w:rPr>
              <w:t xml:space="preserve">. </w:t>
            </w:r>
            <w:r w:rsidR="006F512D">
              <w:rPr>
                <w:rStyle w:val="normaltextrun"/>
                <w:color w:val="000000"/>
                <w:shd w:val="clear" w:color="auto" w:fill="FFFFFF"/>
              </w:rPr>
              <w:t xml:space="preserve">Didžiausias metinis antros kartos biodegalų gamybos </w:t>
            </w:r>
            <w:r w:rsidR="006F512D" w:rsidRPr="006F512D">
              <w:rPr>
                <w:rStyle w:val="normaltextrun"/>
                <w:shd w:val="clear" w:color="auto" w:fill="FFFFFF"/>
              </w:rPr>
              <w:t>kiekis (</w:t>
            </w:r>
            <w:proofErr w:type="spellStart"/>
            <w:r w:rsidR="006F512D" w:rsidRPr="006F512D">
              <w:rPr>
                <w:rStyle w:val="normaltextrun"/>
                <w:u w:val="single"/>
                <w:shd w:val="clear" w:color="auto" w:fill="FFFFFF"/>
              </w:rPr>
              <w:t>tne</w:t>
            </w:r>
            <w:proofErr w:type="spellEnd"/>
            <w:r w:rsidR="006F512D" w:rsidRPr="006F512D">
              <w:rPr>
                <w:rStyle w:val="normaltextrun"/>
                <w:shd w:val="clear" w:color="auto" w:fill="FFFFFF"/>
              </w:rPr>
              <w:t xml:space="preserve">), </w:t>
            </w:r>
            <w:r w:rsidR="006F512D">
              <w:rPr>
                <w:rStyle w:val="normaltextrun"/>
                <w:color w:val="000000"/>
                <w:shd w:val="clear" w:color="auto" w:fill="FFFFFF"/>
              </w:rPr>
              <w:t>tenkantis vienam tūkstančiui viešųjų investicijų.</w:t>
            </w:r>
            <w:r w:rsidR="006F512D">
              <w:rPr>
                <w:rStyle w:val="eop"/>
                <w:color w:val="000000"/>
                <w:shd w:val="clear" w:color="auto" w:fill="FFFFFF"/>
              </w:rPr>
              <w:t> </w:t>
            </w:r>
          </w:p>
        </w:tc>
      </w:tr>
      <w:tr w:rsidR="42399EE1" w14:paraId="2E7B58D0" w14:textId="77777777" w:rsidTr="1C92BD7D">
        <w:tc>
          <w:tcPr>
            <w:tcW w:w="6255" w:type="dxa"/>
            <w:tcBorders>
              <w:top w:val="single" w:sz="6" w:space="0" w:color="auto"/>
              <w:left w:val="single" w:sz="6" w:space="0" w:color="auto"/>
              <w:bottom w:val="single" w:sz="6" w:space="0" w:color="auto"/>
              <w:right w:val="single" w:sz="6" w:space="0" w:color="auto"/>
            </w:tcBorders>
            <w:vAlign w:val="center"/>
          </w:tcPr>
          <w:p w14:paraId="0A5E03A3" w14:textId="23CEFBB5" w:rsidR="42399EE1" w:rsidRPr="00524BAB" w:rsidRDefault="42399EE1" w:rsidP="42399EE1">
            <w:pPr>
              <w:rPr>
                <w:color w:val="000000" w:themeColor="text1"/>
                <w:szCs w:val="24"/>
                <w:lang w:val="en-GB"/>
              </w:rPr>
            </w:pPr>
            <w:r w:rsidRPr="00524BAB">
              <w:rPr>
                <w:b/>
                <w:bCs/>
                <w:color w:val="000000" w:themeColor="text1"/>
                <w:szCs w:val="24"/>
              </w:rPr>
              <w:t>Projektų atrankos kriterijaus vertinimo metodas ir taikymas</w:t>
            </w:r>
          </w:p>
        </w:tc>
        <w:tc>
          <w:tcPr>
            <w:tcW w:w="8865" w:type="dxa"/>
            <w:tcBorders>
              <w:top w:val="single" w:sz="6" w:space="0" w:color="auto"/>
              <w:left w:val="single" w:sz="6" w:space="0" w:color="auto"/>
              <w:bottom w:val="single" w:sz="6" w:space="0" w:color="auto"/>
              <w:right w:val="single" w:sz="6" w:space="0" w:color="auto"/>
            </w:tcBorders>
          </w:tcPr>
          <w:p w14:paraId="6481A2DB" w14:textId="77777777" w:rsidR="00771269" w:rsidRDefault="00771269" w:rsidP="00771269">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Apskaičiuojamas ir įvertinamas per 2025 m. planuojamas pagaminti metinis antros kartos skystųjų biodegalų kiekis (</w:t>
            </w:r>
            <w:proofErr w:type="spellStart"/>
            <w:r>
              <w:rPr>
                <w:rStyle w:val="normaltextrun"/>
                <w:color w:val="000000"/>
              </w:rPr>
              <w:t>tne</w:t>
            </w:r>
            <w:proofErr w:type="spellEnd"/>
            <w:r>
              <w:rPr>
                <w:rStyle w:val="normaltextrun"/>
                <w:color w:val="000000"/>
              </w:rPr>
              <w:t>), tenkantis vienam tūkstančiui viešųjų investicijų (BGK).</w:t>
            </w:r>
            <w:r>
              <w:rPr>
                <w:rStyle w:val="eop"/>
                <w:color w:val="000000"/>
              </w:rPr>
              <w:t> </w:t>
            </w:r>
          </w:p>
          <w:p w14:paraId="5C518EEA" w14:textId="77777777" w:rsidR="00771269" w:rsidRDefault="00771269" w:rsidP="00771269">
            <w:pPr>
              <w:pStyle w:val="paragraph"/>
              <w:spacing w:before="0" w:beforeAutospacing="0" w:after="0" w:afterAutospacing="0"/>
              <w:jc w:val="both"/>
              <w:textAlignment w:val="baseline"/>
              <w:rPr>
                <w:rFonts w:ascii="Segoe UI" w:hAnsi="Segoe UI" w:cs="Segoe UI"/>
                <w:sz w:val="18"/>
                <w:szCs w:val="18"/>
              </w:rPr>
            </w:pPr>
            <w:r>
              <w:rPr>
                <w:rStyle w:val="eop"/>
                <w:color w:val="000000"/>
              </w:rPr>
              <w:t> </w:t>
            </w:r>
          </w:p>
          <w:p w14:paraId="3FE486C4" w14:textId="4A3E934D" w:rsidR="00771269" w:rsidRDefault="00771269" w:rsidP="00771269">
            <w:pPr>
              <w:pStyle w:val="paragraph"/>
              <w:spacing w:before="0" w:beforeAutospacing="0" w:after="0" w:afterAutospacing="0"/>
              <w:jc w:val="both"/>
              <w:textAlignment w:val="baseline"/>
              <w:rPr>
                <w:rFonts w:ascii="Segoe UI" w:hAnsi="Segoe UI" w:cs="Segoe UI"/>
                <w:sz w:val="18"/>
                <w:szCs w:val="18"/>
              </w:rPr>
            </w:pPr>
            <w:r>
              <w:rPr>
                <w:rStyle w:val="trackchangetextinsertion"/>
                <w:noProof/>
              </w:rPr>
              <w:lastRenderedPageBreak/>
              <w:drawing>
                <wp:inline distT="0" distB="0" distL="0" distR="0" wp14:anchorId="017AF124" wp14:editId="208C87B3">
                  <wp:extent cx="1859280" cy="3733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9280" cy="373380"/>
                          </a:xfrm>
                          <a:prstGeom prst="rect">
                            <a:avLst/>
                          </a:prstGeom>
                          <a:noFill/>
                          <a:ln>
                            <a:noFill/>
                          </a:ln>
                        </pic:spPr>
                      </pic:pic>
                    </a:graphicData>
                  </a:graphic>
                </wp:inline>
              </w:drawing>
            </w:r>
            <w:r>
              <w:rPr>
                <w:rStyle w:val="normaltextrun"/>
                <w:color w:val="000000"/>
              </w:rPr>
              <w:t>  </w:t>
            </w:r>
            <w:r>
              <w:rPr>
                <w:rStyle w:val="eop"/>
                <w:color w:val="000000"/>
              </w:rPr>
              <w:t> </w:t>
            </w:r>
          </w:p>
          <w:p w14:paraId="3D12EC4A" w14:textId="77777777" w:rsidR="00771269" w:rsidRPr="00FB1AEE" w:rsidRDefault="00771269" w:rsidP="00771269">
            <w:pPr>
              <w:pStyle w:val="paragraph"/>
              <w:spacing w:before="0" w:beforeAutospacing="0" w:after="0" w:afterAutospacing="0"/>
              <w:jc w:val="both"/>
              <w:textAlignment w:val="baseline"/>
              <w:rPr>
                <w:rFonts w:ascii="Segoe UI" w:hAnsi="Segoe UI" w:cs="Segoe UI"/>
                <w:sz w:val="18"/>
                <w:szCs w:val="18"/>
              </w:rPr>
            </w:pPr>
            <w:r>
              <w:rPr>
                <w:rStyle w:val="eop"/>
              </w:rPr>
              <w:t> </w:t>
            </w:r>
          </w:p>
          <w:p w14:paraId="19FF999E" w14:textId="6C09D2CD" w:rsidR="00771269" w:rsidRPr="00FB1AEE" w:rsidRDefault="00771269" w:rsidP="00771269">
            <w:pPr>
              <w:pStyle w:val="paragraph"/>
              <w:spacing w:before="0" w:beforeAutospacing="0" w:after="0" w:afterAutospacing="0"/>
              <w:jc w:val="both"/>
              <w:textAlignment w:val="baseline"/>
              <w:rPr>
                <w:rFonts w:ascii="Segoe UI" w:hAnsi="Segoe UI" w:cs="Segoe UI"/>
                <w:sz w:val="18"/>
                <w:szCs w:val="18"/>
              </w:rPr>
            </w:pPr>
            <w:r w:rsidRPr="00FB1AEE">
              <w:rPr>
                <w:rStyle w:val="normaltextrun"/>
                <w:i/>
                <w:iCs/>
              </w:rPr>
              <w:t>PGK</w:t>
            </w:r>
            <w:r w:rsidRPr="00FB1AEE">
              <w:rPr>
                <w:rStyle w:val="normaltextrun"/>
              </w:rPr>
              <w:t xml:space="preserve"> – planuojamas metinis biodegalų gamybos </w:t>
            </w:r>
            <w:r w:rsidRPr="001003A7">
              <w:rPr>
                <w:rStyle w:val="normaltextrun"/>
              </w:rPr>
              <w:t>kiekis (</w:t>
            </w:r>
            <w:proofErr w:type="spellStart"/>
            <w:r w:rsidRPr="001003A7">
              <w:rPr>
                <w:rStyle w:val="normaltextrun"/>
                <w:shd w:val="clear" w:color="auto" w:fill="FFFFFF"/>
              </w:rPr>
              <w:t>tne</w:t>
            </w:r>
            <w:proofErr w:type="spellEnd"/>
            <w:r w:rsidRPr="001003A7">
              <w:rPr>
                <w:rStyle w:val="normaltextrun"/>
                <w:shd w:val="clear" w:color="auto" w:fill="FFFFFF"/>
              </w:rPr>
              <w:t>)</w:t>
            </w:r>
            <w:r w:rsidRPr="001003A7">
              <w:rPr>
                <w:rStyle w:val="normaltextrun"/>
              </w:rPr>
              <w:t>;</w:t>
            </w:r>
            <w:r w:rsidRPr="00FB1AEE">
              <w:rPr>
                <w:rStyle w:val="eop"/>
              </w:rPr>
              <w:t> </w:t>
            </w:r>
          </w:p>
          <w:p w14:paraId="7DB507DB" w14:textId="77777777" w:rsidR="00771269" w:rsidRDefault="00771269" w:rsidP="00771269">
            <w:pPr>
              <w:pStyle w:val="paragraph"/>
              <w:spacing w:before="0" w:beforeAutospacing="0" w:after="0" w:afterAutospacing="0"/>
              <w:jc w:val="both"/>
              <w:textAlignment w:val="baseline"/>
              <w:rPr>
                <w:rFonts w:ascii="Segoe UI" w:hAnsi="Segoe UI" w:cs="Segoe UI"/>
                <w:sz w:val="18"/>
                <w:szCs w:val="18"/>
              </w:rPr>
            </w:pPr>
            <w:r>
              <w:rPr>
                <w:rStyle w:val="normaltextrun"/>
                <w:i/>
                <w:iCs/>
              </w:rPr>
              <w:t>BPI</w:t>
            </w:r>
            <w:r>
              <w:rPr>
                <w:rStyle w:val="normaltextrun"/>
              </w:rPr>
              <w:t xml:space="preserve"> – bendra projekto tinkamų finansuoti išlaidų suma, </w:t>
            </w:r>
            <w:r>
              <w:rPr>
                <w:rStyle w:val="normaltextrun"/>
                <w:color w:val="000000"/>
                <w:shd w:val="clear" w:color="auto" w:fill="FFFFFF"/>
              </w:rPr>
              <w:t xml:space="preserve">tūkst. </w:t>
            </w:r>
            <w:r>
              <w:rPr>
                <w:rStyle w:val="findhit"/>
                <w:color w:val="000000"/>
                <w:shd w:val="clear" w:color="auto" w:fill="FFFFFF"/>
              </w:rPr>
              <w:t>E</w:t>
            </w:r>
            <w:r>
              <w:rPr>
                <w:rStyle w:val="findhit"/>
              </w:rPr>
              <w:t>ur</w:t>
            </w:r>
            <w:r>
              <w:rPr>
                <w:rStyle w:val="normaltextrun"/>
              </w:rPr>
              <w:t>;</w:t>
            </w:r>
            <w:r>
              <w:rPr>
                <w:rStyle w:val="eop"/>
              </w:rPr>
              <w:t> </w:t>
            </w:r>
          </w:p>
          <w:p w14:paraId="24FB4503" w14:textId="77777777" w:rsidR="00771269" w:rsidRDefault="00771269" w:rsidP="00771269">
            <w:pPr>
              <w:pStyle w:val="paragraph"/>
              <w:spacing w:before="0" w:beforeAutospacing="0" w:after="0" w:afterAutospacing="0"/>
              <w:jc w:val="both"/>
              <w:textAlignment w:val="baseline"/>
              <w:rPr>
                <w:rFonts w:ascii="Segoe UI" w:hAnsi="Segoe UI" w:cs="Segoe UI"/>
                <w:sz w:val="18"/>
                <w:szCs w:val="18"/>
              </w:rPr>
            </w:pPr>
            <w:r>
              <w:rPr>
                <w:rStyle w:val="normaltextrun"/>
                <w:i/>
                <w:iCs/>
              </w:rPr>
              <w:t>FI%</w:t>
            </w:r>
            <w:r>
              <w:rPr>
                <w:rStyle w:val="normaltextrun"/>
              </w:rPr>
              <w:t xml:space="preserve"> - taikomas finansavimo intensyvumas, procentais. </w:t>
            </w:r>
            <w:r>
              <w:rPr>
                <w:rStyle w:val="eop"/>
              </w:rPr>
              <w:t> </w:t>
            </w:r>
          </w:p>
          <w:p w14:paraId="69FDF961" w14:textId="2232CB1F" w:rsidR="00771269" w:rsidRDefault="00771269" w:rsidP="00771269">
            <w:pPr>
              <w:pStyle w:val="paragraph"/>
              <w:spacing w:before="0" w:beforeAutospacing="0" w:after="0" w:afterAutospacing="0"/>
              <w:jc w:val="both"/>
              <w:textAlignment w:val="baseline"/>
              <w:rPr>
                <w:rFonts w:ascii="Segoe UI" w:hAnsi="Segoe UI" w:cs="Segoe UI"/>
                <w:sz w:val="18"/>
                <w:szCs w:val="18"/>
              </w:rPr>
            </w:pPr>
            <w:r>
              <w:rPr>
                <w:rStyle w:val="eop"/>
              </w:rPr>
              <w:t> </w:t>
            </w:r>
          </w:p>
          <w:p w14:paraId="4F54E6EA" w14:textId="59D4C868" w:rsidR="00771269" w:rsidRPr="000F2C29" w:rsidRDefault="00771269" w:rsidP="00771269">
            <w:pPr>
              <w:pStyle w:val="paragraph"/>
              <w:spacing w:before="0" w:beforeAutospacing="0" w:after="0" w:afterAutospacing="0"/>
              <w:jc w:val="both"/>
              <w:textAlignment w:val="baseline"/>
              <w:rPr>
                <w:rFonts w:ascii="Segoe UI" w:hAnsi="Segoe UI" w:cs="Segoe UI"/>
                <w:sz w:val="18"/>
                <w:szCs w:val="18"/>
              </w:rPr>
            </w:pPr>
            <w:r w:rsidRPr="000F2C29">
              <w:rPr>
                <w:rStyle w:val="normaltextrun"/>
              </w:rPr>
              <w:t>Jeigu BGK ≥ 4, skiriami 5 balai;</w:t>
            </w:r>
            <w:r w:rsidRPr="000F2C29">
              <w:rPr>
                <w:rStyle w:val="eop"/>
              </w:rPr>
              <w:t> </w:t>
            </w:r>
          </w:p>
          <w:p w14:paraId="072B6F56" w14:textId="531916CC" w:rsidR="00771269" w:rsidRPr="000F2C29" w:rsidRDefault="00771269" w:rsidP="00771269">
            <w:pPr>
              <w:pStyle w:val="paragraph"/>
              <w:spacing w:before="0" w:beforeAutospacing="0" w:after="0" w:afterAutospacing="0"/>
              <w:jc w:val="both"/>
              <w:textAlignment w:val="baseline"/>
              <w:rPr>
                <w:rFonts w:ascii="Segoe UI" w:hAnsi="Segoe UI" w:cs="Segoe UI"/>
                <w:sz w:val="18"/>
                <w:szCs w:val="18"/>
              </w:rPr>
            </w:pPr>
            <w:r w:rsidRPr="000F2C29">
              <w:rPr>
                <w:rStyle w:val="normaltextrun"/>
              </w:rPr>
              <w:t>Jeigu 3 ≤</w:t>
            </w:r>
            <w:r w:rsidRPr="000F2C29">
              <w:rPr>
                <w:rStyle w:val="normaltextrun"/>
                <w:rFonts w:ascii="Arial" w:hAnsi="Arial" w:cs="Arial"/>
                <w:sz w:val="48"/>
                <w:szCs w:val="48"/>
                <w:shd w:val="clear" w:color="auto" w:fill="FFFFFF"/>
              </w:rPr>
              <w:t xml:space="preserve"> </w:t>
            </w:r>
            <w:r w:rsidRPr="000F2C29">
              <w:rPr>
                <w:rStyle w:val="normaltextrun"/>
              </w:rPr>
              <w:t>BGK &lt; 4, skiriami 4 balai;</w:t>
            </w:r>
            <w:r w:rsidRPr="000F2C29">
              <w:rPr>
                <w:rStyle w:val="eop"/>
              </w:rPr>
              <w:t> </w:t>
            </w:r>
          </w:p>
          <w:p w14:paraId="285ADEEE" w14:textId="048C61DC" w:rsidR="00771269" w:rsidRPr="000F2C29" w:rsidRDefault="00771269" w:rsidP="00771269">
            <w:pPr>
              <w:pStyle w:val="paragraph"/>
              <w:spacing w:before="0" w:beforeAutospacing="0" w:after="0" w:afterAutospacing="0"/>
              <w:jc w:val="both"/>
              <w:textAlignment w:val="baseline"/>
              <w:rPr>
                <w:rFonts w:ascii="Segoe UI" w:hAnsi="Segoe UI" w:cs="Segoe UI"/>
                <w:sz w:val="18"/>
                <w:szCs w:val="18"/>
              </w:rPr>
            </w:pPr>
            <w:r w:rsidRPr="000F2C29">
              <w:rPr>
                <w:rStyle w:val="normaltextrun"/>
              </w:rPr>
              <w:t>Jeigu 2 ≤</w:t>
            </w:r>
            <w:r w:rsidRPr="000F2C29">
              <w:rPr>
                <w:rStyle w:val="normaltextrun"/>
                <w:rFonts w:ascii="Arial" w:hAnsi="Arial" w:cs="Arial"/>
                <w:sz w:val="48"/>
                <w:szCs w:val="48"/>
                <w:shd w:val="clear" w:color="auto" w:fill="FFFFFF"/>
              </w:rPr>
              <w:t xml:space="preserve"> </w:t>
            </w:r>
            <w:r w:rsidRPr="000F2C29">
              <w:rPr>
                <w:rStyle w:val="normaltextrun"/>
              </w:rPr>
              <w:t>BGK &lt; 3, skiriami 3 balai;</w:t>
            </w:r>
            <w:r w:rsidRPr="000F2C29">
              <w:rPr>
                <w:rStyle w:val="eop"/>
              </w:rPr>
              <w:t> </w:t>
            </w:r>
          </w:p>
          <w:p w14:paraId="41271C24" w14:textId="099CB73D" w:rsidR="00771269" w:rsidRPr="000F2C29" w:rsidRDefault="00771269" w:rsidP="00771269">
            <w:pPr>
              <w:pStyle w:val="paragraph"/>
              <w:spacing w:before="0" w:beforeAutospacing="0" w:after="0" w:afterAutospacing="0"/>
              <w:jc w:val="both"/>
              <w:textAlignment w:val="baseline"/>
              <w:rPr>
                <w:rFonts w:ascii="Segoe UI" w:hAnsi="Segoe UI" w:cs="Segoe UI"/>
                <w:sz w:val="18"/>
                <w:szCs w:val="18"/>
              </w:rPr>
            </w:pPr>
            <w:r w:rsidRPr="000F2C29">
              <w:rPr>
                <w:rStyle w:val="normaltextrun"/>
              </w:rPr>
              <w:t>Jeigu 1 ≤</w:t>
            </w:r>
            <w:r w:rsidRPr="000F2C29">
              <w:rPr>
                <w:rStyle w:val="normaltextrun"/>
                <w:rFonts w:ascii="Arial" w:hAnsi="Arial" w:cs="Arial"/>
                <w:sz w:val="48"/>
                <w:szCs w:val="48"/>
                <w:shd w:val="clear" w:color="auto" w:fill="FFFFFF"/>
              </w:rPr>
              <w:t xml:space="preserve"> </w:t>
            </w:r>
            <w:r w:rsidRPr="000F2C29">
              <w:rPr>
                <w:rStyle w:val="normaltextrun"/>
              </w:rPr>
              <w:t>BGK &lt; 2, skiriami 2 balai.</w:t>
            </w:r>
            <w:r w:rsidRPr="000F2C29">
              <w:rPr>
                <w:rStyle w:val="eop"/>
              </w:rPr>
              <w:t> </w:t>
            </w:r>
          </w:p>
          <w:p w14:paraId="146F5617" w14:textId="761FA02A" w:rsidR="00771269" w:rsidRPr="000F2C29" w:rsidRDefault="00771269" w:rsidP="00771269">
            <w:pPr>
              <w:pStyle w:val="paragraph"/>
              <w:spacing w:before="0" w:beforeAutospacing="0" w:after="0" w:afterAutospacing="0"/>
              <w:jc w:val="both"/>
              <w:textAlignment w:val="baseline"/>
              <w:rPr>
                <w:rFonts w:ascii="Segoe UI" w:hAnsi="Segoe UI" w:cs="Segoe UI"/>
                <w:sz w:val="18"/>
                <w:szCs w:val="18"/>
              </w:rPr>
            </w:pPr>
            <w:r w:rsidRPr="000F2C29">
              <w:rPr>
                <w:rStyle w:val="normaltextrun"/>
              </w:rPr>
              <w:t>Jeigu BGK &lt; 1, skiriamas 1 balas.</w:t>
            </w:r>
          </w:p>
          <w:p w14:paraId="256E890C" w14:textId="77777777" w:rsidR="00771269" w:rsidRDefault="00771269" w:rsidP="008B29D4">
            <w:pPr>
              <w:pStyle w:val="paragraph"/>
              <w:spacing w:before="0" w:beforeAutospacing="0" w:after="0" w:afterAutospacing="0"/>
              <w:jc w:val="both"/>
              <w:textAlignment w:val="baseline"/>
              <w:rPr>
                <w:rStyle w:val="normaltextrun"/>
              </w:rPr>
            </w:pPr>
          </w:p>
          <w:p w14:paraId="01A811E7" w14:textId="0BA66F8D" w:rsidR="42399EE1" w:rsidRPr="00910BC8" w:rsidRDefault="00EF6951" w:rsidP="00433243">
            <w:pPr>
              <w:pStyle w:val="paragraph"/>
              <w:spacing w:before="0" w:beforeAutospacing="0" w:after="0" w:afterAutospacing="0"/>
              <w:jc w:val="both"/>
              <w:textAlignment w:val="baseline"/>
              <w:rPr>
                <w:color w:val="000000" w:themeColor="text1"/>
              </w:rPr>
            </w:pPr>
            <w:r w:rsidRPr="74F31E39">
              <w:rPr>
                <w:rStyle w:val="normaltextrun"/>
              </w:rPr>
              <w:t>Kuo d</w:t>
            </w:r>
            <w:r w:rsidR="00FB1AEE" w:rsidRPr="74F31E39">
              <w:rPr>
                <w:rStyle w:val="normaltextrun"/>
              </w:rPr>
              <w:t xml:space="preserve">idesnis </w:t>
            </w:r>
            <w:r w:rsidR="00FB1AEE" w:rsidRPr="74F31E39">
              <w:rPr>
                <w:rStyle w:val="normaltextrun"/>
                <w:color w:val="000000" w:themeColor="text1"/>
              </w:rPr>
              <w:t>planuojamas pagaminti metinis antros kartos skystųjų biodegalų kiekis (</w:t>
            </w:r>
            <w:proofErr w:type="spellStart"/>
            <w:r w:rsidR="00FB1AEE" w:rsidRPr="74F31E39">
              <w:rPr>
                <w:rStyle w:val="normaltextrun"/>
                <w:color w:val="000000" w:themeColor="text1"/>
              </w:rPr>
              <w:t>tne</w:t>
            </w:r>
            <w:proofErr w:type="spellEnd"/>
            <w:r w:rsidR="00FB1AEE" w:rsidRPr="74F31E39">
              <w:rPr>
                <w:rStyle w:val="normaltextrun"/>
                <w:color w:val="000000" w:themeColor="text1"/>
              </w:rPr>
              <w:t>) tenka vienam tūkstančiui viešųjų investicijų</w:t>
            </w:r>
            <w:r w:rsidR="00FB75E6" w:rsidRPr="74F31E39">
              <w:rPr>
                <w:rStyle w:val="normaltextrun"/>
                <w:color w:val="000000" w:themeColor="text1"/>
              </w:rPr>
              <w:t>, tuo did</w:t>
            </w:r>
            <w:r w:rsidR="00D97DD1" w:rsidRPr="74F31E39">
              <w:rPr>
                <w:rStyle w:val="normaltextrun"/>
                <w:color w:val="000000" w:themeColor="text1"/>
              </w:rPr>
              <w:t xml:space="preserve">esnis </w:t>
            </w:r>
            <w:r w:rsidR="00BB1616" w:rsidRPr="74F31E39">
              <w:rPr>
                <w:rStyle w:val="normaltextrun"/>
              </w:rPr>
              <w:t xml:space="preserve">balas </w:t>
            </w:r>
            <w:r w:rsidR="00925188" w:rsidRPr="74F31E39">
              <w:rPr>
                <w:rStyle w:val="normaltextrun"/>
              </w:rPr>
              <w:t>su</w:t>
            </w:r>
            <w:r w:rsidR="00BB1616" w:rsidRPr="74F31E39">
              <w:rPr>
                <w:rStyle w:val="normaltextrun"/>
              </w:rPr>
              <w:t>teikiamas.</w:t>
            </w:r>
            <w:r w:rsidR="00712CA5" w:rsidRPr="00082C98" w:rsidDel="00712CA5">
              <w:t xml:space="preserve"> </w:t>
            </w:r>
          </w:p>
        </w:tc>
      </w:tr>
      <w:tr w:rsidR="42399EE1" w14:paraId="76336492" w14:textId="77777777" w:rsidTr="1C92BD7D">
        <w:tc>
          <w:tcPr>
            <w:tcW w:w="6255" w:type="dxa"/>
            <w:tcBorders>
              <w:top w:val="single" w:sz="6" w:space="0" w:color="auto"/>
              <w:left w:val="single" w:sz="6" w:space="0" w:color="auto"/>
              <w:bottom w:val="single" w:sz="6" w:space="0" w:color="auto"/>
              <w:right w:val="single" w:sz="6" w:space="0" w:color="auto"/>
            </w:tcBorders>
            <w:vAlign w:val="center"/>
          </w:tcPr>
          <w:p w14:paraId="00F315B6" w14:textId="71E45EF5" w:rsidR="42399EE1" w:rsidRDefault="42399EE1" w:rsidP="42399EE1">
            <w:pPr>
              <w:rPr>
                <w:color w:val="000000" w:themeColor="text1"/>
                <w:szCs w:val="24"/>
                <w:lang w:val="en-GB"/>
              </w:rPr>
            </w:pPr>
            <w:r w:rsidRPr="00524BAB">
              <w:rPr>
                <w:b/>
                <w:bCs/>
                <w:color w:val="000000" w:themeColor="text1"/>
                <w:szCs w:val="24"/>
              </w:rPr>
              <w:lastRenderedPageBreak/>
              <w:t>Projektų atrankos kriterijaus pasirinkimo pagrindimas</w:t>
            </w:r>
          </w:p>
        </w:tc>
        <w:tc>
          <w:tcPr>
            <w:tcW w:w="8865" w:type="dxa"/>
            <w:tcBorders>
              <w:top w:val="single" w:sz="6" w:space="0" w:color="auto"/>
              <w:left w:val="single" w:sz="6" w:space="0" w:color="auto"/>
              <w:bottom w:val="single" w:sz="6" w:space="0" w:color="auto"/>
              <w:right w:val="single" w:sz="6" w:space="0" w:color="auto"/>
            </w:tcBorders>
          </w:tcPr>
          <w:p w14:paraId="057C52AF" w14:textId="1BA5745C" w:rsidR="009F04E8" w:rsidRDefault="000C381A" w:rsidP="3067822F">
            <w:pPr>
              <w:jc w:val="both"/>
              <w:rPr>
                <w:color w:val="000000" w:themeColor="text1"/>
              </w:rPr>
            </w:pPr>
            <w:r w:rsidRPr="1C92BD7D">
              <w:rPr>
                <w:color w:val="000000" w:themeColor="text1"/>
              </w:rPr>
              <w:t xml:space="preserve">Kriterijus pasirinktas siekiant </w:t>
            </w:r>
            <w:r w:rsidR="001003A7" w:rsidRPr="1C92BD7D">
              <w:rPr>
                <w:color w:val="000000" w:themeColor="text1"/>
              </w:rPr>
              <w:t xml:space="preserve">finansuoti kuo daugiau </w:t>
            </w:r>
            <w:r w:rsidR="009F04E8" w:rsidRPr="1C92BD7D">
              <w:rPr>
                <w:color w:val="000000" w:themeColor="text1"/>
              </w:rPr>
              <w:t>projekt</w:t>
            </w:r>
            <w:r w:rsidR="001003A7" w:rsidRPr="1C92BD7D">
              <w:rPr>
                <w:color w:val="000000" w:themeColor="text1"/>
              </w:rPr>
              <w:t>ų</w:t>
            </w:r>
            <w:r w:rsidR="009F04E8" w:rsidRPr="1C92BD7D">
              <w:rPr>
                <w:color w:val="000000" w:themeColor="text1"/>
              </w:rPr>
              <w:t>, kurie geriausiai prisideda prie steb</w:t>
            </w:r>
            <w:r w:rsidR="001003A7" w:rsidRPr="1C92BD7D">
              <w:rPr>
                <w:color w:val="000000" w:themeColor="text1"/>
              </w:rPr>
              <w:t>ė</w:t>
            </w:r>
            <w:r w:rsidR="009F04E8" w:rsidRPr="1C92BD7D">
              <w:rPr>
                <w:color w:val="000000" w:themeColor="text1"/>
              </w:rPr>
              <w:t xml:space="preserve">senos rodiklio </w:t>
            </w:r>
            <w:r w:rsidR="001003A7" w:rsidRPr="1C92BD7D">
              <w:rPr>
                <w:color w:val="000000" w:themeColor="text1"/>
              </w:rPr>
              <w:t>„</w:t>
            </w:r>
            <w:r w:rsidR="009F04E8" w:rsidRPr="1C92BD7D">
              <w:rPr>
                <w:color w:val="000000" w:themeColor="text1"/>
              </w:rPr>
              <w:t>Papildomas metinis skystųjų antros kartos biodegalų gamybos kiekis</w:t>
            </w:r>
            <w:r w:rsidR="001003A7" w:rsidRPr="1C92BD7D">
              <w:rPr>
                <w:color w:val="000000" w:themeColor="text1"/>
              </w:rPr>
              <w:t>“</w:t>
            </w:r>
            <w:r w:rsidR="00717065" w:rsidRPr="1C92BD7D">
              <w:rPr>
                <w:color w:val="000000" w:themeColor="text1"/>
              </w:rPr>
              <w:t xml:space="preserve">, tai yra, mažiausiomis </w:t>
            </w:r>
            <w:r w:rsidR="002A529C" w:rsidRPr="1C92BD7D">
              <w:rPr>
                <w:color w:val="000000" w:themeColor="text1"/>
              </w:rPr>
              <w:t xml:space="preserve">viešųjų investicijų lėšomis užtikrinti </w:t>
            </w:r>
            <w:r w:rsidR="6008EB5F" w:rsidRPr="1C92BD7D">
              <w:rPr>
                <w:color w:val="000000" w:themeColor="text1"/>
              </w:rPr>
              <w:t>didžiausią</w:t>
            </w:r>
            <w:r w:rsidR="002A529C" w:rsidRPr="1C92BD7D">
              <w:rPr>
                <w:color w:val="000000" w:themeColor="text1"/>
              </w:rPr>
              <w:t xml:space="preserve"> pagaminamą </w:t>
            </w:r>
            <w:r w:rsidR="00341E7D" w:rsidRPr="1C92BD7D">
              <w:rPr>
                <w:color w:val="000000" w:themeColor="text1"/>
              </w:rPr>
              <w:t>metinį skystųjų antros kartos biodegalų kiekį.</w:t>
            </w:r>
            <w:r w:rsidR="7C3C2044" w:rsidRPr="1C92BD7D">
              <w:rPr>
                <w:color w:val="000000" w:themeColor="text1"/>
              </w:rPr>
              <w:t xml:space="preserve"> Taikant šį kriterijų taip pat skatinama konkurencija tarp atskirų projektų vykdytojų ir atrenkami tik ekonomiškai patys efektyviausi projektai. </w:t>
            </w:r>
          </w:p>
          <w:p w14:paraId="60E8EF78" w14:textId="25A12DE5" w:rsidR="42399EE1" w:rsidRPr="00C95BCD" w:rsidRDefault="42399EE1" w:rsidP="42399EE1">
            <w:pPr>
              <w:jc w:val="both"/>
              <w:rPr>
                <w:color w:val="000000" w:themeColor="text1"/>
                <w:szCs w:val="24"/>
              </w:rPr>
            </w:pPr>
          </w:p>
        </w:tc>
      </w:tr>
    </w:tbl>
    <w:p w14:paraId="432A1CF6" w14:textId="738C2DBD" w:rsidR="42399EE1" w:rsidRDefault="42399EE1" w:rsidP="42399EE1">
      <w:pPr>
        <w:widowControl w:val="0"/>
        <w:jc w:val="both"/>
        <w:rPr>
          <w:i/>
          <w:iCs/>
          <w:lang w:eastAsia="lt-LT"/>
        </w:rPr>
      </w:pPr>
    </w:p>
    <w:p w14:paraId="2A3CC53C" w14:textId="6D387AF5" w:rsidR="42399EE1" w:rsidRDefault="42399EE1" w:rsidP="42399EE1">
      <w:pPr>
        <w:widowControl w:val="0"/>
        <w:jc w:val="both"/>
        <w:rPr>
          <w:i/>
          <w:iCs/>
          <w:lang w:eastAsia="lt-LT"/>
        </w:rPr>
      </w:pPr>
    </w:p>
    <w:p w14:paraId="0D98CA7A" w14:textId="01C27BF1" w:rsidR="42399EE1" w:rsidRDefault="42399EE1" w:rsidP="42399EE1">
      <w:pPr>
        <w:widowControl w:val="0"/>
        <w:jc w:val="both"/>
        <w:rPr>
          <w:i/>
          <w:iCs/>
          <w:lang w:eastAsia="lt-LT"/>
        </w:rPr>
      </w:pPr>
    </w:p>
    <w:p w14:paraId="53EF8483" w14:textId="593A70A8" w:rsidR="42399EE1" w:rsidRDefault="42399EE1" w:rsidP="42399EE1">
      <w:pPr>
        <w:widowControl w:val="0"/>
        <w:jc w:val="both"/>
        <w:rPr>
          <w:i/>
          <w:iCs/>
          <w:lang w:eastAsia="lt-LT"/>
        </w:rPr>
      </w:pPr>
    </w:p>
    <w:tbl>
      <w:tblPr>
        <w:tblW w:w="0" w:type="auto"/>
        <w:tblBorders>
          <w:insideH w:val="single" w:sz="4" w:space="0" w:color="auto"/>
        </w:tblBorders>
        <w:tblLook w:val="04A0" w:firstRow="1" w:lastRow="0" w:firstColumn="1" w:lastColumn="0" w:noHBand="0" w:noVBand="1"/>
      </w:tblPr>
      <w:tblGrid>
        <w:gridCol w:w="5419"/>
        <w:gridCol w:w="1534"/>
        <w:gridCol w:w="3496"/>
        <w:gridCol w:w="1656"/>
        <w:gridCol w:w="3032"/>
      </w:tblGrid>
      <w:tr w:rsidR="007055DA" w14:paraId="777DE34B" w14:textId="77777777" w:rsidTr="1C92BD7D">
        <w:tc>
          <w:tcPr>
            <w:tcW w:w="5495" w:type="dxa"/>
            <w:tcBorders>
              <w:top w:val="nil"/>
              <w:left w:val="nil"/>
              <w:bottom w:val="single" w:sz="4" w:space="0" w:color="auto"/>
              <w:right w:val="nil"/>
            </w:tcBorders>
            <w:hideMark/>
          </w:tcPr>
          <w:p w14:paraId="790DA02E" w14:textId="77777777" w:rsidR="007055DA" w:rsidRDefault="007055DA">
            <w:pPr>
              <w:widowControl w:val="0"/>
              <w:spacing w:line="240" w:lineRule="exact"/>
              <w:jc w:val="both"/>
              <w:textAlignment w:val="baseline"/>
              <w:rPr>
                <w:szCs w:val="24"/>
              </w:rPr>
            </w:pPr>
            <w:r>
              <w:rPr>
                <w:szCs w:val="24"/>
              </w:rPr>
              <w:t>Viceministrė</w:t>
            </w:r>
          </w:p>
        </w:tc>
        <w:tc>
          <w:tcPr>
            <w:tcW w:w="1559" w:type="dxa"/>
          </w:tcPr>
          <w:p w14:paraId="1AC7048B" w14:textId="77777777" w:rsidR="007055DA" w:rsidRDefault="007055DA">
            <w:pPr>
              <w:widowControl w:val="0"/>
              <w:spacing w:line="240" w:lineRule="exact"/>
              <w:jc w:val="both"/>
              <w:textAlignment w:val="baseline"/>
              <w:rPr>
                <w:szCs w:val="24"/>
              </w:rPr>
            </w:pPr>
          </w:p>
        </w:tc>
        <w:tc>
          <w:tcPr>
            <w:tcW w:w="3544" w:type="dxa"/>
            <w:tcBorders>
              <w:top w:val="nil"/>
              <w:left w:val="nil"/>
              <w:bottom w:val="single" w:sz="4" w:space="0" w:color="auto"/>
              <w:right w:val="nil"/>
            </w:tcBorders>
          </w:tcPr>
          <w:p w14:paraId="6005F779" w14:textId="77777777" w:rsidR="007055DA" w:rsidRDefault="007055DA">
            <w:pPr>
              <w:widowControl w:val="0"/>
              <w:spacing w:line="240" w:lineRule="exact"/>
              <w:jc w:val="both"/>
              <w:textAlignment w:val="baseline"/>
              <w:rPr>
                <w:szCs w:val="24"/>
              </w:rPr>
            </w:pPr>
          </w:p>
        </w:tc>
        <w:tc>
          <w:tcPr>
            <w:tcW w:w="1684" w:type="dxa"/>
          </w:tcPr>
          <w:p w14:paraId="5FF3D8E3" w14:textId="77777777" w:rsidR="007055DA" w:rsidRDefault="007055DA">
            <w:pPr>
              <w:widowControl w:val="0"/>
              <w:spacing w:line="240" w:lineRule="exact"/>
              <w:jc w:val="both"/>
              <w:textAlignment w:val="baseline"/>
              <w:rPr>
                <w:szCs w:val="24"/>
              </w:rPr>
            </w:pPr>
          </w:p>
        </w:tc>
        <w:tc>
          <w:tcPr>
            <w:tcW w:w="3071" w:type="dxa"/>
            <w:tcBorders>
              <w:top w:val="nil"/>
              <w:left w:val="nil"/>
              <w:bottom w:val="single" w:sz="4" w:space="0" w:color="auto"/>
              <w:right w:val="nil"/>
            </w:tcBorders>
            <w:hideMark/>
          </w:tcPr>
          <w:p w14:paraId="28D466F1" w14:textId="356D9FC6" w:rsidR="007055DA" w:rsidRDefault="007055DA" w:rsidP="1C92BD7D">
            <w:pPr>
              <w:widowControl w:val="0"/>
              <w:spacing w:line="240" w:lineRule="exact"/>
              <w:jc w:val="both"/>
              <w:textAlignment w:val="baseline"/>
            </w:pPr>
          </w:p>
        </w:tc>
      </w:tr>
      <w:tr w:rsidR="007055DA" w14:paraId="7D362019" w14:textId="77777777" w:rsidTr="1C92BD7D">
        <w:tc>
          <w:tcPr>
            <w:tcW w:w="5495" w:type="dxa"/>
            <w:tcBorders>
              <w:top w:val="single" w:sz="4" w:space="0" w:color="auto"/>
              <w:left w:val="nil"/>
              <w:bottom w:val="nil"/>
              <w:right w:val="nil"/>
            </w:tcBorders>
            <w:hideMark/>
          </w:tcPr>
          <w:p w14:paraId="3385B9D8" w14:textId="77777777" w:rsidR="007055DA" w:rsidRDefault="007055DA">
            <w:pPr>
              <w:widowControl w:val="0"/>
              <w:spacing w:line="240" w:lineRule="exact"/>
              <w:jc w:val="center"/>
              <w:textAlignment w:val="baseline"/>
              <w:rPr>
                <w:szCs w:val="24"/>
              </w:rPr>
            </w:pPr>
            <w:r>
              <w:rPr>
                <w:sz w:val="22"/>
                <w:szCs w:val="22"/>
              </w:rPr>
              <w:t>(ministerijos atsakingo asmens pareigų pavadinimas)</w:t>
            </w:r>
          </w:p>
        </w:tc>
        <w:tc>
          <w:tcPr>
            <w:tcW w:w="1559" w:type="dxa"/>
          </w:tcPr>
          <w:p w14:paraId="2C376837" w14:textId="77777777" w:rsidR="007055DA" w:rsidRDefault="007055DA">
            <w:pPr>
              <w:widowControl w:val="0"/>
              <w:spacing w:line="240" w:lineRule="exact"/>
              <w:jc w:val="center"/>
              <w:textAlignment w:val="baseline"/>
              <w:rPr>
                <w:szCs w:val="24"/>
              </w:rPr>
            </w:pPr>
          </w:p>
        </w:tc>
        <w:tc>
          <w:tcPr>
            <w:tcW w:w="3544" w:type="dxa"/>
            <w:tcBorders>
              <w:top w:val="single" w:sz="4" w:space="0" w:color="auto"/>
              <w:left w:val="nil"/>
              <w:bottom w:val="nil"/>
              <w:right w:val="nil"/>
            </w:tcBorders>
            <w:hideMark/>
          </w:tcPr>
          <w:p w14:paraId="64A5CA2A" w14:textId="77777777" w:rsidR="007055DA" w:rsidRDefault="007055DA">
            <w:pPr>
              <w:widowControl w:val="0"/>
              <w:spacing w:line="240" w:lineRule="exact"/>
              <w:jc w:val="center"/>
              <w:textAlignment w:val="baseline"/>
              <w:rPr>
                <w:szCs w:val="24"/>
              </w:rPr>
            </w:pPr>
            <w:r>
              <w:rPr>
                <w:sz w:val="22"/>
                <w:szCs w:val="22"/>
              </w:rPr>
              <w:t>(parašas)</w:t>
            </w:r>
          </w:p>
        </w:tc>
        <w:tc>
          <w:tcPr>
            <w:tcW w:w="1684" w:type="dxa"/>
          </w:tcPr>
          <w:p w14:paraId="47499256" w14:textId="77777777" w:rsidR="007055DA" w:rsidRDefault="007055DA">
            <w:pPr>
              <w:widowControl w:val="0"/>
              <w:spacing w:line="240" w:lineRule="exact"/>
              <w:jc w:val="center"/>
              <w:textAlignment w:val="baseline"/>
              <w:rPr>
                <w:szCs w:val="24"/>
              </w:rPr>
            </w:pPr>
          </w:p>
        </w:tc>
        <w:tc>
          <w:tcPr>
            <w:tcW w:w="3071" w:type="dxa"/>
            <w:tcBorders>
              <w:top w:val="single" w:sz="4" w:space="0" w:color="auto"/>
              <w:left w:val="nil"/>
              <w:bottom w:val="nil"/>
              <w:right w:val="nil"/>
            </w:tcBorders>
            <w:hideMark/>
          </w:tcPr>
          <w:p w14:paraId="6C7FC85A" w14:textId="77777777" w:rsidR="007055DA" w:rsidRDefault="007055DA">
            <w:pPr>
              <w:widowControl w:val="0"/>
              <w:spacing w:line="240" w:lineRule="exact"/>
              <w:jc w:val="center"/>
              <w:textAlignment w:val="baseline"/>
              <w:rPr>
                <w:szCs w:val="24"/>
              </w:rPr>
            </w:pPr>
            <w:r>
              <w:rPr>
                <w:sz w:val="22"/>
                <w:szCs w:val="22"/>
              </w:rPr>
              <w:t>(vardas ir pavardė)</w:t>
            </w:r>
          </w:p>
        </w:tc>
      </w:tr>
    </w:tbl>
    <w:p w14:paraId="207A6595" w14:textId="77777777" w:rsidR="007055DA" w:rsidRDefault="007055DA" w:rsidP="007055DA">
      <w:pPr>
        <w:widowControl w:val="0"/>
        <w:spacing w:line="240" w:lineRule="exact"/>
        <w:ind w:firstLine="720"/>
        <w:jc w:val="center"/>
        <w:textAlignment w:val="baseline"/>
        <w:rPr>
          <w:sz w:val="22"/>
          <w:szCs w:val="24"/>
        </w:rPr>
      </w:pPr>
    </w:p>
    <w:p w14:paraId="1297BA68" w14:textId="77777777" w:rsidR="007055DA" w:rsidRDefault="007055DA" w:rsidP="007055DA">
      <w:pPr>
        <w:widowControl w:val="0"/>
        <w:spacing w:line="240" w:lineRule="exact"/>
        <w:jc w:val="center"/>
        <w:textAlignment w:val="baseline"/>
        <w:rPr>
          <w:sz w:val="22"/>
          <w:szCs w:val="24"/>
        </w:rPr>
      </w:pPr>
      <w:r>
        <w:rPr>
          <w:sz w:val="22"/>
          <w:szCs w:val="24"/>
        </w:rPr>
        <w:t>___________________________________________________________________</w:t>
      </w:r>
    </w:p>
    <w:p w14:paraId="61D6E0E0" w14:textId="77777777" w:rsidR="007055DA" w:rsidRDefault="007055DA" w:rsidP="007055DA">
      <w:pPr>
        <w:widowControl w:val="0"/>
        <w:spacing w:line="240" w:lineRule="exact"/>
        <w:jc w:val="both"/>
        <w:textAlignment w:val="baseline"/>
        <w:rPr>
          <w:szCs w:val="24"/>
        </w:rPr>
      </w:pPr>
    </w:p>
    <w:p w14:paraId="0BFD1754" w14:textId="03187945" w:rsidR="42399EE1" w:rsidRDefault="42399EE1" w:rsidP="42399EE1">
      <w:pPr>
        <w:widowControl w:val="0"/>
        <w:jc w:val="both"/>
        <w:rPr>
          <w:i/>
          <w:iCs/>
          <w:lang w:eastAsia="lt-LT"/>
        </w:rPr>
      </w:pPr>
    </w:p>
    <w:sectPr w:rsidR="42399EE1">
      <w:pgSz w:w="16838" w:h="11906" w:orient="landscape" w:code="9"/>
      <w:pgMar w:top="1134" w:right="567"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4137D"/>
    <w:multiLevelType w:val="hybridMultilevel"/>
    <w:tmpl w:val="6FEAD39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BC7A7B"/>
    <w:multiLevelType w:val="hybridMultilevel"/>
    <w:tmpl w:val="A5845232"/>
    <w:lvl w:ilvl="0" w:tplc="CDD4C600">
      <w:start w:val="1"/>
      <w:numFmt w:val="bullet"/>
      <w:lvlText w:val="ü"/>
      <w:lvlJc w:val="left"/>
      <w:pPr>
        <w:ind w:left="720" w:hanging="360"/>
      </w:pPr>
      <w:rPr>
        <w:rFonts w:ascii="Wingdings" w:hAnsi="Wingdings" w:hint="default"/>
      </w:rPr>
    </w:lvl>
    <w:lvl w:ilvl="1" w:tplc="95FC55A6">
      <w:start w:val="1"/>
      <w:numFmt w:val="bullet"/>
      <w:lvlText w:val="o"/>
      <w:lvlJc w:val="left"/>
      <w:pPr>
        <w:ind w:left="1440" w:hanging="360"/>
      </w:pPr>
      <w:rPr>
        <w:rFonts w:ascii="Courier New" w:hAnsi="Courier New" w:hint="default"/>
      </w:rPr>
    </w:lvl>
    <w:lvl w:ilvl="2" w:tplc="1A129384">
      <w:start w:val="1"/>
      <w:numFmt w:val="bullet"/>
      <w:lvlText w:val=""/>
      <w:lvlJc w:val="left"/>
      <w:pPr>
        <w:ind w:left="2160" w:hanging="360"/>
      </w:pPr>
      <w:rPr>
        <w:rFonts w:ascii="Wingdings" w:hAnsi="Wingdings" w:hint="default"/>
      </w:rPr>
    </w:lvl>
    <w:lvl w:ilvl="3" w:tplc="A5A8B6FC">
      <w:start w:val="1"/>
      <w:numFmt w:val="bullet"/>
      <w:lvlText w:val=""/>
      <w:lvlJc w:val="left"/>
      <w:pPr>
        <w:ind w:left="2880" w:hanging="360"/>
      </w:pPr>
      <w:rPr>
        <w:rFonts w:ascii="Symbol" w:hAnsi="Symbol" w:hint="default"/>
      </w:rPr>
    </w:lvl>
    <w:lvl w:ilvl="4" w:tplc="94FC02AA">
      <w:start w:val="1"/>
      <w:numFmt w:val="bullet"/>
      <w:lvlText w:val="o"/>
      <w:lvlJc w:val="left"/>
      <w:pPr>
        <w:ind w:left="3600" w:hanging="360"/>
      </w:pPr>
      <w:rPr>
        <w:rFonts w:ascii="Courier New" w:hAnsi="Courier New" w:hint="default"/>
      </w:rPr>
    </w:lvl>
    <w:lvl w:ilvl="5" w:tplc="76B44782">
      <w:start w:val="1"/>
      <w:numFmt w:val="bullet"/>
      <w:lvlText w:val=""/>
      <w:lvlJc w:val="left"/>
      <w:pPr>
        <w:ind w:left="4320" w:hanging="360"/>
      </w:pPr>
      <w:rPr>
        <w:rFonts w:ascii="Wingdings" w:hAnsi="Wingdings" w:hint="default"/>
      </w:rPr>
    </w:lvl>
    <w:lvl w:ilvl="6" w:tplc="B78062CE">
      <w:start w:val="1"/>
      <w:numFmt w:val="bullet"/>
      <w:lvlText w:val=""/>
      <w:lvlJc w:val="left"/>
      <w:pPr>
        <w:ind w:left="5040" w:hanging="360"/>
      </w:pPr>
      <w:rPr>
        <w:rFonts w:ascii="Symbol" w:hAnsi="Symbol" w:hint="default"/>
      </w:rPr>
    </w:lvl>
    <w:lvl w:ilvl="7" w:tplc="DCCCFE4C">
      <w:start w:val="1"/>
      <w:numFmt w:val="bullet"/>
      <w:lvlText w:val="o"/>
      <w:lvlJc w:val="left"/>
      <w:pPr>
        <w:ind w:left="5760" w:hanging="360"/>
      </w:pPr>
      <w:rPr>
        <w:rFonts w:ascii="Courier New" w:hAnsi="Courier New" w:hint="default"/>
      </w:rPr>
    </w:lvl>
    <w:lvl w:ilvl="8" w:tplc="64544838">
      <w:start w:val="1"/>
      <w:numFmt w:val="bullet"/>
      <w:lvlText w:val=""/>
      <w:lvlJc w:val="left"/>
      <w:pPr>
        <w:ind w:left="6480" w:hanging="360"/>
      </w:pPr>
      <w:rPr>
        <w:rFonts w:ascii="Wingdings" w:hAnsi="Wingdings" w:hint="default"/>
      </w:rPr>
    </w:lvl>
  </w:abstractNum>
  <w:abstractNum w:abstractNumId="2" w15:restartNumberingAfterBreak="0">
    <w:nsid w:val="24674B36"/>
    <w:multiLevelType w:val="hybridMultilevel"/>
    <w:tmpl w:val="541E614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4913C7"/>
    <w:multiLevelType w:val="hybridMultilevel"/>
    <w:tmpl w:val="00C0FE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D46C6F"/>
    <w:multiLevelType w:val="hybridMultilevel"/>
    <w:tmpl w:val="57DAC6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CCC7912"/>
    <w:multiLevelType w:val="hybridMultilevel"/>
    <w:tmpl w:val="09A8CE56"/>
    <w:lvl w:ilvl="0" w:tplc="7498777C">
      <w:start w:val="1"/>
      <w:numFmt w:val="bullet"/>
      <w:lvlText w:val="ü"/>
      <w:lvlJc w:val="left"/>
      <w:pPr>
        <w:ind w:left="720" w:hanging="360"/>
      </w:pPr>
      <w:rPr>
        <w:rFonts w:ascii="Wingdings" w:hAnsi="Wingdings" w:hint="default"/>
      </w:rPr>
    </w:lvl>
    <w:lvl w:ilvl="1" w:tplc="473C26E4">
      <w:start w:val="1"/>
      <w:numFmt w:val="bullet"/>
      <w:lvlText w:val="o"/>
      <w:lvlJc w:val="left"/>
      <w:pPr>
        <w:ind w:left="1440" w:hanging="360"/>
      </w:pPr>
      <w:rPr>
        <w:rFonts w:ascii="Courier New" w:hAnsi="Courier New" w:hint="default"/>
      </w:rPr>
    </w:lvl>
    <w:lvl w:ilvl="2" w:tplc="7784716E">
      <w:start w:val="1"/>
      <w:numFmt w:val="bullet"/>
      <w:lvlText w:val=""/>
      <w:lvlJc w:val="left"/>
      <w:pPr>
        <w:ind w:left="2160" w:hanging="360"/>
      </w:pPr>
      <w:rPr>
        <w:rFonts w:ascii="Wingdings" w:hAnsi="Wingdings" w:hint="default"/>
      </w:rPr>
    </w:lvl>
    <w:lvl w:ilvl="3" w:tplc="28546E84">
      <w:start w:val="1"/>
      <w:numFmt w:val="bullet"/>
      <w:lvlText w:val=""/>
      <w:lvlJc w:val="left"/>
      <w:pPr>
        <w:ind w:left="2880" w:hanging="360"/>
      </w:pPr>
      <w:rPr>
        <w:rFonts w:ascii="Symbol" w:hAnsi="Symbol" w:hint="default"/>
      </w:rPr>
    </w:lvl>
    <w:lvl w:ilvl="4" w:tplc="3E6AE2EC">
      <w:start w:val="1"/>
      <w:numFmt w:val="bullet"/>
      <w:lvlText w:val="o"/>
      <w:lvlJc w:val="left"/>
      <w:pPr>
        <w:ind w:left="3600" w:hanging="360"/>
      </w:pPr>
      <w:rPr>
        <w:rFonts w:ascii="Courier New" w:hAnsi="Courier New" w:hint="default"/>
      </w:rPr>
    </w:lvl>
    <w:lvl w:ilvl="5" w:tplc="38209518">
      <w:start w:val="1"/>
      <w:numFmt w:val="bullet"/>
      <w:lvlText w:val=""/>
      <w:lvlJc w:val="left"/>
      <w:pPr>
        <w:ind w:left="4320" w:hanging="360"/>
      </w:pPr>
      <w:rPr>
        <w:rFonts w:ascii="Wingdings" w:hAnsi="Wingdings" w:hint="default"/>
      </w:rPr>
    </w:lvl>
    <w:lvl w:ilvl="6" w:tplc="37820574">
      <w:start w:val="1"/>
      <w:numFmt w:val="bullet"/>
      <w:lvlText w:val=""/>
      <w:lvlJc w:val="left"/>
      <w:pPr>
        <w:ind w:left="5040" w:hanging="360"/>
      </w:pPr>
      <w:rPr>
        <w:rFonts w:ascii="Symbol" w:hAnsi="Symbol" w:hint="default"/>
      </w:rPr>
    </w:lvl>
    <w:lvl w:ilvl="7" w:tplc="8F960AD4">
      <w:start w:val="1"/>
      <w:numFmt w:val="bullet"/>
      <w:lvlText w:val="o"/>
      <w:lvlJc w:val="left"/>
      <w:pPr>
        <w:ind w:left="5760" w:hanging="360"/>
      </w:pPr>
      <w:rPr>
        <w:rFonts w:ascii="Courier New" w:hAnsi="Courier New" w:hint="default"/>
      </w:rPr>
    </w:lvl>
    <w:lvl w:ilvl="8" w:tplc="C1FA1C1E">
      <w:start w:val="1"/>
      <w:numFmt w:val="bullet"/>
      <w:lvlText w:val=""/>
      <w:lvlJc w:val="left"/>
      <w:pPr>
        <w:ind w:left="6480" w:hanging="360"/>
      </w:pPr>
      <w:rPr>
        <w:rFonts w:ascii="Wingdings" w:hAnsi="Wingdings" w:hint="default"/>
      </w:rPr>
    </w:lvl>
  </w:abstractNum>
  <w:abstractNum w:abstractNumId="6" w15:restartNumberingAfterBreak="0">
    <w:nsid w:val="6DC871C2"/>
    <w:multiLevelType w:val="multilevel"/>
    <w:tmpl w:val="9A84513E"/>
    <w:lvl w:ilvl="0">
      <w:start w:val="2"/>
      <w:numFmt w:val="decimal"/>
      <w:lvlText w:val="%1."/>
      <w:lvlJc w:val="left"/>
      <w:pPr>
        <w:ind w:left="540" w:hanging="540"/>
      </w:pPr>
    </w:lvl>
    <w:lvl w:ilvl="1">
      <w:start w:val="1"/>
      <w:numFmt w:val="decimal"/>
      <w:lvlText w:val="%1.%2."/>
      <w:lvlJc w:val="left"/>
      <w:pPr>
        <w:ind w:left="930" w:hanging="540"/>
      </w:pPr>
    </w:lvl>
    <w:lvl w:ilvl="2">
      <w:start w:val="1"/>
      <w:numFmt w:val="decimal"/>
      <w:lvlText w:val="%1.%2.%3."/>
      <w:lvlJc w:val="left"/>
      <w:pPr>
        <w:ind w:left="1146" w:hanging="720"/>
      </w:pPr>
    </w:lvl>
    <w:lvl w:ilvl="3">
      <w:start w:val="1"/>
      <w:numFmt w:val="decimal"/>
      <w:lvlText w:val="%1.%2.%3.%4."/>
      <w:lvlJc w:val="left"/>
      <w:pPr>
        <w:ind w:left="2138" w:hanging="720"/>
      </w:pPr>
      <w:rPr>
        <w:i w:val="0"/>
        <w:iCs w:val="0"/>
      </w:rPr>
    </w:lvl>
    <w:lvl w:ilvl="4">
      <w:start w:val="1"/>
      <w:numFmt w:val="decimal"/>
      <w:lvlText w:val="%1.%2.%3.%4.%5."/>
      <w:lvlJc w:val="left"/>
      <w:pPr>
        <w:ind w:left="2640" w:hanging="1080"/>
      </w:pPr>
    </w:lvl>
    <w:lvl w:ilvl="5">
      <w:start w:val="1"/>
      <w:numFmt w:val="decimal"/>
      <w:lvlText w:val="%1.%2.%3.%4.%5.%6."/>
      <w:lvlJc w:val="left"/>
      <w:pPr>
        <w:ind w:left="3030" w:hanging="1080"/>
      </w:pPr>
    </w:lvl>
    <w:lvl w:ilvl="6">
      <w:start w:val="1"/>
      <w:numFmt w:val="decimal"/>
      <w:lvlText w:val="%1.%2.%3.%4.%5.%6.%7."/>
      <w:lvlJc w:val="left"/>
      <w:pPr>
        <w:ind w:left="3780" w:hanging="1440"/>
      </w:pPr>
    </w:lvl>
    <w:lvl w:ilvl="7">
      <w:start w:val="1"/>
      <w:numFmt w:val="decimal"/>
      <w:lvlText w:val="%1.%2.%3.%4.%5.%6.%7.%8."/>
      <w:lvlJc w:val="left"/>
      <w:pPr>
        <w:ind w:left="4170" w:hanging="1440"/>
      </w:pPr>
    </w:lvl>
    <w:lvl w:ilvl="8">
      <w:start w:val="1"/>
      <w:numFmt w:val="decimal"/>
      <w:lvlText w:val="%1.%2.%3.%4.%5.%6.%7.%8.%9."/>
      <w:lvlJc w:val="left"/>
      <w:pPr>
        <w:ind w:left="4920" w:hanging="1800"/>
      </w:pPr>
    </w:lvl>
  </w:abstractNum>
  <w:abstractNum w:abstractNumId="7" w15:restartNumberingAfterBreak="0">
    <w:nsid w:val="7B8E5E05"/>
    <w:multiLevelType w:val="hybridMultilevel"/>
    <w:tmpl w:val="F80A3CA8"/>
    <w:lvl w:ilvl="0" w:tplc="5D5856C2">
      <w:start w:val="1"/>
      <w:numFmt w:val="bullet"/>
      <w:lvlText w:val="ü"/>
      <w:lvlJc w:val="left"/>
      <w:pPr>
        <w:ind w:left="720" w:hanging="360"/>
      </w:pPr>
      <w:rPr>
        <w:rFonts w:ascii="Wingdings" w:hAnsi="Wingdings" w:hint="default"/>
      </w:rPr>
    </w:lvl>
    <w:lvl w:ilvl="1" w:tplc="D00CE162">
      <w:start w:val="1"/>
      <w:numFmt w:val="bullet"/>
      <w:lvlText w:val="o"/>
      <w:lvlJc w:val="left"/>
      <w:pPr>
        <w:ind w:left="1440" w:hanging="360"/>
      </w:pPr>
      <w:rPr>
        <w:rFonts w:ascii="Courier New" w:hAnsi="Courier New" w:hint="default"/>
      </w:rPr>
    </w:lvl>
    <w:lvl w:ilvl="2" w:tplc="2EE67CEC">
      <w:start w:val="1"/>
      <w:numFmt w:val="bullet"/>
      <w:lvlText w:val=""/>
      <w:lvlJc w:val="left"/>
      <w:pPr>
        <w:ind w:left="2160" w:hanging="360"/>
      </w:pPr>
      <w:rPr>
        <w:rFonts w:ascii="Wingdings" w:hAnsi="Wingdings" w:hint="default"/>
      </w:rPr>
    </w:lvl>
    <w:lvl w:ilvl="3" w:tplc="F10E48E2">
      <w:start w:val="1"/>
      <w:numFmt w:val="bullet"/>
      <w:lvlText w:val=""/>
      <w:lvlJc w:val="left"/>
      <w:pPr>
        <w:ind w:left="2880" w:hanging="360"/>
      </w:pPr>
      <w:rPr>
        <w:rFonts w:ascii="Symbol" w:hAnsi="Symbol" w:hint="default"/>
      </w:rPr>
    </w:lvl>
    <w:lvl w:ilvl="4" w:tplc="7D0EE89E">
      <w:start w:val="1"/>
      <w:numFmt w:val="bullet"/>
      <w:lvlText w:val="o"/>
      <w:lvlJc w:val="left"/>
      <w:pPr>
        <w:ind w:left="3600" w:hanging="360"/>
      </w:pPr>
      <w:rPr>
        <w:rFonts w:ascii="Courier New" w:hAnsi="Courier New" w:hint="default"/>
      </w:rPr>
    </w:lvl>
    <w:lvl w:ilvl="5" w:tplc="B4861ED2">
      <w:start w:val="1"/>
      <w:numFmt w:val="bullet"/>
      <w:lvlText w:val=""/>
      <w:lvlJc w:val="left"/>
      <w:pPr>
        <w:ind w:left="4320" w:hanging="360"/>
      </w:pPr>
      <w:rPr>
        <w:rFonts w:ascii="Wingdings" w:hAnsi="Wingdings" w:hint="default"/>
      </w:rPr>
    </w:lvl>
    <w:lvl w:ilvl="6" w:tplc="B0124B0C">
      <w:start w:val="1"/>
      <w:numFmt w:val="bullet"/>
      <w:lvlText w:val=""/>
      <w:lvlJc w:val="left"/>
      <w:pPr>
        <w:ind w:left="5040" w:hanging="360"/>
      </w:pPr>
      <w:rPr>
        <w:rFonts w:ascii="Symbol" w:hAnsi="Symbol" w:hint="default"/>
      </w:rPr>
    </w:lvl>
    <w:lvl w:ilvl="7" w:tplc="64F6BAFE">
      <w:start w:val="1"/>
      <w:numFmt w:val="bullet"/>
      <w:lvlText w:val="o"/>
      <w:lvlJc w:val="left"/>
      <w:pPr>
        <w:ind w:left="5760" w:hanging="360"/>
      </w:pPr>
      <w:rPr>
        <w:rFonts w:ascii="Courier New" w:hAnsi="Courier New" w:hint="default"/>
      </w:rPr>
    </w:lvl>
    <w:lvl w:ilvl="8" w:tplc="3360427C">
      <w:start w:val="1"/>
      <w:numFmt w:val="bullet"/>
      <w:lvlText w:val=""/>
      <w:lvlJc w:val="left"/>
      <w:pPr>
        <w:ind w:left="6480" w:hanging="360"/>
      </w:pPr>
      <w:rPr>
        <w:rFonts w:ascii="Wingdings" w:hAnsi="Wingdings" w:hint="default"/>
      </w:rPr>
    </w:lvl>
  </w:abstractNum>
  <w:num w:numId="1" w16cid:durableId="2082869582">
    <w:abstractNumId w:val="5"/>
  </w:num>
  <w:num w:numId="2" w16cid:durableId="1132793456">
    <w:abstractNumId w:val="7"/>
  </w:num>
  <w:num w:numId="3" w16cid:durableId="950165256">
    <w:abstractNumId w:val="1"/>
  </w:num>
  <w:num w:numId="4" w16cid:durableId="1992059810">
    <w:abstractNumId w:val="6"/>
  </w:num>
  <w:num w:numId="5" w16cid:durableId="1238318356">
    <w:abstractNumId w:val="4"/>
  </w:num>
  <w:num w:numId="6" w16cid:durableId="1803108163">
    <w:abstractNumId w:val="3"/>
  </w:num>
  <w:num w:numId="7" w16cid:durableId="782381826">
    <w:abstractNumId w:val="0"/>
  </w:num>
  <w:num w:numId="8" w16cid:durableId="19653805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oNotShadeFormData/>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ECA"/>
    <w:rsid w:val="00015255"/>
    <w:rsid w:val="0002196B"/>
    <w:rsid w:val="00022261"/>
    <w:rsid w:val="00040701"/>
    <w:rsid w:val="00045450"/>
    <w:rsid w:val="00065EF8"/>
    <w:rsid w:val="00074229"/>
    <w:rsid w:val="00080139"/>
    <w:rsid w:val="00082C98"/>
    <w:rsid w:val="00095C59"/>
    <w:rsid w:val="000A5995"/>
    <w:rsid w:val="000B5101"/>
    <w:rsid w:val="000B53E4"/>
    <w:rsid w:val="000C381A"/>
    <w:rsid w:val="000C6CD2"/>
    <w:rsid w:val="000D1754"/>
    <w:rsid w:val="000F178C"/>
    <w:rsid w:val="000F184E"/>
    <w:rsid w:val="000F2C29"/>
    <w:rsid w:val="001003A7"/>
    <w:rsid w:val="00103ABD"/>
    <w:rsid w:val="00105A7C"/>
    <w:rsid w:val="00116FC5"/>
    <w:rsid w:val="00123497"/>
    <w:rsid w:val="00134B6E"/>
    <w:rsid w:val="00135E5D"/>
    <w:rsid w:val="00137CFE"/>
    <w:rsid w:val="0015170E"/>
    <w:rsid w:val="00170D57"/>
    <w:rsid w:val="001732A7"/>
    <w:rsid w:val="00182988"/>
    <w:rsid w:val="001901D7"/>
    <w:rsid w:val="001947FE"/>
    <w:rsid w:val="001952B6"/>
    <w:rsid w:val="001A525F"/>
    <w:rsid w:val="001A674E"/>
    <w:rsid w:val="001B34A0"/>
    <w:rsid w:val="001C3B76"/>
    <w:rsid w:val="001C50C6"/>
    <w:rsid w:val="001E08EA"/>
    <w:rsid w:val="001E1AD0"/>
    <w:rsid w:val="001E2079"/>
    <w:rsid w:val="001F698B"/>
    <w:rsid w:val="00202416"/>
    <w:rsid w:val="00236A7F"/>
    <w:rsid w:val="002407D4"/>
    <w:rsid w:val="00250D9C"/>
    <w:rsid w:val="002513F8"/>
    <w:rsid w:val="00264A20"/>
    <w:rsid w:val="00271C87"/>
    <w:rsid w:val="00297BBC"/>
    <w:rsid w:val="002A0240"/>
    <w:rsid w:val="002A0712"/>
    <w:rsid w:val="002A529C"/>
    <w:rsid w:val="002B30C9"/>
    <w:rsid w:val="002C76CD"/>
    <w:rsid w:val="002E2CC2"/>
    <w:rsid w:val="002E398B"/>
    <w:rsid w:val="002F29D5"/>
    <w:rsid w:val="002F699C"/>
    <w:rsid w:val="00314E1C"/>
    <w:rsid w:val="00321978"/>
    <w:rsid w:val="00336273"/>
    <w:rsid w:val="003419E7"/>
    <w:rsid w:val="00341E7D"/>
    <w:rsid w:val="00347C71"/>
    <w:rsid w:val="00361A64"/>
    <w:rsid w:val="00364FBC"/>
    <w:rsid w:val="00382AFF"/>
    <w:rsid w:val="0038677A"/>
    <w:rsid w:val="003A453F"/>
    <w:rsid w:val="003A7D5A"/>
    <w:rsid w:val="003B3F14"/>
    <w:rsid w:val="003C31AF"/>
    <w:rsid w:val="003C643A"/>
    <w:rsid w:val="003E08F8"/>
    <w:rsid w:val="003E57F1"/>
    <w:rsid w:val="003F1CA2"/>
    <w:rsid w:val="0040250F"/>
    <w:rsid w:val="004165B6"/>
    <w:rsid w:val="00433243"/>
    <w:rsid w:val="00474855"/>
    <w:rsid w:val="00474903"/>
    <w:rsid w:val="00491AB2"/>
    <w:rsid w:val="004D2B65"/>
    <w:rsid w:val="004D7752"/>
    <w:rsid w:val="004E16B6"/>
    <w:rsid w:val="004F4367"/>
    <w:rsid w:val="00513F0D"/>
    <w:rsid w:val="0051638A"/>
    <w:rsid w:val="005211FD"/>
    <w:rsid w:val="00524BAB"/>
    <w:rsid w:val="00535952"/>
    <w:rsid w:val="00555C98"/>
    <w:rsid w:val="00566D6E"/>
    <w:rsid w:val="0058095D"/>
    <w:rsid w:val="00580B5E"/>
    <w:rsid w:val="00596876"/>
    <w:rsid w:val="00597E45"/>
    <w:rsid w:val="005A0DF5"/>
    <w:rsid w:val="005C06AD"/>
    <w:rsid w:val="005C7182"/>
    <w:rsid w:val="005D0294"/>
    <w:rsid w:val="005D1284"/>
    <w:rsid w:val="00610843"/>
    <w:rsid w:val="00612D28"/>
    <w:rsid w:val="0061632C"/>
    <w:rsid w:val="00620A23"/>
    <w:rsid w:val="00624731"/>
    <w:rsid w:val="006377BF"/>
    <w:rsid w:val="006459BD"/>
    <w:rsid w:val="006631C9"/>
    <w:rsid w:val="00677E40"/>
    <w:rsid w:val="006842F0"/>
    <w:rsid w:val="0068510F"/>
    <w:rsid w:val="00685338"/>
    <w:rsid w:val="006A6DF1"/>
    <w:rsid w:val="006B7330"/>
    <w:rsid w:val="006C0287"/>
    <w:rsid w:val="006C78AD"/>
    <w:rsid w:val="006D5A0F"/>
    <w:rsid w:val="006D610B"/>
    <w:rsid w:val="006F512D"/>
    <w:rsid w:val="006F5771"/>
    <w:rsid w:val="00702F0C"/>
    <w:rsid w:val="007055DA"/>
    <w:rsid w:val="00707A60"/>
    <w:rsid w:val="007120E1"/>
    <w:rsid w:val="00712CA5"/>
    <w:rsid w:val="00717065"/>
    <w:rsid w:val="00723126"/>
    <w:rsid w:val="00736980"/>
    <w:rsid w:val="00737EB1"/>
    <w:rsid w:val="00741B23"/>
    <w:rsid w:val="00742323"/>
    <w:rsid w:val="00746C60"/>
    <w:rsid w:val="00752A72"/>
    <w:rsid w:val="00771269"/>
    <w:rsid w:val="00780F69"/>
    <w:rsid w:val="00783FA9"/>
    <w:rsid w:val="00796542"/>
    <w:rsid w:val="007A677C"/>
    <w:rsid w:val="007B6BB7"/>
    <w:rsid w:val="007B7A1B"/>
    <w:rsid w:val="007D48C4"/>
    <w:rsid w:val="007D4CCE"/>
    <w:rsid w:val="007E11DD"/>
    <w:rsid w:val="007E1A8D"/>
    <w:rsid w:val="007E4F34"/>
    <w:rsid w:val="007E73D1"/>
    <w:rsid w:val="007F144D"/>
    <w:rsid w:val="007F47DA"/>
    <w:rsid w:val="00803660"/>
    <w:rsid w:val="00811D13"/>
    <w:rsid w:val="00816F4C"/>
    <w:rsid w:val="008343A6"/>
    <w:rsid w:val="00844709"/>
    <w:rsid w:val="00856AF8"/>
    <w:rsid w:val="00863BFF"/>
    <w:rsid w:val="00866786"/>
    <w:rsid w:val="008736D5"/>
    <w:rsid w:val="00875363"/>
    <w:rsid w:val="0088499B"/>
    <w:rsid w:val="00884B61"/>
    <w:rsid w:val="00891CB1"/>
    <w:rsid w:val="00893CA3"/>
    <w:rsid w:val="00896725"/>
    <w:rsid w:val="008A231E"/>
    <w:rsid w:val="008B29D4"/>
    <w:rsid w:val="008C58F1"/>
    <w:rsid w:val="008D1514"/>
    <w:rsid w:val="008D2457"/>
    <w:rsid w:val="008D6DBC"/>
    <w:rsid w:val="008E25C0"/>
    <w:rsid w:val="008E42C6"/>
    <w:rsid w:val="008E6B59"/>
    <w:rsid w:val="008F2DF8"/>
    <w:rsid w:val="008F5889"/>
    <w:rsid w:val="00910BC8"/>
    <w:rsid w:val="009162A6"/>
    <w:rsid w:val="00925188"/>
    <w:rsid w:val="00927E04"/>
    <w:rsid w:val="00932534"/>
    <w:rsid w:val="00952219"/>
    <w:rsid w:val="00960BD2"/>
    <w:rsid w:val="00971780"/>
    <w:rsid w:val="00982039"/>
    <w:rsid w:val="00986111"/>
    <w:rsid w:val="0098759B"/>
    <w:rsid w:val="009C0A44"/>
    <w:rsid w:val="009C2FEA"/>
    <w:rsid w:val="009C7420"/>
    <w:rsid w:val="009D0E78"/>
    <w:rsid w:val="009D0F90"/>
    <w:rsid w:val="009D5A2F"/>
    <w:rsid w:val="009D61AA"/>
    <w:rsid w:val="009D7F0D"/>
    <w:rsid w:val="009E4201"/>
    <w:rsid w:val="009E4598"/>
    <w:rsid w:val="009F04E8"/>
    <w:rsid w:val="00A10522"/>
    <w:rsid w:val="00A1061C"/>
    <w:rsid w:val="00A316B3"/>
    <w:rsid w:val="00A3371E"/>
    <w:rsid w:val="00A444F7"/>
    <w:rsid w:val="00A44A72"/>
    <w:rsid w:val="00A74369"/>
    <w:rsid w:val="00A8398A"/>
    <w:rsid w:val="00A878E8"/>
    <w:rsid w:val="00A93654"/>
    <w:rsid w:val="00A959AA"/>
    <w:rsid w:val="00AB4D2E"/>
    <w:rsid w:val="00AD0870"/>
    <w:rsid w:val="00B00B21"/>
    <w:rsid w:val="00B16192"/>
    <w:rsid w:val="00B161E8"/>
    <w:rsid w:val="00B56BB4"/>
    <w:rsid w:val="00B57A4F"/>
    <w:rsid w:val="00B60B9C"/>
    <w:rsid w:val="00B741CF"/>
    <w:rsid w:val="00B86EB5"/>
    <w:rsid w:val="00BA01FC"/>
    <w:rsid w:val="00BA6FE1"/>
    <w:rsid w:val="00BB1616"/>
    <w:rsid w:val="00BC3B53"/>
    <w:rsid w:val="00BC64AC"/>
    <w:rsid w:val="00BF58D6"/>
    <w:rsid w:val="00C115C9"/>
    <w:rsid w:val="00C14008"/>
    <w:rsid w:val="00C2322C"/>
    <w:rsid w:val="00C27384"/>
    <w:rsid w:val="00C2752F"/>
    <w:rsid w:val="00C304E4"/>
    <w:rsid w:val="00C46C05"/>
    <w:rsid w:val="00C6094E"/>
    <w:rsid w:val="00C64EB9"/>
    <w:rsid w:val="00C679DA"/>
    <w:rsid w:val="00C70D3F"/>
    <w:rsid w:val="00C80DED"/>
    <w:rsid w:val="00C8709A"/>
    <w:rsid w:val="00C95BCD"/>
    <w:rsid w:val="00CB2324"/>
    <w:rsid w:val="00CB508D"/>
    <w:rsid w:val="00CB7CAE"/>
    <w:rsid w:val="00CC1C35"/>
    <w:rsid w:val="00CC43A7"/>
    <w:rsid w:val="00CC54C9"/>
    <w:rsid w:val="00CD6D99"/>
    <w:rsid w:val="00D32F8A"/>
    <w:rsid w:val="00D35519"/>
    <w:rsid w:val="00D6111E"/>
    <w:rsid w:val="00D877D0"/>
    <w:rsid w:val="00D87930"/>
    <w:rsid w:val="00D91198"/>
    <w:rsid w:val="00D97DD1"/>
    <w:rsid w:val="00DD0021"/>
    <w:rsid w:val="00DD2CB9"/>
    <w:rsid w:val="00DE1655"/>
    <w:rsid w:val="00DE6D71"/>
    <w:rsid w:val="00E05617"/>
    <w:rsid w:val="00E07E21"/>
    <w:rsid w:val="00E07F3D"/>
    <w:rsid w:val="00E17ECA"/>
    <w:rsid w:val="00E21B0D"/>
    <w:rsid w:val="00E46820"/>
    <w:rsid w:val="00E5100D"/>
    <w:rsid w:val="00E66A80"/>
    <w:rsid w:val="00E70D64"/>
    <w:rsid w:val="00E77080"/>
    <w:rsid w:val="00E84EDB"/>
    <w:rsid w:val="00E869C1"/>
    <w:rsid w:val="00E86FC7"/>
    <w:rsid w:val="00EA2110"/>
    <w:rsid w:val="00EA4403"/>
    <w:rsid w:val="00EA6368"/>
    <w:rsid w:val="00EB4134"/>
    <w:rsid w:val="00EC67D4"/>
    <w:rsid w:val="00ED0CD0"/>
    <w:rsid w:val="00ED67E6"/>
    <w:rsid w:val="00EE15A9"/>
    <w:rsid w:val="00EF6951"/>
    <w:rsid w:val="00F005AD"/>
    <w:rsid w:val="00F136D2"/>
    <w:rsid w:val="00F21BC4"/>
    <w:rsid w:val="00F25E35"/>
    <w:rsid w:val="00F37168"/>
    <w:rsid w:val="00F44434"/>
    <w:rsid w:val="00F5125F"/>
    <w:rsid w:val="00F521BD"/>
    <w:rsid w:val="00F76ABD"/>
    <w:rsid w:val="00F876C5"/>
    <w:rsid w:val="00F9369D"/>
    <w:rsid w:val="00FA3CEC"/>
    <w:rsid w:val="00FB1AEE"/>
    <w:rsid w:val="00FB1DED"/>
    <w:rsid w:val="00FB75E6"/>
    <w:rsid w:val="00FC0032"/>
    <w:rsid w:val="00FC1E58"/>
    <w:rsid w:val="00FC77DF"/>
    <w:rsid w:val="00FD692F"/>
    <w:rsid w:val="00FE451B"/>
    <w:rsid w:val="00FE5C21"/>
    <w:rsid w:val="02444CA3"/>
    <w:rsid w:val="0384231E"/>
    <w:rsid w:val="04EC5525"/>
    <w:rsid w:val="056D1ABF"/>
    <w:rsid w:val="056D9878"/>
    <w:rsid w:val="062412CC"/>
    <w:rsid w:val="07AC7CEE"/>
    <w:rsid w:val="09484D4F"/>
    <w:rsid w:val="095BB38E"/>
    <w:rsid w:val="0A2FAD2F"/>
    <w:rsid w:val="0A781DE8"/>
    <w:rsid w:val="0B54A63D"/>
    <w:rsid w:val="0C7FEE11"/>
    <w:rsid w:val="0DE035A2"/>
    <w:rsid w:val="0E1BBE72"/>
    <w:rsid w:val="0E7FFF9A"/>
    <w:rsid w:val="101BCFFB"/>
    <w:rsid w:val="166F1956"/>
    <w:rsid w:val="16E179D7"/>
    <w:rsid w:val="1737D863"/>
    <w:rsid w:val="17E69A38"/>
    <w:rsid w:val="18B663AB"/>
    <w:rsid w:val="1BBE3A25"/>
    <w:rsid w:val="1BE8424F"/>
    <w:rsid w:val="1C92BD7D"/>
    <w:rsid w:val="1CF24D44"/>
    <w:rsid w:val="1E41690B"/>
    <w:rsid w:val="1F5CD1E8"/>
    <w:rsid w:val="20AE5BC4"/>
    <w:rsid w:val="244CFA71"/>
    <w:rsid w:val="2717BD41"/>
    <w:rsid w:val="28B38DA2"/>
    <w:rsid w:val="2AB370A1"/>
    <w:rsid w:val="3067822F"/>
    <w:rsid w:val="31AAD3A3"/>
    <w:rsid w:val="320FB977"/>
    <w:rsid w:val="33DC7A98"/>
    <w:rsid w:val="3685A513"/>
    <w:rsid w:val="3B2DA69F"/>
    <w:rsid w:val="3D9F1F6D"/>
    <w:rsid w:val="3DB1CEEB"/>
    <w:rsid w:val="3E77BD25"/>
    <w:rsid w:val="40189B3F"/>
    <w:rsid w:val="40D40E01"/>
    <w:rsid w:val="41C8E4F3"/>
    <w:rsid w:val="42089976"/>
    <w:rsid w:val="42399EE1"/>
    <w:rsid w:val="442820C6"/>
    <w:rsid w:val="4528D84C"/>
    <w:rsid w:val="4569FB20"/>
    <w:rsid w:val="498026C5"/>
    <w:rsid w:val="4A3613F3"/>
    <w:rsid w:val="4B769067"/>
    <w:rsid w:val="4E8E3F9E"/>
    <w:rsid w:val="4F100BB4"/>
    <w:rsid w:val="5076F379"/>
    <w:rsid w:val="5196F53B"/>
    <w:rsid w:val="51B8BC73"/>
    <w:rsid w:val="51D00FFB"/>
    <w:rsid w:val="55D7BD09"/>
    <w:rsid w:val="57B63642"/>
    <w:rsid w:val="581F52D7"/>
    <w:rsid w:val="59D29074"/>
    <w:rsid w:val="5A3F42C3"/>
    <w:rsid w:val="5BEBC409"/>
    <w:rsid w:val="5D87946A"/>
    <w:rsid w:val="5E871860"/>
    <w:rsid w:val="5F750184"/>
    <w:rsid w:val="5FF1B640"/>
    <w:rsid w:val="6008EB5F"/>
    <w:rsid w:val="60842362"/>
    <w:rsid w:val="60C10724"/>
    <w:rsid w:val="633A58FF"/>
    <w:rsid w:val="66E6FDE6"/>
    <w:rsid w:val="673AF280"/>
    <w:rsid w:val="69160D26"/>
    <w:rsid w:val="69D31239"/>
    <w:rsid w:val="6A2DB42C"/>
    <w:rsid w:val="6ABD8DFA"/>
    <w:rsid w:val="6C48EBE6"/>
    <w:rsid w:val="7199F25D"/>
    <w:rsid w:val="71BB7D77"/>
    <w:rsid w:val="733863FF"/>
    <w:rsid w:val="74F31E39"/>
    <w:rsid w:val="751F570D"/>
    <w:rsid w:val="76AE0A5C"/>
    <w:rsid w:val="79BFEB19"/>
    <w:rsid w:val="7A9B6876"/>
    <w:rsid w:val="7AE72242"/>
    <w:rsid w:val="7C3C2044"/>
    <w:rsid w:val="7D26E90A"/>
    <w:rsid w:val="7E1762B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D08C5"/>
  <w15:docId w15:val="{96272DDD-30C6-4BF7-B33E-9A8960036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000FF" w:themeColor="hyperlink"/>
      <w:u w:val="single"/>
    </w:rPr>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sz w:val="20"/>
    </w:rPr>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EA6368"/>
    <w:rPr>
      <w:b/>
      <w:bCs/>
    </w:rPr>
  </w:style>
  <w:style w:type="character" w:customStyle="1" w:styleId="CommentSubjectChar">
    <w:name w:val="Comment Subject Char"/>
    <w:basedOn w:val="CommentTextChar"/>
    <w:link w:val="CommentSubject"/>
    <w:semiHidden/>
    <w:rsid w:val="00EA6368"/>
    <w:rPr>
      <w:b/>
      <w:bCs/>
      <w:sz w:val="20"/>
    </w:rPr>
  </w:style>
  <w:style w:type="character" w:customStyle="1" w:styleId="normaltextrun">
    <w:name w:val="normaltextrun"/>
    <w:basedOn w:val="DefaultParagraphFont"/>
    <w:rsid w:val="001952B6"/>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locked/>
    <w:rsid w:val="00347C71"/>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347C71"/>
    <w:pPr>
      <w:spacing w:after="160" w:line="256" w:lineRule="auto"/>
      <w:ind w:left="720"/>
      <w:contextualSpacing/>
    </w:pPr>
  </w:style>
  <w:style w:type="character" w:customStyle="1" w:styleId="eop">
    <w:name w:val="eop"/>
    <w:basedOn w:val="DefaultParagraphFont"/>
    <w:rsid w:val="009C2FEA"/>
  </w:style>
  <w:style w:type="paragraph" w:customStyle="1" w:styleId="paragraph">
    <w:name w:val="paragraph"/>
    <w:basedOn w:val="Normal"/>
    <w:rsid w:val="009C2FEA"/>
    <w:pPr>
      <w:spacing w:before="100" w:beforeAutospacing="1" w:after="100" w:afterAutospacing="1"/>
    </w:pPr>
    <w:rPr>
      <w:szCs w:val="24"/>
      <w:lang w:eastAsia="lt-LT"/>
    </w:rPr>
  </w:style>
  <w:style w:type="character" w:customStyle="1" w:styleId="tabchar">
    <w:name w:val="tabchar"/>
    <w:basedOn w:val="DefaultParagraphFont"/>
    <w:rsid w:val="009C2FEA"/>
  </w:style>
  <w:style w:type="paragraph" w:styleId="BalloonText">
    <w:name w:val="Balloon Text"/>
    <w:basedOn w:val="Normal"/>
    <w:link w:val="BalloonTextChar"/>
    <w:semiHidden/>
    <w:unhideWhenUsed/>
    <w:rsid w:val="00612D28"/>
    <w:rPr>
      <w:rFonts w:ascii="Tahoma" w:hAnsi="Tahoma" w:cs="Tahoma"/>
      <w:sz w:val="16"/>
      <w:szCs w:val="16"/>
    </w:rPr>
  </w:style>
  <w:style w:type="character" w:customStyle="1" w:styleId="BalloonTextChar">
    <w:name w:val="Balloon Text Char"/>
    <w:basedOn w:val="DefaultParagraphFont"/>
    <w:link w:val="BalloonText"/>
    <w:semiHidden/>
    <w:rsid w:val="00612D28"/>
    <w:rPr>
      <w:rFonts w:ascii="Tahoma" w:hAnsi="Tahoma" w:cs="Tahoma"/>
      <w:sz w:val="16"/>
      <w:szCs w:val="16"/>
    </w:rPr>
  </w:style>
  <w:style w:type="paragraph" w:styleId="Revision">
    <w:name w:val="Revision"/>
    <w:hidden/>
    <w:semiHidden/>
    <w:rsid w:val="00F9369D"/>
  </w:style>
  <w:style w:type="character" w:styleId="UnresolvedMention">
    <w:name w:val="Unresolved Mention"/>
    <w:basedOn w:val="DefaultParagraphFont"/>
    <w:uiPriority w:val="99"/>
    <w:semiHidden/>
    <w:unhideWhenUsed/>
    <w:rsid w:val="001C3B76"/>
    <w:rPr>
      <w:color w:val="605E5C"/>
      <w:shd w:val="clear" w:color="auto" w:fill="E1DFDD"/>
    </w:rPr>
  </w:style>
  <w:style w:type="character" w:customStyle="1" w:styleId="trackchangetextinsertion">
    <w:name w:val="trackchangetextinsertion"/>
    <w:basedOn w:val="DefaultParagraphFont"/>
    <w:rsid w:val="00771269"/>
  </w:style>
  <w:style w:type="character" w:customStyle="1" w:styleId="findhit">
    <w:name w:val="findhit"/>
    <w:basedOn w:val="DefaultParagraphFont"/>
    <w:rsid w:val="00771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769134">
      <w:bodyDiv w:val="1"/>
      <w:marLeft w:val="0"/>
      <w:marRight w:val="0"/>
      <w:marTop w:val="0"/>
      <w:marBottom w:val="0"/>
      <w:divBdr>
        <w:top w:val="none" w:sz="0" w:space="0" w:color="auto"/>
        <w:left w:val="none" w:sz="0" w:space="0" w:color="auto"/>
        <w:bottom w:val="none" w:sz="0" w:space="0" w:color="auto"/>
        <w:right w:val="none" w:sz="0" w:space="0" w:color="auto"/>
      </w:divBdr>
    </w:div>
    <w:div w:id="530336374">
      <w:bodyDiv w:val="1"/>
      <w:marLeft w:val="0"/>
      <w:marRight w:val="0"/>
      <w:marTop w:val="0"/>
      <w:marBottom w:val="0"/>
      <w:divBdr>
        <w:top w:val="none" w:sz="0" w:space="0" w:color="auto"/>
        <w:left w:val="none" w:sz="0" w:space="0" w:color="auto"/>
        <w:bottom w:val="none" w:sz="0" w:space="0" w:color="auto"/>
        <w:right w:val="none" w:sz="0" w:space="0" w:color="auto"/>
      </w:divBdr>
      <w:divsChild>
        <w:div w:id="60367179">
          <w:marLeft w:val="0"/>
          <w:marRight w:val="0"/>
          <w:marTop w:val="0"/>
          <w:marBottom w:val="0"/>
          <w:divBdr>
            <w:top w:val="none" w:sz="0" w:space="0" w:color="auto"/>
            <w:left w:val="none" w:sz="0" w:space="0" w:color="auto"/>
            <w:bottom w:val="none" w:sz="0" w:space="0" w:color="auto"/>
            <w:right w:val="none" w:sz="0" w:space="0" w:color="auto"/>
          </w:divBdr>
        </w:div>
        <w:div w:id="1297685543">
          <w:marLeft w:val="0"/>
          <w:marRight w:val="0"/>
          <w:marTop w:val="0"/>
          <w:marBottom w:val="0"/>
          <w:divBdr>
            <w:top w:val="none" w:sz="0" w:space="0" w:color="auto"/>
            <w:left w:val="none" w:sz="0" w:space="0" w:color="auto"/>
            <w:bottom w:val="none" w:sz="0" w:space="0" w:color="auto"/>
            <w:right w:val="none" w:sz="0" w:space="0" w:color="auto"/>
          </w:divBdr>
        </w:div>
        <w:div w:id="378436686">
          <w:marLeft w:val="0"/>
          <w:marRight w:val="0"/>
          <w:marTop w:val="0"/>
          <w:marBottom w:val="0"/>
          <w:divBdr>
            <w:top w:val="none" w:sz="0" w:space="0" w:color="auto"/>
            <w:left w:val="none" w:sz="0" w:space="0" w:color="auto"/>
            <w:bottom w:val="none" w:sz="0" w:space="0" w:color="auto"/>
            <w:right w:val="none" w:sz="0" w:space="0" w:color="auto"/>
          </w:divBdr>
        </w:div>
        <w:div w:id="1707827855">
          <w:marLeft w:val="0"/>
          <w:marRight w:val="0"/>
          <w:marTop w:val="0"/>
          <w:marBottom w:val="0"/>
          <w:divBdr>
            <w:top w:val="none" w:sz="0" w:space="0" w:color="auto"/>
            <w:left w:val="none" w:sz="0" w:space="0" w:color="auto"/>
            <w:bottom w:val="none" w:sz="0" w:space="0" w:color="auto"/>
            <w:right w:val="none" w:sz="0" w:space="0" w:color="auto"/>
          </w:divBdr>
        </w:div>
        <w:div w:id="1049571740">
          <w:marLeft w:val="0"/>
          <w:marRight w:val="0"/>
          <w:marTop w:val="0"/>
          <w:marBottom w:val="0"/>
          <w:divBdr>
            <w:top w:val="none" w:sz="0" w:space="0" w:color="auto"/>
            <w:left w:val="none" w:sz="0" w:space="0" w:color="auto"/>
            <w:bottom w:val="none" w:sz="0" w:space="0" w:color="auto"/>
            <w:right w:val="none" w:sz="0" w:space="0" w:color="auto"/>
          </w:divBdr>
        </w:div>
        <w:div w:id="1080911622">
          <w:marLeft w:val="0"/>
          <w:marRight w:val="0"/>
          <w:marTop w:val="0"/>
          <w:marBottom w:val="0"/>
          <w:divBdr>
            <w:top w:val="none" w:sz="0" w:space="0" w:color="auto"/>
            <w:left w:val="none" w:sz="0" w:space="0" w:color="auto"/>
            <w:bottom w:val="none" w:sz="0" w:space="0" w:color="auto"/>
            <w:right w:val="none" w:sz="0" w:space="0" w:color="auto"/>
          </w:divBdr>
        </w:div>
        <w:div w:id="25833899">
          <w:marLeft w:val="0"/>
          <w:marRight w:val="0"/>
          <w:marTop w:val="0"/>
          <w:marBottom w:val="0"/>
          <w:divBdr>
            <w:top w:val="none" w:sz="0" w:space="0" w:color="auto"/>
            <w:left w:val="none" w:sz="0" w:space="0" w:color="auto"/>
            <w:bottom w:val="none" w:sz="0" w:space="0" w:color="auto"/>
            <w:right w:val="none" w:sz="0" w:space="0" w:color="auto"/>
          </w:divBdr>
        </w:div>
        <w:div w:id="83500067">
          <w:marLeft w:val="0"/>
          <w:marRight w:val="0"/>
          <w:marTop w:val="0"/>
          <w:marBottom w:val="0"/>
          <w:divBdr>
            <w:top w:val="none" w:sz="0" w:space="0" w:color="auto"/>
            <w:left w:val="none" w:sz="0" w:space="0" w:color="auto"/>
            <w:bottom w:val="none" w:sz="0" w:space="0" w:color="auto"/>
            <w:right w:val="none" w:sz="0" w:space="0" w:color="auto"/>
          </w:divBdr>
        </w:div>
        <w:div w:id="1854958144">
          <w:marLeft w:val="0"/>
          <w:marRight w:val="0"/>
          <w:marTop w:val="0"/>
          <w:marBottom w:val="0"/>
          <w:divBdr>
            <w:top w:val="none" w:sz="0" w:space="0" w:color="auto"/>
            <w:left w:val="none" w:sz="0" w:space="0" w:color="auto"/>
            <w:bottom w:val="none" w:sz="0" w:space="0" w:color="auto"/>
            <w:right w:val="none" w:sz="0" w:space="0" w:color="auto"/>
          </w:divBdr>
        </w:div>
        <w:div w:id="1272086526">
          <w:marLeft w:val="0"/>
          <w:marRight w:val="0"/>
          <w:marTop w:val="0"/>
          <w:marBottom w:val="0"/>
          <w:divBdr>
            <w:top w:val="none" w:sz="0" w:space="0" w:color="auto"/>
            <w:left w:val="none" w:sz="0" w:space="0" w:color="auto"/>
            <w:bottom w:val="none" w:sz="0" w:space="0" w:color="auto"/>
            <w:right w:val="none" w:sz="0" w:space="0" w:color="auto"/>
          </w:divBdr>
        </w:div>
        <w:div w:id="1694384861">
          <w:marLeft w:val="0"/>
          <w:marRight w:val="0"/>
          <w:marTop w:val="0"/>
          <w:marBottom w:val="0"/>
          <w:divBdr>
            <w:top w:val="none" w:sz="0" w:space="0" w:color="auto"/>
            <w:left w:val="none" w:sz="0" w:space="0" w:color="auto"/>
            <w:bottom w:val="none" w:sz="0" w:space="0" w:color="auto"/>
            <w:right w:val="none" w:sz="0" w:space="0" w:color="auto"/>
          </w:divBdr>
        </w:div>
        <w:div w:id="619141274">
          <w:marLeft w:val="0"/>
          <w:marRight w:val="0"/>
          <w:marTop w:val="0"/>
          <w:marBottom w:val="0"/>
          <w:divBdr>
            <w:top w:val="none" w:sz="0" w:space="0" w:color="auto"/>
            <w:left w:val="none" w:sz="0" w:space="0" w:color="auto"/>
            <w:bottom w:val="none" w:sz="0" w:space="0" w:color="auto"/>
            <w:right w:val="none" w:sz="0" w:space="0" w:color="auto"/>
          </w:divBdr>
        </w:div>
        <w:div w:id="504436439">
          <w:marLeft w:val="0"/>
          <w:marRight w:val="0"/>
          <w:marTop w:val="0"/>
          <w:marBottom w:val="0"/>
          <w:divBdr>
            <w:top w:val="none" w:sz="0" w:space="0" w:color="auto"/>
            <w:left w:val="none" w:sz="0" w:space="0" w:color="auto"/>
            <w:bottom w:val="none" w:sz="0" w:space="0" w:color="auto"/>
            <w:right w:val="none" w:sz="0" w:space="0" w:color="auto"/>
          </w:divBdr>
        </w:div>
        <w:div w:id="1155999260">
          <w:marLeft w:val="0"/>
          <w:marRight w:val="0"/>
          <w:marTop w:val="0"/>
          <w:marBottom w:val="0"/>
          <w:divBdr>
            <w:top w:val="none" w:sz="0" w:space="0" w:color="auto"/>
            <w:left w:val="none" w:sz="0" w:space="0" w:color="auto"/>
            <w:bottom w:val="none" w:sz="0" w:space="0" w:color="auto"/>
            <w:right w:val="none" w:sz="0" w:space="0" w:color="auto"/>
          </w:divBdr>
        </w:div>
      </w:divsChild>
    </w:div>
    <w:div w:id="688794247">
      <w:bodyDiv w:val="1"/>
      <w:marLeft w:val="0"/>
      <w:marRight w:val="0"/>
      <w:marTop w:val="0"/>
      <w:marBottom w:val="0"/>
      <w:divBdr>
        <w:top w:val="none" w:sz="0" w:space="0" w:color="auto"/>
        <w:left w:val="none" w:sz="0" w:space="0" w:color="auto"/>
        <w:bottom w:val="none" w:sz="0" w:space="0" w:color="auto"/>
        <w:right w:val="none" w:sz="0" w:space="0" w:color="auto"/>
      </w:divBdr>
    </w:div>
    <w:div w:id="1203395925">
      <w:bodyDiv w:val="1"/>
      <w:marLeft w:val="0"/>
      <w:marRight w:val="0"/>
      <w:marTop w:val="0"/>
      <w:marBottom w:val="0"/>
      <w:divBdr>
        <w:top w:val="none" w:sz="0" w:space="0" w:color="auto"/>
        <w:left w:val="none" w:sz="0" w:space="0" w:color="auto"/>
        <w:bottom w:val="none" w:sz="0" w:space="0" w:color="auto"/>
        <w:right w:val="none" w:sz="0" w:space="0" w:color="auto"/>
      </w:divBdr>
    </w:div>
    <w:div w:id="1705058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hyperlink" Target="https://eur-lex.europa.eu/legal-content/LT/TXT/?uri=CELEX%3A32020R0852" TargetMode="External"/><Relationship Id="rId4" Type="http://schemas.openxmlformats.org/officeDocument/2006/relationships/customXml" Target="../customXml/item4.xml"/><Relationship Id="rId9" Type="http://schemas.openxmlformats.org/officeDocument/2006/relationships/hyperlink" Target="https://eur-lex.europa.eu/legal-content/EN/TXT/PDF/?uri=CELEX:52021XC0218(01)&amp;from=E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502DB-734A-49B5-B833-4277AD506753}">
  <ds:schemaRefs>
    <ds:schemaRef ds:uri="http://schemas.openxmlformats.org/officeDocument/2006/bibliography"/>
  </ds:schemaRefs>
</ds:datastoreItem>
</file>

<file path=customXml/itemProps2.xml><?xml version="1.0" encoding="utf-8"?>
<ds:datastoreItem xmlns:ds="http://schemas.openxmlformats.org/officeDocument/2006/customXml" ds:itemID="{AD4F590D-E99E-4AAD-96DC-51EF1D51287B}">
  <ds:schemaRefs>
    <ds:schemaRef ds:uri="http://schemas.openxmlformats.org/officeDocument/2006/bibliography"/>
  </ds:schemaRefs>
</ds:datastoreItem>
</file>

<file path=customXml/itemProps3.xml><?xml version="1.0" encoding="utf-8"?>
<ds:datastoreItem xmlns:ds="http://schemas.openxmlformats.org/officeDocument/2006/customXml" ds:itemID="{09B72B31-26D4-4667-AA77-36A5715AC480}">
  <ds:schemaRefs>
    <ds:schemaRef ds:uri="http://schemas.openxmlformats.org/officeDocument/2006/bibliography"/>
  </ds:schemaRefs>
</ds:datastoreItem>
</file>

<file path=customXml/itemProps4.xml><?xml version="1.0" encoding="utf-8"?>
<ds:datastoreItem xmlns:ds="http://schemas.openxmlformats.org/officeDocument/2006/customXml" ds:itemID="{1D66FB28-4B08-4E1C-981D-A5A860DE9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852</Words>
  <Characters>6468</Characters>
  <Application>Microsoft Office Word</Application>
  <DocSecurity>0</DocSecurity>
  <Lines>53</Lines>
  <Paragraphs>14</Paragraphs>
  <ScaleCrop>false</ScaleCrop>
  <Company>LR finansų ministerija</Company>
  <LinksUpToDate>false</LinksUpToDate>
  <CharactersWithSpaces>7306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Valentina Kovaliova</cp:lastModifiedBy>
  <cp:revision>28</cp:revision>
  <cp:lastPrinted>2022-12-28T06:35:00Z</cp:lastPrinted>
  <dcterms:created xsi:type="dcterms:W3CDTF">2023-02-02T12:01:00Z</dcterms:created>
  <dcterms:modified xsi:type="dcterms:W3CDTF">2023-02-20T07:23:00Z</dcterms:modified>
</cp:coreProperties>
</file>