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2E9CB" w14:textId="77777777" w:rsidR="00767650" w:rsidRPr="007D0713" w:rsidRDefault="00767650" w:rsidP="00767650">
      <w:pPr>
        <w:widowControl w:val="0"/>
        <w:ind w:left="9639"/>
        <w:jc w:val="both"/>
        <w:textAlignment w:val="baseline"/>
        <w:rPr>
          <w:szCs w:val="24"/>
        </w:rPr>
      </w:pPr>
      <w:r w:rsidRPr="007D0713">
        <w:rPr>
          <w:bCs/>
          <w:szCs w:val="24"/>
        </w:rPr>
        <w:t>2021–2027 metų Europos Sąjungos fondų investicijų programos</w:t>
      </w:r>
      <w:r w:rsidRPr="007D0713">
        <w:rPr>
          <w:szCs w:val="24"/>
        </w:rPr>
        <w:t xml:space="preserve"> ir</w:t>
      </w:r>
      <w:r w:rsidRPr="007D0713">
        <w:rPr>
          <w:bCs/>
          <w:szCs w:val="24"/>
        </w:rPr>
        <w:t xml:space="preserve"> </w:t>
      </w:r>
      <w:r w:rsidRPr="007D0713">
        <w:rPr>
          <w:szCs w:val="24"/>
        </w:rPr>
        <w:t xml:space="preserve">Ekonomikos gaivinimo ir atsparumo didinimo plano „Naujos kartos Lietuva“ administravimo taisyklių </w:t>
      </w:r>
    </w:p>
    <w:p w14:paraId="4BB01871" w14:textId="42D45CCF" w:rsidR="00767650" w:rsidRPr="007D0713" w:rsidRDefault="00767650" w:rsidP="00767650">
      <w:pPr>
        <w:widowControl w:val="0"/>
        <w:ind w:left="9639"/>
        <w:jc w:val="both"/>
        <w:textAlignment w:val="baseline"/>
        <w:rPr>
          <w:szCs w:val="24"/>
        </w:rPr>
      </w:pPr>
      <w:r w:rsidRPr="007D0713">
        <w:rPr>
          <w:szCs w:val="24"/>
        </w:rPr>
        <w:t>6 priedas</w:t>
      </w:r>
    </w:p>
    <w:p w14:paraId="67F93648" w14:textId="5EA45420" w:rsidR="00767650" w:rsidRPr="007D0713" w:rsidRDefault="00767650" w:rsidP="00767650">
      <w:pPr>
        <w:widowControl w:val="0"/>
        <w:ind w:left="9639"/>
        <w:jc w:val="both"/>
        <w:textAlignment w:val="baseline"/>
        <w:rPr>
          <w:szCs w:val="24"/>
        </w:rPr>
      </w:pPr>
    </w:p>
    <w:p w14:paraId="613C4603" w14:textId="77777777" w:rsidR="00767650" w:rsidRPr="007D0713" w:rsidRDefault="00767650" w:rsidP="00767650">
      <w:pPr>
        <w:widowControl w:val="0"/>
        <w:ind w:left="9639"/>
        <w:jc w:val="both"/>
        <w:textAlignment w:val="baseline"/>
        <w:rPr>
          <w:szCs w:val="24"/>
        </w:rPr>
      </w:pPr>
    </w:p>
    <w:p w14:paraId="5B9AC0C8" w14:textId="5BC449B7" w:rsidR="00482FB2" w:rsidRPr="007D0713" w:rsidRDefault="00727AE5" w:rsidP="00B2102B">
      <w:pPr>
        <w:widowControl w:val="0"/>
        <w:jc w:val="center"/>
        <w:textAlignment w:val="baseline"/>
        <w:rPr>
          <w:szCs w:val="24"/>
        </w:rPr>
      </w:pPr>
      <w:r w:rsidRPr="007D0713">
        <w:rPr>
          <w:szCs w:val="24"/>
          <w:u w:val="single"/>
        </w:rPr>
        <w:t>Lietuvos Respublikos ekonomikos ir inovacijų ministerija</w:t>
      </w:r>
    </w:p>
    <w:p w14:paraId="06A2625F" w14:textId="6268A96E" w:rsidR="00482FB2" w:rsidRPr="007D0713" w:rsidRDefault="00FE7D2F" w:rsidP="008A2DB1">
      <w:pPr>
        <w:widowControl w:val="0"/>
        <w:jc w:val="center"/>
        <w:textAlignment w:val="baseline"/>
        <w:rPr>
          <w:sz w:val="22"/>
          <w:szCs w:val="22"/>
        </w:rPr>
      </w:pPr>
      <w:r w:rsidRPr="007D0713">
        <w:rPr>
          <w:sz w:val="22"/>
          <w:szCs w:val="22"/>
        </w:rPr>
        <w:t xml:space="preserve">(ministerijos </w:t>
      </w:r>
      <w:r w:rsidRPr="007D0713">
        <w:rPr>
          <w:i/>
          <w:szCs w:val="24"/>
        </w:rPr>
        <w:t>arba regiono plėtros tarybos</w:t>
      </w:r>
      <w:r w:rsidRPr="007D0713">
        <w:rPr>
          <w:sz w:val="22"/>
          <w:szCs w:val="22"/>
        </w:rPr>
        <w:t xml:space="preserve"> pavadinimas)</w:t>
      </w:r>
    </w:p>
    <w:p w14:paraId="6438BBB2" w14:textId="77777777" w:rsidR="008A2DB1" w:rsidRPr="007D0713" w:rsidRDefault="008A2DB1" w:rsidP="008A2DB1">
      <w:pPr>
        <w:widowControl w:val="0"/>
        <w:jc w:val="center"/>
        <w:textAlignment w:val="baseline"/>
        <w:rPr>
          <w:sz w:val="22"/>
          <w:szCs w:val="22"/>
        </w:rPr>
      </w:pPr>
    </w:p>
    <w:p w14:paraId="1EA47AC8" w14:textId="0E0B3188" w:rsidR="00482FB2" w:rsidRPr="007D0713" w:rsidRDefault="00FE7D2F">
      <w:pPr>
        <w:widowControl w:val="0"/>
        <w:textAlignment w:val="baseline"/>
        <w:rPr>
          <w:szCs w:val="24"/>
        </w:rPr>
      </w:pPr>
      <w:r w:rsidRPr="007D0713">
        <w:rPr>
          <w:szCs w:val="24"/>
        </w:rPr>
        <w:t>______________________________</w:t>
      </w:r>
    </w:p>
    <w:p w14:paraId="2706FAD6" w14:textId="77777777" w:rsidR="00482FB2" w:rsidRPr="007D0713" w:rsidRDefault="00FE7D2F">
      <w:pPr>
        <w:widowControl w:val="0"/>
        <w:ind w:left="1276"/>
        <w:textAlignment w:val="baseline"/>
        <w:rPr>
          <w:szCs w:val="24"/>
        </w:rPr>
      </w:pPr>
      <w:r w:rsidRPr="007D0713">
        <w:rPr>
          <w:szCs w:val="24"/>
        </w:rPr>
        <w:t>(gavėjas)</w:t>
      </w:r>
    </w:p>
    <w:p w14:paraId="51D1B5B7" w14:textId="77777777" w:rsidR="00482FB2" w:rsidRPr="007D0713" w:rsidRDefault="00482FB2">
      <w:pPr>
        <w:widowControl w:val="0"/>
        <w:textAlignment w:val="baseline"/>
        <w:rPr>
          <w:szCs w:val="24"/>
        </w:rPr>
      </w:pPr>
    </w:p>
    <w:p w14:paraId="7534FC61" w14:textId="1E2D4403" w:rsidR="00482FB2" w:rsidRPr="007D0713" w:rsidRDefault="00FE7D2F">
      <w:pPr>
        <w:widowControl w:val="0"/>
        <w:jc w:val="center"/>
        <w:textAlignment w:val="baseline"/>
        <w:rPr>
          <w:b/>
          <w:szCs w:val="24"/>
        </w:rPr>
      </w:pPr>
      <w:r w:rsidRPr="007D0713">
        <w:rPr>
          <w:b/>
          <w:szCs w:val="24"/>
        </w:rPr>
        <w:t>PASIŪLYM</w:t>
      </w:r>
      <w:r w:rsidR="008250A5" w:rsidRPr="007D0713">
        <w:rPr>
          <w:b/>
          <w:szCs w:val="24"/>
        </w:rPr>
        <w:t>AS</w:t>
      </w:r>
      <w:r w:rsidRPr="007D0713">
        <w:rPr>
          <w:b/>
          <w:szCs w:val="24"/>
        </w:rPr>
        <w:t xml:space="preserve"> DĖL PROJEKTŲ SPECIALIŲJŲ IR PRIORITETINIŲ ATRANKOS KRITERIJŲ NUSTATYMO IR (ARBA) KEITIMO BEI VERTINIMO METODIKA</w:t>
      </w:r>
    </w:p>
    <w:p w14:paraId="0CC2F959" w14:textId="77777777" w:rsidR="00482FB2" w:rsidRPr="007D0713" w:rsidRDefault="00482FB2">
      <w:pPr>
        <w:widowControl w:val="0"/>
        <w:jc w:val="center"/>
        <w:textAlignment w:val="baseline"/>
        <w:rPr>
          <w:szCs w:val="24"/>
        </w:rPr>
      </w:pPr>
    </w:p>
    <w:p w14:paraId="523DCB94" w14:textId="37B50FC9" w:rsidR="00482FB2" w:rsidRPr="007D0713" w:rsidRDefault="00727AE5" w:rsidP="0072575F">
      <w:pPr>
        <w:widowControl w:val="0"/>
        <w:jc w:val="center"/>
        <w:textAlignment w:val="baseline"/>
        <w:rPr>
          <w:szCs w:val="24"/>
        </w:rPr>
      </w:pPr>
      <w:r w:rsidRPr="007D0713">
        <w:rPr>
          <w:szCs w:val="24"/>
        </w:rPr>
        <w:t>20</w:t>
      </w:r>
      <w:r w:rsidRPr="007D0713">
        <w:rPr>
          <w:szCs w:val="24"/>
          <w:lang w:val="en-US"/>
        </w:rPr>
        <w:t>2</w:t>
      </w:r>
      <w:r w:rsidR="00B7503C" w:rsidRPr="007D0713">
        <w:rPr>
          <w:szCs w:val="24"/>
          <w:lang w:val="en-US"/>
        </w:rPr>
        <w:t xml:space="preserve">3 </w:t>
      </w:r>
      <w:r w:rsidR="00FE7D2F" w:rsidRPr="007D0713">
        <w:rPr>
          <w:szCs w:val="24"/>
        </w:rPr>
        <w:t xml:space="preserve">m. </w:t>
      </w:r>
      <w:r w:rsidR="00B7503C" w:rsidRPr="007D0713">
        <w:rPr>
          <w:szCs w:val="24"/>
        </w:rPr>
        <w:t xml:space="preserve">        </w:t>
      </w:r>
      <w:r w:rsidR="00FE7D2F" w:rsidRPr="007D0713">
        <w:rPr>
          <w:szCs w:val="24"/>
        </w:rPr>
        <w:t>d.</w:t>
      </w:r>
    </w:p>
    <w:p w14:paraId="3009B01D" w14:textId="77777777" w:rsidR="00CE45A8" w:rsidRPr="007D0713" w:rsidRDefault="00CE45A8" w:rsidP="0072575F">
      <w:pPr>
        <w:widowControl w:val="0"/>
        <w:jc w:val="center"/>
        <w:textAlignment w:val="baseline"/>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4"/>
        <w:gridCol w:w="8628"/>
      </w:tblGrid>
      <w:tr w:rsidR="00482FB2" w:rsidRPr="007D0713" w14:paraId="77188082" w14:textId="77777777">
        <w:tc>
          <w:tcPr>
            <w:tcW w:w="6345" w:type="dxa"/>
            <w:shd w:val="clear" w:color="auto" w:fill="auto"/>
            <w:vAlign w:val="center"/>
          </w:tcPr>
          <w:p w14:paraId="27B7C8B4" w14:textId="26D73FFD" w:rsidR="00482FB2" w:rsidRPr="007D0713" w:rsidRDefault="00FE7D2F">
            <w:pPr>
              <w:widowControl w:val="0"/>
              <w:textAlignment w:val="baseline"/>
              <w:rPr>
                <w:b/>
                <w:szCs w:val="24"/>
              </w:rPr>
            </w:pPr>
            <w:r w:rsidRPr="007D0713">
              <w:rPr>
                <w:b/>
                <w:szCs w:val="24"/>
              </w:rPr>
              <w:t>Pasiūlymą dėl projektų atrankos kriterijų nustatymo ir (arba) keitimo bei vertinimo metodiką teikianti institucija</w:t>
            </w:r>
          </w:p>
        </w:tc>
        <w:tc>
          <w:tcPr>
            <w:tcW w:w="9008" w:type="dxa"/>
            <w:shd w:val="clear" w:color="auto" w:fill="auto"/>
            <w:vAlign w:val="center"/>
          </w:tcPr>
          <w:p w14:paraId="509B765C" w14:textId="533AF959" w:rsidR="00482FB2" w:rsidRPr="007D0713" w:rsidRDefault="00DB45CF">
            <w:pPr>
              <w:widowControl w:val="0"/>
              <w:textAlignment w:val="baseline"/>
              <w:rPr>
                <w:i/>
                <w:szCs w:val="24"/>
              </w:rPr>
            </w:pPr>
            <w:r w:rsidRPr="007D0713">
              <w:rPr>
                <w:i/>
                <w:szCs w:val="24"/>
              </w:rPr>
              <w:t>Lietuvos Respublikos ekonomikos ir inovacijų ministerija</w:t>
            </w:r>
          </w:p>
        </w:tc>
      </w:tr>
      <w:tr w:rsidR="00482FB2" w:rsidRPr="007D0713" w14:paraId="5BE1F7E2" w14:textId="77777777">
        <w:tc>
          <w:tcPr>
            <w:tcW w:w="6345" w:type="dxa"/>
            <w:shd w:val="clear" w:color="auto" w:fill="auto"/>
            <w:vAlign w:val="center"/>
          </w:tcPr>
          <w:p w14:paraId="0206FA4F" w14:textId="4BEED8B3" w:rsidR="00482FB2" w:rsidRPr="007D0713" w:rsidRDefault="00FE7D2F">
            <w:pPr>
              <w:widowControl w:val="0"/>
              <w:textAlignment w:val="baseline"/>
              <w:rPr>
                <w:b/>
                <w:szCs w:val="24"/>
              </w:rPr>
            </w:pPr>
            <w:r w:rsidRPr="007D0713">
              <w:rPr>
                <w:b/>
                <w:szCs w:val="24"/>
              </w:rPr>
              <w:t>Pažangos priemonės veiklos (</w:t>
            </w:r>
            <w:proofErr w:type="spellStart"/>
            <w:r w:rsidRPr="007D0713">
              <w:rPr>
                <w:b/>
                <w:szCs w:val="24"/>
              </w:rPr>
              <w:t>poveiklės</w:t>
            </w:r>
            <w:proofErr w:type="spellEnd"/>
            <w:r w:rsidRPr="007D0713">
              <w:rPr>
                <w:b/>
                <w:szCs w:val="24"/>
              </w:rPr>
              <w:t>) pavadinimas</w:t>
            </w:r>
          </w:p>
        </w:tc>
        <w:tc>
          <w:tcPr>
            <w:tcW w:w="9008" w:type="dxa"/>
            <w:shd w:val="clear" w:color="auto" w:fill="auto"/>
            <w:vAlign w:val="center"/>
          </w:tcPr>
          <w:p w14:paraId="60BD5E92" w14:textId="73D45EFB" w:rsidR="008827CE" w:rsidRPr="007D0713" w:rsidRDefault="00C10EA2" w:rsidP="00881410">
            <w:pPr>
              <w:ind w:left="-57" w:right="-57"/>
              <w:jc w:val="both"/>
              <w:rPr>
                <w:i/>
                <w:iCs/>
              </w:rPr>
            </w:pPr>
            <w:r w:rsidRPr="007D0713">
              <w:rPr>
                <w:i/>
                <w:szCs w:val="24"/>
              </w:rPr>
              <w:t xml:space="preserve">2022–2030 metų plėtros programos valdytojos Lietuvos Respublikos ekonomikos ir inovacijų ministerijos ekonomikos transformacijos ir konkurencingumo plėtros programos pažangos priemonės Nr. </w:t>
            </w:r>
            <w:r w:rsidR="00B7503C" w:rsidRPr="007D0713">
              <w:rPr>
                <w:i/>
                <w:iCs/>
                <w:lang w:eastAsia="lt-LT"/>
              </w:rPr>
              <w:t>05-001-01-04-02 „Skatinti įmones pereiti link neutrali</w:t>
            </w:r>
            <w:r w:rsidR="00B7503C" w:rsidRPr="007D0713">
              <w:rPr>
                <w:i/>
                <w:iCs/>
              </w:rPr>
              <w:t xml:space="preserve">os klimatui ekonomikos“ veiklos </w:t>
            </w:r>
            <w:r w:rsidR="00E70FCB" w:rsidRPr="007D0713">
              <w:rPr>
                <w:i/>
                <w:iCs/>
              </w:rPr>
              <w:t xml:space="preserve">„2. Sudaryti sąlygas tvariai pramonės MVĮ transformacijai“ </w:t>
            </w:r>
            <w:proofErr w:type="spellStart"/>
            <w:r w:rsidR="00E70FCB" w:rsidRPr="007D0713">
              <w:rPr>
                <w:i/>
                <w:iCs/>
              </w:rPr>
              <w:t>poveiklė</w:t>
            </w:r>
            <w:proofErr w:type="spellEnd"/>
            <w:r w:rsidR="00E70FCB" w:rsidRPr="007D0713">
              <w:rPr>
                <w:i/>
                <w:iCs/>
              </w:rPr>
              <w:t xml:space="preserve"> </w:t>
            </w:r>
            <w:r w:rsidR="008827CE" w:rsidRPr="007D0713">
              <w:rPr>
                <w:i/>
                <w:iCs/>
              </w:rPr>
              <w:t xml:space="preserve">„Skatinti inovatyvių aplinkai draugiškų, t. y. tvarių produktų gamybą skatinančių, technologijų kūrimą, demonstravimą MVĮ, veikiančiose </w:t>
            </w:r>
            <w:r w:rsidR="00C242D4" w:rsidRPr="007D0713">
              <w:rPr>
                <w:i/>
                <w:iCs/>
              </w:rPr>
              <w:t xml:space="preserve">Sumaniosios specializacijos (toliau – </w:t>
            </w:r>
            <w:r w:rsidR="008827CE" w:rsidRPr="007D0713">
              <w:rPr>
                <w:i/>
                <w:iCs/>
              </w:rPr>
              <w:t>S4</w:t>
            </w:r>
            <w:r w:rsidR="00C242D4" w:rsidRPr="007D0713">
              <w:rPr>
                <w:i/>
                <w:iCs/>
              </w:rPr>
              <w:t>)</w:t>
            </w:r>
            <w:r w:rsidR="008827CE" w:rsidRPr="007D0713">
              <w:rPr>
                <w:i/>
                <w:iCs/>
              </w:rPr>
              <w:t xml:space="preserve"> srityse (Vidurio ir vakarų Lietuvos regionas)“</w:t>
            </w:r>
          </w:p>
        </w:tc>
      </w:tr>
      <w:tr w:rsidR="00482FB2" w:rsidRPr="007D0713" w14:paraId="31AE92AE" w14:textId="77777777">
        <w:tc>
          <w:tcPr>
            <w:tcW w:w="6345" w:type="dxa"/>
            <w:shd w:val="clear" w:color="auto" w:fill="auto"/>
            <w:vAlign w:val="center"/>
          </w:tcPr>
          <w:p w14:paraId="06EF78B7" w14:textId="77C8EE32" w:rsidR="00482FB2" w:rsidRPr="007D0713" w:rsidRDefault="00FE7D2F">
            <w:pPr>
              <w:widowControl w:val="0"/>
              <w:textAlignment w:val="baseline"/>
              <w:rPr>
                <w:b/>
                <w:szCs w:val="24"/>
              </w:rPr>
            </w:pPr>
            <w:r w:rsidRPr="007D0713">
              <w:rPr>
                <w:b/>
                <w:szCs w:val="24"/>
              </w:rPr>
              <w:t>Pažangos priemonės veiklai (</w:t>
            </w:r>
            <w:proofErr w:type="spellStart"/>
            <w:r w:rsidRPr="007D0713">
              <w:rPr>
                <w:b/>
                <w:szCs w:val="24"/>
              </w:rPr>
              <w:t>poveiklei</w:t>
            </w:r>
            <w:proofErr w:type="spellEnd"/>
            <w:r w:rsidRPr="007D0713">
              <w:rPr>
                <w:b/>
                <w:szCs w:val="24"/>
              </w:rPr>
              <w:t>) skirta finansavimo suma (mln. eurų)</w:t>
            </w:r>
          </w:p>
        </w:tc>
        <w:tc>
          <w:tcPr>
            <w:tcW w:w="9008" w:type="dxa"/>
            <w:shd w:val="clear" w:color="auto" w:fill="auto"/>
            <w:vAlign w:val="center"/>
          </w:tcPr>
          <w:p w14:paraId="2BF6AF44" w14:textId="353781A1" w:rsidR="00482FB2" w:rsidRPr="007D0713" w:rsidRDefault="00FC606A">
            <w:pPr>
              <w:widowControl w:val="0"/>
              <w:textAlignment w:val="baseline"/>
              <w:rPr>
                <w:i/>
                <w:iCs/>
                <w:szCs w:val="24"/>
                <w:lang w:val="en-US"/>
              </w:rPr>
            </w:pPr>
            <w:proofErr w:type="spellStart"/>
            <w:r w:rsidRPr="007D0713">
              <w:rPr>
                <w:i/>
                <w:iCs/>
                <w:szCs w:val="24"/>
                <w:lang w:val="en-US"/>
              </w:rPr>
              <w:t>Poveiklei</w:t>
            </w:r>
            <w:proofErr w:type="spellEnd"/>
            <w:r w:rsidRPr="007D0713">
              <w:rPr>
                <w:i/>
                <w:iCs/>
                <w:szCs w:val="24"/>
                <w:lang w:val="en-US"/>
              </w:rPr>
              <w:t xml:space="preserve"> </w:t>
            </w:r>
            <w:proofErr w:type="spellStart"/>
            <w:r w:rsidRPr="007D0713">
              <w:rPr>
                <w:i/>
                <w:iCs/>
                <w:szCs w:val="24"/>
                <w:lang w:val="en-US"/>
              </w:rPr>
              <w:t>skiriama</w:t>
            </w:r>
            <w:proofErr w:type="spellEnd"/>
            <w:r w:rsidRPr="007D0713">
              <w:rPr>
                <w:i/>
                <w:iCs/>
                <w:szCs w:val="24"/>
                <w:lang w:val="en-US"/>
              </w:rPr>
              <w:t xml:space="preserve"> </w:t>
            </w:r>
            <w:proofErr w:type="spellStart"/>
            <w:r w:rsidRPr="007D0713">
              <w:rPr>
                <w:i/>
                <w:iCs/>
                <w:szCs w:val="24"/>
                <w:lang w:val="en-US"/>
              </w:rPr>
              <w:t>iki</w:t>
            </w:r>
            <w:proofErr w:type="spellEnd"/>
            <w:r w:rsidRPr="007D0713">
              <w:rPr>
                <w:i/>
                <w:iCs/>
                <w:szCs w:val="24"/>
                <w:lang w:val="en-US"/>
              </w:rPr>
              <w:t xml:space="preserve"> </w:t>
            </w:r>
            <w:r w:rsidR="008827CE" w:rsidRPr="007D0713">
              <w:rPr>
                <w:i/>
                <w:iCs/>
                <w:szCs w:val="24"/>
                <w:lang w:val="en-US"/>
              </w:rPr>
              <w:t>26,5</w:t>
            </w:r>
            <w:r w:rsidRPr="007D0713">
              <w:rPr>
                <w:i/>
                <w:iCs/>
                <w:szCs w:val="24"/>
                <w:lang w:val="en-US"/>
              </w:rPr>
              <w:t xml:space="preserve"> </w:t>
            </w:r>
            <w:proofErr w:type="spellStart"/>
            <w:r w:rsidRPr="007D0713">
              <w:rPr>
                <w:i/>
                <w:iCs/>
                <w:szCs w:val="24"/>
                <w:lang w:val="en-US"/>
              </w:rPr>
              <w:t>mln</w:t>
            </w:r>
            <w:proofErr w:type="spellEnd"/>
            <w:r w:rsidRPr="007D0713">
              <w:rPr>
                <w:i/>
                <w:iCs/>
                <w:szCs w:val="24"/>
                <w:lang w:val="en-US"/>
              </w:rPr>
              <w:t>. Eur.</w:t>
            </w:r>
          </w:p>
        </w:tc>
      </w:tr>
      <w:tr w:rsidR="00482FB2" w:rsidRPr="007D0713" w14:paraId="390279EA" w14:textId="77777777">
        <w:tc>
          <w:tcPr>
            <w:tcW w:w="6345" w:type="dxa"/>
            <w:shd w:val="clear" w:color="auto" w:fill="auto"/>
            <w:vAlign w:val="center"/>
          </w:tcPr>
          <w:p w14:paraId="113DE1EC" w14:textId="78882A84" w:rsidR="00482FB2" w:rsidRPr="007D0713" w:rsidRDefault="00FE7D2F">
            <w:pPr>
              <w:widowControl w:val="0"/>
              <w:textAlignment w:val="baseline"/>
              <w:rPr>
                <w:b/>
                <w:szCs w:val="24"/>
              </w:rPr>
            </w:pPr>
            <w:r w:rsidRPr="007D0713">
              <w:rPr>
                <w:b/>
                <w:szCs w:val="24"/>
              </w:rPr>
              <w:t>Finansavimo šaltinis (-</w:t>
            </w:r>
            <w:proofErr w:type="spellStart"/>
            <w:r w:rsidRPr="007D0713">
              <w:rPr>
                <w:b/>
                <w:szCs w:val="24"/>
              </w:rPr>
              <w:t>iai</w:t>
            </w:r>
            <w:proofErr w:type="spellEnd"/>
            <w:r w:rsidRPr="007D0713">
              <w:rPr>
                <w:b/>
                <w:szCs w:val="24"/>
              </w:rPr>
              <w:t>)</w:t>
            </w:r>
          </w:p>
        </w:tc>
        <w:tc>
          <w:tcPr>
            <w:tcW w:w="9008" w:type="dxa"/>
            <w:shd w:val="clear" w:color="auto" w:fill="auto"/>
            <w:vAlign w:val="center"/>
          </w:tcPr>
          <w:p w14:paraId="0E10E3DE" w14:textId="1A12A61D" w:rsidR="00482FB2" w:rsidRPr="007D0713" w:rsidRDefault="00DD33E8" w:rsidP="00CE45A8">
            <w:pPr>
              <w:jc w:val="both"/>
              <w:rPr>
                <w:i/>
                <w:sz w:val="20"/>
              </w:rPr>
            </w:pPr>
            <w:r w:rsidRPr="007D0713">
              <w:rPr>
                <w:i/>
              </w:rPr>
              <w:t xml:space="preserve">2021–2027 metų Europos Sąjungos fondų investicijų </w:t>
            </w:r>
            <w:r w:rsidR="00CE45A8" w:rsidRPr="007D0713">
              <w:rPr>
                <w:i/>
              </w:rPr>
              <w:t xml:space="preserve">programa </w:t>
            </w:r>
            <w:r w:rsidRPr="007D0713">
              <w:rPr>
                <w:i/>
              </w:rPr>
              <w:t>(</w:t>
            </w:r>
            <w:r w:rsidRPr="007D0713">
              <w:rPr>
                <w:i/>
                <w:szCs w:val="24"/>
              </w:rPr>
              <w:t>toliau – Investicijų</w:t>
            </w:r>
            <w:r w:rsidRPr="007D0713">
              <w:rPr>
                <w:i/>
              </w:rPr>
              <w:t xml:space="preserve"> programa)</w:t>
            </w:r>
          </w:p>
        </w:tc>
      </w:tr>
      <w:tr w:rsidR="00482FB2" w:rsidRPr="007D0713" w14:paraId="4C57846C" w14:textId="77777777">
        <w:tc>
          <w:tcPr>
            <w:tcW w:w="6345" w:type="dxa"/>
            <w:shd w:val="clear" w:color="auto" w:fill="auto"/>
            <w:vAlign w:val="center"/>
          </w:tcPr>
          <w:p w14:paraId="2F0BDDAD" w14:textId="1AD41399" w:rsidR="00482FB2" w:rsidRPr="007D0713" w:rsidRDefault="00FE7D2F">
            <w:pPr>
              <w:widowControl w:val="0"/>
              <w:textAlignment w:val="baseline"/>
              <w:rPr>
                <w:b/>
                <w:szCs w:val="24"/>
              </w:rPr>
            </w:pPr>
            <w:r w:rsidRPr="007D0713">
              <w:rPr>
                <w:b/>
                <w:bCs/>
                <w:szCs w:val="24"/>
              </w:rPr>
              <w:t>Prioritetas ar komponentas</w:t>
            </w:r>
          </w:p>
        </w:tc>
        <w:tc>
          <w:tcPr>
            <w:tcW w:w="9008" w:type="dxa"/>
            <w:shd w:val="clear" w:color="auto" w:fill="auto"/>
            <w:vAlign w:val="center"/>
          </w:tcPr>
          <w:p w14:paraId="7543FD40" w14:textId="587B640D" w:rsidR="00482FB2" w:rsidRPr="007D0713" w:rsidRDefault="00E168FB">
            <w:pPr>
              <w:widowControl w:val="0"/>
              <w:textAlignment w:val="baseline"/>
              <w:rPr>
                <w:i/>
                <w:szCs w:val="24"/>
              </w:rPr>
            </w:pPr>
            <w:r w:rsidRPr="007D0713">
              <w:rPr>
                <w:i/>
                <w:szCs w:val="24"/>
              </w:rPr>
              <w:t xml:space="preserve">Investicijų programos </w:t>
            </w:r>
            <w:r w:rsidRPr="007D0713">
              <w:rPr>
                <w:i/>
                <w:szCs w:val="24"/>
                <w:lang w:val="en-US"/>
              </w:rPr>
              <w:t>1</w:t>
            </w:r>
            <w:r w:rsidRPr="007D0713">
              <w:rPr>
                <w:i/>
                <w:szCs w:val="24"/>
              </w:rPr>
              <w:t xml:space="preserve"> prioritetas „Pažangesnė Lietuva“</w:t>
            </w:r>
          </w:p>
        </w:tc>
      </w:tr>
      <w:tr w:rsidR="00482FB2" w:rsidRPr="007D0713" w14:paraId="336BAD4A" w14:textId="77777777">
        <w:tc>
          <w:tcPr>
            <w:tcW w:w="6345" w:type="dxa"/>
            <w:shd w:val="clear" w:color="auto" w:fill="auto"/>
            <w:vAlign w:val="center"/>
          </w:tcPr>
          <w:p w14:paraId="3F00C7BD" w14:textId="4D595484" w:rsidR="00482FB2" w:rsidRPr="007D0713" w:rsidRDefault="00FE7D2F">
            <w:pPr>
              <w:widowControl w:val="0"/>
              <w:textAlignment w:val="baseline"/>
              <w:rPr>
                <w:b/>
                <w:szCs w:val="24"/>
              </w:rPr>
            </w:pPr>
            <w:r w:rsidRPr="007D0713">
              <w:rPr>
                <w:b/>
                <w:szCs w:val="24"/>
              </w:rPr>
              <w:lastRenderedPageBreak/>
              <w:t>Projektų atrankos būdas (finansavimo forma, kai įgyvendinamos finansinės priemonės)</w:t>
            </w:r>
          </w:p>
        </w:tc>
        <w:tc>
          <w:tcPr>
            <w:tcW w:w="9008" w:type="dxa"/>
            <w:shd w:val="clear" w:color="auto" w:fill="auto"/>
            <w:vAlign w:val="center"/>
          </w:tcPr>
          <w:p w14:paraId="1BFB854A" w14:textId="77777777" w:rsidR="00482FB2" w:rsidRPr="007D0713" w:rsidRDefault="00FE7D2F">
            <w:pPr>
              <w:widowControl w:val="0"/>
              <w:textAlignment w:val="baseline"/>
              <w:rPr>
                <w:szCs w:val="24"/>
              </w:rPr>
            </w:pPr>
            <w:r w:rsidRPr="007D0713">
              <w:rPr>
                <w:b/>
                <w:bCs/>
                <w:szCs w:val="24"/>
                <w:lang w:eastAsia="lt-LT"/>
              </w:rPr>
              <w:t>□</w:t>
            </w:r>
            <w:r w:rsidRPr="007D0713">
              <w:rPr>
                <w:szCs w:val="24"/>
              </w:rPr>
              <w:t xml:space="preserve"> Planavimo</w:t>
            </w:r>
          </w:p>
          <w:p w14:paraId="1B352361" w14:textId="7CFB184B" w:rsidR="00482FB2" w:rsidRPr="007D0713" w:rsidRDefault="00E168FB">
            <w:pPr>
              <w:widowControl w:val="0"/>
              <w:textAlignment w:val="baseline"/>
              <w:rPr>
                <w:szCs w:val="24"/>
              </w:rPr>
            </w:pPr>
            <w:r w:rsidRPr="007D0713">
              <w:rPr>
                <w:bCs/>
                <w:lang w:eastAsia="lt-LT"/>
              </w:rPr>
              <w:fldChar w:fldCharType="begin">
                <w:ffData>
                  <w:name w:val=""/>
                  <w:enabled/>
                  <w:calcOnExit w:val="0"/>
                  <w:checkBox>
                    <w:sizeAuto/>
                    <w:default w:val="1"/>
                  </w:checkBox>
                </w:ffData>
              </w:fldChar>
            </w:r>
            <w:r w:rsidRPr="007D0713">
              <w:rPr>
                <w:bCs/>
                <w:lang w:eastAsia="lt-LT"/>
              </w:rPr>
              <w:instrText xml:space="preserve"> FORMCHECKBOX </w:instrText>
            </w:r>
            <w:r w:rsidR="00E12465">
              <w:rPr>
                <w:bCs/>
                <w:lang w:eastAsia="lt-LT"/>
              </w:rPr>
            </w:r>
            <w:r w:rsidR="00E12465">
              <w:rPr>
                <w:bCs/>
                <w:lang w:eastAsia="lt-LT"/>
              </w:rPr>
              <w:fldChar w:fldCharType="separate"/>
            </w:r>
            <w:r w:rsidRPr="007D0713">
              <w:rPr>
                <w:bCs/>
                <w:lang w:eastAsia="lt-LT"/>
              </w:rPr>
              <w:fldChar w:fldCharType="end"/>
            </w:r>
            <w:r w:rsidRPr="007D0713">
              <w:rPr>
                <w:szCs w:val="24"/>
              </w:rPr>
              <w:t xml:space="preserve"> </w:t>
            </w:r>
            <w:r w:rsidR="00FE7D2F" w:rsidRPr="007D0713">
              <w:rPr>
                <w:szCs w:val="24"/>
              </w:rPr>
              <w:t>Konkurso</w:t>
            </w:r>
          </w:p>
          <w:p w14:paraId="609AFC41" w14:textId="77777777" w:rsidR="00482FB2" w:rsidRPr="007D0713" w:rsidRDefault="00FE7D2F">
            <w:pPr>
              <w:widowControl w:val="0"/>
              <w:textAlignment w:val="baseline"/>
              <w:rPr>
                <w:szCs w:val="24"/>
              </w:rPr>
            </w:pPr>
            <w:r w:rsidRPr="007D0713">
              <w:rPr>
                <w:b/>
                <w:bCs/>
                <w:szCs w:val="24"/>
                <w:lang w:eastAsia="lt-LT"/>
              </w:rPr>
              <w:t>□</w:t>
            </w:r>
            <w:r w:rsidRPr="007D0713">
              <w:rPr>
                <w:szCs w:val="24"/>
              </w:rPr>
              <w:t xml:space="preserve"> Tęstinės projektų atrankos</w:t>
            </w:r>
          </w:p>
          <w:p w14:paraId="19502A19" w14:textId="46CC2202" w:rsidR="00482FB2" w:rsidRPr="007D0713" w:rsidRDefault="00FE7D2F">
            <w:pPr>
              <w:widowControl w:val="0"/>
              <w:textAlignment w:val="baseline"/>
              <w:rPr>
                <w:szCs w:val="24"/>
              </w:rPr>
            </w:pPr>
            <w:r w:rsidRPr="007D0713">
              <w:rPr>
                <w:b/>
                <w:bCs/>
                <w:szCs w:val="24"/>
                <w:lang w:eastAsia="lt-LT"/>
              </w:rPr>
              <w:t xml:space="preserve">□ </w:t>
            </w:r>
            <w:r w:rsidRPr="007D0713">
              <w:rPr>
                <w:bCs/>
                <w:szCs w:val="24"/>
                <w:lang w:eastAsia="lt-LT"/>
              </w:rPr>
              <w:t>Finansinė priemonė</w:t>
            </w:r>
          </w:p>
        </w:tc>
      </w:tr>
      <w:tr w:rsidR="00482FB2" w:rsidRPr="007D0713" w14:paraId="424A16BA" w14:textId="77777777">
        <w:tc>
          <w:tcPr>
            <w:tcW w:w="6345" w:type="dxa"/>
            <w:shd w:val="clear" w:color="auto" w:fill="auto"/>
            <w:vAlign w:val="center"/>
          </w:tcPr>
          <w:p w14:paraId="44E3D02A" w14:textId="10BA256F" w:rsidR="00482FB2" w:rsidRPr="007D0713" w:rsidRDefault="00FE7D2F">
            <w:pPr>
              <w:widowControl w:val="0"/>
              <w:textAlignment w:val="baseline"/>
              <w:rPr>
                <w:b/>
                <w:szCs w:val="24"/>
              </w:rPr>
            </w:pPr>
            <w:r w:rsidRPr="007D0713">
              <w:rPr>
                <w:b/>
                <w:szCs w:val="24"/>
              </w:rPr>
              <w:t xml:space="preserve">Atitiktis horizontaliesiems principams </w:t>
            </w:r>
          </w:p>
        </w:tc>
        <w:tc>
          <w:tcPr>
            <w:tcW w:w="9008" w:type="dxa"/>
            <w:shd w:val="clear" w:color="auto" w:fill="auto"/>
            <w:vAlign w:val="center"/>
          </w:tcPr>
          <w:p w14:paraId="177DB5BD" w14:textId="1AAF592A" w:rsidR="00C55F8E" w:rsidRPr="007D0713" w:rsidRDefault="00A41296" w:rsidP="00485DA5">
            <w:pPr>
              <w:tabs>
                <w:tab w:val="left" w:pos="860"/>
              </w:tabs>
              <w:jc w:val="both"/>
              <w:rPr>
                <w:i/>
                <w:iCs/>
              </w:rPr>
            </w:pPr>
            <w:proofErr w:type="spellStart"/>
            <w:r w:rsidRPr="007D0713">
              <w:rPr>
                <w:i/>
                <w:iCs/>
              </w:rPr>
              <w:t>Pov</w:t>
            </w:r>
            <w:r w:rsidR="00197D47" w:rsidRPr="007D0713">
              <w:rPr>
                <w:i/>
                <w:iCs/>
              </w:rPr>
              <w:t>eikl</w:t>
            </w:r>
            <w:r w:rsidRPr="007D0713">
              <w:rPr>
                <w:i/>
                <w:iCs/>
              </w:rPr>
              <w:t>ė</w:t>
            </w:r>
            <w:proofErr w:type="spellEnd"/>
            <w:r w:rsidR="00197D47" w:rsidRPr="007D0713">
              <w:rPr>
                <w:i/>
                <w:iCs/>
              </w:rPr>
              <w:t xml:space="preserve"> tiesiogiai prisideda prie </w:t>
            </w:r>
            <w:r w:rsidR="00C55F8E" w:rsidRPr="007D0713">
              <w:rPr>
                <w:i/>
                <w:iCs/>
              </w:rPr>
              <w:t xml:space="preserve">darnaus vystymosi ir </w:t>
            </w:r>
            <w:r w:rsidR="00197D47" w:rsidRPr="007D0713">
              <w:rPr>
                <w:i/>
                <w:iCs/>
              </w:rPr>
              <w:t xml:space="preserve">inovatyvumo (kūrybingumo) horizontaliojo principo: </w:t>
            </w:r>
            <w:r w:rsidR="00D6056E" w:rsidRPr="007D0713">
              <w:rPr>
                <w:i/>
                <w:iCs/>
              </w:rPr>
              <w:t>siekiama</w:t>
            </w:r>
            <w:r w:rsidR="0058015C">
              <w:rPr>
                <w:i/>
                <w:iCs/>
              </w:rPr>
              <w:t xml:space="preserve"> skatinti</w:t>
            </w:r>
            <w:r w:rsidR="00D6056E" w:rsidRPr="007D0713">
              <w:rPr>
                <w:i/>
                <w:iCs/>
              </w:rPr>
              <w:t xml:space="preserve"> </w:t>
            </w:r>
            <w:r w:rsidR="00C242D4" w:rsidRPr="007D0713">
              <w:rPr>
                <w:i/>
                <w:iCs/>
              </w:rPr>
              <w:t>inovatyvių aplinkai draugiškų technologijų kūrimą, demonstravimą ir diegimą MVĮ, veikiančiose S4 srityse.</w:t>
            </w:r>
            <w:r w:rsidR="00C242D4" w:rsidRPr="007D0713">
              <w:rPr>
                <w:sz w:val="20"/>
              </w:rPr>
              <w:t xml:space="preserve"> </w:t>
            </w:r>
            <w:proofErr w:type="spellStart"/>
            <w:r w:rsidR="0047279A" w:rsidRPr="007D0713">
              <w:rPr>
                <w:i/>
                <w:iCs/>
              </w:rPr>
              <w:t>Poveiklė</w:t>
            </w:r>
            <w:proofErr w:type="spellEnd"/>
            <w:r w:rsidR="00FF19F5" w:rsidRPr="007D0713">
              <w:rPr>
                <w:i/>
                <w:iCs/>
              </w:rPr>
              <w:t xml:space="preserve"> tiesiogiai neprisideda prie horizontaliojo principo „lygios galimybės visiems“, tačiau neigiamos įtakos jam taip pat nedaro, nes </w:t>
            </w:r>
            <w:proofErr w:type="spellStart"/>
            <w:r w:rsidR="0047279A" w:rsidRPr="007D0713">
              <w:rPr>
                <w:i/>
                <w:iCs/>
              </w:rPr>
              <w:t>po</w:t>
            </w:r>
            <w:r w:rsidR="00FF19F5" w:rsidRPr="007D0713">
              <w:rPr>
                <w:i/>
                <w:iCs/>
              </w:rPr>
              <w:t>veikl</w:t>
            </w:r>
            <w:r w:rsidR="0047279A" w:rsidRPr="007D0713">
              <w:rPr>
                <w:i/>
                <w:iCs/>
              </w:rPr>
              <w:t>ė</w:t>
            </w:r>
            <w:r w:rsidR="00FF19F5" w:rsidRPr="007D0713">
              <w:rPr>
                <w:i/>
                <w:iCs/>
              </w:rPr>
              <w:t>s</w:t>
            </w:r>
            <w:proofErr w:type="spellEnd"/>
            <w:r w:rsidR="00FF19F5" w:rsidRPr="007D0713">
              <w:rPr>
                <w:i/>
                <w:iCs/>
              </w:rPr>
              <w:t xml:space="preserve"> įgyvendinimui nebus numatyti jokie ribojimai dėl lyties, rasės, tautybės, pilietybės, kalbos, kilmės, socialinės padėties, tikėjimo, įsitikinimų ar pažiūrų, amžiaus, lytinės orientacijos, negalios, etninės priklausomybės, religijos ar kitų pagrindų. </w:t>
            </w:r>
          </w:p>
          <w:p w14:paraId="72B5C4C1" w14:textId="7B7B7A4D" w:rsidR="00853C95" w:rsidRPr="007D0713" w:rsidRDefault="004F3DD6" w:rsidP="00485DA5">
            <w:pPr>
              <w:tabs>
                <w:tab w:val="left" w:pos="860"/>
              </w:tabs>
              <w:jc w:val="both"/>
              <w:rPr>
                <w:i/>
                <w:iCs/>
                <w:color w:val="FF0000"/>
                <w:szCs w:val="24"/>
              </w:rPr>
            </w:pPr>
            <w:proofErr w:type="spellStart"/>
            <w:r w:rsidRPr="007D0713">
              <w:rPr>
                <w:i/>
                <w:color w:val="000000"/>
                <w:szCs w:val="24"/>
              </w:rPr>
              <w:t>Pov</w:t>
            </w:r>
            <w:r w:rsidR="00853C95" w:rsidRPr="007D0713">
              <w:rPr>
                <w:i/>
                <w:color w:val="000000"/>
                <w:szCs w:val="24"/>
              </w:rPr>
              <w:t>eikl</w:t>
            </w:r>
            <w:r w:rsidRPr="007D0713">
              <w:rPr>
                <w:i/>
                <w:color w:val="000000"/>
                <w:szCs w:val="24"/>
              </w:rPr>
              <w:t>ė</w:t>
            </w:r>
            <w:proofErr w:type="spellEnd"/>
            <w:r w:rsidR="00853C95" w:rsidRPr="007D0713">
              <w:rPr>
                <w:i/>
                <w:color w:val="000000"/>
                <w:szCs w:val="24"/>
              </w:rPr>
              <w:t xml:space="preserve">, vadovaujantis </w:t>
            </w:r>
            <w:hyperlink r:id="rId14" w:history="1">
              <w:r w:rsidR="00853C95" w:rsidRPr="007D0713">
                <w:rPr>
                  <w:i/>
                  <w:color w:val="0000FF"/>
                  <w:szCs w:val="24"/>
                  <w:u w:val="single"/>
                </w:rPr>
                <w:t>Europos Komisijos 2021</w:t>
              </w:r>
              <w:r w:rsidR="00CE45A8" w:rsidRPr="007D0713">
                <w:rPr>
                  <w:i/>
                  <w:color w:val="0000FF"/>
                  <w:szCs w:val="24"/>
                  <w:u w:val="single"/>
                </w:rPr>
                <w:t> m.</w:t>
              </w:r>
              <w:r w:rsidR="00853C95" w:rsidRPr="007D0713">
                <w:rPr>
                  <w:i/>
                  <w:color w:val="0000FF"/>
                  <w:szCs w:val="24"/>
                  <w:u w:val="single"/>
                </w:rPr>
                <w:t xml:space="preserve"> vasario 12 d. patvirtintomis Reikšmingos žalos nedarymo principo taikymo pagal Ekonomikos atsparumo ir didinimo priemonės reglamentą techninėmis gairėmis</w:t>
              </w:r>
            </w:hyperlink>
            <w:r w:rsidR="00853C95" w:rsidRPr="007D0713">
              <w:rPr>
                <w:i/>
                <w:color w:val="000000"/>
                <w:szCs w:val="24"/>
              </w:rPr>
              <w:t xml:space="preserve">, atitinka reikšmingos žalos nedarymo principą, nes neturi neigiamo numatomo poveikio 6 aplinkos tikslams, nurodytiems </w:t>
            </w:r>
            <w:hyperlink r:id="rId15" w:history="1">
              <w:r w:rsidR="00853C95" w:rsidRPr="007D0713">
                <w:rPr>
                  <w:i/>
                  <w:color w:val="0000FF"/>
                  <w:szCs w:val="24"/>
                  <w:u w:val="single"/>
                </w:rPr>
                <w:t>2020</w:t>
              </w:r>
              <w:r w:rsidR="00CE45A8" w:rsidRPr="007D0713">
                <w:rPr>
                  <w:i/>
                  <w:color w:val="0000FF"/>
                  <w:szCs w:val="24"/>
                  <w:u w:val="single"/>
                </w:rPr>
                <w:t> </w:t>
              </w:r>
              <w:r w:rsidR="00853C95" w:rsidRPr="007D0713">
                <w:rPr>
                  <w:i/>
                  <w:color w:val="0000FF"/>
                  <w:szCs w:val="24"/>
                  <w:u w:val="single"/>
                </w:rPr>
                <w:t>m. birželio 18 d. Europos Parlamento ir Tarybos reglamento (ES) Nr. 2020/852 dėl sistemos tvariam investavimui palengvinti sukūrimo, kuriuo iš dalies keičiamas Reglamentas (ES) 2019/2088</w:t>
              </w:r>
            </w:hyperlink>
            <w:r w:rsidR="00853C95" w:rsidRPr="007D0713">
              <w:rPr>
                <w:i/>
                <w:color w:val="000000"/>
                <w:szCs w:val="24"/>
              </w:rPr>
              <w:t>, 17 straipsnyje</w:t>
            </w:r>
            <w:r w:rsidR="00853C95" w:rsidRPr="007D0713">
              <w:rPr>
                <w:rFonts w:ascii="Helv" w:hAnsi="Helv" w:cs="Helv"/>
                <w:i/>
                <w:color w:val="000000"/>
                <w:szCs w:val="24"/>
              </w:rPr>
              <w:t>,</w:t>
            </w:r>
            <w:r w:rsidR="00853C95" w:rsidRPr="007D0713">
              <w:rPr>
                <w:i/>
                <w:color w:val="000000"/>
                <w:szCs w:val="24"/>
              </w:rPr>
              <w:t xml:space="preserve"> arba numatomas jų poveikis yra nereikšmingas, t. y. nedaro tiesioginio </w:t>
            </w:r>
            <w:r w:rsidR="00853C95" w:rsidRPr="007D0713">
              <w:rPr>
                <w:i/>
                <w:iCs/>
              </w:rPr>
              <w:t>ir pirminio netiesioginio poveikio per visą gyvavimo ciklą</w:t>
            </w:r>
            <w:r w:rsidR="00C64423" w:rsidRPr="007D0713">
              <w:rPr>
                <w:i/>
                <w:iCs/>
              </w:rPr>
              <w:t xml:space="preserve">. Paminėtina, kad </w:t>
            </w:r>
            <w:proofErr w:type="spellStart"/>
            <w:r w:rsidR="00C64423" w:rsidRPr="007D0713">
              <w:rPr>
                <w:i/>
                <w:iCs/>
              </w:rPr>
              <w:t>poveiklė</w:t>
            </w:r>
            <w:proofErr w:type="spellEnd"/>
            <w:r w:rsidR="00C64423" w:rsidRPr="007D0713">
              <w:rPr>
                <w:i/>
                <w:iCs/>
              </w:rPr>
              <w:t xml:space="preserve"> tiesiogiai prisideda prie klimato neutralumo tikslų, kadangi lėšos skiriamos pagal 030 intervencijos kodą – Įmonių vykdomi mokslinių tyrimų ir inovacijų diegimo procesai, technologijų perdavimas ir bendradarbiavimas, daugiausia dėmesio skiriant žiedinei ekonomikai.</w:t>
            </w:r>
          </w:p>
        </w:tc>
      </w:tr>
      <w:tr w:rsidR="00482FB2" w:rsidRPr="007D0713" w14:paraId="54710AA5" w14:textId="77777777">
        <w:tc>
          <w:tcPr>
            <w:tcW w:w="6345" w:type="dxa"/>
            <w:shd w:val="clear" w:color="auto" w:fill="auto"/>
            <w:vAlign w:val="center"/>
          </w:tcPr>
          <w:p w14:paraId="1E4E3BC5" w14:textId="6D0B3A27" w:rsidR="00482FB2" w:rsidRPr="007D0713" w:rsidRDefault="00FE7D2F">
            <w:pPr>
              <w:widowControl w:val="0"/>
              <w:textAlignment w:val="baseline"/>
              <w:rPr>
                <w:b/>
                <w:szCs w:val="24"/>
              </w:rPr>
            </w:pPr>
            <w:r w:rsidRPr="007D0713">
              <w:rPr>
                <w:b/>
                <w:szCs w:val="24"/>
              </w:rPr>
              <w:t>Atitiktis Europos Sąjungos pagrindinių teisių chartijai (toliau – Chartija)</w:t>
            </w:r>
          </w:p>
        </w:tc>
        <w:tc>
          <w:tcPr>
            <w:tcW w:w="9008" w:type="dxa"/>
            <w:shd w:val="clear" w:color="auto" w:fill="auto"/>
            <w:vAlign w:val="center"/>
          </w:tcPr>
          <w:p w14:paraId="3A57C6C3" w14:textId="7D5350D3" w:rsidR="00A41296" w:rsidRPr="007D0713" w:rsidRDefault="00A41296" w:rsidP="00300D94">
            <w:pPr>
              <w:widowControl w:val="0"/>
              <w:jc w:val="both"/>
              <w:textAlignment w:val="baseline"/>
              <w:rPr>
                <w:bCs/>
                <w:i/>
                <w:color w:val="FF0000"/>
                <w:szCs w:val="24"/>
              </w:rPr>
            </w:pPr>
            <w:proofErr w:type="spellStart"/>
            <w:r w:rsidRPr="007D0713">
              <w:rPr>
                <w:i/>
                <w:szCs w:val="24"/>
              </w:rPr>
              <w:t>Poveiklė</w:t>
            </w:r>
            <w:proofErr w:type="spellEnd"/>
            <w:r w:rsidRPr="007D0713">
              <w:rPr>
                <w:i/>
                <w:szCs w:val="24"/>
              </w:rPr>
              <w:t xml:space="preserve"> nepažeidžia</w:t>
            </w:r>
            <w:r w:rsidRPr="007D0713">
              <w:rPr>
                <w:i/>
                <w:sz w:val="20"/>
              </w:rPr>
              <w:t xml:space="preserve"> </w:t>
            </w:r>
            <w:r w:rsidR="0021091A" w:rsidRPr="007D0713">
              <w:rPr>
                <w:bCs/>
                <w:i/>
                <w:iCs/>
              </w:rPr>
              <w:t>C</w:t>
            </w:r>
            <w:r w:rsidRPr="007D0713">
              <w:rPr>
                <w:bCs/>
                <w:i/>
                <w:iCs/>
              </w:rPr>
              <w:t xml:space="preserve">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w:t>
            </w:r>
            <w:r w:rsidRPr="007D0713">
              <w:rPr>
                <w:bCs/>
                <w:i/>
                <w:iCs/>
                <w:szCs w:val="24"/>
              </w:rPr>
              <w:t xml:space="preserve"> </w:t>
            </w:r>
          </w:p>
        </w:tc>
      </w:tr>
    </w:tbl>
    <w:p w14:paraId="2A20A757" w14:textId="77777777" w:rsidR="00482FB2" w:rsidRPr="007D0713" w:rsidRDefault="00482FB2">
      <w:pPr>
        <w:widowControl w:val="0"/>
        <w:jc w:val="both"/>
        <w:textAlignment w:val="baseline"/>
        <w:rPr>
          <w:bCs/>
          <w:i/>
          <w:szCs w:val="24"/>
          <w:u w:val="single"/>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5"/>
        <w:gridCol w:w="8627"/>
      </w:tblGrid>
      <w:tr w:rsidR="00482FB2" w:rsidRPr="007D0713" w14:paraId="51B3363E" w14:textId="77777777" w:rsidTr="000E29EB">
        <w:tc>
          <w:tcPr>
            <w:tcW w:w="6105" w:type="dxa"/>
            <w:shd w:val="clear" w:color="auto" w:fill="auto"/>
          </w:tcPr>
          <w:p w14:paraId="41C0751E" w14:textId="70986638" w:rsidR="00482FB2" w:rsidRPr="007D0713" w:rsidRDefault="00FE7D2F">
            <w:pPr>
              <w:widowControl w:val="0"/>
              <w:jc w:val="both"/>
              <w:textAlignment w:val="baseline"/>
              <w:rPr>
                <w:b/>
                <w:bCs/>
                <w:sz w:val="22"/>
                <w:szCs w:val="22"/>
                <w:lang w:eastAsia="lt-LT"/>
              </w:rPr>
            </w:pPr>
            <w:bookmarkStart w:id="0" w:name="_Hlk110253296"/>
            <w:r w:rsidRPr="007D0713">
              <w:rPr>
                <w:szCs w:val="24"/>
              </w:rPr>
              <w:br w:type="page"/>
            </w:r>
            <w:r w:rsidR="004F30B0" w:rsidRPr="007D0713">
              <w:rPr>
                <w:lang w:eastAsia="lt-LT"/>
              </w:rPr>
              <w:fldChar w:fldCharType="begin">
                <w:ffData>
                  <w:name w:val=""/>
                  <w:enabled/>
                  <w:calcOnExit w:val="0"/>
                  <w:checkBox>
                    <w:sizeAuto/>
                    <w:default w:val="1"/>
                  </w:checkBox>
                </w:ffData>
              </w:fldChar>
            </w:r>
            <w:r w:rsidR="004F30B0" w:rsidRPr="007D0713">
              <w:rPr>
                <w:lang w:eastAsia="lt-LT"/>
              </w:rPr>
              <w:instrText xml:space="preserve"> FORMCHECKBOX </w:instrText>
            </w:r>
            <w:r w:rsidR="00E12465">
              <w:rPr>
                <w:lang w:eastAsia="lt-LT"/>
              </w:rPr>
            </w:r>
            <w:r w:rsidR="00E12465">
              <w:rPr>
                <w:lang w:eastAsia="lt-LT"/>
              </w:rPr>
              <w:fldChar w:fldCharType="separate"/>
            </w:r>
            <w:r w:rsidR="004F30B0" w:rsidRPr="007D0713">
              <w:rPr>
                <w:lang w:eastAsia="lt-LT"/>
              </w:rPr>
              <w:fldChar w:fldCharType="end"/>
            </w:r>
            <w:r w:rsidR="444E8E32" w:rsidRPr="007D0713">
              <w:rPr>
                <w:b/>
                <w:bCs/>
                <w:lang w:eastAsia="lt-LT"/>
              </w:rPr>
              <w:t xml:space="preserve"> </w:t>
            </w:r>
            <w:r w:rsidR="79705019" w:rsidRPr="007D0713">
              <w:rPr>
                <w:b/>
                <w:bCs/>
                <w:sz w:val="22"/>
                <w:szCs w:val="22"/>
                <w:lang w:eastAsia="lt-LT"/>
              </w:rPr>
              <w:t xml:space="preserve"> SPECIALUSIS PROJEKTŲ ATRANKOS KRITERIJUS</w:t>
            </w:r>
          </w:p>
          <w:p w14:paraId="0F59E8CD" w14:textId="158F59F1" w:rsidR="00482FB2" w:rsidRPr="007D0713" w:rsidRDefault="00FE7D2F">
            <w:pPr>
              <w:widowControl w:val="0"/>
              <w:jc w:val="both"/>
              <w:textAlignment w:val="baseline"/>
              <w:rPr>
                <w:b/>
                <w:bCs/>
                <w:sz w:val="22"/>
                <w:szCs w:val="22"/>
                <w:lang w:eastAsia="lt-LT"/>
              </w:rPr>
            </w:pPr>
            <w:r w:rsidRPr="007D0713">
              <w:rPr>
                <w:b/>
                <w:bCs/>
                <w:sz w:val="22"/>
                <w:szCs w:val="22"/>
                <w:lang w:eastAsia="lt-LT"/>
              </w:rPr>
              <w:t>□ PRIORITETINIS PROJEKTŲ ATRANKOS KRITERIJUS</w:t>
            </w:r>
          </w:p>
          <w:p w14:paraId="0744BF57" w14:textId="77777777" w:rsidR="00482FB2" w:rsidRPr="007D0713" w:rsidRDefault="00FE7D2F">
            <w:pPr>
              <w:widowControl w:val="0"/>
              <w:jc w:val="both"/>
              <w:textAlignment w:val="baseline"/>
              <w:rPr>
                <w:b/>
                <w:bCs/>
                <w:szCs w:val="24"/>
                <w:lang w:eastAsia="lt-LT"/>
              </w:rPr>
            </w:pPr>
            <w:r w:rsidRPr="007D0713">
              <w:rPr>
                <w:i/>
                <w:szCs w:val="24"/>
              </w:rPr>
              <w:lastRenderedPageBreak/>
              <w:t>(Pažymimas vienas iš galimų projektų atrankos kriterijų tipų.)</w:t>
            </w:r>
          </w:p>
        </w:tc>
        <w:tc>
          <w:tcPr>
            <w:tcW w:w="8627" w:type="dxa"/>
            <w:shd w:val="clear" w:color="auto" w:fill="auto"/>
          </w:tcPr>
          <w:p w14:paraId="736D2F4A" w14:textId="209F053D" w:rsidR="00482FB2" w:rsidRPr="007D0713" w:rsidRDefault="004F30B0">
            <w:pPr>
              <w:widowControl w:val="0"/>
              <w:jc w:val="both"/>
              <w:textAlignment w:val="baseline"/>
              <w:rPr>
                <w:b/>
                <w:bCs/>
                <w:szCs w:val="24"/>
                <w:lang w:eastAsia="lt-LT"/>
              </w:rPr>
            </w:pPr>
            <w:r w:rsidRPr="007D0713">
              <w:rPr>
                <w:bCs/>
                <w:lang w:eastAsia="lt-LT"/>
              </w:rPr>
              <w:lastRenderedPageBreak/>
              <w:fldChar w:fldCharType="begin">
                <w:ffData>
                  <w:name w:val=""/>
                  <w:enabled/>
                  <w:calcOnExit w:val="0"/>
                  <w:checkBox>
                    <w:sizeAuto/>
                    <w:default w:val="1"/>
                  </w:checkBox>
                </w:ffData>
              </w:fldChar>
            </w:r>
            <w:r w:rsidRPr="007D0713">
              <w:rPr>
                <w:bCs/>
                <w:lang w:eastAsia="lt-LT"/>
              </w:rPr>
              <w:instrText xml:space="preserve"> FORMCHECKBOX </w:instrText>
            </w:r>
            <w:r w:rsidR="00E12465">
              <w:rPr>
                <w:bCs/>
                <w:lang w:eastAsia="lt-LT"/>
              </w:rPr>
            </w:r>
            <w:r w:rsidR="00E12465">
              <w:rPr>
                <w:bCs/>
                <w:lang w:eastAsia="lt-LT"/>
              </w:rPr>
              <w:fldChar w:fldCharType="separate"/>
            </w:r>
            <w:r w:rsidRPr="007D0713">
              <w:rPr>
                <w:bCs/>
                <w:lang w:eastAsia="lt-LT"/>
              </w:rPr>
              <w:fldChar w:fldCharType="end"/>
            </w:r>
            <w:r w:rsidRPr="007D0713">
              <w:rPr>
                <w:b/>
                <w:bCs/>
                <w:szCs w:val="24"/>
                <w:lang w:eastAsia="lt-LT"/>
              </w:rPr>
              <w:t xml:space="preserve"> </w:t>
            </w:r>
            <w:r w:rsidR="00FE7D2F" w:rsidRPr="007D0713">
              <w:rPr>
                <w:b/>
                <w:bCs/>
                <w:szCs w:val="24"/>
                <w:lang w:eastAsia="lt-LT"/>
              </w:rPr>
              <w:t xml:space="preserve"> Nustatymas</w:t>
            </w:r>
          </w:p>
          <w:p w14:paraId="3EBC1D0C" w14:textId="4F0CFC23" w:rsidR="00482FB2" w:rsidRPr="007D0713" w:rsidRDefault="00FE7D2F">
            <w:pPr>
              <w:widowControl w:val="0"/>
              <w:jc w:val="both"/>
              <w:textAlignment w:val="baseline"/>
              <w:rPr>
                <w:szCs w:val="24"/>
              </w:rPr>
            </w:pPr>
            <w:r w:rsidRPr="007D0713">
              <w:rPr>
                <w:b/>
                <w:bCs/>
                <w:szCs w:val="24"/>
                <w:lang w:eastAsia="lt-LT"/>
              </w:rPr>
              <w:t>□ Keitimas</w:t>
            </w:r>
          </w:p>
        </w:tc>
      </w:tr>
      <w:tr w:rsidR="00482FB2" w:rsidRPr="007D0713" w14:paraId="6C9B72A7" w14:textId="77777777" w:rsidTr="000E29EB">
        <w:tc>
          <w:tcPr>
            <w:tcW w:w="6105" w:type="dxa"/>
            <w:shd w:val="clear" w:color="auto" w:fill="auto"/>
            <w:vAlign w:val="center"/>
          </w:tcPr>
          <w:p w14:paraId="6334BD0A" w14:textId="6FE24095" w:rsidR="00482FB2" w:rsidRPr="007D0713" w:rsidRDefault="00FE7D2F">
            <w:pPr>
              <w:widowControl w:val="0"/>
              <w:textAlignment w:val="baseline"/>
              <w:rPr>
                <w:b/>
                <w:bCs/>
                <w:szCs w:val="24"/>
                <w:lang w:eastAsia="lt-LT"/>
              </w:rPr>
            </w:pPr>
            <w:r w:rsidRPr="007D0713">
              <w:rPr>
                <w:b/>
                <w:bCs/>
                <w:szCs w:val="24"/>
                <w:lang w:eastAsia="lt-LT"/>
              </w:rPr>
              <w:t>Projektų atrankos kriterijaus numeris ir pavadinimas</w:t>
            </w:r>
          </w:p>
        </w:tc>
        <w:tc>
          <w:tcPr>
            <w:tcW w:w="8627" w:type="dxa"/>
            <w:shd w:val="clear" w:color="auto" w:fill="auto"/>
          </w:tcPr>
          <w:p w14:paraId="794524A3" w14:textId="34398352" w:rsidR="00482FB2" w:rsidRPr="007D0713" w:rsidRDefault="00300D94" w:rsidP="00CA20BD">
            <w:pPr>
              <w:widowControl w:val="0"/>
              <w:jc w:val="both"/>
              <w:textAlignment w:val="baseline"/>
              <w:rPr>
                <w:bCs/>
                <w:i/>
                <w:szCs w:val="24"/>
                <w:lang w:eastAsia="lt-LT"/>
              </w:rPr>
            </w:pPr>
            <w:r w:rsidRPr="007D0713">
              <w:rPr>
                <w:b/>
                <w:i/>
                <w:szCs w:val="24"/>
                <w:lang w:eastAsia="lt-LT"/>
              </w:rPr>
              <w:t xml:space="preserve">1. Projekte suplanuotos veiklos atitinka </w:t>
            </w:r>
            <w:hyperlink r:id="rId16" w:history="1">
              <w:r w:rsidRPr="007D0713">
                <w:rPr>
                  <w:rStyle w:val="Hyperlink"/>
                  <w:b/>
                  <w:bCs/>
                  <w:i/>
                  <w:szCs w:val="24"/>
                  <w:lang w:eastAsia="lt-LT"/>
                </w:rPr>
                <w:t>Mokslinių tyrimų ir eksperimentinės plėtros ir inovacijų (sumaniosios specializacijos)</w:t>
              </w:r>
              <w:r w:rsidR="004E073A" w:rsidRPr="007D0713">
                <w:rPr>
                  <w:rStyle w:val="Hyperlink"/>
                  <w:b/>
                  <w:bCs/>
                  <w:i/>
                  <w:szCs w:val="24"/>
                  <w:lang w:eastAsia="lt-LT"/>
                </w:rPr>
                <w:t xml:space="preserve"> </w:t>
              </w:r>
              <w:r w:rsidRPr="007D0713">
                <w:rPr>
                  <w:rStyle w:val="Hyperlink"/>
                  <w:b/>
                  <w:bCs/>
                  <w:i/>
                  <w:szCs w:val="24"/>
                  <w:lang w:eastAsia="lt-LT"/>
                </w:rPr>
                <w:t>prioritetų įgyvendinimo koncepcijos</w:t>
              </w:r>
              <w:r w:rsidR="00823A4E" w:rsidRPr="007D0713">
                <w:rPr>
                  <w:rStyle w:val="Hyperlink"/>
                  <w:b/>
                  <w:bCs/>
                  <w:i/>
                  <w:szCs w:val="24"/>
                  <w:lang w:eastAsia="lt-LT"/>
                </w:rPr>
                <w:t xml:space="preserve">, patvirtintos </w:t>
              </w:r>
              <w:r w:rsidR="008D34C2" w:rsidRPr="007D0713">
                <w:rPr>
                  <w:rStyle w:val="Hyperlink"/>
                  <w:b/>
                  <w:bCs/>
                  <w:i/>
                  <w:szCs w:val="24"/>
                  <w:lang w:eastAsia="lt-LT"/>
                </w:rPr>
                <w:t>Lietuvos Respublikos Vyriausybės 2022 m. rugpjūčio 17 d. nutarimu Nr.</w:t>
              </w:r>
              <w:r w:rsidR="0021091A" w:rsidRPr="007D0713">
                <w:rPr>
                  <w:rStyle w:val="Hyperlink"/>
                  <w:b/>
                  <w:bCs/>
                  <w:i/>
                  <w:szCs w:val="24"/>
                  <w:lang w:eastAsia="lt-LT"/>
                </w:rPr>
                <w:t> </w:t>
              </w:r>
              <w:r w:rsidR="008D34C2" w:rsidRPr="007D0713">
                <w:rPr>
                  <w:rStyle w:val="Hyperlink"/>
                  <w:b/>
                  <w:bCs/>
                  <w:i/>
                  <w:szCs w:val="24"/>
                  <w:lang w:eastAsia="lt-LT"/>
                </w:rPr>
                <w:t xml:space="preserve">835 „Dėl </w:t>
              </w:r>
              <w:r w:rsidR="0021091A" w:rsidRPr="007D0713">
                <w:rPr>
                  <w:rStyle w:val="Hyperlink"/>
                  <w:b/>
                  <w:bCs/>
                  <w:i/>
                  <w:szCs w:val="24"/>
                  <w:lang w:eastAsia="lt-LT"/>
                </w:rPr>
                <w:t>M</w:t>
              </w:r>
              <w:r w:rsidR="008D34C2" w:rsidRPr="007D0713">
                <w:rPr>
                  <w:rStyle w:val="Hyperlink"/>
                  <w:b/>
                  <w:bCs/>
                  <w:i/>
                  <w:szCs w:val="24"/>
                  <w:lang w:eastAsia="lt-LT"/>
                </w:rPr>
                <w:t>okslinių tyrimų ir eksperimentinės plėtros ir inovacijų (sumaniosios specializacijos) koncepcijos patvirtinimo“</w:t>
              </w:r>
              <w:r w:rsidR="0021091A" w:rsidRPr="007D0713">
                <w:rPr>
                  <w:rStyle w:val="Hyperlink"/>
                  <w:b/>
                  <w:bCs/>
                  <w:i/>
                  <w:szCs w:val="24"/>
                  <w:lang w:eastAsia="lt-LT"/>
                </w:rPr>
                <w:t>,</w:t>
              </w:r>
              <w:r w:rsidRPr="007D0713">
                <w:rPr>
                  <w:rStyle w:val="Hyperlink"/>
                  <w:b/>
                  <w:bCs/>
                  <w:i/>
                  <w:szCs w:val="24"/>
                  <w:lang w:eastAsia="lt-LT"/>
                </w:rPr>
                <w:t xml:space="preserve"> nuostatas</w:t>
              </w:r>
            </w:hyperlink>
            <w:r w:rsidR="005B45DC" w:rsidRPr="007D0713">
              <w:rPr>
                <w:b/>
                <w:bCs/>
                <w:i/>
                <w:szCs w:val="24"/>
                <w:lang w:eastAsia="lt-LT"/>
              </w:rPr>
              <w:t xml:space="preserve"> </w:t>
            </w:r>
            <w:r w:rsidR="005B45DC" w:rsidRPr="007D0713">
              <w:rPr>
                <w:b/>
                <w:i/>
                <w:szCs w:val="24"/>
                <w:lang w:eastAsia="lt-LT"/>
              </w:rPr>
              <w:t xml:space="preserve">(toliau </w:t>
            </w:r>
            <w:r w:rsidR="005B45DC" w:rsidRPr="007D0713">
              <w:rPr>
                <w:b/>
                <w:i/>
                <w:iCs/>
                <w:szCs w:val="24"/>
              </w:rPr>
              <w:t>– Koncepcija)</w:t>
            </w:r>
            <w:r w:rsidRPr="007D0713">
              <w:rPr>
                <w:b/>
                <w:i/>
                <w:szCs w:val="24"/>
                <w:lang w:eastAsia="lt-LT"/>
              </w:rPr>
              <w:t xml:space="preserve"> ir bent vieno</w:t>
            </w:r>
            <w:r w:rsidR="005B45DC" w:rsidRPr="007D0713">
              <w:rPr>
                <w:b/>
                <w:i/>
                <w:szCs w:val="24"/>
                <w:lang w:eastAsia="lt-LT"/>
              </w:rPr>
              <w:t xml:space="preserve"> šios Koncepcijos</w:t>
            </w:r>
            <w:r w:rsidRPr="007D0713">
              <w:rPr>
                <w:b/>
                <w:i/>
                <w:szCs w:val="24"/>
                <w:lang w:eastAsia="lt-LT"/>
              </w:rPr>
              <w:t xml:space="preserve"> prioriteto įgyvendinimo tematiką</w:t>
            </w:r>
            <w:r w:rsidR="00282C61" w:rsidRPr="007D0713">
              <w:rPr>
                <w:b/>
                <w:i/>
                <w:szCs w:val="24"/>
                <w:lang w:eastAsia="lt-LT"/>
              </w:rPr>
              <w:t>.</w:t>
            </w:r>
          </w:p>
        </w:tc>
      </w:tr>
      <w:tr w:rsidR="00482FB2" w:rsidRPr="007D0713" w14:paraId="225452A9" w14:textId="77777777" w:rsidTr="000E29EB">
        <w:tc>
          <w:tcPr>
            <w:tcW w:w="6105" w:type="dxa"/>
            <w:shd w:val="clear" w:color="auto" w:fill="auto"/>
            <w:vAlign w:val="center"/>
          </w:tcPr>
          <w:p w14:paraId="228A712C" w14:textId="56261FD1" w:rsidR="00482FB2" w:rsidRPr="007D0713" w:rsidRDefault="00FE7D2F">
            <w:pPr>
              <w:widowControl w:val="0"/>
              <w:textAlignment w:val="baseline"/>
              <w:rPr>
                <w:b/>
                <w:bCs/>
                <w:szCs w:val="24"/>
                <w:lang w:eastAsia="lt-LT"/>
              </w:rPr>
            </w:pPr>
            <w:r w:rsidRPr="007D0713">
              <w:rPr>
                <w:b/>
                <w:bCs/>
                <w:szCs w:val="24"/>
                <w:lang w:eastAsia="lt-LT"/>
              </w:rPr>
              <w:t>Projektų atrankos kriterijaus vertinimo metodas ir taikymas</w:t>
            </w:r>
          </w:p>
        </w:tc>
        <w:tc>
          <w:tcPr>
            <w:tcW w:w="8627" w:type="dxa"/>
            <w:shd w:val="clear" w:color="auto" w:fill="auto"/>
          </w:tcPr>
          <w:p w14:paraId="74595665" w14:textId="4A7DA89F" w:rsidR="00482FB2" w:rsidRPr="007D0713" w:rsidRDefault="00497B47">
            <w:pPr>
              <w:widowControl w:val="0"/>
              <w:jc w:val="both"/>
              <w:textAlignment w:val="baseline"/>
              <w:rPr>
                <w:bCs/>
                <w:szCs w:val="24"/>
                <w:lang w:eastAsia="lt-LT"/>
              </w:rPr>
            </w:pPr>
            <w:r w:rsidRPr="007D0713">
              <w:rPr>
                <w:bCs/>
                <w:i/>
                <w:szCs w:val="24"/>
                <w:lang w:eastAsia="lt-LT"/>
              </w:rPr>
              <w:t>Vertinama</w:t>
            </w:r>
            <w:r w:rsidR="0021091A" w:rsidRPr="007D0713">
              <w:rPr>
                <w:bCs/>
                <w:i/>
                <w:szCs w:val="24"/>
                <w:lang w:eastAsia="lt-LT"/>
              </w:rPr>
              <w:t>,</w:t>
            </w:r>
            <w:r w:rsidR="000F6B6F" w:rsidRPr="007D0713">
              <w:rPr>
                <w:bCs/>
                <w:i/>
                <w:szCs w:val="24"/>
                <w:lang w:eastAsia="lt-LT"/>
              </w:rPr>
              <w:t xml:space="preserve"> ar projektas prisideda prie </w:t>
            </w:r>
            <w:r w:rsidR="005B45DC" w:rsidRPr="007D0713">
              <w:rPr>
                <w:bCs/>
                <w:i/>
                <w:szCs w:val="24"/>
                <w:lang w:eastAsia="lt-LT"/>
              </w:rPr>
              <w:t>K</w:t>
            </w:r>
            <w:r w:rsidR="00F14D95" w:rsidRPr="007D0713">
              <w:rPr>
                <w:bCs/>
                <w:i/>
                <w:szCs w:val="24"/>
                <w:lang w:eastAsia="lt-LT"/>
              </w:rPr>
              <w:t xml:space="preserve">oncepcijos </w:t>
            </w:r>
            <w:r w:rsidR="000F6B6F" w:rsidRPr="007D0713">
              <w:rPr>
                <w:bCs/>
                <w:i/>
                <w:szCs w:val="24"/>
                <w:lang w:eastAsia="lt-LT"/>
              </w:rPr>
              <w:t>ir atitinka bent vieno</w:t>
            </w:r>
            <w:r w:rsidR="007F5006" w:rsidRPr="007D0713">
              <w:rPr>
                <w:bCs/>
                <w:i/>
                <w:szCs w:val="24"/>
                <w:lang w:eastAsia="lt-LT"/>
              </w:rPr>
              <w:t xml:space="preserve"> šios Koncepcijos</w:t>
            </w:r>
            <w:r w:rsidR="000F6B6F" w:rsidRPr="007D0713">
              <w:rPr>
                <w:bCs/>
                <w:i/>
                <w:szCs w:val="24"/>
                <w:lang w:eastAsia="lt-LT"/>
              </w:rPr>
              <w:t xml:space="preserve"> prioriteto įgyvendinimo tematiką.</w:t>
            </w:r>
          </w:p>
        </w:tc>
      </w:tr>
      <w:tr w:rsidR="00482FB2" w:rsidRPr="007D0713" w14:paraId="394004C0" w14:textId="77777777" w:rsidTr="000E29EB">
        <w:tc>
          <w:tcPr>
            <w:tcW w:w="6105" w:type="dxa"/>
            <w:shd w:val="clear" w:color="auto" w:fill="auto"/>
            <w:vAlign w:val="center"/>
          </w:tcPr>
          <w:p w14:paraId="17F3DB83" w14:textId="4623DD08" w:rsidR="00482FB2" w:rsidRPr="007D0713" w:rsidRDefault="00FE7D2F">
            <w:pPr>
              <w:widowControl w:val="0"/>
              <w:textAlignment w:val="baseline"/>
              <w:rPr>
                <w:b/>
                <w:bCs/>
                <w:szCs w:val="24"/>
                <w:lang w:eastAsia="lt-LT"/>
              </w:rPr>
            </w:pPr>
            <w:r w:rsidRPr="007D0713">
              <w:rPr>
                <w:b/>
                <w:bCs/>
                <w:szCs w:val="24"/>
                <w:lang w:eastAsia="lt-LT"/>
              </w:rPr>
              <w:t>Projektų atrankos kriterijaus pasirinkimo pagrindimas</w:t>
            </w:r>
          </w:p>
        </w:tc>
        <w:tc>
          <w:tcPr>
            <w:tcW w:w="8627" w:type="dxa"/>
            <w:shd w:val="clear" w:color="auto" w:fill="auto"/>
          </w:tcPr>
          <w:p w14:paraId="11B75D9D" w14:textId="72288E22" w:rsidR="00B90AED" w:rsidRPr="007D0713" w:rsidRDefault="009D713B" w:rsidP="00B327C4">
            <w:pPr>
              <w:jc w:val="both"/>
              <w:rPr>
                <w:bCs/>
                <w:i/>
                <w:iCs/>
                <w:lang w:eastAsia="lt-LT"/>
              </w:rPr>
            </w:pPr>
            <w:r w:rsidRPr="007D0713">
              <w:rPr>
                <w:bCs/>
                <w:i/>
                <w:iCs/>
                <w:lang w:eastAsia="lt-LT"/>
              </w:rPr>
              <w:t>Nustatytas kriterijus</w:t>
            </w:r>
            <w:r w:rsidRPr="007D0713">
              <w:rPr>
                <w:i/>
                <w:iCs/>
              </w:rPr>
              <w:t xml:space="preserve"> </w:t>
            </w:r>
            <w:r w:rsidRPr="007D0713">
              <w:rPr>
                <w:bCs/>
                <w:i/>
                <w:iCs/>
                <w:lang w:eastAsia="lt-LT"/>
              </w:rPr>
              <w:t xml:space="preserve">padės atrinkti tuos projektus, kurie </w:t>
            </w:r>
            <w:r w:rsidR="000E182F" w:rsidRPr="007D0713">
              <w:rPr>
                <w:bCs/>
                <w:i/>
                <w:iCs/>
                <w:lang w:eastAsia="lt-LT"/>
              </w:rPr>
              <w:t>atitinka</w:t>
            </w:r>
            <w:r w:rsidRPr="007D0713">
              <w:rPr>
                <w:bCs/>
                <w:i/>
                <w:iCs/>
                <w:lang w:eastAsia="lt-LT"/>
              </w:rPr>
              <w:t xml:space="preserve"> </w:t>
            </w:r>
            <w:r w:rsidR="000E182F" w:rsidRPr="007D0713">
              <w:rPr>
                <w:bCs/>
                <w:i/>
                <w:iCs/>
                <w:lang w:eastAsia="lt-LT"/>
              </w:rPr>
              <w:t>Investicijų programos 1 prioriteto „Pažangesnė Lietuva“ 1.1 konkretaus uždavinio „Plėtoti ir stiprinti mokslinių tyrimų ir inovacinius pajėgumus ir diegti pažangiąsias technologijas“ tikslus</w:t>
            </w:r>
            <w:r w:rsidR="00C21B3C" w:rsidRPr="007D0713">
              <w:t xml:space="preserve"> </w:t>
            </w:r>
            <w:r w:rsidR="00C21B3C" w:rsidRPr="007D0713">
              <w:rPr>
                <w:bCs/>
                <w:i/>
                <w:iCs/>
                <w:lang w:eastAsia="lt-LT"/>
              </w:rPr>
              <w:t xml:space="preserve">siekiant </w:t>
            </w:r>
            <w:r w:rsidR="00FF41F9" w:rsidRPr="007D0713">
              <w:rPr>
                <w:bCs/>
                <w:i/>
                <w:iCs/>
                <w:lang w:eastAsia="lt-LT"/>
              </w:rPr>
              <w:t>sumaniąja specializacija</w:t>
            </w:r>
            <w:r w:rsidR="00C21B3C" w:rsidRPr="007D0713">
              <w:rPr>
                <w:bCs/>
                <w:i/>
                <w:iCs/>
                <w:lang w:eastAsia="lt-LT"/>
              </w:rPr>
              <w:t xml:space="preserve"> grįstos ekonomikos transformacijos į </w:t>
            </w:r>
            <w:r w:rsidR="00844E16">
              <w:rPr>
                <w:bCs/>
                <w:i/>
                <w:iCs/>
                <w:lang w:eastAsia="lt-LT"/>
              </w:rPr>
              <w:t xml:space="preserve">aukštos pridėtinės vertės </w:t>
            </w:r>
            <w:r w:rsidR="00C21B3C" w:rsidRPr="007D0713">
              <w:rPr>
                <w:bCs/>
                <w:i/>
                <w:iCs/>
                <w:lang w:eastAsia="lt-LT"/>
              </w:rPr>
              <w:t>produktų kūrimo</w:t>
            </w:r>
            <w:r w:rsidR="00560173" w:rsidRPr="007D0713">
              <w:rPr>
                <w:bCs/>
                <w:i/>
                <w:iCs/>
                <w:lang w:eastAsia="lt-LT"/>
              </w:rPr>
              <w:t xml:space="preserve"> vertes.</w:t>
            </w:r>
            <w:r w:rsidR="000E182F" w:rsidRPr="007D0713">
              <w:rPr>
                <w:bCs/>
                <w:i/>
                <w:iCs/>
                <w:lang w:eastAsia="lt-LT"/>
              </w:rPr>
              <w:t xml:space="preserve"> </w:t>
            </w:r>
          </w:p>
          <w:p w14:paraId="01E7EB71" w14:textId="2BA95A39" w:rsidR="00482FB2" w:rsidRPr="007D0713" w:rsidRDefault="007F5006" w:rsidP="00D6500F">
            <w:pPr>
              <w:jc w:val="both"/>
              <w:rPr>
                <w:bCs/>
                <w:i/>
                <w:szCs w:val="24"/>
                <w:lang w:eastAsia="lt-LT"/>
              </w:rPr>
            </w:pPr>
            <w:r w:rsidRPr="007D0713">
              <w:rPr>
                <w:bCs/>
                <w:i/>
                <w:iCs/>
                <w:lang w:eastAsia="lt-LT"/>
              </w:rPr>
              <w:t>Šis k</w:t>
            </w:r>
            <w:r w:rsidR="00D337B8" w:rsidRPr="007D0713">
              <w:rPr>
                <w:bCs/>
                <w:i/>
                <w:iCs/>
                <w:lang w:eastAsia="lt-LT"/>
              </w:rPr>
              <w:t>riterijus reikalingas</w:t>
            </w:r>
            <w:r w:rsidRPr="007D0713">
              <w:rPr>
                <w:bCs/>
                <w:i/>
                <w:iCs/>
                <w:lang w:eastAsia="lt-LT"/>
              </w:rPr>
              <w:t xml:space="preserve"> siekiant</w:t>
            </w:r>
            <w:r w:rsidR="00D337B8" w:rsidRPr="007D0713">
              <w:rPr>
                <w:bCs/>
                <w:i/>
                <w:iCs/>
                <w:lang w:eastAsia="lt-LT"/>
              </w:rPr>
              <w:t xml:space="preserve"> įgyvendinti būtin</w:t>
            </w:r>
            <w:r w:rsidR="00B90AED" w:rsidRPr="007D0713">
              <w:rPr>
                <w:bCs/>
                <w:i/>
                <w:iCs/>
                <w:lang w:eastAsia="lt-LT"/>
              </w:rPr>
              <w:t>ą</w:t>
            </w:r>
            <w:r w:rsidR="00D337B8" w:rsidRPr="007D0713">
              <w:rPr>
                <w:bCs/>
                <w:i/>
                <w:iCs/>
                <w:lang w:eastAsia="lt-LT"/>
              </w:rPr>
              <w:t xml:space="preserve"> Investicijų programos </w:t>
            </w:r>
            <w:r w:rsidR="00B90AED" w:rsidRPr="007D0713">
              <w:rPr>
                <w:bCs/>
                <w:i/>
                <w:iCs/>
                <w:lang w:eastAsia="lt-LT"/>
              </w:rPr>
              <w:t>1</w:t>
            </w:r>
            <w:r w:rsidRPr="007D0713">
              <w:rPr>
                <w:bCs/>
                <w:i/>
                <w:iCs/>
                <w:lang w:eastAsia="lt-LT"/>
              </w:rPr>
              <w:t xml:space="preserve"> prioriteto „Pažangesnė Lietuva“ 1.1 konkretaus uždavinio „Plėtoti ir stiprinti mokslinių tyrimų ir inovacinius pajėgumus ir diegti pažangiąsias technologijas“ </w:t>
            </w:r>
            <w:r w:rsidR="00D337B8" w:rsidRPr="007D0713">
              <w:rPr>
                <w:bCs/>
                <w:i/>
                <w:iCs/>
                <w:lang w:eastAsia="lt-LT"/>
              </w:rPr>
              <w:t>išankstinę sąlygą</w:t>
            </w:r>
            <w:r w:rsidR="00B90AED" w:rsidRPr="007D0713">
              <w:rPr>
                <w:bCs/>
                <w:i/>
                <w:iCs/>
                <w:lang w:eastAsia="lt-LT"/>
              </w:rPr>
              <w:t>.</w:t>
            </w:r>
          </w:p>
        </w:tc>
      </w:tr>
      <w:bookmarkEnd w:id="0"/>
      <w:tr w:rsidR="00911C69" w:rsidRPr="007D0713" w14:paraId="34E2D3DC" w14:textId="77777777" w:rsidTr="000E29EB">
        <w:tc>
          <w:tcPr>
            <w:tcW w:w="6105" w:type="dxa"/>
            <w:shd w:val="clear" w:color="auto" w:fill="auto"/>
          </w:tcPr>
          <w:p w14:paraId="15917472" w14:textId="77777777" w:rsidR="00911C69" w:rsidRPr="007D0713" w:rsidRDefault="00911C69">
            <w:pPr>
              <w:widowControl w:val="0"/>
              <w:jc w:val="both"/>
              <w:textAlignment w:val="baseline"/>
              <w:rPr>
                <w:b/>
                <w:bCs/>
                <w:sz w:val="22"/>
                <w:szCs w:val="22"/>
                <w:lang w:eastAsia="lt-LT"/>
              </w:rPr>
            </w:pPr>
            <w:r w:rsidRPr="007D0713">
              <w:rPr>
                <w:szCs w:val="24"/>
              </w:rPr>
              <w:br w:type="page"/>
            </w:r>
            <w:r w:rsidRPr="007D0713">
              <w:rPr>
                <w:bCs/>
                <w:lang w:eastAsia="lt-LT"/>
              </w:rPr>
              <w:fldChar w:fldCharType="begin">
                <w:ffData>
                  <w:name w:val=""/>
                  <w:enabled/>
                  <w:calcOnExit w:val="0"/>
                  <w:checkBox>
                    <w:sizeAuto/>
                    <w:default w:val="1"/>
                  </w:checkBox>
                </w:ffData>
              </w:fldChar>
            </w:r>
            <w:r w:rsidRPr="007D0713">
              <w:rPr>
                <w:bCs/>
                <w:lang w:eastAsia="lt-LT"/>
              </w:rPr>
              <w:instrText xml:space="preserve"> FORMCHECKBOX </w:instrText>
            </w:r>
            <w:r w:rsidR="00E12465">
              <w:rPr>
                <w:bCs/>
                <w:lang w:eastAsia="lt-LT"/>
              </w:rPr>
            </w:r>
            <w:r w:rsidR="00E12465">
              <w:rPr>
                <w:bCs/>
                <w:lang w:eastAsia="lt-LT"/>
              </w:rPr>
              <w:fldChar w:fldCharType="separate"/>
            </w:r>
            <w:r w:rsidRPr="007D0713">
              <w:rPr>
                <w:bCs/>
                <w:lang w:eastAsia="lt-LT"/>
              </w:rPr>
              <w:fldChar w:fldCharType="end"/>
            </w:r>
            <w:r w:rsidRPr="007D0713">
              <w:rPr>
                <w:b/>
                <w:bCs/>
                <w:szCs w:val="24"/>
                <w:lang w:eastAsia="lt-LT"/>
              </w:rPr>
              <w:t xml:space="preserve"> </w:t>
            </w:r>
            <w:r w:rsidRPr="007D0713">
              <w:rPr>
                <w:b/>
                <w:bCs/>
                <w:sz w:val="22"/>
                <w:szCs w:val="22"/>
                <w:lang w:eastAsia="lt-LT"/>
              </w:rPr>
              <w:t xml:space="preserve"> SPECIALUSIS PROJEKTŲ ATRANKOS KRITERIJUS</w:t>
            </w:r>
          </w:p>
          <w:p w14:paraId="082D0818" w14:textId="77777777" w:rsidR="00911C69" w:rsidRPr="007D0713" w:rsidRDefault="00911C69">
            <w:pPr>
              <w:widowControl w:val="0"/>
              <w:jc w:val="both"/>
              <w:textAlignment w:val="baseline"/>
              <w:rPr>
                <w:b/>
                <w:bCs/>
                <w:sz w:val="22"/>
                <w:szCs w:val="22"/>
                <w:lang w:eastAsia="lt-LT"/>
              </w:rPr>
            </w:pPr>
            <w:r w:rsidRPr="007D0713">
              <w:rPr>
                <w:b/>
                <w:bCs/>
                <w:sz w:val="22"/>
                <w:szCs w:val="22"/>
                <w:lang w:eastAsia="lt-LT"/>
              </w:rPr>
              <w:t>□ PRIORITETINIS PROJEKTŲ ATRANKOS KRITERIJUS</w:t>
            </w:r>
          </w:p>
          <w:p w14:paraId="429C298E" w14:textId="77777777" w:rsidR="00911C69" w:rsidRPr="007D0713" w:rsidRDefault="00911C69">
            <w:pPr>
              <w:widowControl w:val="0"/>
              <w:jc w:val="both"/>
              <w:textAlignment w:val="baseline"/>
              <w:rPr>
                <w:b/>
                <w:bCs/>
                <w:szCs w:val="24"/>
                <w:lang w:eastAsia="lt-LT"/>
              </w:rPr>
            </w:pPr>
            <w:r w:rsidRPr="007D0713">
              <w:rPr>
                <w:i/>
                <w:szCs w:val="24"/>
              </w:rPr>
              <w:t>(Pažymimas vienas iš galimų projektų atrankos kriterijų tipų.)</w:t>
            </w:r>
          </w:p>
        </w:tc>
        <w:tc>
          <w:tcPr>
            <w:tcW w:w="8627" w:type="dxa"/>
            <w:shd w:val="clear" w:color="auto" w:fill="auto"/>
          </w:tcPr>
          <w:p w14:paraId="7BF30632" w14:textId="77777777" w:rsidR="00911C69" w:rsidRPr="007D0713" w:rsidRDefault="00911C69">
            <w:pPr>
              <w:widowControl w:val="0"/>
              <w:jc w:val="both"/>
              <w:textAlignment w:val="baseline"/>
              <w:rPr>
                <w:b/>
                <w:bCs/>
                <w:szCs w:val="24"/>
                <w:lang w:eastAsia="lt-LT"/>
              </w:rPr>
            </w:pPr>
            <w:r w:rsidRPr="007D0713">
              <w:rPr>
                <w:bCs/>
                <w:lang w:eastAsia="lt-LT"/>
              </w:rPr>
              <w:fldChar w:fldCharType="begin">
                <w:ffData>
                  <w:name w:val=""/>
                  <w:enabled/>
                  <w:calcOnExit w:val="0"/>
                  <w:checkBox>
                    <w:sizeAuto/>
                    <w:default w:val="1"/>
                  </w:checkBox>
                </w:ffData>
              </w:fldChar>
            </w:r>
            <w:r w:rsidRPr="007D0713">
              <w:rPr>
                <w:bCs/>
                <w:lang w:eastAsia="lt-LT"/>
              </w:rPr>
              <w:instrText xml:space="preserve"> FORMCHECKBOX </w:instrText>
            </w:r>
            <w:r w:rsidR="00E12465">
              <w:rPr>
                <w:bCs/>
                <w:lang w:eastAsia="lt-LT"/>
              </w:rPr>
            </w:r>
            <w:r w:rsidR="00E12465">
              <w:rPr>
                <w:bCs/>
                <w:lang w:eastAsia="lt-LT"/>
              </w:rPr>
              <w:fldChar w:fldCharType="separate"/>
            </w:r>
            <w:r w:rsidRPr="007D0713">
              <w:rPr>
                <w:bCs/>
                <w:lang w:eastAsia="lt-LT"/>
              </w:rPr>
              <w:fldChar w:fldCharType="end"/>
            </w:r>
            <w:r w:rsidRPr="007D0713">
              <w:rPr>
                <w:b/>
                <w:bCs/>
                <w:szCs w:val="24"/>
                <w:lang w:eastAsia="lt-LT"/>
              </w:rPr>
              <w:t xml:space="preserve">  Nustatymas</w:t>
            </w:r>
          </w:p>
          <w:p w14:paraId="3541B5A9" w14:textId="77777777" w:rsidR="00911C69" w:rsidRPr="007D0713" w:rsidRDefault="00911C69">
            <w:pPr>
              <w:widowControl w:val="0"/>
              <w:jc w:val="both"/>
              <w:textAlignment w:val="baseline"/>
              <w:rPr>
                <w:szCs w:val="24"/>
              </w:rPr>
            </w:pPr>
            <w:r w:rsidRPr="007D0713">
              <w:rPr>
                <w:b/>
                <w:bCs/>
                <w:szCs w:val="24"/>
                <w:lang w:eastAsia="lt-LT"/>
              </w:rPr>
              <w:t>□ Keitimas</w:t>
            </w:r>
          </w:p>
        </w:tc>
      </w:tr>
      <w:tr w:rsidR="00911C69" w:rsidRPr="007D0713" w14:paraId="4B407B79" w14:textId="77777777" w:rsidTr="000E29EB">
        <w:tc>
          <w:tcPr>
            <w:tcW w:w="6105" w:type="dxa"/>
            <w:shd w:val="clear" w:color="auto" w:fill="auto"/>
            <w:vAlign w:val="center"/>
          </w:tcPr>
          <w:p w14:paraId="7CE672FD" w14:textId="77777777" w:rsidR="00911C69" w:rsidRPr="007D0713" w:rsidRDefault="00911C69">
            <w:pPr>
              <w:widowControl w:val="0"/>
              <w:textAlignment w:val="baseline"/>
              <w:rPr>
                <w:b/>
                <w:bCs/>
                <w:szCs w:val="24"/>
                <w:lang w:eastAsia="lt-LT"/>
              </w:rPr>
            </w:pPr>
            <w:r w:rsidRPr="007D0713">
              <w:rPr>
                <w:b/>
                <w:bCs/>
                <w:szCs w:val="24"/>
                <w:lang w:eastAsia="lt-LT"/>
              </w:rPr>
              <w:t>Projektų atrankos kriterijaus numeris ir pavadinimas</w:t>
            </w:r>
          </w:p>
        </w:tc>
        <w:tc>
          <w:tcPr>
            <w:tcW w:w="8627" w:type="dxa"/>
            <w:shd w:val="clear" w:color="auto" w:fill="auto"/>
          </w:tcPr>
          <w:p w14:paraId="596958C6" w14:textId="00294EE2" w:rsidR="00302D23" w:rsidRPr="007D0713" w:rsidRDefault="00911C69" w:rsidP="00881410">
            <w:pPr>
              <w:widowControl w:val="0"/>
              <w:jc w:val="both"/>
              <w:textAlignment w:val="baseline"/>
              <w:rPr>
                <w:b/>
                <w:i/>
              </w:rPr>
            </w:pPr>
            <w:r w:rsidRPr="3EFF1430">
              <w:rPr>
                <w:b/>
                <w:i/>
                <w:lang w:eastAsia="lt-LT"/>
              </w:rPr>
              <w:t xml:space="preserve">2. </w:t>
            </w:r>
            <w:r w:rsidR="002A65D7" w:rsidRPr="007D0713">
              <w:rPr>
                <w:b/>
                <w:i/>
              </w:rPr>
              <w:t xml:space="preserve">Pareiškėjas iki projekto įgyvendinimo plano (toliau – PĮP) pateikimo </w:t>
            </w:r>
            <w:r w:rsidR="00C77A0A" w:rsidRPr="007D0713">
              <w:rPr>
                <w:b/>
                <w:i/>
              </w:rPr>
              <w:t>yra ne trumpiau kaip 3 metus veikianti pramonės labai maža, maža ir vidutinė įmonė</w:t>
            </w:r>
            <w:r w:rsidR="0005113F" w:rsidRPr="007D0713">
              <w:rPr>
                <w:b/>
                <w:i/>
              </w:rPr>
              <w:t xml:space="preserve"> (toliau – MVĮ)</w:t>
            </w:r>
            <w:r w:rsidR="00C77A0A" w:rsidRPr="007D0713">
              <w:rPr>
                <w:b/>
                <w:i/>
              </w:rPr>
              <w:t xml:space="preserve">, kurios metinės </w:t>
            </w:r>
            <w:r w:rsidR="00B33898">
              <w:rPr>
                <w:b/>
                <w:i/>
              </w:rPr>
              <w:t xml:space="preserve">pardavimo </w:t>
            </w:r>
            <w:r w:rsidR="00C77A0A" w:rsidRPr="007D0713">
              <w:rPr>
                <w:b/>
                <w:i/>
              </w:rPr>
              <w:t xml:space="preserve">pajamos iš savo pagamintos produkcijos sudaro ne mažiau kaip 51 proc. bendrojo pardavimo struktūroje ir </w:t>
            </w:r>
            <w:r w:rsidR="002A65D7" w:rsidRPr="007D0713">
              <w:rPr>
                <w:b/>
                <w:i/>
              </w:rPr>
              <w:t xml:space="preserve">vidutinės metinės </w:t>
            </w:r>
            <w:r w:rsidR="00557ED9">
              <w:rPr>
                <w:b/>
                <w:i/>
              </w:rPr>
              <w:t xml:space="preserve">pardavimo </w:t>
            </w:r>
            <w:r w:rsidR="002A65D7" w:rsidRPr="007D0713">
              <w:rPr>
                <w:b/>
                <w:i/>
              </w:rPr>
              <w:t xml:space="preserve">pajamos </w:t>
            </w:r>
            <w:r w:rsidR="0044682D">
              <w:rPr>
                <w:b/>
                <w:i/>
              </w:rPr>
              <w:t xml:space="preserve">iš savo pagamintos produkcijos </w:t>
            </w:r>
            <w:r w:rsidR="00302D23" w:rsidRPr="007D0713">
              <w:rPr>
                <w:b/>
                <w:i/>
              </w:rPr>
              <w:t>per pastaruosi</w:t>
            </w:r>
            <w:r w:rsidR="00C62E89" w:rsidRPr="007D0713">
              <w:rPr>
                <w:b/>
                <w:i/>
              </w:rPr>
              <w:t>us</w:t>
            </w:r>
            <w:r w:rsidR="00302D23" w:rsidRPr="007D0713">
              <w:rPr>
                <w:b/>
                <w:i/>
              </w:rPr>
              <w:t xml:space="preserve"> </w:t>
            </w:r>
            <w:r w:rsidR="00BA65F7">
              <w:rPr>
                <w:b/>
                <w:i/>
              </w:rPr>
              <w:t>dvejus</w:t>
            </w:r>
            <w:r w:rsidR="00BA65F7" w:rsidRPr="007D0713">
              <w:rPr>
                <w:b/>
                <w:i/>
              </w:rPr>
              <w:t xml:space="preserve"> </w:t>
            </w:r>
            <w:r w:rsidR="00302D23" w:rsidRPr="007D0713">
              <w:rPr>
                <w:b/>
                <w:i/>
              </w:rPr>
              <w:t>finansinius metus yra ne mažesnės kaip</w:t>
            </w:r>
            <w:r w:rsidR="00C77A0A" w:rsidRPr="007D0713">
              <w:rPr>
                <w:b/>
                <w:i/>
              </w:rPr>
              <w:t xml:space="preserve"> </w:t>
            </w:r>
            <w:bookmarkStart w:id="1" w:name="part_15bf967fe66849f5a414f1f4bb2f47f8"/>
            <w:bookmarkStart w:id="2" w:name="part_ed6b0c262d8d49b4bbe3e14e6d7fb191"/>
            <w:bookmarkStart w:id="3" w:name="part_1da402530d2f4a248dff46909c74c13a"/>
            <w:bookmarkEnd w:id="1"/>
            <w:bookmarkEnd w:id="2"/>
            <w:bookmarkEnd w:id="3"/>
            <w:r w:rsidR="00302D23" w:rsidRPr="007D0713">
              <w:rPr>
                <w:b/>
                <w:i/>
              </w:rPr>
              <w:t>145 000 (šimtas keturiasdešimt penki tūkstančiai) eurų.</w:t>
            </w:r>
          </w:p>
          <w:p w14:paraId="2FD64C79" w14:textId="1BDAE221" w:rsidR="00302D23" w:rsidRPr="007D0713" w:rsidRDefault="00302D23">
            <w:pPr>
              <w:widowControl w:val="0"/>
              <w:jc w:val="both"/>
              <w:textAlignment w:val="baseline"/>
              <w:rPr>
                <w:b/>
                <w:i/>
                <w:szCs w:val="24"/>
                <w:lang w:eastAsia="lt-LT"/>
              </w:rPr>
            </w:pPr>
          </w:p>
        </w:tc>
      </w:tr>
      <w:tr w:rsidR="00911C69" w:rsidRPr="007D0713" w14:paraId="094B823C" w14:textId="77777777" w:rsidTr="000E29EB">
        <w:tc>
          <w:tcPr>
            <w:tcW w:w="6105" w:type="dxa"/>
            <w:shd w:val="clear" w:color="auto" w:fill="auto"/>
            <w:vAlign w:val="center"/>
          </w:tcPr>
          <w:p w14:paraId="03CDAFAC" w14:textId="77777777" w:rsidR="00911C69" w:rsidRPr="007D0713" w:rsidRDefault="00911C69">
            <w:pPr>
              <w:widowControl w:val="0"/>
              <w:textAlignment w:val="baseline"/>
              <w:rPr>
                <w:b/>
                <w:bCs/>
                <w:szCs w:val="24"/>
                <w:lang w:eastAsia="lt-LT"/>
              </w:rPr>
            </w:pPr>
            <w:r w:rsidRPr="007D0713">
              <w:rPr>
                <w:b/>
                <w:bCs/>
                <w:szCs w:val="24"/>
                <w:lang w:eastAsia="lt-LT"/>
              </w:rPr>
              <w:t>Projektų atrankos kriterijaus vertinimo metodas ir taikymas</w:t>
            </w:r>
          </w:p>
        </w:tc>
        <w:tc>
          <w:tcPr>
            <w:tcW w:w="8627" w:type="dxa"/>
            <w:shd w:val="clear" w:color="auto" w:fill="auto"/>
          </w:tcPr>
          <w:p w14:paraId="0398311F" w14:textId="06ADB6CB" w:rsidR="001338B8" w:rsidRPr="007D0713" w:rsidRDefault="00302D23" w:rsidP="001338B8">
            <w:pPr>
              <w:tabs>
                <w:tab w:val="left" w:pos="486"/>
              </w:tabs>
              <w:jc w:val="both"/>
              <w:rPr>
                <w:i/>
                <w:iCs/>
              </w:rPr>
            </w:pPr>
            <w:r w:rsidRPr="007D0713">
              <w:rPr>
                <w:i/>
                <w:iCs/>
                <w:color w:val="000000"/>
              </w:rPr>
              <w:t>Vertinama, ar pareiškėjas yra</w:t>
            </w:r>
            <w:r w:rsidR="001338B8" w:rsidRPr="007D0713">
              <w:rPr>
                <w:i/>
                <w:iCs/>
                <w:color w:val="000000"/>
              </w:rPr>
              <w:t xml:space="preserve"> pramonės</w:t>
            </w:r>
            <w:r w:rsidRPr="007D0713">
              <w:rPr>
                <w:i/>
                <w:iCs/>
                <w:color w:val="000000"/>
              </w:rPr>
              <w:t xml:space="preserve"> MVĮ, kuri turi pakankamai patirties, t. y. veikia ne trumpiau kaip </w:t>
            </w:r>
            <w:r w:rsidR="001338B8" w:rsidRPr="00E12465">
              <w:rPr>
                <w:i/>
                <w:iCs/>
                <w:color w:val="000000"/>
              </w:rPr>
              <w:t>trejus</w:t>
            </w:r>
            <w:r w:rsidR="001338B8" w:rsidRPr="007D0713">
              <w:rPr>
                <w:i/>
                <w:iCs/>
                <w:color w:val="000000"/>
              </w:rPr>
              <w:t xml:space="preserve"> </w:t>
            </w:r>
            <w:r w:rsidRPr="007D0713">
              <w:rPr>
                <w:i/>
                <w:iCs/>
                <w:color w:val="000000"/>
              </w:rPr>
              <w:t>metus</w:t>
            </w:r>
            <w:r w:rsidR="009F5303">
              <w:rPr>
                <w:i/>
                <w:iCs/>
                <w:color w:val="000000"/>
              </w:rPr>
              <w:t xml:space="preserve"> iki PĮP pateikimo</w:t>
            </w:r>
            <w:r w:rsidRPr="007D0713">
              <w:rPr>
                <w:i/>
                <w:iCs/>
                <w:color w:val="000000"/>
              </w:rPr>
              <w:t xml:space="preserve">, ir kuri yra finansiškai pajėgi, t. y. </w:t>
            </w:r>
            <w:r w:rsidR="001338B8" w:rsidRPr="007D0713">
              <w:rPr>
                <w:i/>
                <w:iCs/>
                <w:color w:val="000000"/>
              </w:rPr>
              <w:t xml:space="preserve">jos </w:t>
            </w:r>
            <w:r w:rsidRPr="007D0713">
              <w:rPr>
                <w:i/>
                <w:iCs/>
                <w:color w:val="000000"/>
              </w:rPr>
              <w:t xml:space="preserve">vidutinės metinės </w:t>
            </w:r>
            <w:r w:rsidR="00ED242D">
              <w:rPr>
                <w:i/>
                <w:iCs/>
                <w:color w:val="000000"/>
              </w:rPr>
              <w:t xml:space="preserve">pardavimo </w:t>
            </w:r>
            <w:r w:rsidRPr="007D0713">
              <w:rPr>
                <w:i/>
                <w:iCs/>
                <w:color w:val="000000"/>
              </w:rPr>
              <w:t xml:space="preserve">pajamos </w:t>
            </w:r>
            <w:r w:rsidR="00597BE1">
              <w:rPr>
                <w:i/>
                <w:iCs/>
                <w:color w:val="000000"/>
              </w:rPr>
              <w:t xml:space="preserve">iš savo pagamintos produkcijos sudaro ne mažiau kaip </w:t>
            </w:r>
            <w:r w:rsidR="00597BE1">
              <w:rPr>
                <w:i/>
                <w:iCs/>
                <w:color w:val="000000"/>
                <w:lang w:val="en-US"/>
              </w:rPr>
              <w:t xml:space="preserve">51 proc. </w:t>
            </w:r>
            <w:proofErr w:type="spellStart"/>
            <w:r w:rsidR="00597BE1">
              <w:rPr>
                <w:i/>
                <w:iCs/>
                <w:color w:val="000000"/>
                <w:lang w:val="en-US"/>
              </w:rPr>
              <w:t>bendroje</w:t>
            </w:r>
            <w:proofErr w:type="spellEnd"/>
            <w:r w:rsidR="00597BE1">
              <w:rPr>
                <w:i/>
                <w:iCs/>
                <w:color w:val="000000"/>
                <w:lang w:val="en-US"/>
              </w:rPr>
              <w:t xml:space="preserve"> </w:t>
            </w:r>
            <w:proofErr w:type="spellStart"/>
            <w:r w:rsidR="00597BE1">
              <w:rPr>
                <w:i/>
                <w:iCs/>
                <w:color w:val="000000"/>
                <w:lang w:val="en-US"/>
              </w:rPr>
              <w:t>pardavimo</w:t>
            </w:r>
            <w:proofErr w:type="spellEnd"/>
            <w:r w:rsidR="00597BE1">
              <w:rPr>
                <w:i/>
                <w:iCs/>
                <w:color w:val="000000"/>
                <w:lang w:val="en-US"/>
              </w:rPr>
              <w:t xml:space="preserve"> </w:t>
            </w:r>
            <w:proofErr w:type="spellStart"/>
            <w:r w:rsidR="00597BE1">
              <w:rPr>
                <w:i/>
                <w:iCs/>
                <w:color w:val="000000"/>
                <w:lang w:val="en-US"/>
              </w:rPr>
              <w:t>struktūroje</w:t>
            </w:r>
            <w:proofErr w:type="spellEnd"/>
            <w:r w:rsidR="00597BE1">
              <w:rPr>
                <w:i/>
                <w:iCs/>
                <w:color w:val="000000"/>
                <w:lang w:val="en-US"/>
              </w:rPr>
              <w:t xml:space="preserve"> </w:t>
            </w:r>
            <w:proofErr w:type="spellStart"/>
            <w:r w:rsidR="00597BE1">
              <w:rPr>
                <w:i/>
                <w:iCs/>
                <w:color w:val="000000"/>
                <w:lang w:val="en-US"/>
              </w:rPr>
              <w:t>ir</w:t>
            </w:r>
            <w:proofErr w:type="spellEnd"/>
            <w:r w:rsidR="00597BE1">
              <w:rPr>
                <w:i/>
                <w:iCs/>
                <w:color w:val="000000"/>
                <w:lang w:val="en-US"/>
              </w:rPr>
              <w:t xml:space="preserve"> </w:t>
            </w:r>
            <w:proofErr w:type="spellStart"/>
            <w:r w:rsidR="00597BE1">
              <w:rPr>
                <w:i/>
                <w:iCs/>
                <w:color w:val="000000"/>
                <w:lang w:val="en-US"/>
              </w:rPr>
              <w:t>vidutinės</w:t>
            </w:r>
            <w:proofErr w:type="spellEnd"/>
            <w:r w:rsidR="00597BE1">
              <w:rPr>
                <w:i/>
                <w:iCs/>
                <w:color w:val="000000"/>
                <w:lang w:val="en-US"/>
              </w:rPr>
              <w:t xml:space="preserve"> </w:t>
            </w:r>
            <w:proofErr w:type="spellStart"/>
            <w:r w:rsidR="00597BE1">
              <w:rPr>
                <w:i/>
                <w:iCs/>
                <w:color w:val="000000"/>
                <w:lang w:val="en-US"/>
              </w:rPr>
              <w:t>metinės</w:t>
            </w:r>
            <w:proofErr w:type="spellEnd"/>
            <w:r w:rsidR="00597BE1">
              <w:rPr>
                <w:i/>
                <w:iCs/>
                <w:color w:val="000000"/>
                <w:lang w:val="en-US"/>
              </w:rPr>
              <w:t xml:space="preserve"> </w:t>
            </w:r>
            <w:proofErr w:type="spellStart"/>
            <w:r w:rsidR="00597BE1">
              <w:rPr>
                <w:i/>
                <w:iCs/>
                <w:color w:val="000000"/>
                <w:lang w:val="en-US"/>
              </w:rPr>
              <w:t>pardavimo</w:t>
            </w:r>
            <w:proofErr w:type="spellEnd"/>
            <w:r w:rsidR="00597BE1">
              <w:rPr>
                <w:i/>
                <w:iCs/>
                <w:color w:val="000000"/>
                <w:lang w:val="en-US"/>
              </w:rPr>
              <w:t xml:space="preserve"> </w:t>
            </w:r>
            <w:proofErr w:type="spellStart"/>
            <w:r w:rsidR="00597BE1">
              <w:rPr>
                <w:i/>
                <w:iCs/>
                <w:color w:val="000000"/>
                <w:lang w:val="en-US"/>
              </w:rPr>
              <w:t>pajamos</w:t>
            </w:r>
            <w:proofErr w:type="spellEnd"/>
            <w:r w:rsidR="00597BE1">
              <w:rPr>
                <w:i/>
                <w:iCs/>
                <w:color w:val="000000"/>
                <w:lang w:val="en-US"/>
              </w:rPr>
              <w:t xml:space="preserve"> </w:t>
            </w:r>
            <w:proofErr w:type="spellStart"/>
            <w:r w:rsidR="00597BE1">
              <w:rPr>
                <w:i/>
                <w:iCs/>
                <w:color w:val="000000"/>
                <w:lang w:val="en-US"/>
              </w:rPr>
              <w:t>iš</w:t>
            </w:r>
            <w:proofErr w:type="spellEnd"/>
            <w:r w:rsidR="00597BE1">
              <w:rPr>
                <w:i/>
                <w:iCs/>
                <w:color w:val="000000"/>
                <w:lang w:val="en-US"/>
              </w:rPr>
              <w:t xml:space="preserve"> </w:t>
            </w:r>
            <w:proofErr w:type="spellStart"/>
            <w:r w:rsidR="00597BE1">
              <w:rPr>
                <w:i/>
                <w:iCs/>
                <w:color w:val="000000"/>
                <w:lang w:val="en-US"/>
              </w:rPr>
              <w:t>savo</w:t>
            </w:r>
            <w:proofErr w:type="spellEnd"/>
            <w:r w:rsidR="00597BE1">
              <w:rPr>
                <w:i/>
                <w:iCs/>
                <w:color w:val="000000"/>
                <w:lang w:val="en-US"/>
              </w:rPr>
              <w:t xml:space="preserve"> </w:t>
            </w:r>
            <w:proofErr w:type="spellStart"/>
            <w:r w:rsidR="00597BE1">
              <w:rPr>
                <w:i/>
                <w:iCs/>
                <w:color w:val="000000"/>
                <w:lang w:val="en-US"/>
              </w:rPr>
              <w:t>pagamintos</w:t>
            </w:r>
            <w:proofErr w:type="spellEnd"/>
            <w:r w:rsidR="00597BE1">
              <w:rPr>
                <w:i/>
                <w:iCs/>
                <w:color w:val="000000"/>
                <w:lang w:val="en-US"/>
              </w:rPr>
              <w:t xml:space="preserve"> </w:t>
            </w:r>
            <w:proofErr w:type="spellStart"/>
            <w:r w:rsidR="00597BE1">
              <w:rPr>
                <w:i/>
                <w:iCs/>
                <w:color w:val="000000"/>
                <w:lang w:val="en-US"/>
              </w:rPr>
              <w:t>produkcijos</w:t>
            </w:r>
            <w:proofErr w:type="spellEnd"/>
            <w:r w:rsidR="00597BE1">
              <w:rPr>
                <w:i/>
                <w:iCs/>
                <w:color w:val="000000"/>
                <w:lang w:val="en-US"/>
              </w:rPr>
              <w:t xml:space="preserve"> </w:t>
            </w:r>
            <w:r w:rsidR="001338B8" w:rsidRPr="007D0713">
              <w:rPr>
                <w:i/>
                <w:iCs/>
              </w:rPr>
              <w:t xml:space="preserve">per pastaruosius </w:t>
            </w:r>
            <w:r w:rsidR="00B67CCE">
              <w:rPr>
                <w:i/>
                <w:iCs/>
              </w:rPr>
              <w:t>dvejus</w:t>
            </w:r>
            <w:r w:rsidR="00B67CCE" w:rsidRPr="007D0713">
              <w:rPr>
                <w:i/>
                <w:iCs/>
              </w:rPr>
              <w:t xml:space="preserve"> </w:t>
            </w:r>
            <w:r w:rsidR="001338B8" w:rsidRPr="007D0713">
              <w:rPr>
                <w:i/>
                <w:iCs/>
              </w:rPr>
              <w:t xml:space="preserve">finansinius metus iki PĮP </w:t>
            </w:r>
            <w:r w:rsidR="001338B8" w:rsidRPr="007D0713">
              <w:rPr>
                <w:i/>
                <w:iCs/>
              </w:rPr>
              <w:lastRenderedPageBreak/>
              <w:t>pateikimo pagal pateiktus patvirtintos finansinės atskaitomybės dokumentus yra ne mažesnės kaip 145</w:t>
            </w:r>
            <w:r w:rsidR="00B67CCE">
              <w:rPr>
                <w:i/>
                <w:iCs/>
              </w:rPr>
              <w:t> </w:t>
            </w:r>
            <w:r w:rsidR="001338B8" w:rsidRPr="007D0713">
              <w:rPr>
                <w:i/>
                <w:iCs/>
              </w:rPr>
              <w:t>000</w:t>
            </w:r>
            <w:r w:rsidR="00B67CCE">
              <w:rPr>
                <w:i/>
                <w:iCs/>
              </w:rPr>
              <w:t xml:space="preserve"> </w:t>
            </w:r>
            <w:r w:rsidR="00B67CCE" w:rsidRPr="00ED2F84">
              <w:rPr>
                <w:bCs/>
                <w:i/>
              </w:rPr>
              <w:t>(šimtas keturiasdešimt penki tūkstančiai)</w:t>
            </w:r>
            <w:r w:rsidR="00B67CCE" w:rsidRPr="007D0713">
              <w:rPr>
                <w:b/>
                <w:i/>
              </w:rPr>
              <w:t xml:space="preserve"> </w:t>
            </w:r>
            <w:r w:rsidR="00844E16">
              <w:rPr>
                <w:i/>
                <w:iCs/>
              </w:rPr>
              <w:t>eurų</w:t>
            </w:r>
            <w:r w:rsidR="001338B8" w:rsidRPr="007D0713">
              <w:rPr>
                <w:i/>
                <w:iCs/>
              </w:rPr>
              <w:t xml:space="preserve">. </w:t>
            </w:r>
          </w:p>
          <w:p w14:paraId="01F71272" w14:textId="70E33ED3" w:rsidR="00F63F67" w:rsidRPr="007D0713" w:rsidRDefault="00302D23" w:rsidP="00C046C0">
            <w:pPr>
              <w:jc w:val="both"/>
              <w:rPr>
                <w:i/>
                <w:iCs/>
                <w:color w:val="000000"/>
              </w:rPr>
            </w:pPr>
            <w:r w:rsidRPr="007D0713">
              <w:rPr>
                <w:i/>
                <w:iCs/>
                <w:color w:val="000000"/>
              </w:rPr>
              <w:t xml:space="preserve">Įmonės veikimo laikotarpis tikrinamas pagal Juridinių asmenų registro informaciją. </w:t>
            </w:r>
          </w:p>
          <w:p w14:paraId="50232F48" w14:textId="278AD83C" w:rsidR="00DC29EA" w:rsidRPr="007D0713" w:rsidRDefault="00AE565C" w:rsidP="00AE565C">
            <w:pPr>
              <w:tabs>
                <w:tab w:val="left" w:pos="486"/>
              </w:tabs>
              <w:jc w:val="both"/>
              <w:rPr>
                <w:i/>
                <w:iCs/>
              </w:rPr>
            </w:pPr>
            <w:r w:rsidRPr="007D0713">
              <w:rPr>
                <w:i/>
                <w:iCs/>
              </w:rPr>
              <w:t>Pramonės įmonė</w:t>
            </w:r>
            <w:r w:rsidRPr="007D0713">
              <w:rPr>
                <w:b/>
                <w:bCs/>
                <w:i/>
                <w:iCs/>
              </w:rPr>
              <w:t xml:space="preserve"> </w:t>
            </w:r>
            <w:r w:rsidRPr="007D0713">
              <w:rPr>
                <w:bCs/>
                <w:i/>
                <w:iCs/>
              </w:rPr>
              <w:t xml:space="preserve">– </w:t>
            </w:r>
            <w:r w:rsidRPr="007D0713">
              <w:rPr>
                <w:i/>
                <w:iCs/>
              </w:rPr>
              <w:t xml:space="preserve">įmonė, vykdanti pramonės ekonominę veiklą pagal </w:t>
            </w:r>
            <w:hyperlink r:id="rId17" w:history="1">
              <w:r w:rsidRPr="007D0713">
                <w:rPr>
                  <w:rStyle w:val="Hyperlink"/>
                  <w:i/>
                  <w:iCs/>
                </w:rPr>
                <w:t>Ekonominės veiklos rūšių klasifikatorių (EVRK 2 red.), patvirtintą Statistikos departamento prie Lietuvos Respublikos Vyriausybės generalinio direktoriaus 2007 m. spalio 31 d. įsakymu Nr. DĮ-226 „Dėl Ekonominės veiklos rūšių klasifikatoriaus patvirtinimo“</w:t>
              </w:r>
            </w:hyperlink>
            <w:r w:rsidRPr="007D0713">
              <w:rPr>
                <w:i/>
                <w:iCs/>
              </w:rPr>
              <w:t>, priskirtiną B sekcijai „Kasyba ir karjerų eksploatavimas“ (išskyrus šias ekonomines veiklas: B sekcijos 06 skyriaus „Žalios naftos ir gamtinių dujų gavyba“, B sekcijos 08.92 klasės „Durpių gavyba“ ir B sekcijos 09.1 grupės „Naftos ir gamtinių dujų gavybai būdingų paslaugų veikla“) ir C sekcijos „Apdirbamoji gamyba“ (išskyrus  C sekcijos 19 skyriaus „Kokso ir rafinuotų naftos produktų gamyba“ ekonominę veiklą)</w:t>
            </w:r>
            <w:r w:rsidR="00DC29EA">
              <w:rPr>
                <w:i/>
                <w:iCs/>
              </w:rPr>
              <w:t xml:space="preserve">. </w:t>
            </w:r>
          </w:p>
          <w:p w14:paraId="7126893E" w14:textId="77777777" w:rsidR="00AE565C" w:rsidRPr="007D0713" w:rsidRDefault="00AE565C" w:rsidP="00AE565C">
            <w:pPr>
              <w:jc w:val="both"/>
              <w:rPr>
                <w:i/>
                <w:iCs/>
              </w:rPr>
            </w:pPr>
            <w:r w:rsidRPr="007D0713">
              <w:rPr>
                <w:i/>
                <w:iCs/>
              </w:rPr>
              <w:t>Pareiškėjas yra veikianti įmonė, t. y. Juridinių asmenų registre įregistruota įmonė, turinti pajamų ir darbuotojų ir teisės aktų nustatyta tvarka teikianti ataskaitas Valstybinei mokesčių inspekcijai, Valstybinio socialinio draudimo fondo valdybos skyriams ir metinių finansinių ataskaitų rinkinius</w:t>
            </w:r>
            <w:r w:rsidRPr="007D0713" w:rsidDel="0025387A">
              <w:rPr>
                <w:i/>
                <w:iCs/>
              </w:rPr>
              <w:t xml:space="preserve"> </w:t>
            </w:r>
            <w:r w:rsidRPr="007D0713">
              <w:rPr>
                <w:i/>
                <w:iCs/>
              </w:rPr>
              <w:t xml:space="preserve"> Juridinių asmenų registrui.</w:t>
            </w:r>
          </w:p>
          <w:p w14:paraId="6E6BF25A" w14:textId="77777777" w:rsidR="00AE565C" w:rsidRPr="007D0713" w:rsidRDefault="00AE565C" w:rsidP="00AE565C">
            <w:pPr>
              <w:pStyle w:val="ListParagraph"/>
              <w:tabs>
                <w:tab w:val="left" w:pos="486"/>
              </w:tabs>
              <w:ind w:left="0"/>
              <w:jc w:val="both"/>
              <w:rPr>
                <w:i/>
                <w:iCs/>
              </w:rPr>
            </w:pPr>
            <w:r w:rsidRPr="007D0713">
              <w:rPr>
                <w:i/>
                <w:iCs/>
              </w:rPr>
              <w:t xml:space="preserve">Įmonės pačios pagamintos produkcijos pajamos tikrinamos pagal metinių finansinių ataskaitų rinkinių duomenis </w:t>
            </w:r>
            <w:r w:rsidRPr="007D0713">
              <w:rPr>
                <w:i/>
                <w:iCs/>
                <w:szCs w:val="24"/>
              </w:rPr>
              <w:t>ir (ar) kitus pačios įmonės pagamintos produkcijos pajamas pagrindžiančius buhalterinės apskaitos dokumentus.</w:t>
            </w:r>
            <w:r w:rsidRPr="007D0713">
              <w:rPr>
                <w:i/>
                <w:iCs/>
              </w:rPr>
              <w:t xml:space="preserve"> </w:t>
            </w:r>
          </w:p>
          <w:p w14:paraId="61AC2433" w14:textId="77777777" w:rsidR="00AE565C" w:rsidRPr="007D0713" w:rsidRDefault="00AE565C" w:rsidP="00AE565C">
            <w:pPr>
              <w:tabs>
                <w:tab w:val="left" w:pos="486"/>
              </w:tabs>
              <w:jc w:val="both"/>
              <w:rPr>
                <w:bCs/>
                <w:i/>
                <w:iCs/>
              </w:rPr>
            </w:pPr>
            <w:r w:rsidRPr="007D0713">
              <w:rPr>
                <w:bCs/>
                <w:i/>
                <w:iCs/>
              </w:rPr>
              <w:t>Pačios pagaminta produkcija – įmonės gaminami gaminiai ir (arba) teikiamos paslaugos.</w:t>
            </w:r>
          </w:p>
          <w:p w14:paraId="43254EC4" w14:textId="0EC900CA" w:rsidR="00AE565C" w:rsidRPr="007D0713" w:rsidRDefault="00AE565C" w:rsidP="00881410">
            <w:pPr>
              <w:tabs>
                <w:tab w:val="left" w:pos="486"/>
              </w:tabs>
              <w:jc w:val="both"/>
              <w:rPr>
                <w:bCs/>
                <w:i/>
                <w:iCs/>
              </w:rPr>
            </w:pPr>
            <w:r w:rsidRPr="007D0713">
              <w:rPr>
                <w:i/>
                <w:iCs/>
              </w:rPr>
              <w:t>Šis projektų atrankos kriterijus taikomas tik projekto vertinimo metu</w:t>
            </w:r>
            <w:r w:rsidR="00C810A8" w:rsidRPr="007D0713">
              <w:rPr>
                <w:i/>
                <w:iCs/>
                <w:color w:val="000000"/>
              </w:rPr>
              <w:t xml:space="preserve">, nes </w:t>
            </w:r>
            <w:r w:rsidR="00F3483B">
              <w:rPr>
                <w:i/>
                <w:iCs/>
                <w:color w:val="000000"/>
              </w:rPr>
              <w:t xml:space="preserve">pramonės </w:t>
            </w:r>
            <w:r w:rsidR="00C810A8" w:rsidRPr="007D0713">
              <w:rPr>
                <w:i/>
                <w:iCs/>
                <w:color w:val="000000"/>
              </w:rPr>
              <w:t xml:space="preserve">MVĮ, gavusios paramą ir sėkmingai veiklą išplėtusios, statusas gali pasikeisti, t. y. ji gali tapti pvz., iš mažos vidutine įmone. Todėl tikslinga vertinti pareiškėjo dydį tik </w:t>
            </w:r>
            <w:r w:rsidR="00C810A8">
              <w:rPr>
                <w:i/>
                <w:iCs/>
                <w:color w:val="000000"/>
              </w:rPr>
              <w:t>PĮP</w:t>
            </w:r>
            <w:r w:rsidR="00C810A8" w:rsidRPr="007D0713">
              <w:rPr>
                <w:i/>
                <w:iCs/>
                <w:color w:val="000000"/>
              </w:rPr>
              <w:t xml:space="preserve"> vertinimo metu.</w:t>
            </w:r>
            <w:r w:rsidRPr="007D0713">
              <w:rPr>
                <w:i/>
                <w:iCs/>
              </w:rPr>
              <w:t>.</w:t>
            </w:r>
          </w:p>
        </w:tc>
      </w:tr>
      <w:tr w:rsidR="000E29EB" w:rsidRPr="007D0713" w14:paraId="09B98FB2" w14:textId="77777777" w:rsidTr="000E29EB">
        <w:tc>
          <w:tcPr>
            <w:tcW w:w="6105" w:type="dxa"/>
            <w:shd w:val="clear" w:color="auto" w:fill="auto"/>
            <w:vAlign w:val="center"/>
          </w:tcPr>
          <w:p w14:paraId="30CFE0C9" w14:textId="77777777" w:rsidR="000E29EB" w:rsidRPr="007D0713" w:rsidRDefault="000E29EB" w:rsidP="000E29EB">
            <w:pPr>
              <w:widowControl w:val="0"/>
              <w:textAlignment w:val="baseline"/>
              <w:rPr>
                <w:b/>
                <w:bCs/>
                <w:szCs w:val="24"/>
                <w:lang w:eastAsia="lt-LT"/>
              </w:rPr>
            </w:pPr>
            <w:r w:rsidRPr="007D0713">
              <w:rPr>
                <w:b/>
                <w:bCs/>
                <w:szCs w:val="24"/>
                <w:lang w:eastAsia="lt-LT"/>
              </w:rPr>
              <w:lastRenderedPageBreak/>
              <w:t>Projektų atrankos kriterijaus pasirinkimo pagrindimas</w:t>
            </w:r>
          </w:p>
        </w:tc>
        <w:tc>
          <w:tcPr>
            <w:tcW w:w="8627" w:type="dxa"/>
            <w:shd w:val="clear" w:color="auto" w:fill="auto"/>
          </w:tcPr>
          <w:p w14:paraId="3612EFED" w14:textId="6D165865" w:rsidR="000E29EB" w:rsidRPr="007D0713" w:rsidRDefault="00AE565C" w:rsidP="000E29EB">
            <w:pPr>
              <w:jc w:val="both"/>
              <w:rPr>
                <w:i/>
                <w:iCs/>
              </w:rPr>
            </w:pPr>
            <w:r w:rsidRPr="007D0713">
              <w:rPr>
                <w:i/>
                <w:iCs/>
              </w:rPr>
              <w:t xml:space="preserve">Nustatytas kriterijus padės užtikrinti, kad pareiškėjas iki PĮP pateikimo yra veikianti pramonės MVĮ ir </w:t>
            </w:r>
            <w:r w:rsidRPr="1FADEF99">
              <w:rPr>
                <w:i/>
                <w:iCs/>
              </w:rPr>
              <w:t>tu</w:t>
            </w:r>
            <w:r w:rsidR="11ECF1D2" w:rsidRPr="1FADEF99">
              <w:rPr>
                <w:i/>
                <w:iCs/>
              </w:rPr>
              <w:t>ri</w:t>
            </w:r>
            <w:r w:rsidRPr="007D0713">
              <w:rPr>
                <w:i/>
                <w:iCs/>
              </w:rPr>
              <w:t xml:space="preserve"> finansinę galimybę įgyvendinti numatytas veiklas.</w:t>
            </w:r>
          </w:p>
          <w:p w14:paraId="6F3BFB7E" w14:textId="77777777" w:rsidR="009C0D58" w:rsidRPr="007D0713" w:rsidRDefault="00AE565C" w:rsidP="00B34FAB">
            <w:pPr>
              <w:jc w:val="both"/>
              <w:rPr>
                <w:i/>
                <w:iCs/>
              </w:rPr>
            </w:pPr>
            <w:r w:rsidRPr="007D0713">
              <w:rPr>
                <w:i/>
                <w:iCs/>
              </w:rPr>
              <w:t>Šiuo reikalavimu siekiama, kad PĮP neteiktų įmonės, kurių visa ar didžioji pardavimo pajamų dalis yra iš prekybos, nes priemonės veikl</w:t>
            </w:r>
            <w:r w:rsidR="00B34FAB" w:rsidRPr="007D0713">
              <w:rPr>
                <w:i/>
                <w:iCs/>
              </w:rPr>
              <w:t>a siekiama skatinti inovatyvių aplinkai draugiškų, t. y. tvarių produktų gamybą skatinančių, technologijų kūrimą ir demonstravimą.</w:t>
            </w:r>
          </w:p>
          <w:p w14:paraId="01A3F34D" w14:textId="49551304" w:rsidR="000E29EB" w:rsidRPr="007D0713" w:rsidRDefault="009C0D58" w:rsidP="00881410">
            <w:pPr>
              <w:jc w:val="both"/>
              <w:rPr>
                <w:b/>
                <w:bCs/>
                <w:i/>
                <w:iCs/>
                <w:szCs w:val="24"/>
                <w:lang w:eastAsia="lt-LT"/>
              </w:rPr>
            </w:pPr>
            <w:r w:rsidRPr="007D0713">
              <w:rPr>
                <w:i/>
                <w:iCs/>
              </w:rPr>
              <w:t xml:space="preserve">Nustatytas kriterijus prisidės prie Investicijų programos 1 prioriteto „Pažangesnė Lietuva“ 1.1 konkretaus uždavinio </w:t>
            </w:r>
            <w:r w:rsidRPr="007D0713">
              <w:rPr>
                <w:bCs/>
                <w:i/>
                <w:iCs/>
                <w:lang w:eastAsia="lt-LT"/>
              </w:rPr>
              <w:t xml:space="preserve">„Plėtoti ir stiprinti mokslinių tyrimų ir inovacinius </w:t>
            </w:r>
            <w:r w:rsidRPr="007D0713">
              <w:rPr>
                <w:bCs/>
                <w:i/>
                <w:iCs/>
                <w:lang w:eastAsia="lt-LT"/>
              </w:rPr>
              <w:lastRenderedPageBreak/>
              <w:t>pajėgumus ir diegti pažangiąsias technologijas“ tikslus</w:t>
            </w:r>
            <w:r w:rsidRPr="007D0713">
              <w:t xml:space="preserve"> </w:t>
            </w:r>
            <w:r w:rsidR="001854E8" w:rsidRPr="007D0713">
              <w:rPr>
                <w:bCs/>
                <w:i/>
                <w:iCs/>
                <w:lang w:eastAsia="lt-LT"/>
              </w:rPr>
              <w:t xml:space="preserve">ir prisidės prie </w:t>
            </w:r>
            <w:r w:rsidR="001854E8" w:rsidRPr="007D0713">
              <w:rPr>
                <w:bCs/>
                <w:i/>
                <w:szCs w:val="24"/>
                <w:lang w:eastAsia="lt-LT"/>
              </w:rPr>
              <w:t xml:space="preserve">2022–2030 metų plėtros programos valdytojos Lietuvos Respublikos ekonomikos ir inovacijų ministerijos ekonomikos transformacijos ir </w:t>
            </w:r>
            <w:r w:rsidR="001854E8" w:rsidRPr="007D0713">
              <w:rPr>
                <w:bCs/>
                <w:i/>
                <w:iCs/>
                <w:lang w:eastAsia="lt-LT"/>
              </w:rPr>
              <w:t xml:space="preserve">konkurencingumo plėtros </w:t>
            </w:r>
            <w:r w:rsidR="001854E8" w:rsidRPr="007D0713">
              <w:rPr>
                <w:bCs/>
                <w:i/>
                <w:szCs w:val="24"/>
                <w:lang w:eastAsia="lt-LT"/>
              </w:rPr>
              <w:t>programoje pateikto Nacionalinio pažangos plano</w:t>
            </w:r>
            <w:r w:rsidRPr="007D0713">
              <w:rPr>
                <w:bCs/>
                <w:i/>
                <w:szCs w:val="24"/>
                <w:lang w:eastAsia="lt-LT"/>
              </w:rPr>
              <w:t xml:space="preserve"> </w:t>
            </w:r>
            <w:r w:rsidR="00F83B3A" w:rsidRPr="007D0713">
              <w:rPr>
                <w:bCs/>
                <w:i/>
                <w:szCs w:val="24"/>
                <w:lang w:eastAsia="lt-LT"/>
              </w:rPr>
              <w:t>1.4 uždavinio „Perorientuoti pramonę link klimatui neutralios ekonomikos“ rodikli</w:t>
            </w:r>
            <w:r w:rsidR="00271B8F" w:rsidRPr="007D0713">
              <w:rPr>
                <w:bCs/>
                <w:i/>
                <w:szCs w:val="24"/>
                <w:lang w:eastAsia="lt-LT"/>
              </w:rPr>
              <w:t>o</w:t>
            </w:r>
            <w:r w:rsidR="00F83B3A" w:rsidRPr="007D0713">
              <w:rPr>
                <w:bCs/>
                <w:i/>
                <w:szCs w:val="24"/>
                <w:lang w:eastAsia="lt-LT"/>
              </w:rPr>
              <w:t xml:space="preserve">  „</w:t>
            </w:r>
            <w:r w:rsidR="00271B8F" w:rsidRPr="007D0713">
              <w:rPr>
                <w:bCs/>
                <w:i/>
                <w:szCs w:val="24"/>
                <w:lang w:eastAsia="lt-LT"/>
              </w:rPr>
              <w:t>Įmonės, diegusios aplinkosaugos inovacijas, proc.“ siekimo.</w:t>
            </w:r>
          </w:p>
        </w:tc>
      </w:tr>
      <w:tr w:rsidR="000E29EB" w:rsidRPr="007D0713" w14:paraId="763AD074" w14:textId="77777777" w:rsidTr="000E29EB">
        <w:tc>
          <w:tcPr>
            <w:tcW w:w="6105" w:type="dxa"/>
            <w:shd w:val="clear" w:color="auto" w:fill="auto"/>
          </w:tcPr>
          <w:p w14:paraId="4F8A375B" w14:textId="77777777" w:rsidR="000E29EB" w:rsidRPr="007D0713" w:rsidRDefault="000E29EB" w:rsidP="000E29EB">
            <w:pPr>
              <w:widowControl w:val="0"/>
              <w:jc w:val="both"/>
              <w:textAlignment w:val="baseline"/>
              <w:rPr>
                <w:b/>
                <w:bCs/>
                <w:sz w:val="22"/>
                <w:szCs w:val="22"/>
                <w:lang w:eastAsia="lt-LT"/>
              </w:rPr>
            </w:pPr>
            <w:r w:rsidRPr="007D0713">
              <w:rPr>
                <w:szCs w:val="24"/>
              </w:rPr>
              <w:lastRenderedPageBreak/>
              <w:br w:type="page"/>
            </w:r>
            <w:r w:rsidRPr="007D0713">
              <w:rPr>
                <w:b/>
                <w:bCs/>
                <w:szCs w:val="24"/>
                <w:lang w:eastAsia="lt-LT"/>
              </w:rPr>
              <w:t>□</w:t>
            </w:r>
            <w:r w:rsidRPr="007D0713">
              <w:rPr>
                <w:b/>
                <w:bCs/>
                <w:sz w:val="22"/>
                <w:szCs w:val="22"/>
                <w:lang w:eastAsia="lt-LT"/>
              </w:rPr>
              <w:t xml:space="preserve"> SPECIALUSIS PROJEKTŲ ATRANKOS KRITERIJUS</w:t>
            </w:r>
          </w:p>
          <w:p w14:paraId="047A6B3D" w14:textId="6B78DC20" w:rsidR="000E29EB" w:rsidRPr="007D0713" w:rsidRDefault="000E29EB" w:rsidP="000E29EB">
            <w:pPr>
              <w:widowControl w:val="0"/>
              <w:jc w:val="both"/>
              <w:textAlignment w:val="baseline"/>
              <w:rPr>
                <w:b/>
                <w:bCs/>
                <w:sz w:val="22"/>
                <w:szCs w:val="22"/>
                <w:lang w:eastAsia="lt-LT"/>
              </w:rPr>
            </w:pPr>
            <w:r w:rsidRPr="007D0713">
              <w:rPr>
                <w:bCs/>
                <w:lang w:eastAsia="lt-LT"/>
              </w:rPr>
              <w:fldChar w:fldCharType="begin">
                <w:ffData>
                  <w:name w:val=""/>
                  <w:enabled/>
                  <w:calcOnExit w:val="0"/>
                  <w:checkBox>
                    <w:sizeAuto/>
                    <w:default w:val="1"/>
                  </w:checkBox>
                </w:ffData>
              </w:fldChar>
            </w:r>
            <w:r w:rsidRPr="007D0713">
              <w:rPr>
                <w:bCs/>
                <w:lang w:eastAsia="lt-LT"/>
              </w:rPr>
              <w:instrText xml:space="preserve"> FORMCHECKBOX </w:instrText>
            </w:r>
            <w:r w:rsidR="00E12465">
              <w:rPr>
                <w:bCs/>
                <w:lang w:eastAsia="lt-LT"/>
              </w:rPr>
            </w:r>
            <w:r w:rsidR="00E12465">
              <w:rPr>
                <w:bCs/>
                <w:lang w:eastAsia="lt-LT"/>
              </w:rPr>
              <w:fldChar w:fldCharType="separate"/>
            </w:r>
            <w:r w:rsidRPr="007D0713">
              <w:rPr>
                <w:bCs/>
                <w:lang w:eastAsia="lt-LT"/>
              </w:rPr>
              <w:fldChar w:fldCharType="end"/>
            </w:r>
            <w:r w:rsidRPr="007D0713">
              <w:rPr>
                <w:b/>
                <w:bCs/>
                <w:szCs w:val="24"/>
                <w:lang w:eastAsia="lt-LT"/>
              </w:rPr>
              <w:t xml:space="preserve"> </w:t>
            </w:r>
            <w:r w:rsidRPr="007D0713">
              <w:rPr>
                <w:b/>
                <w:bCs/>
                <w:sz w:val="22"/>
                <w:szCs w:val="22"/>
                <w:lang w:eastAsia="lt-LT"/>
              </w:rPr>
              <w:t>PRIORITETINIS PROJEKTŲ ATRANKOS KRITERIJUS</w:t>
            </w:r>
          </w:p>
          <w:p w14:paraId="0A0C53D3" w14:textId="6770BA15" w:rsidR="000E29EB" w:rsidRPr="007D0713" w:rsidRDefault="000E29EB" w:rsidP="000E29EB">
            <w:pPr>
              <w:widowControl w:val="0"/>
              <w:textAlignment w:val="baseline"/>
              <w:rPr>
                <w:b/>
                <w:bCs/>
                <w:szCs w:val="24"/>
                <w:lang w:eastAsia="lt-LT"/>
              </w:rPr>
            </w:pPr>
            <w:r w:rsidRPr="007D0713">
              <w:rPr>
                <w:i/>
                <w:szCs w:val="24"/>
              </w:rPr>
              <w:t>(Pažymimas vienas iš galimų projektų atrankos kriterijų tipų.)</w:t>
            </w:r>
          </w:p>
        </w:tc>
        <w:tc>
          <w:tcPr>
            <w:tcW w:w="8627" w:type="dxa"/>
            <w:shd w:val="clear" w:color="auto" w:fill="auto"/>
          </w:tcPr>
          <w:p w14:paraId="6A9F96EF" w14:textId="16A1ADDD" w:rsidR="000E29EB" w:rsidRPr="007D0713" w:rsidRDefault="000E29EB" w:rsidP="000E29EB">
            <w:pPr>
              <w:widowControl w:val="0"/>
              <w:jc w:val="both"/>
              <w:textAlignment w:val="baseline"/>
              <w:rPr>
                <w:b/>
                <w:bCs/>
                <w:szCs w:val="24"/>
                <w:lang w:eastAsia="lt-LT"/>
              </w:rPr>
            </w:pPr>
            <w:r w:rsidRPr="007D0713">
              <w:rPr>
                <w:bCs/>
                <w:lang w:eastAsia="lt-LT"/>
              </w:rPr>
              <w:fldChar w:fldCharType="begin">
                <w:ffData>
                  <w:name w:val=""/>
                  <w:enabled/>
                  <w:calcOnExit w:val="0"/>
                  <w:checkBox>
                    <w:sizeAuto/>
                    <w:default w:val="1"/>
                  </w:checkBox>
                </w:ffData>
              </w:fldChar>
            </w:r>
            <w:r w:rsidRPr="007D0713">
              <w:rPr>
                <w:bCs/>
                <w:lang w:eastAsia="lt-LT"/>
              </w:rPr>
              <w:instrText xml:space="preserve"> FORMCHECKBOX </w:instrText>
            </w:r>
            <w:r w:rsidR="00E12465">
              <w:rPr>
                <w:bCs/>
                <w:lang w:eastAsia="lt-LT"/>
              </w:rPr>
            </w:r>
            <w:r w:rsidR="00E12465">
              <w:rPr>
                <w:bCs/>
                <w:lang w:eastAsia="lt-LT"/>
              </w:rPr>
              <w:fldChar w:fldCharType="separate"/>
            </w:r>
            <w:r w:rsidRPr="007D0713">
              <w:rPr>
                <w:bCs/>
                <w:lang w:eastAsia="lt-LT"/>
              </w:rPr>
              <w:fldChar w:fldCharType="end"/>
            </w:r>
            <w:r w:rsidRPr="007D0713">
              <w:rPr>
                <w:b/>
                <w:bCs/>
                <w:szCs w:val="24"/>
                <w:lang w:eastAsia="lt-LT"/>
              </w:rPr>
              <w:t xml:space="preserve"> Nustatymas</w:t>
            </w:r>
          </w:p>
          <w:p w14:paraId="15F86B58" w14:textId="076E50D4" w:rsidR="000E29EB" w:rsidRPr="007D0713" w:rsidRDefault="000E29EB" w:rsidP="000E29EB">
            <w:pPr>
              <w:widowControl w:val="0"/>
              <w:jc w:val="both"/>
              <w:textAlignment w:val="baseline"/>
              <w:rPr>
                <w:bCs/>
                <w:i/>
                <w:szCs w:val="24"/>
                <w:lang w:eastAsia="lt-LT"/>
              </w:rPr>
            </w:pPr>
            <w:r w:rsidRPr="007D0713">
              <w:rPr>
                <w:b/>
                <w:bCs/>
                <w:szCs w:val="24"/>
                <w:lang w:eastAsia="lt-LT"/>
              </w:rPr>
              <w:t>□ Keitimas</w:t>
            </w:r>
          </w:p>
        </w:tc>
      </w:tr>
      <w:tr w:rsidR="000E29EB" w:rsidRPr="007D0713" w14:paraId="6F133CD8" w14:textId="77777777" w:rsidTr="000E29EB">
        <w:tc>
          <w:tcPr>
            <w:tcW w:w="6105" w:type="dxa"/>
            <w:shd w:val="clear" w:color="auto" w:fill="auto"/>
            <w:vAlign w:val="center"/>
          </w:tcPr>
          <w:p w14:paraId="19DE046B" w14:textId="2E1F8E1D" w:rsidR="000E29EB" w:rsidRPr="007D0713" w:rsidRDefault="000E29EB" w:rsidP="000E29EB">
            <w:pPr>
              <w:widowControl w:val="0"/>
              <w:textAlignment w:val="baseline"/>
              <w:rPr>
                <w:b/>
                <w:bCs/>
                <w:szCs w:val="24"/>
                <w:lang w:eastAsia="lt-LT"/>
              </w:rPr>
            </w:pPr>
            <w:r w:rsidRPr="007D0713">
              <w:rPr>
                <w:b/>
                <w:bCs/>
                <w:szCs w:val="24"/>
                <w:lang w:eastAsia="lt-LT"/>
              </w:rPr>
              <w:t>Projektų atrankos kriterijaus numeris ir pavadinimas</w:t>
            </w:r>
          </w:p>
        </w:tc>
        <w:tc>
          <w:tcPr>
            <w:tcW w:w="8627" w:type="dxa"/>
            <w:shd w:val="clear" w:color="auto" w:fill="auto"/>
          </w:tcPr>
          <w:p w14:paraId="755C4014" w14:textId="4A992EAE" w:rsidR="000E29EB" w:rsidRPr="007D0713" w:rsidRDefault="005543E8" w:rsidP="00996B44">
            <w:pPr>
              <w:tabs>
                <w:tab w:val="left" w:pos="486"/>
              </w:tabs>
              <w:spacing w:after="200" w:line="276" w:lineRule="auto"/>
              <w:jc w:val="both"/>
              <w:rPr>
                <w:b/>
              </w:rPr>
            </w:pPr>
            <w:r w:rsidRPr="007D0713">
              <w:rPr>
                <w:b/>
                <w:i/>
                <w:szCs w:val="24"/>
                <w:lang w:val="en-US" w:eastAsia="lt-LT"/>
              </w:rPr>
              <w:t>3</w:t>
            </w:r>
            <w:r w:rsidRPr="007D0713">
              <w:rPr>
                <w:b/>
                <w:i/>
                <w:iCs/>
              </w:rPr>
              <w:t xml:space="preserve">. Projekto įgyvendinimo metu sukurtų </w:t>
            </w:r>
            <w:r w:rsidR="0058739B" w:rsidRPr="007D0713">
              <w:rPr>
                <w:b/>
                <w:i/>
                <w:iCs/>
              </w:rPr>
              <w:t xml:space="preserve">inovatyvių aplinkai draugiškų technologijų </w:t>
            </w:r>
            <w:r w:rsidR="000F098B" w:rsidRPr="007D0713">
              <w:rPr>
                <w:b/>
                <w:i/>
                <w:iCs/>
              </w:rPr>
              <w:t>technologinės parengties lygis</w:t>
            </w:r>
            <w:r w:rsidR="0058739B" w:rsidRPr="007D0713">
              <w:rPr>
                <w:b/>
                <w:i/>
                <w:iCs/>
              </w:rPr>
              <w:t>.</w:t>
            </w:r>
          </w:p>
        </w:tc>
      </w:tr>
      <w:tr w:rsidR="000E29EB" w:rsidRPr="007D0713" w14:paraId="344BC23F" w14:textId="77777777" w:rsidTr="000E29EB">
        <w:tc>
          <w:tcPr>
            <w:tcW w:w="6105" w:type="dxa"/>
            <w:shd w:val="clear" w:color="auto" w:fill="auto"/>
            <w:vAlign w:val="center"/>
          </w:tcPr>
          <w:p w14:paraId="7C6C9D0F" w14:textId="07DC8852" w:rsidR="000E29EB" w:rsidRPr="007D0713" w:rsidRDefault="000E29EB" w:rsidP="000E29EB">
            <w:pPr>
              <w:widowControl w:val="0"/>
              <w:textAlignment w:val="baseline"/>
              <w:rPr>
                <w:b/>
                <w:bCs/>
                <w:szCs w:val="24"/>
                <w:lang w:eastAsia="lt-LT"/>
              </w:rPr>
            </w:pPr>
            <w:r w:rsidRPr="007D0713">
              <w:rPr>
                <w:b/>
                <w:bCs/>
                <w:szCs w:val="24"/>
                <w:lang w:eastAsia="lt-LT"/>
              </w:rPr>
              <w:t>Projektų atrankos kriterijaus vertinimo metodas ir taikymas</w:t>
            </w:r>
          </w:p>
        </w:tc>
        <w:tc>
          <w:tcPr>
            <w:tcW w:w="8627" w:type="dxa"/>
            <w:shd w:val="clear" w:color="auto" w:fill="auto"/>
          </w:tcPr>
          <w:p w14:paraId="511DC9DA" w14:textId="7080D9F9" w:rsidR="000E29EB" w:rsidRDefault="0058739B" w:rsidP="000E29EB">
            <w:pPr>
              <w:widowControl w:val="0"/>
              <w:jc w:val="both"/>
              <w:textAlignment w:val="baseline"/>
              <w:rPr>
                <w:i/>
                <w:iCs/>
              </w:rPr>
            </w:pPr>
            <w:r w:rsidRPr="007D0713">
              <w:rPr>
                <w:i/>
                <w:iCs/>
              </w:rPr>
              <w:t>Siekiama skatinti rinkai patrauklesnių inovatyvių aplinkai draugiškų technologijų kūrimą, todėl aukštesnis įvertinimas suteikiamas tiems projektams, kurių įgyvendinimo metu</w:t>
            </w:r>
            <w:r w:rsidR="00E61440">
              <w:rPr>
                <w:i/>
                <w:iCs/>
              </w:rPr>
              <w:t>, t. y. projekto pradžioje ir pabaigoje,</w:t>
            </w:r>
            <w:r w:rsidRPr="007D0713">
              <w:rPr>
                <w:i/>
                <w:iCs/>
              </w:rPr>
              <w:t xml:space="preserve"> sukurtų inovatyvių aplinkai draugiškų technologijų </w:t>
            </w:r>
            <w:r w:rsidR="000F098B" w:rsidRPr="007D0713">
              <w:rPr>
                <w:i/>
                <w:iCs/>
              </w:rPr>
              <w:t>technologinės parengties lygis yra aukštesnis</w:t>
            </w:r>
            <w:r w:rsidRPr="007D0713">
              <w:rPr>
                <w:i/>
                <w:iCs/>
              </w:rPr>
              <w:t xml:space="preserve">. </w:t>
            </w:r>
          </w:p>
          <w:p w14:paraId="6A8CA26C" w14:textId="31300404" w:rsidR="003F0D61" w:rsidRDefault="003F0D61" w:rsidP="000E29EB">
            <w:pPr>
              <w:widowControl w:val="0"/>
              <w:jc w:val="both"/>
              <w:textAlignment w:val="baseline"/>
              <w:rPr>
                <w:i/>
                <w:iCs/>
              </w:rPr>
            </w:pPr>
            <w:r>
              <w:rPr>
                <w:i/>
                <w:iCs/>
                <w:color w:val="000000"/>
              </w:rPr>
              <w:t>Technologinės parengties lygis nustatomas vadovaujantis Rekomenduojamos mokslinių tyrimų ir eksperimentinės plėtros etapų klasifikacijos aprašu, patvirtintu Lietuvos Respublikos Vyriausybės 2012 m. birželio 6 d. nutarimu Nr. 650</w:t>
            </w:r>
            <w:r w:rsidR="00416030">
              <w:rPr>
                <w:i/>
                <w:iCs/>
                <w:color w:val="000000"/>
              </w:rPr>
              <w:t xml:space="preserve"> „</w:t>
            </w:r>
            <w:r w:rsidR="00416030" w:rsidRPr="00ED2F84">
              <w:rPr>
                <w:i/>
                <w:iCs/>
                <w:color w:val="000000"/>
              </w:rPr>
              <w:t>Dėl Rekomenduojamos mokslinių tyrimų ir eksperimentinės plėtros etapų klasifikacijos aprašo patvirtinimo</w:t>
            </w:r>
            <w:r w:rsidR="00416030">
              <w:rPr>
                <w:i/>
                <w:iCs/>
                <w:color w:val="000000"/>
              </w:rPr>
              <w:t>“</w:t>
            </w:r>
            <w:r>
              <w:rPr>
                <w:i/>
                <w:iCs/>
                <w:color w:val="000000"/>
              </w:rPr>
              <w:t>.</w:t>
            </w:r>
          </w:p>
          <w:p w14:paraId="6DD23518" w14:textId="149634AA" w:rsidR="008360CA" w:rsidRPr="007D0713" w:rsidRDefault="008360CA" w:rsidP="000E29EB">
            <w:pPr>
              <w:widowControl w:val="0"/>
              <w:jc w:val="both"/>
              <w:textAlignment w:val="baseline"/>
              <w:rPr>
                <w:bCs/>
                <w:i/>
                <w:szCs w:val="24"/>
                <w:lang w:eastAsia="lt-LT"/>
              </w:rPr>
            </w:pPr>
            <w:r>
              <w:rPr>
                <w:i/>
                <w:iCs/>
                <w:color w:val="000000"/>
              </w:rPr>
              <w:t xml:space="preserve">Jeigu </w:t>
            </w:r>
            <w:r w:rsidR="004D46F1">
              <w:rPr>
                <w:i/>
                <w:iCs/>
                <w:color w:val="000000"/>
              </w:rPr>
              <w:t>projekto įgyvendinimo metu</w:t>
            </w:r>
            <w:r w:rsidR="00056D12">
              <w:rPr>
                <w:i/>
                <w:iCs/>
              </w:rPr>
              <w:t>, t. y. projekto pradžioje ir pabaigoje,</w:t>
            </w:r>
            <w:r w:rsidR="00056D12" w:rsidRPr="007D0713">
              <w:rPr>
                <w:i/>
                <w:iCs/>
              </w:rPr>
              <w:t xml:space="preserve"> </w:t>
            </w:r>
            <w:r>
              <w:rPr>
                <w:i/>
                <w:iCs/>
                <w:color w:val="000000"/>
              </w:rPr>
              <w:t xml:space="preserve">bus sukurta daugiau nei viena </w:t>
            </w:r>
            <w:r w:rsidR="00056D12" w:rsidRPr="007D0713">
              <w:rPr>
                <w:i/>
                <w:iCs/>
              </w:rPr>
              <w:t>inovatyvi aplinkai draugišk</w:t>
            </w:r>
            <w:r w:rsidR="00056D12">
              <w:rPr>
                <w:i/>
                <w:iCs/>
              </w:rPr>
              <w:t>a</w:t>
            </w:r>
            <w:r w:rsidR="00056D12" w:rsidRPr="007D0713">
              <w:rPr>
                <w:i/>
                <w:iCs/>
              </w:rPr>
              <w:t xml:space="preserve"> technologij</w:t>
            </w:r>
            <w:r w:rsidR="00056D12">
              <w:rPr>
                <w:i/>
                <w:iCs/>
              </w:rPr>
              <w:t>a</w:t>
            </w:r>
            <w:r>
              <w:rPr>
                <w:i/>
                <w:iCs/>
                <w:color w:val="000000"/>
              </w:rPr>
              <w:t xml:space="preserve">, vertinama kiekviena </w:t>
            </w:r>
            <w:r w:rsidR="00056D12" w:rsidRPr="007D0713">
              <w:rPr>
                <w:i/>
                <w:iCs/>
              </w:rPr>
              <w:t>inovatyvi aplinkai draugišk</w:t>
            </w:r>
            <w:r w:rsidR="00056D12">
              <w:rPr>
                <w:i/>
                <w:iCs/>
              </w:rPr>
              <w:t>a</w:t>
            </w:r>
            <w:r w:rsidR="00056D12" w:rsidRPr="007D0713">
              <w:rPr>
                <w:i/>
                <w:iCs/>
              </w:rPr>
              <w:t xml:space="preserve"> technologij</w:t>
            </w:r>
            <w:r w:rsidR="00056D12">
              <w:rPr>
                <w:i/>
                <w:iCs/>
              </w:rPr>
              <w:t>a</w:t>
            </w:r>
            <w:r>
              <w:rPr>
                <w:i/>
                <w:iCs/>
                <w:color w:val="000000"/>
              </w:rPr>
              <w:t xml:space="preserve"> ir tuomet apskaičiuojamas suteikiamo balo vidurkis.</w:t>
            </w:r>
          </w:p>
        </w:tc>
      </w:tr>
      <w:tr w:rsidR="00725921" w:rsidRPr="007D0713" w14:paraId="52B00169" w14:textId="77777777" w:rsidTr="000E29EB">
        <w:tc>
          <w:tcPr>
            <w:tcW w:w="6105" w:type="dxa"/>
            <w:shd w:val="clear" w:color="auto" w:fill="auto"/>
            <w:vAlign w:val="center"/>
          </w:tcPr>
          <w:p w14:paraId="3E66324D" w14:textId="24384749" w:rsidR="00725921" w:rsidRPr="007D0713" w:rsidRDefault="00725921" w:rsidP="00725921">
            <w:pPr>
              <w:widowControl w:val="0"/>
              <w:textAlignment w:val="baseline"/>
              <w:rPr>
                <w:b/>
                <w:bCs/>
                <w:szCs w:val="24"/>
                <w:lang w:eastAsia="lt-LT"/>
              </w:rPr>
            </w:pPr>
            <w:r w:rsidRPr="007D0713">
              <w:rPr>
                <w:b/>
                <w:bCs/>
                <w:szCs w:val="24"/>
                <w:lang w:eastAsia="lt-LT"/>
              </w:rPr>
              <w:t>Projektų atrankos kriterijaus pasirinkimo pagrindimas</w:t>
            </w:r>
          </w:p>
        </w:tc>
        <w:tc>
          <w:tcPr>
            <w:tcW w:w="8627" w:type="dxa"/>
            <w:shd w:val="clear" w:color="auto" w:fill="auto"/>
          </w:tcPr>
          <w:p w14:paraId="71A499DF" w14:textId="0314251F" w:rsidR="00725921" w:rsidRPr="007D0713" w:rsidRDefault="00996B44" w:rsidP="008A4A81">
            <w:pPr>
              <w:jc w:val="both"/>
              <w:rPr>
                <w:i/>
                <w:iCs/>
              </w:rPr>
            </w:pPr>
            <w:r w:rsidRPr="007D0713">
              <w:rPr>
                <w:i/>
                <w:iCs/>
              </w:rPr>
              <w:t>Nustatytas kriterijus padės</w:t>
            </w:r>
            <w:r w:rsidR="00AF790B" w:rsidRPr="007D0713">
              <w:rPr>
                <w:i/>
                <w:iCs/>
              </w:rPr>
              <w:t xml:space="preserve"> atrinkti tuos projektus, kuriuos įgyvendinant bus kuriamos rinkai patraukle</w:t>
            </w:r>
            <w:r w:rsidR="00797122" w:rsidRPr="007D0713">
              <w:rPr>
                <w:i/>
                <w:iCs/>
              </w:rPr>
              <w:t>s</w:t>
            </w:r>
            <w:r w:rsidR="00AF790B" w:rsidRPr="007D0713">
              <w:rPr>
                <w:i/>
                <w:iCs/>
              </w:rPr>
              <w:t>nės inovatyvios aplinkai draugiškos technologijos. Projektais, kurių įgyvendinimo metu sukuriam</w:t>
            </w:r>
            <w:r w:rsidR="00341C4C" w:rsidRPr="007D0713">
              <w:rPr>
                <w:i/>
                <w:iCs/>
              </w:rPr>
              <w:t>os</w:t>
            </w:r>
            <w:r w:rsidR="00AF790B" w:rsidRPr="007D0713">
              <w:rPr>
                <w:i/>
                <w:iCs/>
              </w:rPr>
              <w:t xml:space="preserve"> rinkai </w:t>
            </w:r>
            <w:r w:rsidR="00341C4C" w:rsidRPr="007D0713">
              <w:rPr>
                <w:i/>
                <w:iCs/>
              </w:rPr>
              <w:t>patrauklesnės aplinkai dr</w:t>
            </w:r>
            <w:r w:rsidR="008A4A81" w:rsidRPr="007D0713">
              <w:rPr>
                <w:i/>
                <w:iCs/>
              </w:rPr>
              <w:t>au</w:t>
            </w:r>
            <w:r w:rsidR="00341C4C" w:rsidRPr="007D0713">
              <w:rPr>
                <w:i/>
                <w:iCs/>
              </w:rPr>
              <w:t xml:space="preserve">giškos technologijos, prisidedama prie Investicijų programos 1 prioriteto „Pažangesnė Lietuva“ 1.1 konkretaus uždavinio </w:t>
            </w:r>
            <w:r w:rsidR="00341C4C" w:rsidRPr="007D0713">
              <w:rPr>
                <w:bCs/>
                <w:i/>
                <w:iCs/>
                <w:lang w:eastAsia="lt-LT"/>
              </w:rPr>
              <w:t>„Plėtoti ir stiprinti mokslinių tyrimų ir inovacinius pajėgumus ir diegti pažangiąsias technologijas“ tiksl</w:t>
            </w:r>
            <w:r w:rsidR="008A4A81" w:rsidRPr="007D0713">
              <w:rPr>
                <w:bCs/>
                <w:i/>
                <w:iCs/>
                <w:lang w:eastAsia="lt-LT"/>
              </w:rPr>
              <w:t>ų</w:t>
            </w:r>
            <w:r w:rsidR="00341C4C" w:rsidRPr="007D0713">
              <w:t xml:space="preserve"> </w:t>
            </w:r>
            <w:r w:rsidR="00341C4C" w:rsidRPr="007D0713">
              <w:rPr>
                <w:bCs/>
                <w:i/>
                <w:iCs/>
                <w:lang w:eastAsia="lt-LT"/>
              </w:rPr>
              <w:t xml:space="preserve">ir prie </w:t>
            </w:r>
            <w:r w:rsidR="00341C4C" w:rsidRPr="007D0713">
              <w:rPr>
                <w:bCs/>
                <w:i/>
                <w:szCs w:val="24"/>
                <w:lang w:eastAsia="lt-LT"/>
              </w:rPr>
              <w:t xml:space="preserve">2022–2030 metų plėtros programos </w:t>
            </w:r>
            <w:r w:rsidR="00341C4C" w:rsidRPr="007D0713">
              <w:rPr>
                <w:bCs/>
                <w:i/>
                <w:szCs w:val="24"/>
                <w:lang w:eastAsia="lt-LT"/>
              </w:rPr>
              <w:lastRenderedPageBreak/>
              <w:t xml:space="preserve">valdytojos Lietuvos Respublikos ekonomikos ir inovacijų ministerijos ekonomikos transformacijos ir </w:t>
            </w:r>
            <w:r w:rsidR="00341C4C" w:rsidRPr="007D0713">
              <w:rPr>
                <w:bCs/>
                <w:i/>
                <w:iCs/>
                <w:lang w:eastAsia="lt-LT"/>
              </w:rPr>
              <w:t xml:space="preserve">konkurencingumo plėtros </w:t>
            </w:r>
            <w:r w:rsidR="00341C4C" w:rsidRPr="007D0713">
              <w:rPr>
                <w:bCs/>
                <w:i/>
                <w:szCs w:val="24"/>
                <w:lang w:eastAsia="lt-LT"/>
              </w:rPr>
              <w:t>programoje pateikto Nacionalinio pažangos plano 1.4 uždavinio „Perorientuoti pramonę link klimatui neutralios ekonomikos“ rodiklio  „Įmonės, diegusios aplinkosaugos inovacijas, proc.“ siekimo.</w:t>
            </w:r>
          </w:p>
        </w:tc>
      </w:tr>
      <w:tr w:rsidR="000E29EB" w:rsidRPr="007D0713" w14:paraId="425DD51C" w14:textId="77777777" w:rsidTr="000E29EB">
        <w:tc>
          <w:tcPr>
            <w:tcW w:w="6105" w:type="dxa"/>
            <w:shd w:val="clear" w:color="auto" w:fill="auto"/>
          </w:tcPr>
          <w:p w14:paraId="2ECA450C" w14:textId="61A8AE06" w:rsidR="000E29EB" w:rsidRPr="007D0713" w:rsidRDefault="000E29EB" w:rsidP="000E29EB">
            <w:pPr>
              <w:widowControl w:val="0"/>
              <w:jc w:val="both"/>
              <w:textAlignment w:val="baseline"/>
              <w:rPr>
                <w:b/>
                <w:bCs/>
                <w:sz w:val="22"/>
                <w:szCs w:val="22"/>
                <w:lang w:eastAsia="lt-LT"/>
              </w:rPr>
            </w:pPr>
            <w:r w:rsidRPr="007D0713">
              <w:rPr>
                <w:szCs w:val="24"/>
              </w:rPr>
              <w:lastRenderedPageBreak/>
              <w:br w:type="page"/>
            </w:r>
            <w:r w:rsidRPr="007D0713">
              <w:rPr>
                <w:b/>
                <w:bCs/>
                <w:szCs w:val="24"/>
                <w:lang w:eastAsia="lt-LT"/>
              </w:rPr>
              <w:t>□</w:t>
            </w:r>
            <w:r w:rsidRPr="007D0713">
              <w:rPr>
                <w:b/>
                <w:bCs/>
                <w:sz w:val="22"/>
                <w:szCs w:val="22"/>
                <w:lang w:eastAsia="lt-LT"/>
              </w:rPr>
              <w:t xml:space="preserve"> SPECIALUSIS PROJEKTŲ ATRANKOS KRITERIJUS</w:t>
            </w:r>
          </w:p>
          <w:p w14:paraId="20C7BC94" w14:textId="18A65E6C" w:rsidR="000E29EB" w:rsidRPr="007D0713" w:rsidRDefault="000E29EB" w:rsidP="000E29EB">
            <w:pPr>
              <w:widowControl w:val="0"/>
              <w:jc w:val="both"/>
              <w:textAlignment w:val="baseline"/>
              <w:rPr>
                <w:b/>
                <w:bCs/>
                <w:sz w:val="22"/>
                <w:szCs w:val="22"/>
                <w:lang w:eastAsia="lt-LT"/>
              </w:rPr>
            </w:pPr>
            <w:r w:rsidRPr="007D0713">
              <w:rPr>
                <w:bCs/>
                <w:lang w:eastAsia="lt-LT"/>
              </w:rPr>
              <w:fldChar w:fldCharType="begin">
                <w:ffData>
                  <w:name w:val=""/>
                  <w:enabled/>
                  <w:calcOnExit w:val="0"/>
                  <w:checkBox>
                    <w:sizeAuto/>
                    <w:default w:val="1"/>
                  </w:checkBox>
                </w:ffData>
              </w:fldChar>
            </w:r>
            <w:r w:rsidRPr="007D0713">
              <w:rPr>
                <w:bCs/>
                <w:lang w:eastAsia="lt-LT"/>
              </w:rPr>
              <w:instrText xml:space="preserve"> FORMCHECKBOX </w:instrText>
            </w:r>
            <w:r w:rsidR="00E12465">
              <w:rPr>
                <w:bCs/>
                <w:lang w:eastAsia="lt-LT"/>
              </w:rPr>
            </w:r>
            <w:r w:rsidR="00E12465">
              <w:rPr>
                <w:bCs/>
                <w:lang w:eastAsia="lt-LT"/>
              </w:rPr>
              <w:fldChar w:fldCharType="separate"/>
            </w:r>
            <w:r w:rsidRPr="007D0713">
              <w:rPr>
                <w:bCs/>
                <w:lang w:eastAsia="lt-LT"/>
              </w:rPr>
              <w:fldChar w:fldCharType="end"/>
            </w:r>
            <w:r w:rsidRPr="007D0713">
              <w:rPr>
                <w:b/>
                <w:bCs/>
                <w:szCs w:val="24"/>
                <w:lang w:eastAsia="lt-LT"/>
              </w:rPr>
              <w:t xml:space="preserve"> </w:t>
            </w:r>
            <w:r w:rsidRPr="007D0713">
              <w:rPr>
                <w:b/>
                <w:bCs/>
                <w:sz w:val="22"/>
                <w:szCs w:val="22"/>
                <w:lang w:eastAsia="lt-LT"/>
              </w:rPr>
              <w:t>PRIORITETINIS PROJEKTŲ ATRANKOS KRITERIJUS</w:t>
            </w:r>
          </w:p>
          <w:p w14:paraId="299A2FF1" w14:textId="77777777" w:rsidR="000E29EB" w:rsidRPr="007D0713" w:rsidRDefault="000E29EB" w:rsidP="000E29EB">
            <w:pPr>
              <w:widowControl w:val="0"/>
              <w:jc w:val="both"/>
              <w:textAlignment w:val="baseline"/>
              <w:rPr>
                <w:b/>
                <w:bCs/>
                <w:szCs w:val="24"/>
                <w:lang w:eastAsia="lt-LT"/>
              </w:rPr>
            </w:pPr>
            <w:r w:rsidRPr="007D0713">
              <w:rPr>
                <w:i/>
                <w:szCs w:val="24"/>
              </w:rPr>
              <w:t>(Pažymimas vienas iš galimų projektų atrankos kriterijų tipų.)</w:t>
            </w:r>
          </w:p>
        </w:tc>
        <w:tc>
          <w:tcPr>
            <w:tcW w:w="8627" w:type="dxa"/>
            <w:shd w:val="clear" w:color="auto" w:fill="auto"/>
          </w:tcPr>
          <w:p w14:paraId="1B2DF08B" w14:textId="77777777" w:rsidR="000E29EB" w:rsidRPr="007D0713" w:rsidRDefault="000E29EB" w:rsidP="000E29EB">
            <w:pPr>
              <w:widowControl w:val="0"/>
              <w:jc w:val="both"/>
              <w:textAlignment w:val="baseline"/>
              <w:rPr>
                <w:b/>
                <w:bCs/>
                <w:szCs w:val="24"/>
                <w:lang w:eastAsia="lt-LT"/>
              </w:rPr>
            </w:pPr>
            <w:r w:rsidRPr="007D0713">
              <w:rPr>
                <w:bCs/>
                <w:lang w:eastAsia="lt-LT"/>
              </w:rPr>
              <w:fldChar w:fldCharType="begin">
                <w:ffData>
                  <w:name w:val=""/>
                  <w:enabled/>
                  <w:calcOnExit w:val="0"/>
                  <w:checkBox>
                    <w:sizeAuto/>
                    <w:default w:val="1"/>
                  </w:checkBox>
                </w:ffData>
              </w:fldChar>
            </w:r>
            <w:r w:rsidRPr="007D0713">
              <w:rPr>
                <w:bCs/>
                <w:lang w:eastAsia="lt-LT"/>
              </w:rPr>
              <w:instrText xml:space="preserve"> FORMCHECKBOX </w:instrText>
            </w:r>
            <w:r w:rsidR="00E12465">
              <w:rPr>
                <w:bCs/>
                <w:lang w:eastAsia="lt-LT"/>
              </w:rPr>
            </w:r>
            <w:r w:rsidR="00E12465">
              <w:rPr>
                <w:bCs/>
                <w:lang w:eastAsia="lt-LT"/>
              </w:rPr>
              <w:fldChar w:fldCharType="separate"/>
            </w:r>
            <w:r w:rsidRPr="007D0713">
              <w:rPr>
                <w:bCs/>
                <w:lang w:eastAsia="lt-LT"/>
              </w:rPr>
              <w:fldChar w:fldCharType="end"/>
            </w:r>
            <w:r w:rsidRPr="007D0713">
              <w:rPr>
                <w:b/>
                <w:bCs/>
                <w:szCs w:val="24"/>
                <w:lang w:eastAsia="lt-LT"/>
              </w:rPr>
              <w:t xml:space="preserve">  Nustatymas</w:t>
            </w:r>
          </w:p>
          <w:p w14:paraId="4C71BC9E" w14:textId="77777777" w:rsidR="000E29EB" w:rsidRPr="007D0713" w:rsidRDefault="000E29EB" w:rsidP="000E29EB">
            <w:pPr>
              <w:widowControl w:val="0"/>
              <w:jc w:val="both"/>
              <w:textAlignment w:val="baseline"/>
              <w:rPr>
                <w:szCs w:val="24"/>
              </w:rPr>
            </w:pPr>
            <w:r w:rsidRPr="007D0713">
              <w:rPr>
                <w:b/>
                <w:bCs/>
                <w:szCs w:val="24"/>
                <w:lang w:eastAsia="lt-LT"/>
              </w:rPr>
              <w:t>□ Keitimas</w:t>
            </w:r>
          </w:p>
        </w:tc>
      </w:tr>
      <w:tr w:rsidR="000E29EB" w:rsidRPr="007D0713" w14:paraId="38C4D8DD" w14:textId="77777777" w:rsidTr="000E29EB">
        <w:tc>
          <w:tcPr>
            <w:tcW w:w="6105" w:type="dxa"/>
            <w:shd w:val="clear" w:color="auto" w:fill="auto"/>
            <w:vAlign w:val="center"/>
          </w:tcPr>
          <w:p w14:paraId="24C5799A" w14:textId="77777777" w:rsidR="000E29EB" w:rsidRPr="007D0713" w:rsidRDefault="000E29EB" w:rsidP="000E29EB">
            <w:pPr>
              <w:widowControl w:val="0"/>
              <w:textAlignment w:val="baseline"/>
              <w:rPr>
                <w:b/>
                <w:bCs/>
                <w:szCs w:val="24"/>
                <w:lang w:eastAsia="lt-LT"/>
              </w:rPr>
            </w:pPr>
            <w:r w:rsidRPr="007D0713">
              <w:rPr>
                <w:b/>
                <w:bCs/>
                <w:szCs w:val="24"/>
                <w:lang w:eastAsia="lt-LT"/>
              </w:rPr>
              <w:t>Projektų atrankos kriterijaus numeris ir pavadinimas</w:t>
            </w:r>
          </w:p>
        </w:tc>
        <w:tc>
          <w:tcPr>
            <w:tcW w:w="8627" w:type="dxa"/>
            <w:shd w:val="clear" w:color="auto" w:fill="auto"/>
          </w:tcPr>
          <w:p w14:paraId="57FBA873" w14:textId="635C531B" w:rsidR="008A4A81" w:rsidRPr="007D0713" w:rsidRDefault="008A4A81" w:rsidP="008A4A81">
            <w:pPr>
              <w:widowControl w:val="0"/>
              <w:spacing w:line="240" w:lineRule="exact"/>
              <w:jc w:val="both"/>
              <w:textAlignment w:val="baseline"/>
              <w:rPr>
                <w:sz w:val="22"/>
                <w:szCs w:val="24"/>
              </w:rPr>
            </w:pPr>
            <w:r w:rsidRPr="007D0713">
              <w:rPr>
                <w:b/>
                <w:i/>
                <w:lang w:val="en-US" w:eastAsia="lt-LT"/>
              </w:rPr>
              <w:t xml:space="preserve">4.  </w:t>
            </w:r>
            <w:r w:rsidRPr="007D0713">
              <w:rPr>
                <w:b/>
                <w:bCs/>
                <w:i/>
                <w:iCs/>
              </w:rPr>
              <w:t>Projekto įgyvendinimo metu sukurtos technologijos reikšmingumo lygis.</w:t>
            </w:r>
          </w:p>
          <w:p w14:paraId="46D6C809" w14:textId="6C7A209C" w:rsidR="000E29EB" w:rsidRPr="007D0713" w:rsidRDefault="000E29EB" w:rsidP="000E29EB">
            <w:pPr>
              <w:widowControl w:val="0"/>
              <w:jc w:val="both"/>
              <w:textAlignment w:val="baseline"/>
              <w:rPr>
                <w:b/>
                <w:i/>
                <w:lang w:val="en-US" w:eastAsia="lt-LT"/>
              </w:rPr>
            </w:pPr>
          </w:p>
        </w:tc>
      </w:tr>
      <w:tr w:rsidR="00725921" w:rsidRPr="007D0713" w14:paraId="77D5F09F" w14:textId="77777777" w:rsidTr="000E29EB">
        <w:tc>
          <w:tcPr>
            <w:tcW w:w="6105" w:type="dxa"/>
            <w:shd w:val="clear" w:color="auto" w:fill="auto"/>
            <w:vAlign w:val="center"/>
          </w:tcPr>
          <w:p w14:paraId="72C056B9" w14:textId="77777777" w:rsidR="00725921" w:rsidRPr="007D0713" w:rsidRDefault="00725921" w:rsidP="00725921">
            <w:pPr>
              <w:widowControl w:val="0"/>
              <w:textAlignment w:val="baseline"/>
              <w:rPr>
                <w:b/>
                <w:bCs/>
                <w:szCs w:val="24"/>
                <w:lang w:eastAsia="lt-LT"/>
              </w:rPr>
            </w:pPr>
            <w:r w:rsidRPr="007D0713">
              <w:rPr>
                <w:b/>
                <w:bCs/>
                <w:szCs w:val="24"/>
                <w:lang w:eastAsia="lt-LT"/>
              </w:rPr>
              <w:t>Projektų atrankos kriterijaus vertinimo metodas ir taikymas</w:t>
            </w:r>
          </w:p>
        </w:tc>
        <w:tc>
          <w:tcPr>
            <w:tcW w:w="8627" w:type="dxa"/>
            <w:shd w:val="clear" w:color="auto" w:fill="auto"/>
          </w:tcPr>
          <w:p w14:paraId="436C1420" w14:textId="0403174A" w:rsidR="007407BC" w:rsidRDefault="008A4A81" w:rsidP="006C1425">
            <w:pPr>
              <w:widowControl w:val="0"/>
              <w:jc w:val="both"/>
              <w:textAlignment w:val="baseline"/>
              <w:rPr>
                <w:i/>
                <w:iCs/>
              </w:rPr>
            </w:pPr>
            <w:r w:rsidRPr="007D0713">
              <w:rPr>
                <w:i/>
                <w:iCs/>
              </w:rPr>
              <w:t xml:space="preserve">Siekiant skatinti </w:t>
            </w:r>
            <w:r w:rsidR="00630CAC" w:rsidRPr="007D0713">
              <w:rPr>
                <w:i/>
                <w:iCs/>
              </w:rPr>
              <w:t>inovatyvių aplinkai draugiškų technologijų</w:t>
            </w:r>
            <w:r w:rsidRPr="007D0713">
              <w:rPr>
                <w:i/>
                <w:iCs/>
              </w:rPr>
              <w:t xml:space="preserve"> kūrimą, būtina įvertinti projekto įgyvendinimo metu</w:t>
            </w:r>
            <w:r w:rsidR="00FC1D95">
              <w:rPr>
                <w:i/>
                <w:iCs/>
              </w:rPr>
              <w:t>, t. y. projekto pradžioje ir pabaigoje,</w:t>
            </w:r>
            <w:r w:rsidR="00FC1D95" w:rsidRPr="007D0713">
              <w:rPr>
                <w:i/>
                <w:iCs/>
              </w:rPr>
              <w:t xml:space="preserve"> </w:t>
            </w:r>
            <w:r w:rsidRPr="007D0713">
              <w:rPr>
                <w:i/>
                <w:iCs/>
              </w:rPr>
              <w:t>sukurto</w:t>
            </w:r>
            <w:r w:rsidR="00630CAC" w:rsidRPr="007D0713">
              <w:rPr>
                <w:i/>
                <w:iCs/>
              </w:rPr>
              <w:t xml:space="preserve">s technologijos </w:t>
            </w:r>
            <w:r w:rsidRPr="007D0713">
              <w:rPr>
                <w:i/>
                <w:iCs/>
              </w:rPr>
              <w:t>reikšmingumo lygį. Reikšmingumas yra vertinamas atsižvelgiant į projekto įgyvendinimo metu</w:t>
            </w:r>
            <w:r w:rsidR="00FC1D95">
              <w:rPr>
                <w:i/>
                <w:iCs/>
              </w:rPr>
              <w:t>, t. y. projekto pradžioje ir pabaigoje,</w:t>
            </w:r>
            <w:r w:rsidR="00FC1D95" w:rsidRPr="007D0713">
              <w:rPr>
                <w:i/>
                <w:iCs/>
              </w:rPr>
              <w:t xml:space="preserve"> </w:t>
            </w:r>
            <w:r w:rsidRPr="007D0713">
              <w:rPr>
                <w:i/>
                <w:iCs/>
              </w:rPr>
              <w:t xml:space="preserve"> sukurto</w:t>
            </w:r>
            <w:r w:rsidR="00630CAC" w:rsidRPr="007D0713">
              <w:rPr>
                <w:i/>
                <w:iCs/>
              </w:rPr>
              <w:t xml:space="preserve">s technologijos </w:t>
            </w:r>
            <w:r w:rsidRPr="007D0713">
              <w:rPr>
                <w:i/>
                <w:iCs/>
              </w:rPr>
              <w:t xml:space="preserve">naujumo lygį. Naujumas skiriamas į tris grupes (reikšmingumo didėjimo tvarka): </w:t>
            </w:r>
            <w:r w:rsidR="00630CAC" w:rsidRPr="007D0713">
              <w:rPr>
                <w:i/>
                <w:iCs/>
              </w:rPr>
              <w:t>technologija</w:t>
            </w:r>
            <w:r w:rsidRPr="007D0713">
              <w:rPr>
                <w:i/>
                <w:iCs/>
              </w:rPr>
              <w:t xml:space="preserve"> nauja įmonės lygmeniu, </w:t>
            </w:r>
            <w:r w:rsidR="00630CAC" w:rsidRPr="007D0713">
              <w:rPr>
                <w:i/>
                <w:iCs/>
              </w:rPr>
              <w:t>technologija nauja</w:t>
            </w:r>
            <w:r w:rsidRPr="007D0713">
              <w:rPr>
                <w:i/>
                <w:iCs/>
              </w:rPr>
              <w:t xml:space="preserve"> rinkos lygmeniu, </w:t>
            </w:r>
            <w:r w:rsidR="00630CAC" w:rsidRPr="007D0713">
              <w:rPr>
                <w:i/>
                <w:iCs/>
              </w:rPr>
              <w:t xml:space="preserve">technologija nauja </w:t>
            </w:r>
            <w:r w:rsidRPr="007D0713">
              <w:rPr>
                <w:i/>
                <w:iCs/>
              </w:rPr>
              <w:t xml:space="preserve">pasaulio lygmeniu, kaip nurodyta Oslo vadove, 2018: Duomenų apie inovacijas rinkimo, teikimo ir naudojimo gairėse (angl. Oslo </w:t>
            </w:r>
            <w:proofErr w:type="spellStart"/>
            <w:r w:rsidRPr="007D0713">
              <w:rPr>
                <w:i/>
                <w:iCs/>
              </w:rPr>
              <w:t>manual</w:t>
            </w:r>
            <w:proofErr w:type="spellEnd"/>
            <w:r w:rsidRPr="007D0713">
              <w:rPr>
                <w:i/>
                <w:iCs/>
              </w:rPr>
              <w:t xml:space="preserve">. </w:t>
            </w:r>
            <w:proofErr w:type="spellStart"/>
            <w:r w:rsidRPr="007D0713">
              <w:rPr>
                <w:i/>
                <w:iCs/>
              </w:rPr>
              <w:t>Guidelines</w:t>
            </w:r>
            <w:proofErr w:type="spellEnd"/>
            <w:r w:rsidRPr="007D0713">
              <w:rPr>
                <w:i/>
                <w:iCs/>
              </w:rPr>
              <w:t xml:space="preserve"> </w:t>
            </w:r>
            <w:proofErr w:type="spellStart"/>
            <w:r w:rsidRPr="007D0713">
              <w:rPr>
                <w:i/>
                <w:iCs/>
              </w:rPr>
              <w:t>for</w:t>
            </w:r>
            <w:proofErr w:type="spellEnd"/>
            <w:r w:rsidRPr="007D0713">
              <w:rPr>
                <w:i/>
                <w:iCs/>
              </w:rPr>
              <w:t xml:space="preserve"> </w:t>
            </w:r>
            <w:proofErr w:type="spellStart"/>
            <w:r w:rsidRPr="007D0713">
              <w:rPr>
                <w:i/>
                <w:iCs/>
              </w:rPr>
              <w:t>Collecting</w:t>
            </w:r>
            <w:proofErr w:type="spellEnd"/>
            <w:r w:rsidRPr="007D0713">
              <w:rPr>
                <w:i/>
                <w:iCs/>
              </w:rPr>
              <w:t xml:space="preserve"> </w:t>
            </w:r>
            <w:proofErr w:type="spellStart"/>
            <w:r w:rsidRPr="007D0713">
              <w:rPr>
                <w:i/>
                <w:iCs/>
              </w:rPr>
              <w:t>and</w:t>
            </w:r>
            <w:proofErr w:type="spellEnd"/>
            <w:r w:rsidRPr="007D0713">
              <w:rPr>
                <w:i/>
                <w:iCs/>
              </w:rPr>
              <w:t xml:space="preserve"> </w:t>
            </w:r>
            <w:proofErr w:type="spellStart"/>
            <w:r w:rsidRPr="007D0713">
              <w:rPr>
                <w:i/>
                <w:iCs/>
              </w:rPr>
              <w:t>Interpreting</w:t>
            </w:r>
            <w:proofErr w:type="spellEnd"/>
            <w:r w:rsidRPr="007D0713">
              <w:rPr>
                <w:i/>
                <w:iCs/>
              </w:rPr>
              <w:t xml:space="preserve"> </w:t>
            </w:r>
            <w:proofErr w:type="spellStart"/>
            <w:r w:rsidRPr="007D0713">
              <w:rPr>
                <w:i/>
                <w:iCs/>
              </w:rPr>
              <w:t>Innovation</w:t>
            </w:r>
            <w:proofErr w:type="spellEnd"/>
            <w:r w:rsidRPr="007D0713">
              <w:rPr>
                <w:i/>
                <w:iCs/>
              </w:rPr>
              <w:t xml:space="preserve"> Data, 4rd Edition, OECD, </w:t>
            </w:r>
            <w:proofErr w:type="spellStart"/>
            <w:r w:rsidRPr="007D0713">
              <w:rPr>
                <w:i/>
                <w:iCs/>
              </w:rPr>
              <w:t>Eurostat</w:t>
            </w:r>
            <w:proofErr w:type="spellEnd"/>
            <w:r w:rsidRPr="007D0713">
              <w:rPr>
                <w:i/>
                <w:iCs/>
              </w:rPr>
              <w:t>, 2018). Aukštesnis įvertinimas suteikiamas tiems projektams, kurių įgyvendinimo metu</w:t>
            </w:r>
            <w:r w:rsidR="00BA17EE">
              <w:rPr>
                <w:i/>
                <w:iCs/>
              </w:rPr>
              <w:t>, t. y. projekto pradžioje ir pabaigoje,</w:t>
            </w:r>
            <w:r w:rsidR="00BA17EE" w:rsidRPr="007D0713">
              <w:rPr>
                <w:i/>
                <w:iCs/>
              </w:rPr>
              <w:t xml:space="preserve"> </w:t>
            </w:r>
            <w:r w:rsidRPr="007D0713">
              <w:rPr>
                <w:i/>
                <w:iCs/>
              </w:rPr>
              <w:t xml:space="preserve"> sukurtų </w:t>
            </w:r>
            <w:r w:rsidR="00630CAC" w:rsidRPr="007D0713">
              <w:rPr>
                <w:i/>
                <w:iCs/>
              </w:rPr>
              <w:t>technologijų</w:t>
            </w:r>
            <w:r w:rsidRPr="007D0713">
              <w:rPr>
                <w:i/>
                <w:iCs/>
              </w:rPr>
              <w:t xml:space="preserve"> reikšmingumas yra didesnis. Vertinant </w:t>
            </w:r>
            <w:r w:rsidR="00E10BEA" w:rsidRPr="007D0713">
              <w:rPr>
                <w:i/>
                <w:iCs/>
              </w:rPr>
              <w:t>technologijų</w:t>
            </w:r>
            <w:r w:rsidRPr="007D0713">
              <w:rPr>
                <w:i/>
                <w:iCs/>
              </w:rPr>
              <w:t xml:space="preserve"> naujumo lygmenį, viena </w:t>
            </w:r>
            <w:r w:rsidR="00E10BEA" w:rsidRPr="007D0713">
              <w:rPr>
                <w:i/>
                <w:iCs/>
              </w:rPr>
              <w:t>technologija</w:t>
            </w:r>
            <w:r w:rsidRPr="007D0713">
              <w:rPr>
                <w:i/>
                <w:iCs/>
              </w:rPr>
              <w:t xml:space="preserve"> priskiriama tik vienai naujumo grupei (t. y. jei </w:t>
            </w:r>
            <w:r w:rsidR="00E10BEA" w:rsidRPr="007D0713">
              <w:rPr>
                <w:i/>
                <w:iCs/>
              </w:rPr>
              <w:t>technologija</w:t>
            </w:r>
            <w:r w:rsidRPr="007D0713">
              <w:rPr>
                <w:i/>
                <w:iCs/>
              </w:rPr>
              <w:t xml:space="preserve"> yra nauja pasaulio lygmeniu, neskiriama papildomų balų už naujumą rinkos ir (ar) įmonės lygmeniu, jeigu </w:t>
            </w:r>
            <w:r w:rsidR="00E10BEA" w:rsidRPr="007D0713">
              <w:rPr>
                <w:i/>
                <w:iCs/>
              </w:rPr>
              <w:t>technologija</w:t>
            </w:r>
            <w:r w:rsidRPr="007D0713">
              <w:rPr>
                <w:i/>
                <w:iCs/>
              </w:rPr>
              <w:t xml:space="preserve"> nauja rinkos lygmeniu, neskiriama papildomų balų už naujumą įmonės lygmeniu).</w:t>
            </w:r>
          </w:p>
          <w:p w14:paraId="77DD175B" w14:textId="588A3D0A" w:rsidR="00D600B1" w:rsidRPr="007D0713" w:rsidRDefault="00BA17EE" w:rsidP="006C1425">
            <w:pPr>
              <w:widowControl w:val="0"/>
              <w:jc w:val="both"/>
              <w:textAlignment w:val="baseline"/>
              <w:rPr>
                <w:i/>
                <w:lang w:eastAsia="lt-LT"/>
              </w:rPr>
            </w:pPr>
            <w:r>
              <w:rPr>
                <w:i/>
                <w:iCs/>
                <w:color w:val="000000"/>
              </w:rPr>
              <w:t xml:space="preserve">Jeigu </w:t>
            </w:r>
            <w:r>
              <w:rPr>
                <w:i/>
                <w:iCs/>
                <w:color w:val="000000"/>
              </w:rPr>
              <w:t xml:space="preserve">projekto </w:t>
            </w:r>
            <w:r w:rsidR="005010E6">
              <w:rPr>
                <w:i/>
                <w:iCs/>
                <w:color w:val="000000"/>
              </w:rPr>
              <w:t>įgyvendinimo metu</w:t>
            </w:r>
            <w:r w:rsidR="005010E6">
              <w:rPr>
                <w:i/>
                <w:iCs/>
              </w:rPr>
              <w:t xml:space="preserve"> </w:t>
            </w:r>
            <w:r>
              <w:rPr>
                <w:i/>
                <w:iCs/>
                <w:color w:val="000000"/>
              </w:rPr>
              <w:t xml:space="preserve">bus sukurta daugiau nei viena </w:t>
            </w:r>
            <w:r w:rsidRPr="007D0713">
              <w:rPr>
                <w:i/>
                <w:iCs/>
              </w:rPr>
              <w:t>inovatyvi aplinkai draugišk</w:t>
            </w:r>
            <w:r>
              <w:rPr>
                <w:i/>
                <w:iCs/>
              </w:rPr>
              <w:t>a</w:t>
            </w:r>
            <w:r w:rsidRPr="007D0713">
              <w:rPr>
                <w:i/>
                <w:iCs/>
              </w:rPr>
              <w:t xml:space="preserve"> technologij</w:t>
            </w:r>
            <w:r>
              <w:rPr>
                <w:i/>
                <w:iCs/>
              </w:rPr>
              <w:t>a</w:t>
            </w:r>
            <w:r>
              <w:rPr>
                <w:i/>
                <w:iCs/>
                <w:color w:val="000000"/>
              </w:rPr>
              <w:t>, vertinama</w:t>
            </w:r>
            <w:r w:rsidR="005010E6">
              <w:rPr>
                <w:i/>
                <w:iCs/>
                <w:color w:val="000000"/>
              </w:rPr>
              <w:t>s</w:t>
            </w:r>
            <w:r>
              <w:rPr>
                <w:i/>
                <w:iCs/>
                <w:color w:val="000000"/>
              </w:rPr>
              <w:t xml:space="preserve"> kiekvien</w:t>
            </w:r>
            <w:r w:rsidR="005010E6">
              <w:rPr>
                <w:i/>
                <w:iCs/>
                <w:color w:val="000000"/>
              </w:rPr>
              <w:t>os</w:t>
            </w:r>
            <w:r>
              <w:rPr>
                <w:i/>
                <w:iCs/>
                <w:color w:val="000000"/>
              </w:rPr>
              <w:t xml:space="preserve"> </w:t>
            </w:r>
            <w:r w:rsidRPr="007D0713">
              <w:rPr>
                <w:i/>
                <w:iCs/>
              </w:rPr>
              <w:t>inovatyvi</w:t>
            </w:r>
            <w:r w:rsidR="005010E6">
              <w:rPr>
                <w:i/>
                <w:iCs/>
              </w:rPr>
              <w:t>os</w:t>
            </w:r>
            <w:r w:rsidRPr="007D0713">
              <w:rPr>
                <w:i/>
                <w:iCs/>
              </w:rPr>
              <w:t xml:space="preserve"> aplinkai draugišk</w:t>
            </w:r>
            <w:r w:rsidR="005010E6">
              <w:rPr>
                <w:i/>
                <w:iCs/>
              </w:rPr>
              <w:t>os</w:t>
            </w:r>
            <w:r w:rsidRPr="007D0713">
              <w:rPr>
                <w:i/>
                <w:iCs/>
              </w:rPr>
              <w:t xml:space="preserve"> technologij</w:t>
            </w:r>
            <w:r w:rsidR="005010E6">
              <w:rPr>
                <w:i/>
                <w:iCs/>
              </w:rPr>
              <w:t>os reikšmingumas</w:t>
            </w:r>
            <w:r>
              <w:rPr>
                <w:i/>
                <w:iCs/>
                <w:color w:val="000000"/>
              </w:rPr>
              <w:t xml:space="preserve"> ir tuomet apskaičiuojamas suteikiamo balo vidurkis.</w:t>
            </w:r>
          </w:p>
        </w:tc>
      </w:tr>
      <w:tr w:rsidR="006468F2" w:rsidRPr="007D0713" w14:paraId="7C6F7554" w14:textId="77777777" w:rsidTr="003F38D3">
        <w:trPr>
          <w:trHeight w:val="3393"/>
        </w:trPr>
        <w:tc>
          <w:tcPr>
            <w:tcW w:w="6105" w:type="dxa"/>
            <w:shd w:val="clear" w:color="auto" w:fill="auto"/>
            <w:vAlign w:val="center"/>
          </w:tcPr>
          <w:p w14:paraId="657CF99F" w14:textId="77777777" w:rsidR="006468F2" w:rsidRPr="007D0713" w:rsidRDefault="006468F2" w:rsidP="006468F2">
            <w:pPr>
              <w:widowControl w:val="0"/>
              <w:textAlignment w:val="baseline"/>
              <w:rPr>
                <w:b/>
                <w:bCs/>
                <w:szCs w:val="24"/>
                <w:lang w:eastAsia="lt-LT"/>
              </w:rPr>
            </w:pPr>
            <w:r w:rsidRPr="007D0713">
              <w:rPr>
                <w:b/>
                <w:bCs/>
                <w:szCs w:val="24"/>
                <w:lang w:eastAsia="lt-LT"/>
              </w:rPr>
              <w:lastRenderedPageBreak/>
              <w:t>Projektų atrankos kriterijaus pasirinkimo pagrindimas</w:t>
            </w:r>
          </w:p>
        </w:tc>
        <w:tc>
          <w:tcPr>
            <w:tcW w:w="8627" w:type="dxa"/>
            <w:shd w:val="clear" w:color="auto" w:fill="auto"/>
          </w:tcPr>
          <w:p w14:paraId="3D07E4AD" w14:textId="6285DE7F" w:rsidR="007443FD" w:rsidRPr="007D0713" w:rsidRDefault="007443FD" w:rsidP="007443FD">
            <w:pPr>
              <w:jc w:val="both"/>
              <w:rPr>
                <w:bCs/>
                <w:i/>
                <w:iCs/>
                <w:lang w:eastAsia="lt-LT"/>
              </w:rPr>
            </w:pPr>
            <w:r w:rsidRPr="007D0713">
              <w:rPr>
                <w:bCs/>
                <w:i/>
                <w:iCs/>
                <w:lang w:eastAsia="lt-LT"/>
              </w:rPr>
              <w:t>Siekiant paskatinti inovatyvių aplinkai draugiškų technologijų kūrimą, būtina reikšmingai padidinti mokslinių tyrimų ir eksperimentinės plėtros</w:t>
            </w:r>
            <w:r w:rsidR="00672B9B" w:rsidRPr="007D0713">
              <w:rPr>
                <w:bCs/>
                <w:i/>
                <w:iCs/>
                <w:lang w:eastAsia="lt-LT"/>
              </w:rPr>
              <w:t xml:space="preserve"> (toliau – MTEP)</w:t>
            </w:r>
            <w:r w:rsidRPr="007D0713">
              <w:rPr>
                <w:bCs/>
                <w:i/>
                <w:iCs/>
                <w:lang w:eastAsia="lt-LT"/>
              </w:rPr>
              <w:t xml:space="preserve"> ir inovacijų veiklą vykdančių įmonių skaičių</w:t>
            </w:r>
            <w:r w:rsidR="00890F9D" w:rsidRPr="007D0713">
              <w:rPr>
                <w:bCs/>
                <w:i/>
                <w:iCs/>
                <w:lang w:eastAsia="lt-LT"/>
              </w:rPr>
              <w:t>, kuriančių technologijas siekiant klimato neutralumo tikslų. Dėl šios priežasti</w:t>
            </w:r>
            <w:r w:rsidR="005010E6">
              <w:rPr>
                <w:bCs/>
                <w:i/>
                <w:iCs/>
                <w:lang w:eastAsia="lt-LT"/>
              </w:rPr>
              <w:t>e</w:t>
            </w:r>
            <w:r w:rsidR="00890F9D" w:rsidRPr="007D0713">
              <w:rPr>
                <w:bCs/>
                <w:i/>
                <w:iCs/>
                <w:lang w:eastAsia="lt-LT"/>
              </w:rPr>
              <w:t>s ketinama vertinti projektu planuojamos sukurti aplinkai draugiškos technologijos reikšmingumo lygį. Kuo aukštesnis technologijos reikšmingumo ly</w:t>
            </w:r>
            <w:r w:rsidR="004C5852" w:rsidRPr="007D0713">
              <w:rPr>
                <w:bCs/>
                <w:i/>
                <w:iCs/>
                <w:lang w:eastAsia="lt-LT"/>
              </w:rPr>
              <w:t>gmuo, tuo didesnis technologijos reikšmingumas rinkai.</w:t>
            </w:r>
          </w:p>
          <w:p w14:paraId="2740CFC5" w14:textId="6121AA39" w:rsidR="006468F2" w:rsidRPr="007D0713" w:rsidRDefault="004C5852" w:rsidP="007443FD">
            <w:pPr>
              <w:jc w:val="both"/>
              <w:rPr>
                <w:bCs/>
                <w:i/>
                <w:iCs/>
                <w:lang w:eastAsia="lt-LT"/>
              </w:rPr>
            </w:pPr>
            <w:r w:rsidRPr="007D0713">
              <w:rPr>
                <w:bCs/>
                <w:i/>
                <w:iCs/>
                <w:lang w:eastAsia="lt-LT"/>
              </w:rPr>
              <w:t xml:space="preserve">Projektai, kurių įgyvendinimo metu sukuriamos reikšmingos inovatyvios aplinkai draugiško technologijos, </w:t>
            </w:r>
            <w:r w:rsidRPr="007D0713">
              <w:rPr>
                <w:i/>
                <w:iCs/>
              </w:rPr>
              <w:t xml:space="preserve">prisidedama prie Investicijų programos 1 prioriteto „Pažangesnė Lietuva“ 1.1 konkretaus uždavinio </w:t>
            </w:r>
            <w:r w:rsidRPr="007D0713">
              <w:rPr>
                <w:bCs/>
                <w:i/>
                <w:iCs/>
                <w:lang w:eastAsia="lt-LT"/>
              </w:rPr>
              <w:t>„Plėtoti ir stiprinti mokslinių tyrimų ir inovacinius pajėgumus ir diegti pažangiąsias technologijas“ tikslų</w:t>
            </w:r>
            <w:r w:rsidRPr="007D0713">
              <w:t xml:space="preserve"> </w:t>
            </w:r>
            <w:r w:rsidRPr="007D0713">
              <w:rPr>
                <w:bCs/>
                <w:i/>
                <w:iCs/>
                <w:lang w:eastAsia="lt-LT"/>
              </w:rPr>
              <w:t xml:space="preserve">ir prie </w:t>
            </w:r>
            <w:r w:rsidRPr="007D0713">
              <w:rPr>
                <w:bCs/>
                <w:i/>
                <w:szCs w:val="24"/>
                <w:lang w:eastAsia="lt-LT"/>
              </w:rPr>
              <w:t xml:space="preserve">2022–2030 metų plėtros programos valdytojos Lietuvos Respublikos ekonomikos ir inovacijų ministerijos ekonomikos transformacijos ir </w:t>
            </w:r>
            <w:r w:rsidRPr="007D0713">
              <w:rPr>
                <w:bCs/>
                <w:i/>
                <w:iCs/>
                <w:lang w:eastAsia="lt-LT"/>
              </w:rPr>
              <w:t xml:space="preserve">konkurencingumo plėtros </w:t>
            </w:r>
            <w:r w:rsidRPr="007D0713">
              <w:rPr>
                <w:bCs/>
                <w:i/>
                <w:szCs w:val="24"/>
                <w:lang w:eastAsia="lt-LT"/>
              </w:rPr>
              <w:t>programoje pateikto Nacionalinio pažangos plano 1.4 uždavinio „Perorientuoti pramonę link klimatui neutralios ekonomikos“ rodiklio  „Įmonės, diegusios aplinkosaugos inovacijas, proc.“ siekimo.</w:t>
            </w:r>
          </w:p>
        </w:tc>
      </w:tr>
      <w:tr w:rsidR="00725921" w:rsidRPr="007D0713" w14:paraId="30134DB0" w14:textId="77777777" w:rsidTr="000E29EB">
        <w:tc>
          <w:tcPr>
            <w:tcW w:w="6105" w:type="dxa"/>
            <w:shd w:val="clear" w:color="auto" w:fill="auto"/>
            <w:vAlign w:val="center"/>
          </w:tcPr>
          <w:p w14:paraId="40FA75B8" w14:textId="77777777" w:rsidR="00725921" w:rsidRPr="007D0713" w:rsidRDefault="00725921" w:rsidP="00725921">
            <w:pPr>
              <w:widowControl w:val="0"/>
              <w:textAlignment w:val="baseline"/>
              <w:rPr>
                <w:b/>
                <w:bCs/>
                <w:szCs w:val="24"/>
                <w:lang w:eastAsia="lt-LT"/>
              </w:rPr>
            </w:pPr>
          </w:p>
        </w:tc>
        <w:tc>
          <w:tcPr>
            <w:tcW w:w="8627" w:type="dxa"/>
            <w:shd w:val="clear" w:color="auto" w:fill="auto"/>
          </w:tcPr>
          <w:p w14:paraId="6382E836" w14:textId="77777777" w:rsidR="00725921" w:rsidRPr="007D0713" w:rsidRDefault="00725921" w:rsidP="00725921">
            <w:pPr>
              <w:widowControl w:val="0"/>
              <w:jc w:val="both"/>
              <w:textAlignment w:val="baseline"/>
              <w:rPr>
                <w:bCs/>
                <w:i/>
                <w:szCs w:val="24"/>
                <w:lang w:eastAsia="lt-LT"/>
              </w:rPr>
            </w:pPr>
          </w:p>
        </w:tc>
      </w:tr>
      <w:tr w:rsidR="00725921" w:rsidRPr="007D0713" w14:paraId="15B7FC9A" w14:textId="77777777" w:rsidTr="000E29EB">
        <w:tc>
          <w:tcPr>
            <w:tcW w:w="6105" w:type="dxa"/>
            <w:shd w:val="clear" w:color="auto" w:fill="auto"/>
          </w:tcPr>
          <w:p w14:paraId="74443CC9" w14:textId="77777777" w:rsidR="00725921" w:rsidRPr="007D0713" w:rsidRDefault="00725921" w:rsidP="00725921">
            <w:pPr>
              <w:widowControl w:val="0"/>
              <w:jc w:val="both"/>
              <w:textAlignment w:val="baseline"/>
              <w:rPr>
                <w:b/>
                <w:bCs/>
                <w:sz w:val="22"/>
                <w:szCs w:val="22"/>
                <w:lang w:eastAsia="lt-LT"/>
              </w:rPr>
            </w:pPr>
            <w:r w:rsidRPr="007D0713">
              <w:rPr>
                <w:szCs w:val="24"/>
              </w:rPr>
              <w:br w:type="page"/>
            </w:r>
            <w:r w:rsidRPr="007D0713">
              <w:rPr>
                <w:b/>
                <w:bCs/>
                <w:szCs w:val="24"/>
                <w:lang w:eastAsia="lt-LT"/>
              </w:rPr>
              <w:t>□</w:t>
            </w:r>
            <w:r w:rsidRPr="007D0713">
              <w:rPr>
                <w:b/>
                <w:bCs/>
                <w:sz w:val="22"/>
                <w:szCs w:val="22"/>
                <w:lang w:eastAsia="lt-LT"/>
              </w:rPr>
              <w:t xml:space="preserve"> SPECIALUSIS PROJEKTŲ ATRANKOS KRITERIJUS</w:t>
            </w:r>
          </w:p>
          <w:p w14:paraId="78DCDE7B" w14:textId="77777777" w:rsidR="00725921" w:rsidRPr="007D0713" w:rsidRDefault="00725921" w:rsidP="00725921">
            <w:pPr>
              <w:widowControl w:val="0"/>
              <w:jc w:val="both"/>
              <w:textAlignment w:val="baseline"/>
              <w:rPr>
                <w:b/>
                <w:bCs/>
                <w:sz w:val="22"/>
                <w:szCs w:val="22"/>
                <w:lang w:eastAsia="lt-LT"/>
              </w:rPr>
            </w:pPr>
            <w:r w:rsidRPr="007D0713">
              <w:rPr>
                <w:bCs/>
                <w:lang w:eastAsia="lt-LT"/>
              </w:rPr>
              <w:fldChar w:fldCharType="begin">
                <w:ffData>
                  <w:name w:val=""/>
                  <w:enabled/>
                  <w:calcOnExit w:val="0"/>
                  <w:checkBox>
                    <w:sizeAuto/>
                    <w:default w:val="1"/>
                  </w:checkBox>
                </w:ffData>
              </w:fldChar>
            </w:r>
            <w:r w:rsidRPr="007D0713">
              <w:rPr>
                <w:bCs/>
                <w:lang w:eastAsia="lt-LT"/>
              </w:rPr>
              <w:instrText xml:space="preserve"> FORMCHECKBOX </w:instrText>
            </w:r>
            <w:r w:rsidR="00E12465">
              <w:rPr>
                <w:bCs/>
                <w:lang w:eastAsia="lt-LT"/>
              </w:rPr>
            </w:r>
            <w:r w:rsidR="00E12465">
              <w:rPr>
                <w:bCs/>
                <w:lang w:eastAsia="lt-LT"/>
              </w:rPr>
              <w:fldChar w:fldCharType="separate"/>
            </w:r>
            <w:r w:rsidRPr="007D0713">
              <w:rPr>
                <w:bCs/>
                <w:lang w:eastAsia="lt-LT"/>
              </w:rPr>
              <w:fldChar w:fldCharType="end"/>
            </w:r>
            <w:r w:rsidRPr="007D0713">
              <w:rPr>
                <w:b/>
                <w:bCs/>
                <w:szCs w:val="24"/>
                <w:lang w:eastAsia="lt-LT"/>
              </w:rPr>
              <w:t xml:space="preserve"> </w:t>
            </w:r>
            <w:r w:rsidRPr="007D0713">
              <w:rPr>
                <w:b/>
                <w:bCs/>
                <w:sz w:val="22"/>
                <w:szCs w:val="22"/>
                <w:lang w:eastAsia="lt-LT"/>
              </w:rPr>
              <w:t xml:space="preserve"> PRIORITETINIS PROJEKTŲ ATRANKOS KRITERIJUS</w:t>
            </w:r>
          </w:p>
          <w:p w14:paraId="4C501170" w14:textId="77777777" w:rsidR="00725921" w:rsidRPr="007D0713" w:rsidRDefault="00725921" w:rsidP="00725921">
            <w:pPr>
              <w:widowControl w:val="0"/>
              <w:jc w:val="both"/>
              <w:textAlignment w:val="baseline"/>
              <w:rPr>
                <w:b/>
                <w:bCs/>
                <w:szCs w:val="24"/>
                <w:lang w:eastAsia="lt-LT"/>
              </w:rPr>
            </w:pPr>
            <w:r w:rsidRPr="007D0713">
              <w:rPr>
                <w:i/>
                <w:szCs w:val="24"/>
              </w:rPr>
              <w:t>(Pažymimas vienas iš galimų projektų atrankos kriterijų tipų.)</w:t>
            </w:r>
          </w:p>
        </w:tc>
        <w:tc>
          <w:tcPr>
            <w:tcW w:w="8627" w:type="dxa"/>
            <w:shd w:val="clear" w:color="auto" w:fill="auto"/>
          </w:tcPr>
          <w:p w14:paraId="36B9E029" w14:textId="77777777" w:rsidR="00725921" w:rsidRPr="007D0713" w:rsidRDefault="00725921" w:rsidP="00725921">
            <w:pPr>
              <w:widowControl w:val="0"/>
              <w:jc w:val="both"/>
              <w:textAlignment w:val="baseline"/>
              <w:rPr>
                <w:b/>
                <w:bCs/>
                <w:szCs w:val="24"/>
                <w:lang w:eastAsia="lt-LT"/>
              </w:rPr>
            </w:pPr>
            <w:r w:rsidRPr="007D0713">
              <w:rPr>
                <w:bCs/>
                <w:lang w:eastAsia="lt-LT"/>
              </w:rPr>
              <w:fldChar w:fldCharType="begin">
                <w:ffData>
                  <w:name w:val=""/>
                  <w:enabled/>
                  <w:calcOnExit w:val="0"/>
                  <w:checkBox>
                    <w:sizeAuto/>
                    <w:default w:val="1"/>
                  </w:checkBox>
                </w:ffData>
              </w:fldChar>
            </w:r>
            <w:r w:rsidRPr="007D0713">
              <w:rPr>
                <w:bCs/>
                <w:lang w:eastAsia="lt-LT"/>
              </w:rPr>
              <w:instrText xml:space="preserve"> FORMCHECKBOX </w:instrText>
            </w:r>
            <w:r w:rsidR="00E12465">
              <w:rPr>
                <w:bCs/>
                <w:lang w:eastAsia="lt-LT"/>
              </w:rPr>
            </w:r>
            <w:r w:rsidR="00E12465">
              <w:rPr>
                <w:bCs/>
                <w:lang w:eastAsia="lt-LT"/>
              </w:rPr>
              <w:fldChar w:fldCharType="separate"/>
            </w:r>
            <w:r w:rsidRPr="007D0713">
              <w:rPr>
                <w:bCs/>
                <w:lang w:eastAsia="lt-LT"/>
              </w:rPr>
              <w:fldChar w:fldCharType="end"/>
            </w:r>
            <w:r w:rsidRPr="007D0713">
              <w:rPr>
                <w:b/>
                <w:bCs/>
                <w:szCs w:val="24"/>
                <w:lang w:eastAsia="lt-LT"/>
              </w:rPr>
              <w:t xml:space="preserve">  Nustatymas</w:t>
            </w:r>
          </w:p>
          <w:p w14:paraId="13D96302" w14:textId="77777777" w:rsidR="00725921" w:rsidRPr="007D0713" w:rsidRDefault="00725921" w:rsidP="00725921">
            <w:pPr>
              <w:widowControl w:val="0"/>
              <w:jc w:val="both"/>
              <w:textAlignment w:val="baseline"/>
              <w:rPr>
                <w:szCs w:val="24"/>
              </w:rPr>
            </w:pPr>
            <w:r w:rsidRPr="007D0713">
              <w:rPr>
                <w:b/>
                <w:bCs/>
                <w:szCs w:val="24"/>
                <w:lang w:eastAsia="lt-LT"/>
              </w:rPr>
              <w:t>□ Keitimas</w:t>
            </w:r>
          </w:p>
        </w:tc>
      </w:tr>
      <w:tr w:rsidR="006468F2" w:rsidRPr="007D0713" w14:paraId="19383E38" w14:textId="77777777" w:rsidTr="000E29EB">
        <w:tc>
          <w:tcPr>
            <w:tcW w:w="6105" w:type="dxa"/>
            <w:shd w:val="clear" w:color="auto" w:fill="auto"/>
            <w:vAlign w:val="center"/>
          </w:tcPr>
          <w:p w14:paraId="4E624E40" w14:textId="77777777" w:rsidR="006468F2" w:rsidRPr="007D0713" w:rsidRDefault="006468F2" w:rsidP="006468F2">
            <w:pPr>
              <w:widowControl w:val="0"/>
              <w:textAlignment w:val="baseline"/>
              <w:rPr>
                <w:b/>
                <w:bCs/>
                <w:szCs w:val="24"/>
                <w:lang w:eastAsia="lt-LT"/>
              </w:rPr>
            </w:pPr>
            <w:r w:rsidRPr="007D0713">
              <w:rPr>
                <w:b/>
                <w:bCs/>
                <w:szCs w:val="24"/>
                <w:lang w:eastAsia="lt-LT"/>
              </w:rPr>
              <w:t>Projektų atrankos kriterijaus numeris ir pavadinimas</w:t>
            </w:r>
          </w:p>
        </w:tc>
        <w:tc>
          <w:tcPr>
            <w:tcW w:w="8627" w:type="dxa"/>
            <w:shd w:val="clear" w:color="auto" w:fill="auto"/>
          </w:tcPr>
          <w:p w14:paraId="56FB16BC" w14:textId="7E53847D" w:rsidR="00B35AC5" w:rsidRPr="007D0713" w:rsidRDefault="004C5852" w:rsidP="00B35AC5">
            <w:pPr>
              <w:pStyle w:val="ListParagraph"/>
              <w:tabs>
                <w:tab w:val="left" w:pos="486"/>
              </w:tabs>
              <w:ind w:left="61"/>
              <w:jc w:val="both"/>
              <w:rPr>
                <w:rFonts w:asciiTheme="minorHAnsi" w:hAnsiTheme="minorHAnsi" w:cstheme="minorBidi"/>
              </w:rPr>
            </w:pPr>
            <w:r w:rsidRPr="007D0713">
              <w:rPr>
                <w:b/>
                <w:bCs/>
                <w:i/>
                <w:iCs/>
                <w:szCs w:val="24"/>
                <w:lang w:val="en-US" w:eastAsia="lt-LT"/>
              </w:rPr>
              <w:t xml:space="preserve">5. </w:t>
            </w:r>
            <w:r w:rsidR="00B35AC5" w:rsidRPr="007D0713">
              <w:rPr>
                <w:b/>
                <w:bCs/>
                <w:i/>
                <w:iCs/>
              </w:rPr>
              <w:t>Deklaruotos MTEP veiklai skirtos lėšos.</w:t>
            </w:r>
          </w:p>
          <w:p w14:paraId="2C60D0D5" w14:textId="79A40AF4" w:rsidR="006468F2" w:rsidRPr="007D0713" w:rsidRDefault="006468F2" w:rsidP="006468F2">
            <w:pPr>
              <w:widowControl w:val="0"/>
              <w:jc w:val="both"/>
              <w:textAlignment w:val="baseline"/>
              <w:rPr>
                <w:b/>
                <w:bCs/>
                <w:i/>
                <w:iCs/>
                <w:szCs w:val="24"/>
                <w:lang w:val="en-US" w:eastAsia="lt-LT"/>
              </w:rPr>
            </w:pPr>
          </w:p>
        </w:tc>
      </w:tr>
      <w:tr w:rsidR="006468F2" w:rsidRPr="007D0713" w14:paraId="6685BD92" w14:textId="77777777" w:rsidTr="000E29EB">
        <w:tc>
          <w:tcPr>
            <w:tcW w:w="6105" w:type="dxa"/>
            <w:shd w:val="clear" w:color="auto" w:fill="auto"/>
            <w:vAlign w:val="center"/>
          </w:tcPr>
          <w:p w14:paraId="1DB79EB9" w14:textId="77777777" w:rsidR="006468F2" w:rsidRPr="007D0713" w:rsidRDefault="006468F2" w:rsidP="006468F2">
            <w:pPr>
              <w:widowControl w:val="0"/>
              <w:textAlignment w:val="baseline"/>
              <w:rPr>
                <w:b/>
                <w:bCs/>
                <w:szCs w:val="24"/>
                <w:lang w:eastAsia="lt-LT"/>
              </w:rPr>
            </w:pPr>
            <w:r w:rsidRPr="007D0713">
              <w:rPr>
                <w:b/>
                <w:bCs/>
                <w:szCs w:val="24"/>
                <w:lang w:eastAsia="lt-LT"/>
              </w:rPr>
              <w:t>Projektų atrankos kriterijaus vertinimo metodas ir taikymas</w:t>
            </w:r>
          </w:p>
        </w:tc>
        <w:tc>
          <w:tcPr>
            <w:tcW w:w="8627" w:type="dxa"/>
            <w:shd w:val="clear" w:color="auto" w:fill="auto"/>
          </w:tcPr>
          <w:p w14:paraId="71B92322" w14:textId="7F3C8236" w:rsidR="007407BC" w:rsidRPr="007D0713" w:rsidRDefault="00B35AC5" w:rsidP="00E12465">
            <w:pPr>
              <w:pStyle w:val="ListParagraph"/>
              <w:tabs>
                <w:tab w:val="left" w:pos="486"/>
              </w:tabs>
              <w:ind w:left="0"/>
              <w:jc w:val="both"/>
              <w:rPr>
                <w:rFonts w:asciiTheme="minorHAnsi" w:hAnsiTheme="minorHAnsi" w:cstheme="minorBidi"/>
                <w:i/>
                <w:iCs/>
              </w:rPr>
            </w:pPr>
            <w:r w:rsidRPr="007D0713">
              <w:rPr>
                <w:i/>
                <w:iCs/>
              </w:rPr>
              <w:t xml:space="preserve">Siekiant aktyvesnio MTEP veiklai skirtų lėšų deklaravimo </w:t>
            </w:r>
            <w:r w:rsidR="00672B9B" w:rsidRPr="007D0713">
              <w:rPr>
                <w:i/>
                <w:iCs/>
              </w:rPr>
              <w:t>Valstybės duomenų agentūra</w:t>
            </w:r>
            <w:r w:rsidR="00987AE0">
              <w:rPr>
                <w:i/>
                <w:iCs/>
              </w:rPr>
              <w:t>i</w:t>
            </w:r>
            <w:r w:rsidRPr="007D0713">
              <w:rPr>
                <w:i/>
                <w:iCs/>
              </w:rPr>
              <w:t xml:space="preserve">, aukštesnis įvertinimas suteikiamas tiems projektams, kurių pareiškėjai </w:t>
            </w:r>
            <w:r w:rsidR="00672B9B" w:rsidRPr="007D0713">
              <w:rPr>
                <w:i/>
                <w:iCs/>
              </w:rPr>
              <w:t xml:space="preserve">Valstybės duomenų agentūrai </w:t>
            </w:r>
            <w:r w:rsidRPr="007D0713">
              <w:rPr>
                <w:i/>
                <w:iCs/>
              </w:rPr>
              <w:t xml:space="preserve">yra deklaravę daugiau MTEP veiklai skirtų lėšų (vertinamas pastarųjų 3 metų iki </w:t>
            </w:r>
            <w:r w:rsidR="00F95CBF">
              <w:rPr>
                <w:i/>
                <w:iCs/>
              </w:rPr>
              <w:t>PĮP</w:t>
            </w:r>
            <w:r w:rsidR="00F95CBF" w:rsidRPr="007D0713">
              <w:rPr>
                <w:i/>
                <w:iCs/>
              </w:rPr>
              <w:t xml:space="preserve"> </w:t>
            </w:r>
            <w:r w:rsidRPr="007D0713">
              <w:rPr>
                <w:i/>
                <w:iCs/>
              </w:rPr>
              <w:t xml:space="preserve">pateikimo laikotarpis). Projektai išdėstomi nuo didžiausią kaupiamąjį MTEP veiklai skirtų lėšų (vertinamas pastarųjų 3 metų iki </w:t>
            </w:r>
            <w:r w:rsidR="008A4B6F">
              <w:rPr>
                <w:i/>
                <w:iCs/>
              </w:rPr>
              <w:t>PĮP</w:t>
            </w:r>
            <w:r w:rsidR="008A4B6F" w:rsidRPr="007D0713">
              <w:rPr>
                <w:i/>
                <w:iCs/>
              </w:rPr>
              <w:t xml:space="preserve"> </w:t>
            </w:r>
            <w:r w:rsidRPr="007D0713">
              <w:rPr>
                <w:i/>
                <w:iCs/>
              </w:rPr>
              <w:t>pateikimo laikotarpis</w:t>
            </w:r>
            <w:r w:rsidR="0087069B">
              <w:rPr>
                <w:i/>
                <w:iCs/>
              </w:rPr>
              <w:t>)</w:t>
            </w:r>
            <w:r w:rsidR="00544FDC">
              <w:rPr>
                <w:i/>
                <w:iCs/>
              </w:rPr>
              <w:t xml:space="preserve"> </w:t>
            </w:r>
            <w:r w:rsidRPr="007D0713">
              <w:rPr>
                <w:i/>
                <w:iCs/>
              </w:rPr>
              <w:t xml:space="preserve">dydį turinčių pareiškėjų projektų iki mažiausią kaupiamąjį MTEP veiklai skirtų lėšų (vertinamas pastarųjų 3 metų iki </w:t>
            </w:r>
            <w:r w:rsidR="00743A62">
              <w:rPr>
                <w:i/>
                <w:iCs/>
              </w:rPr>
              <w:t>PĮP</w:t>
            </w:r>
            <w:r w:rsidR="00743A62" w:rsidRPr="007D0713">
              <w:rPr>
                <w:i/>
                <w:iCs/>
              </w:rPr>
              <w:t xml:space="preserve"> </w:t>
            </w:r>
            <w:r w:rsidRPr="007D0713">
              <w:rPr>
                <w:i/>
                <w:iCs/>
              </w:rPr>
              <w:t>pateikimo laikotarpis</w:t>
            </w:r>
            <w:r w:rsidR="009133A0">
              <w:rPr>
                <w:i/>
                <w:iCs/>
              </w:rPr>
              <w:t>)</w:t>
            </w:r>
            <w:r w:rsidR="00544FDC">
              <w:rPr>
                <w:i/>
                <w:iCs/>
              </w:rPr>
              <w:t xml:space="preserve"> </w:t>
            </w:r>
            <w:r w:rsidRPr="007D0713">
              <w:rPr>
                <w:i/>
                <w:iCs/>
              </w:rPr>
              <w:t>dydį turinčių pareiškėjų projektų).</w:t>
            </w:r>
          </w:p>
        </w:tc>
      </w:tr>
      <w:tr w:rsidR="006468F2" w:rsidRPr="007D0713" w14:paraId="7F574B45" w14:textId="77777777" w:rsidTr="000E29EB">
        <w:tc>
          <w:tcPr>
            <w:tcW w:w="6105" w:type="dxa"/>
            <w:shd w:val="clear" w:color="auto" w:fill="auto"/>
            <w:vAlign w:val="center"/>
          </w:tcPr>
          <w:p w14:paraId="33C66B5F" w14:textId="77777777" w:rsidR="006468F2" w:rsidRPr="007D0713" w:rsidRDefault="006468F2" w:rsidP="006468F2">
            <w:pPr>
              <w:widowControl w:val="0"/>
              <w:textAlignment w:val="baseline"/>
              <w:rPr>
                <w:b/>
                <w:bCs/>
                <w:szCs w:val="24"/>
                <w:lang w:eastAsia="lt-LT"/>
              </w:rPr>
            </w:pPr>
            <w:r w:rsidRPr="007D0713">
              <w:rPr>
                <w:b/>
                <w:bCs/>
                <w:szCs w:val="24"/>
                <w:lang w:eastAsia="lt-LT"/>
              </w:rPr>
              <w:t>Projektų atrankos kriterijaus pasirinkimo pagrindimas</w:t>
            </w:r>
          </w:p>
        </w:tc>
        <w:tc>
          <w:tcPr>
            <w:tcW w:w="8627" w:type="dxa"/>
            <w:shd w:val="clear" w:color="auto" w:fill="auto"/>
          </w:tcPr>
          <w:p w14:paraId="4562E6E7" w14:textId="77777777" w:rsidR="00672B9B" w:rsidRPr="007D0713" w:rsidRDefault="00672B9B" w:rsidP="00E12465">
            <w:pPr>
              <w:ind w:firstLine="17"/>
              <w:jc w:val="both"/>
              <w:rPr>
                <w:i/>
                <w:iCs/>
              </w:rPr>
            </w:pPr>
            <w:r w:rsidRPr="007D0713">
              <w:rPr>
                <w:i/>
                <w:iCs/>
              </w:rPr>
              <w:t xml:space="preserve">Nustatytas kriterijus padės atrinkti projektus, kurių pareiškėjai turi daugiau patirties vykdant MTEP veiklas ir yra daugiau investavę į MTEP veiklą, todėl, tikėtina, toliau MTEP veiklas vykdys drąsiau ir didesniu mastu. </w:t>
            </w:r>
          </w:p>
          <w:p w14:paraId="71B67299" w14:textId="29B3DAB5" w:rsidR="006468F2" w:rsidRPr="007D0713" w:rsidRDefault="00672B9B" w:rsidP="00672B9B">
            <w:pPr>
              <w:widowControl w:val="0"/>
              <w:jc w:val="both"/>
              <w:textAlignment w:val="baseline"/>
              <w:rPr>
                <w:bCs/>
                <w:i/>
                <w:szCs w:val="24"/>
                <w:lang w:eastAsia="lt-LT"/>
              </w:rPr>
            </w:pPr>
            <w:r w:rsidRPr="007D0713">
              <w:rPr>
                <w:i/>
                <w:iCs/>
              </w:rPr>
              <w:lastRenderedPageBreak/>
              <w:t xml:space="preserve">Kadangi aukštesnis įvertinimas suteikiamas projektams, kurių pareiškėjai yra deklaravę daugiau MTEP veiklai skirtų lėšų, taip geriau prisidedama prie </w:t>
            </w:r>
            <w:r w:rsidR="00324E5A" w:rsidRPr="007D0713">
              <w:rPr>
                <w:i/>
                <w:iCs/>
              </w:rPr>
              <w:t>Investicijų programos 1 prioriteto „Pažangesnė Lietuva“ 1.1 konkretaus uždavinio „Plėtoti ir stiprinti mokslinių tyrimų ir inovacinius pajėgumus ir diegti pažangiąsias technologijas“ tikslų</w:t>
            </w:r>
            <w:r w:rsidRPr="007D0713">
              <w:rPr>
                <w:i/>
                <w:iCs/>
              </w:rPr>
              <w:t xml:space="preserve"> pasiekimo.</w:t>
            </w:r>
          </w:p>
        </w:tc>
      </w:tr>
      <w:tr w:rsidR="006468F2" w:rsidRPr="007D0713" w14:paraId="6A81325C" w14:textId="77777777" w:rsidTr="000E29EB">
        <w:tc>
          <w:tcPr>
            <w:tcW w:w="6105" w:type="dxa"/>
            <w:shd w:val="clear" w:color="auto" w:fill="auto"/>
          </w:tcPr>
          <w:p w14:paraId="73731CE9" w14:textId="77777777" w:rsidR="006468F2" w:rsidRPr="007D0713" w:rsidRDefault="006468F2" w:rsidP="006468F2">
            <w:pPr>
              <w:widowControl w:val="0"/>
              <w:jc w:val="both"/>
              <w:textAlignment w:val="baseline"/>
              <w:rPr>
                <w:b/>
                <w:bCs/>
                <w:sz w:val="22"/>
                <w:szCs w:val="22"/>
                <w:lang w:eastAsia="lt-LT"/>
              </w:rPr>
            </w:pPr>
            <w:r w:rsidRPr="007D0713">
              <w:rPr>
                <w:szCs w:val="24"/>
              </w:rPr>
              <w:lastRenderedPageBreak/>
              <w:br w:type="page"/>
            </w:r>
            <w:r w:rsidRPr="007D0713">
              <w:rPr>
                <w:b/>
                <w:bCs/>
                <w:szCs w:val="24"/>
                <w:lang w:eastAsia="lt-LT"/>
              </w:rPr>
              <w:t>□</w:t>
            </w:r>
            <w:r w:rsidRPr="007D0713">
              <w:rPr>
                <w:b/>
                <w:bCs/>
                <w:sz w:val="22"/>
                <w:szCs w:val="22"/>
                <w:lang w:eastAsia="lt-LT"/>
              </w:rPr>
              <w:t xml:space="preserve"> SPECIALUSIS PROJEKTŲ ATRANKOS KRITERIJUS</w:t>
            </w:r>
          </w:p>
          <w:p w14:paraId="2229005F" w14:textId="0137CDE9" w:rsidR="006468F2" w:rsidRPr="007D0713" w:rsidRDefault="006468F2" w:rsidP="006468F2">
            <w:pPr>
              <w:widowControl w:val="0"/>
              <w:jc w:val="both"/>
              <w:textAlignment w:val="baseline"/>
              <w:rPr>
                <w:b/>
                <w:bCs/>
                <w:sz w:val="22"/>
                <w:szCs w:val="22"/>
                <w:lang w:eastAsia="lt-LT"/>
              </w:rPr>
            </w:pPr>
            <w:r w:rsidRPr="007D0713">
              <w:rPr>
                <w:bCs/>
                <w:lang w:eastAsia="lt-LT"/>
              </w:rPr>
              <w:fldChar w:fldCharType="begin">
                <w:ffData>
                  <w:name w:val=""/>
                  <w:enabled/>
                  <w:calcOnExit w:val="0"/>
                  <w:checkBox>
                    <w:sizeAuto/>
                    <w:default w:val="1"/>
                  </w:checkBox>
                </w:ffData>
              </w:fldChar>
            </w:r>
            <w:r w:rsidRPr="007D0713">
              <w:rPr>
                <w:bCs/>
                <w:lang w:eastAsia="lt-LT"/>
              </w:rPr>
              <w:instrText xml:space="preserve"> FORMCHECKBOX </w:instrText>
            </w:r>
            <w:r w:rsidR="00E12465">
              <w:rPr>
                <w:bCs/>
                <w:lang w:eastAsia="lt-LT"/>
              </w:rPr>
            </w:r>
            <w:r w:rsidR="00E12465">
              <w:rPr>
                <w:bCs/>
                <w:lang w:eastAsia="lt-LT"/>
              </w:rPr>
              <w:fldChar w:fldCharType="separate"/>
            </w:r>
            <w:r w:rsidRPr="007D0713">
              <w:rPr>
                <w:bCs/>
                <w:lang w:eastAsia="lt-LT"/>
              </w:rPr>
              <w:fldChar w:fldCharType="end"/>
            </w:r>
            <w:r w:rsidRPr="007D0713">
              <w:rPr>
                <w:b/>
                <w:bCs/>
                <w:szCs w:val="24"/>
                <w:lang w:eastAsia="lt-LT"/>
              </w:rPr>
              <w:t xml:space="preserve"> </w:t>
            </w:r>
            <w:r w:rsidRPr="007D0713">
              <w:rPr>
                <w:b/>
                <w:bCs/>
                <w:sz w:val="22"/>
                <w:szCs w:val="22"/>
                <w:lang w:eastAsia="lt-LT"/>
              </w:rPr>
              <w:t>PRIORITETINIS PROJEKTŲ ATRANKOS KRITERIJUS</w:t>
            </w:r>
          </w:p>
          <w:p w14:paraId="19FFFB61" w14:textId="77777777" w:rsidR="006468F2" w:rsidRPr="007D0713" w:rsidRDefault="006468F2" w:rsidP="006468F2">
            <w:pPr>
              <w:widowControl w:val="0"/>
              <w:jc w:val="both"/>
              <w:textAlignment w:val="baseline"/>
              <w:rPr>
                <w:b/>
                <w:bCs/>
                <w:szCs w:val="24"/>
                <w:lang w:eastAsia="lt-LT"/>
              </w:rPr>
            </w:pPr>
            <w:r w:rsidRPr="007D0713">
              <w:rPr>
                <w:i/>
                <w:szCs w:val="24"/>
              </w:rPr>
              <w:t>(Pažymimas vienas iš galimų projektų atrankos kriterijų tipų.)</w:t>
            </w:r>
          </w:p>
        </w:tc>
        <w:tc>
          <w:tcPr>
            <w:tcW w:w="8627" w:type="dxa"/>
            <w:shd w:val="clear" w:color="auto" w:fill="auto"/>
          </w:tcPr>
          <w:p w14:paraId="0C5B7AEE" w14:textId="77777777" w:rsidR="006468F2" w:rsidRPr="007D0713" w:rsidRDefault="006468F2" w:rsidP="006468F2">
            <w:pPr>
              <w:widowControl w:val="0"/>
              <w:jc w:val="both"/>
              <w:textAlignment w:val="baseline"/>
              <w:rPr>
                <w:b/>
                <w:bCs/>
                <w:szCs w:val="24"/>
                <w:lang w:eastAsia="lt-LT"/>
              </w:rPr>
            </w:pPr>
            <w:r w:rsidRPr="007D0713">
              <w:rPr>
                <w:bCs/>
                <w:lang w:eastAsia="lt-LT"/>
              </w:rPr>
              <w:fldChar w:fldCharType="begin">
                <w:ffData>
                  <w:name w:val=""/>
                  <w:enabled/>
                  <w:calcOnExit w:val="0"/>
                  <w:checkBox>
                    <w:sizeAuto/>
                    <w:default w:val="1"/>
                  </w:checkBox>
                </w:ffData>
              </w:fldChar>
            </w:r>
            <w:r w:rsidRPr="007D0713">
              <w:rPr>
                <w:bCs/>
                <w:lang w:eastAsia="lt-LT"/>
              </w:rPr>
              <w:instrText xml:space="preserve"> FORMCHECKBOX </w:instrText>
            </w:r>
            <w:r w:rsidR="00E12465">
              <w:rPr>
                <w:bCs/>
                <w:lang w:eastAsia="lt-LT"/>
              </w:rPr>
            </w:r>
            <w:r w:rsidR="00E12465">
              <w:rPr>
                <w:bCs/>
                <w:lang w:eastAsia="lt-LT"/>
              </w:rPr>
              <w:fldChar w:fldCharType="separate"/>
            </w:r>
            <w:r w:rsidRPr="007D0713">
              <w:rPr>
                <w:bCs/>
                <w:lang w:eastAsia="lt-LT"/>
              </w:rPr>
              <w:fldChar w:fldCharType="end"/>
            </w:r>
            <w:r w:rsidRPr="007D0713">
              <w:rPr>
                <w:b/>
                <w:bCs/>
                <w:szCs w:val="24"/>
                <w:lang w:eastAsia="lt-LT"/>
              </w:rPr>
              <w:t xml:space="preserve">  Nustatymas</w:t>
            </w:r>
          </w:p>
          <w:p w14:paraId="2C87A2E7" w14:textId="77777777" w:rsidR="006468F2" w:rsidRPr="007D0713" w:rsidRDefault="006468F2" w:rsidP="006468F2">
            <w:pPr>
              <w:widowControl w:val="0"/>
              <w:jc w:val="both"/>
              <w:textAlignment w:val="baseline"/>
              <w:rPr>
                <w:szCs w:val="24"/>
              </w:rPr>
            </w:pPr>
            <w:r w:rsidRPr="007D0713">
              <w:rPr>
                <w:b/>
                <w:bCs/>
                <w:szCs w:val="24"/>
                <w:lang w:eastAsia="lt-LT"/>
              </w:rPr>
              <w:t>□ Keitimas</w:t>
            </w:r>
          </w:p>
        </w:tc>
      </w:tr>
      <w:tr w:rsidR="00324E5A" w:rsidRPr="007D0713" w14:paraId="07921F95" w14:textId="77777777" w:rsidTr="000E29EB">
        <w:tc>
          <w:tcPr>
            <w:tcW w:w="6105" w:type="dxa"/>
            <w:shd w:val="clear" w:color="auto" w:fill="auto"/>
            <w:vAlign w:val="center"/>
          </w:tcPr>
          <w:p w14:paraId="7975E755" w14:textId="77777777" w:rsidR="00324E5A" w:rsidRPr="007D0713" w:rsidRDefault="00324E5A" w:rsidP="00324E5A">
            <w:pPr>
              <w:widowControl w:val="0"/>
              <w:textAlignment w:val="baseline"/>
              <w:rPr>
                <w:b/>
                <w:bCs/>
                <w:szCs w:val="24"/>
                <w:lang w:eastAsia="lt-LT"/>
              </w:rPr>
            </w:pPr>
            <w:r w:rsidRPr="007D0713">
              <w:rPr>
                <w:b/>
                <w:bCs/>
                <w:szCs w:val="24"/>
                <w:lang w:eastAsia="lt-LT"/>
              </w:rPr>
              <w:t>Projektų atrankos kriterijaus numeris ir pavadinimas</w:t>
            </w:r>
          </w:p>
        </w:tc>
        <w:tc>
          <w:tcPr>
            <w:tcW w:w="8627" w:type="dxa"/>
            <w:shd w:val="clear" w:color="auto" w:fill="auto"/>
          </w:tcPr>
          <w:p w14:paraId="3B38A802" w14:textId="537C54DB" w:rsidR="00324E5A" w:rsidRPr="007D0713" w:rsidRDefault="00324E5A" w:rsidP="00324E5A">
            <w:pPr>
              <w:widowControl w:val="0"/>
              <w:jc w:val="both"/>
              <w:textAlignment w:val="baseline"/>
              <w:rPr>
                <w:b/>
                <w:bCs/>
                <w:i/>
                <w:iCs/>
                <w:lang w:eastAsia="lt-LT"/>
              </w:rPr>
            </w:pPr>
            <w:r w:rsidRPr="007D0713">
              <w:rPr>
                <w:b/>
                <w:bCs/>
                <w:i/>
                <w:iCs/>
              </w:rPr>
              <w:t>6. Projekto įgyvendinimo metu kuriamomis technologijomis</w:t>
            </w:r>
            <w:r w:rsidR="00D409C5" w:rsidRPr="007D0713">
              <w:rPr>
                <w:b/>
                <w:bCs/>
                <w:i/>
                <w:iCs/>
              </w:rPr>
              <w:t xml:space="preserve"> bus</w:t>
            </w:r>
            <w:r w:rsidRPr="007D0713">
              <w:rPr>
                <w:b/>
                <w:bCs/>
                <w:i/>
                <w:iCs/>
              </w:rPr>
              <w:t xml:space="preserve"> </w:t>
            </w:r>
            <w:r w:rsidR="00D409C5" w:rsidRPr="007D0713">
              <w:rPr>
                <w:b/>
                <w:bCs/>
                <w:i/>
                <w:iCs/>
              </w:rPr>
              <w:t xml:space="preserve">panaudojamos </w:t>
            </w:r>
            <w:r w:rsidR="006D5974" w:rsidRPr="007D0713">
              <w:rPr>
                <w:b/>
                <w:bCs/>
                <w:i/>
                <w:iCs/>
              </w:rPr>
              <w:t xml:space="preserve">pramonės įmonėse </w:t>
            </w:r>
            <w:r w:rsidR="00D409C5" w:rsidRPr="007D0713">
              <w:rPr>
                <w:b/>
                <w:bCs/>
                <w:i/>
                <w:iCs/>
              </w:rPr>
              <w:t xml:space="preserve">generuojamos </w:t>
            </w:r>
            <w:r w:rsidR="006D5974" w:rsidRPr="007D0713">
              <w:rPr>
                <w:b/>
                <w:bCs/>
                <w:i/>
                <w:iCs/>
              </w:rPr>
              <w:t xml:space="preserve">ir </w:t>
            </w:r>
            <w:r w:rsidR="00D409C5" w:rsidRPr="007D0713">
              <w:rPr>
                <w:b/>
                <w:bCs/>
                <w:i/>
                <w:iCs/>
              </w:rPr>
              <w:t>šalinamos gamybinės atliekos</w:t>
            </w:r>
            <w:r w:rsidRPr="007D0713">
              <w:rPr>
                <w:b/>
                <w:bCs/>
                <w:i/>
                <w:iCs/>
              </w:rPr>
              <w:t>.</w:t>
            </w:r>
          </w:p>
        </w:tc>
      </w:tr>
      <w:tr w:rsidR="00324E5A" w:rsidRPr="007D0713" w14:paraId="218D47F5" w14:textId="77777777" w:rsidTr="000E29EB">
        <w:tc>
          <w:tcPr>
            <w:tcW w:w="6105" w:type="dxa"/>
            <w:shd w:val="clear" w:color="auto" w:fill="auto"/>
            <w:vAlign w:val="center"/>
          </w:tcPr>
          <w:p w14:paraId="0BD25C37" w14:textId="77777777" w:rsidR="00324E5A" w:rsidRPr="007D0713" w:rsidRDefault="00324E5A" w:rsidP="00324E5A">
            <w:pPr>
              <w:widowControl w:val="0"/>
              <w:textAlignment w:val="baseline"/>
              <w:rPr>
                <w:b/>
                <w:bCs/>
                <w:szCs w:val="24"/>
                <w:lang w:eastAsia="lt-LT"/>
              </w:rPr>
            </w:pPr>
            <w:r w:rsidRPr="007D0713">
              <w:rPr>
                <w:b/>
                <w:bCs/>
                <w:szCs w:val="24"/>
                <w:lang w:eastAsia="lt-LT"/>
              </w:rPr>
              <w:t>Projektų atrankos kriterijaus vertinimo metodas ir taikymas</w:t>
            </w:r>
          </w:p>
        </w:tc>
        <w:tc>
          <w:tcPr>
            <w:tcW w:w="8627" w:type="dxa"/>
            <w:shd w:val="clear" w:color="auto" w:fill="auto"/>
          </w:tcPr>
          <w:p w14:paraId="18B312B7" w14:textId="757094B8" w:rsidR="00324E5A" w:rsidRPr="007D0713" w:rsidRDefault="00324E5A" w:rsidP="00324E5A">
            <w:pPr>
              <w:widowControl w:val="0"/>
              <w:jc w:val="both"/>
              <w:textAlignment w:val="baseline"/>
              <w:rPr>
                <w:bCs/>
                <w:i/>
                <w:szCs w:val="24"/>
                <w:lang w:val="en-US" w:eastAsia="lt-LT"/>
              </w:rPr>
            </w:pPr>
            <w:r w:rsidRPr="007D0713">
              <w:rPr>
                <w:bCs/>
                <w:i/>
                <w:szCs w:val="24"/>
                <w:lang w:eastAsia="lt-LT"/>
              </w:rPr>
              <w:t xml:space="preserve">Vertinama, ar projekto metu </w:t>
            </w:r>
            <w:r w:rsidRPr="007D0713">
              <w:rPr>
                <w:bCs/>
                <w:i/>
                <w:iCs/>
                <w:szCs w:val="24"/>
                <w:lang w:eastAsia="lt-LT"/>
              </w:rPr>
              <w:t xml:space="preserve">kuriamomis technologijomis planuojama panaudoti </w:t>
            </w:r>
            <w:r w:rsidR="006D5974" w:rsidRPr="007D0713">
              <w:rPr>
                <w:bCs/>
                <w:i/>
                <w:iCs/>
                <w:szCs w:val="24"/>
                <w:lang w:eastAsia="lt-LT"/>
              </w:rPr>
              <w:t>pramonės įmonėse generuojamas ir šalinamas gamybines</w:t>
            </w:r>
            <w:r w:rsidR="006D5974" w:rsidRPr="007D0713">
              <w:rPr>
                <w:b/>
                <w:bCs/>
                <w:i/>
                <w:iCs/>
              </w:rPr>
              <w:t xml:space="preserve"> </w:t>
            </w:r>
            <w:r w:rsidR="006D5974" w:rsidRPr="007D0713">
              <w:rPr>
                <w:bCs/>
                <w:i/>
                <w:iCs/>
                <w:szCs w:val="24"/>
                <w:lang w:eastAsia="lt-LT"/>
              </w:rPr>
              <w:t>atliekas</w:t>
            </w:r>
            <w:r w:rsidRPr="007D0713">
              <w:rPr>
                <w:bCs/>
                <w:i/>
                <w:iCs/>
                <w:szCs w:val="24"/>
                <w:lang w:eastAsia="lt-LT"/>
              </w:rPr>
              <w:t>.</w:t>
            </w:r>
          </w:p>
          <w:p w14:paraId="28E1C3BC" w14:textId="77777777" w:rsidR="00324E5A" w:rsidRPr="007D0713" w:rsidRDefault="00324E5A" w:rsidP="00324E5A">
            <w:pPr>
              <w:jc w:val="both"/>
              <w:rPr>
                <w:i/>
                <w:iCs/>
              </w:rPr>
            </w:pPr>
          </w:p>
          <w:p w14:paraId="781EC12F" w14:textId="0D5A5BFA" w:rsidR="00324E5A" w:rsidRPr="007D0713" w:rsidRDefault="00921B84" w:rsidP="00324E5A">
            <w:pPr>
              <w:widowControl w:val="0"/>
              <w:jc w:val="both"/>
              <w:textAlignment w:val="baseline"/>
              <w:rPr>
                <w:bCs/>
                <w:i/>
                <w:iCs/>
                <w:szCs w:val="24"/>
                <w:lang w:eastAsia="lt-LT"/>
              </w:rPr>
            </w:pPr>
            <w:r w:rsidRPr="007D0713">
              <w:rPr>
                <w:bCs/>
                <w:i/>
                <w:iCs/>
                <w:szCs w:val="24"/>
                <w:lang w:eastAsia="lt-LT"/>
              </w:rPr>
              <w:t>Balai</w:t>
            </w:r>
            <w:r w:rsidR="00324E5A" w:rsidRPr="007D0713">
              <w:rPr>
                <w:bCs/>
                <w:i/>
                <w:iCs/>
                <w:szCs w:val="24"/>
                <w:lang w:eastAsia="lt-LT"/>
              </w:rPr>
              <w:t xml:space="preserve"> </w:t>
            </w:r>
            <w:r w:rsidRPr="007D0713">
              <w:rPr>
                <w:bCs/>
                <w:i/>
                <w:iCs/>
                <w:szCs w:val="24"/>
                <w:lang w:eastAsia="lt-LT"/>
              </w:rPr>
              <w:t xml:space="preserve">skiriami </w:t>
            </w:r>
            <w:r w:rsidR="00324E5A" w:rsidRPr="007D0713">
              <w:rPr>
                <w:bCs/>
                <w:i/>
                <w:iCs/>
                <w:szCs w:val="24"/>
                <w:lang w:eastAsia="lt-LT"/>
              </w:rPr>
              <w:t>projektams, kurių metu kuriamomis technologijomis</w:t>
            </w:r>
            <w:r w:rsidR="00302CE4" w:rsidRPr="007D0713">
              <w:rPr>
                <w:bCs/>
                <w:i/>
                <w:iCs/>
                <w:szCs w:val="24"/>
                <w:lang w:eastAsia="lt-LT"/>
              </w:rPr>
              <w:t xml:space="preserve"> bus</w:t>
            </w:r>
            <w:r w:rsidR="00324E5A" w:rsidRPr="007D0713">
              <w:rPr>
                <w:bCs/>
                <w:i/>
                <w:iCs/>
                <w:szCs w:val="24"/>
                <w:lang w:eastAsia="lt-LT"/>
              </w:rPr>
              <w:t xml:space="preserve"> </w:t>
            </w:r>
            <w:r w:rsidR="00302CE4" w:rsidRPr="007D0713">
              <w:rPr>
                <w:bCs/>
                <w:i/>
                <w:iCs/>
                <w:szCs w:val="24"/>
                <w:lang w:eastAsia="lt-LT"/>
              </w:rPr>
              <w:t xml:space="preserve">panaudojamos </w:t>
            </w:r>
            <w:r w:rsidR="0016102D" w:rsidRPr="007D0713">
              <w:rPr>
                <w:bCs/>
                <w:i/>
                <w:iCs/>
              </w:rPr>
              <w:t xml:space="preserve">pramonės įmonėse </w:t>
            </w:r>
            <w:r w:rsidR="00302CE4" w:rsidRPr="007D0713">
              <w:rPr>
                <w:bCs/>
                <w:i/>
                <w:iCs/>
              </w:rPr>
              <w:t xml:space="preserve">generuojamos </w:t>
            </w:r>
            <w:r w:rsidR="0016102D" w:rsidRPr="007D0713">
              <w:rPr>
                <w:bCs/>
                <w:i/>
                <w:iCs/>
              </w:rPr>
              <w:t xml:space="preserve">ir </w:t>
            </w:r>
            <w:r w:rsidR="00302CE4" w:rsidRPr="007D0713">
              <w:rPr>
                <w:bCs/>
                <w:i/>
                <w:iCs/>
              </w:rPr>
              <w:t>šalinamos gamybinės atliekos</w:t>
            </w:r>
            <w:r w:rsidRPr="007D0713">
              <w:rPr>
                <w:bCs/>
                <w:i/>
                <w:iCs/>
              </w:rPr>
              <w:t>, kurių susidarymo kiekiai yra didžiausi</w:t>
            </w:r>
            <w:r w:rsidR="00324E5A" w:rsidRPr="007D0713">
              <w:rPr>
                <w:bCs/>
                <w:i/>
                <w:iCs/>
                <w:szCs w:val="24"/>
                <w:lang w:eastAsia="lt-LT"/>
              </w:rPr>
              <w:t>.</w:t>
            </w:r>
            <w:r w:rsidR="0016102D" w:rsidRPr="007D0713">
              <w:rPr>
                <w:bCs/>
                <w:i/>
                <w:iCs/>
                <w:szCs w:val="24"/>
                <w:lang w:eastAsia="lt-LT"/>
              </w:rPr>
              <w:t xml:space="preserve"> </w:t>
            </w:r>
            <w:r w:rsidR="009E36F0">
              <w:rPr>
                <w:bCs/>
                <w:i/>
                <w:iCs/>
                <w:szCs w:val="24"/>
                <w:lang w:eastAsia="lt-LT"/>
              </w:rPr>
              <w:t>Kuriamomis technologijomis planuojamas panaudoti g</w:t>
            </w:r>
            <w:r w:rsidR="00B96FD3" w:rsidRPr="007D0713">
              <w:rPr>
                <w:bCs/>
                <w:i/>
                <w:iCs/>
                <w:szCs w:val="24"/>
                <w:lang w:eastAsia="lt-LT"/>
              </w:rPr>
              <w:t xml:space="preserve">eneruojamų </w:t>
            </w:r>
            <w:r w:rsidR="0016102D" w:rsidRPr="007D0713">
              <w:rPr>
                <w:bCs/>
                <w:i/>
                <w:iCs/>
                <w:szCs w:val="24"/>
                <w:lang w:eastAsia="lt-LT"/>
              </w:rPr>
              <w:t>ir šalinamų gamybinių atliekų kiekis vertinamas pagal</w:t>
            </w:r>
            <w:r w:rsidR="007D0713" w:rsidRPr="007D0713">
              <w:rPr>
                <w:bCs/>
                <w:i/>
                <w:iCs/>
                <w:szCs w:val="24"/>
                <w:lang w:eastAsia="lt-LT"/>
              </w:rPr>
              <w:t xml:space="preserve"> </w:t>
            </w:r>
            <w:r w:rsidR="007D0713" w:rsidRPr="007D0713">
              <w:rPr>
                <w:bCs/>
                <w:i/>
                <w:iCs/>
                <w:szCs w:val="24"/>
                <w:lang w:val="en-US" w:eastAsia="lt-LT"/>
              </w:rPr>
              <w:t>2021 met</w:t>
            </w:r>
            <w:r w:rsidR="007D0713" w:rsidRPr="007D0713">
              <w:rPr>
                <w:bCs/>
                <w:i/>
                <w:iCs/>
                <w:szCs w:val="24"/>
                <w:lang w:eastAsia="lt-LT"/>
              </w:rPr>
              <w:t>ų</w:t>
            </w:r>
            <w:r w:rsidR="0016102D" w:rsidRPr="007D0713">
              <w:rPr>
                <w:bCs/>
                <w:i/>
                <w:iCs/>
                <w:szCs w:val="24"/>
                <w:lang w:eastAsia="lt-LT"/>
              </w:rPr>
              <w:t xml:space="preserve"> Aplinkos apsaugos agentūros teikiamus duomenis</w:t>
            </w:r>
            <w:r w:rsidR="009B6F9D" w:rsidRPr="007D0713">
              <w:rPr>
                <w:bCs/>
                <w:i/>
                <w:iCs/>
                <w:szCs w:val="24"/>
                <w:lang w:eastAsia="lt-LT"/>
              </w:rPr>
              <w:t xml:space="preserve"> (</w:t>
            </w:r>
            <w:hyperlink r:id="rId18" w:history="1">
              <w:r w:rsidR="009B6F9D" w:rsidRPr="007D0713">
                <w:rPr>
                  <w:rStyle w:val="Hyperlink"/>
                  <w:bCs/>
                  <w:i/>
                  <w:iCs/>
                  <w:szCs w:val="24"/>
                  <w:lang w:eastAsia="lt-LT"/>
                </w:rPr>
                <w:t>https://aaa.lrv.lt/lt/veiklos-sritys/atliekos/atlieku-apskaita/atlieku-apskaitos-duomenys/suvestine-pagal-atlieku-kodus</w:t>
              </w:r>
            </w:hyperlink>
            <w:r w:rsidR="009B6F9D" w:rsidRPr="007D0713">
              <w:rPr>
                <w:bCs/>
                <w:i/>
                <w:iCs/>
                <w:szCs w:val="24"/>
                <w:lang w:eastAsia="lt-LT"/>
              </w:rPr>
              <w:t>)</w:t>
            </w:r>
            <w:r w:rsidR="0016102D" w:rsidRPr="007D0713">
              <w:rPr>
                <w:bCs/>
                <w:i/>
                <w:iCs/>
                <w:szCs w:val="24"/>
                <w:lang w:eastAsia="lt-LT"/>
              </w:rPr>
              <w:t>.</w:t>
            </w:r>
          </w:p>
          <w:p w14:paraId="4EE629A0" w14:textId="77777777" w:rsidR="00324E5A" w:rsidRPr="007D0713" w:rsidRDefault="00324E5A" w:rsidP="00324E5A">
            <w:pPr>
              <w:widowControl w:val="0"/>
              <w:jc w:val="both"/>
              <w:textAlignment w:val="baseline"/>
              <w:rPr>
                <w:bCs/>
                <w:i/>
                <w:iCs/>
                <w:szCs w:val="24"/>
                <w:lang w:eastAsia="lt-LT"/>
              </w:rPr>
            </w:pPr>
          </w:p>
          <w:p w14:paraId="24606848" w14:textId="6ED7BB36" w:rsidR="00324E5A" w:rsidRPr="007D0713" w:rsidRDefault="00324E5A" w:rsidP="00324E5A">
            <w:pPr>
              <w:widowControl w:val="0"/>
              <w:jc w:val="both"/>
              <w:textAlignment w:val="baseline"/>
              <w:rPr>
                <w:bCs/>
                <w:i/>
                <w:iCs/>
                <w:strike/>
                <w:szCs w:val="24"/>
                <w:lang w:eastAsia="lt-LT"/>
              </w:rPr>
            </w:pPr>
            <w:r w:rsidRPr="007D0713">
              <w:rPr>
                <w:bCs/>
                <w:i/>
                <w:iCs/>
                <w:szCs w:val="24"/>
                <w:lang w:eastAsia="lt-LT"/>
              </w:rPr>
              <w:t xml:space="preserve">Projektų atrankos kriterijus tiesiogiai </w:t>
            </w:r>
            <w:r w:rsidRPr="007D0713">
              <w:rPr>
                <w:bCs/>
                <w:i/>
                <w:iCs/>
                <w:szCs w:val="24"/>
                <w:lang w:eastAsia="lt-LT" w:bidi="lt-LT"/>
              </w:rPr>
              <w:t>prisideda prie darnaus vystymosi horizontaliojo principo, kadangi projekte numatytos įgyvendinti veiklos sieks tiesiogiai ir netiesiogiai išmetamų šiltnamio efektą sukeliančių dujų kiekio sumažėjimo.</w:t>
            </w:r>
          </w:p>
        </w:tc>
      </w:tr>
      <w:tr w:rsidR="00324E5A" w:rsidRPr="007D0713" w14:paraId="3F19DE0D" w14:textId="77777777" w:rsidTr="000E29EB">
        <w:tc>
          <w:tcPr>
            <w:tcW w:w="6105" w:type="dxa"/>
            <w:shd w:val="clear" w:color="auto" w:fill="auto"/>
            <w:vAlign w:val="center"/>
          </w:tcPr>
          <w:p w14:paraId="440E4584" w14:textId="77777777" w:rsidR="00324E5A" w:rsidRPr="007D0713" w:rsidRDefault="00324E5A" w:rsidP="00324E5A">
            <w:pPr>
              <w:widowControl w:val="0"/>
              <w:textAlignment w:val="baseline"/>
              <w:rPr>
                <w:b/>
                <w:bCs/>
                <w:szCs w:val="24"/>
                <w:lang w:eastAsia="lt-LT"/>
              </w:rPr>
            </w:pPr>
            <w:r w:rsidRPr="007D0713">
              <w:rPr>
                <w:b/>
                <w:bCs/>
                <w:szCs w:val="24"/>
                <w:lang w:eastAsia="lt-LT"/>
              </w:rPr>
              <w:t>Projektų atrankos kriterijaus pasirinkimo pagrindimas</w:t>
            </w:r>
          </w:p>
        </w:tc>
        <w:tc>
          <w:tcPr>
            <w:tcW w:w="8627" w:type="dxa"/>
            <w:shd w:val="clear" w:color="auto" w:fill="auto"/>
          </w:tcPr>
          <w:p w14:paraId="736B3681" w14:textId="264EC16D" w:rsidR="00324E5A" w:rsidRPr="007D0713" w:rsidRDefault="00324E5A" w:rsidP="00324E5A">
            <w:pPr>
              <w:jc w:val="both"/>
              <w:rPr>
                <w:i/>
                <w:iCs/>
              </w:rPr>
            </w:pPr>
            <w:r w:rsidRPr="007D0713">
              <w:rPr>
                <w:i/>
                <w:iCs/>
              </w:rPr>
              <w:t xml:space="preserve">Nustatytas kriterijus padės atrinkti tuos projektus, kuriuose kuriant inovatyvias aplinkai draugiškas technologijas būtų siekiama panaudoti </w:t>
            </w:r>
            <w:r w:rsidR="002B7E4B" w:rsidRPr="007D0713">
              <w:rPr>
                <w:i/>
                <w:iCs/>
              </w:rPr>
              <w:t xml:space="preserve">didžiausią kiekį pramonės įmonėse generuojamų ir šalinamų gamybinių atliekų, </w:t>
            </w:r>
            <w:r w:rsidRPr="007D0713">
              <w:rPr>
                <w:i/>
                <w:iCs/>
              </w:rPr>
              <w:t xml:space="preserve">tokiu būdu skatinant pakartotinį atliekų panaudojimą ir perdirbimą. </w:t>
            </w:r>
          </w:p>
          <w:p w14:paraId="728DA5AD" w14:textId="51C56CF1" w:rsidR="00324E5A" w:rsidRPr="007D0713" w:rsidRDefault="00324E5A" w:rsidP="00324E5A">
            <w:pPr>
              <w:widowControl w:val="0"/>
              <w:jc w:val="both"/>
              <w:textAlignment w:val="baseline"/>
              <w:rPr>
                <w:bCs/>
                <w:i/>
                <w:iCs/>
                <w:szCs w:val="24"/>
                <w:lang w:eastAsia="lt-LT"/>
              </w:rPr>
            </w:pPr>
            <w:r w:rsidRPr="007D0713">
              <w:rPr>
                <w:i/>
                <w:iCs/>
              </w:rPr>
              <w:t xml:space="preserve">Tai turėtų netiesioginę įtaką išmetamo šiltnamio efektą sukeliančių dujų kiekio mažėjimui, tokiu būdu skatinant perėjimą klimatui neutralios ekonomikos link ir Nacionalinėje klimato kaitos valdymo darbotvarkėje, patvirtintoje Lietuvos Respublikos Seimo 2021 m. birželio 30 d. nutarimu Nr. XIV-490 „Dėl Nacionalinės klimato kaitos valdymo darbotvarkės patvirtinimo“, </w:t>
            </w:r>
            <w:r w:rsidRPr="007D0713">
              <w:rPr>
                <w:i/>
                <w:iCs/>
                <w:szCs w:val="24"/>
              </w:rPr>
              <w:t xml:space="preserve">tikslo siekimo, kad iki 2050 m. pramonės įmonės taps klimatui neutralios ir jų generuojami ŠESD rodikliai, lyginant su 2005 m., bus </w:t>
            </w:r>
            <w:r w:rsidRPr="007D0713">
              <w:rPr>
                <w:i/>
                <w:iCs/>
                <w:szCs w:val="24"/>
              </w:rPr>
              <w:lastRenderedPageBreak/>
              <w:t>sumažinti 100%.</w:t>
            </w:r>
          </w:p>
        </w:tc>
      </w:tr>
    </w:tbl>
    <w:p w14:paraId="2AF070DE" w14:textId="6BCE143D" w:rsidR="00482FB2" w:rsidRPr="007D0713" w:rsidRDefault="00482FB2">
      <w:pPr>
        <w:widowControl w:val="0"/>
        <w:spacing w:line="240" w:lineRule="exact"/>
        <w:jc w:val="both"/>
        <w:textAlignment w:val="baseline"/>
        <w:rPr>
          <w:szCs w:val="24"/>
        </w:rPr>
      </w:pPr>
    </w:p>
    <w:p w14:paraId="5BEB5C13" w14:textId="77777777" w:rsidR="009B6B63" w:rsidRPr="007D0713" w:rsidRDefault="009B6B63">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287"/>
        <w:gridCol w:w="1489"/>
        <w:gridCol w:w="3397"/>
        <w:gridCol w:w="1607"/>
        <w:gridCol w:w="2962"/>
      </w:tblGrid>
      <w:tr w:rsidR="001C6E03" w14:paraId="148A9663" w14:textId="77777777" w:rsidTr="00137FDA">
        <w:tc>
          <w:tcPr>
            <w:tcW w:w="5357" w:type="dxa"/>
          </w:tcPr>
          <w:p w14:paraId="76C2560D" w14:textId="5F064D96" w:rsidR="00482FB2" w:rsidRPr="007D0713" w:rsidRDefault="001C6E03" w:rsidP="007416E6">
            <w:pPr>
              <w:widowControl w:val="0"/>
              <w:spacing w:line="240" w:lineRule="exact"/>
              <w:textAlignment w:val="baseline"/>
              <w:rPr>
                <w:szCs w:val="24"/>
              </w:rPr>
            </w:pPr>
            <w:r w:rsidRPr="007D0713">
              <w:rPr>
                <w:szCs w:val="24"/>
              </w:rPr>
              <w:t>Ekonomikos ir inovacijų viceministras</w:t>
            </w:r>
          </w:p>
        </w:tc>
        <w:tc>
          <w:tcPr>
            <w:tcW w:w="1513" w:type="dxa"/>
            <w:tcBorders>
              <w:bottom w:val="nil"/>
            </w:tcBorders>
          </w:tcPr>
          <w:p w14:paraId="186C3739" w14:textId="77777777" w:rsidR="00482FB2" w:rsidRPr="007D0713" w:rsidRDefault="00482FB2">
            <w:pPr>
              <w:widowControl w:val="0"/>
              <w:spacing w:line="240" w:lineRule="exact"/>
              <w:jc w:val="both"/>
              <w:textAlignment w:val="baseline"/>
              <w:rPr>
                <w:szCs w:val="24"/>
              </w:rPr>
            </w:pPr>
          </w:p>
        </w:tc>
        <w:tc>
          <w:tcPr>
            <w:tcW w:w="3456" w:type="dxa"/>
          </w:tcPr>
          <w:p w14:paraId="0A8F3AFC" w14:textId="77777777" w:rsidR="00482FB2" w:rsidRPr="007D0713" w:rsidRDefault="00482FB2">
            <w:pPr>
              <w:widowControl w:val="0"/>
              <w:spacing w:line="240" w:lineRule="exact"/>
              <w:jc w:val="both"/>
              <w:textAlignment w:val="baseline"/>
              <w:rPr>
                <w:szCs w:val="24"/>
              </w:rPr>
            </w:pPr>
          </w:p>
        </w:tc>
        <w:tc>
          <w:tcPr>
            <w:tcW w:w="1633" w:type="dxa"/>
            <w:tcBorders>
              <w:bottom w:val="nil"/>
            </w:tcBorders>
          </w:tcPr>
          <w:p w14:paraId="33D68EA5" w14:textId="77777777" w:rsidR="00482FB2" w:rsidRPr="007D0713" w:rsidRDefault="00482FB2">
            <w:pPr>
              <w:widowControl w:val="0"/>
              <w:spacing w:line="240" w:lineRule="exact"/>
              <w:jc w:val="both"/>
              <w:textAlignment w:val="baseline"/>
              <w:rPr>
                <w:szCs w:val="24"/>
              </w:rPr>
            </w:pPr>
          </w:p>
        </w:tc>
        <w:tc>
          <w:tcPr>
            <w:tcW w:w="2999" w:type="dxa"/>
          </w:tcPr>
          <w:p w14:paraId="492B1327" w14:textId="0FCEDE9A" w:rsidR="009B6B63" w:rsidRDefault="00D94B36">
            <w:pPr>
              <w:widowControl w:val="0"/>
              <w:spacing w:line="240" w:lineRule="exact"/>
              <w:jc w:val="both"/>
              <w:textAlignment w:val="baseline"/>
              <w:rPr>
                <w:szCs w:val="24"/>
              </w:rPr>
            </w:pPr>
            <w:r w:rsidRPr="007D0713">
              <w:rPr>
                <w:szCs w:val="24"/>
              </w:rPr>
              <w:t xml:space="preserve">          </w:t>
            </w:r>
            <w:r w:rsidR="001C6E03" w:rsidRPr="007D0713">
              <w:rPr>
                <w:szCs w:val="24"/>
              </w:rPr>
              <w:t>Vincas Jurgutis</w:t>
            </w:r>
          </w:p>
        </w:tc>
      </w:tr>
    </w:tbl>
    <w:p w14:paraId="694D1F0E" w14:textId="7E9AA760" w:rsidR="00482FB2" w:rsidRDefault="00482FB2" w:rsidP="007416E6">
      <w:pPr>
        <w:widowControl w:val="0"/>
        <w:spacing w:line="240" w:lineRule="exact"/>
        <w:textAlignment w:val="baseline"/>
        <w:rPr>
          <w:sz w:val="22"/>
          <w:szCs w:val="24"/>
        </w:rPr>
      </w:pPr>
    </w:p>
    <w:p w14:paraId="09E4C83C" w14:textId="77777777" w:rsidR="000D5B67" w:rsidRDefault="000D5B67" w:rsidP="003A7C90">
      <w:pPr>
        <w:widowControl w:val="0"/>
        <w:spacing w:line="240" w:lineRule="exact"/>
        <w:jc w:val="center"/>
        <w:textAlignment w:val="baseline"/>
        <w:rPr>
          <w:sz w:val="22"/>
          <w:szCs w:val="24"/>
        </w:rPr>
      </w:pPr>
    </w:p>
    <w:sectPr w:rsidR="000D5B67" w:rsidSect="00EC4C40">
      <w:headerReference w:type="default" r:id="rId19"/>
      <w:pgSz w:w="16838" w:h="11906" w:orient="landscape" w:code="9"/>
      <w:pgMar w:top="1702" w:right="962"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48AE2" w14:textId="77777777" w:rsidR="00923EA3" w:rsidRDefault="00923EA3" w:rsidP="0021091A">
      <w:r>
        <w:separator/>
      </w:r>
    </w:p>
  </w:endnote>
  <w:endnote w:type="continuationSeparator" w:id="0">
    <w:p w14:paraId="61530F06" w14:textId="77777777" w:rsidR="00923EA3" w:rsidRDefault="00923EA3" w:rsidP="0021091A">
      <w:r>
        <w:continuationSeparator/>
      </w:r>
    </w:p>
  </w:endnote>
  <w:endnote w:type="continuationNotice" w:id="1">
    <w:p w14:paraId="673AB3F6" w14:textId="77777777" w:rsidR="00923EA3" w:rsidRDefault="00923E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EUAlbertina">
    <w:altName w:val="Calibri"/>
    <w:panose1 w:val="00000000000000000000"/>
    <w:charset w:val="00"/>
    <w:family w:val="roman"/>
    <w:notTrueType/>
    <w:pitch w:val="default"/>
    <w:sig w:usb0="00000001" w:usb1="00000000" w:usb2="00000000" w:usb3="00000000" w:csb0="00000003"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DB26B" w14:textId="77777777" w:rsidR="00923EA3" w:rsidRDefault="00923EA3" w:rsidP="0021091A">
      <w:r>
        <w:separator/>
      </w:r>
    </w:p>
  </w:footnote>
  <w:footnote w:type="continuationSeparator" w:id="0">
    <w:p w14:paraId="569E541F" w14:textId="77777777" w:rsidR="00923EA3" w:rsidRDefault="00923EA3" w:rsidP="0021091A">
      <w:r>
        <w:continuationSeparator/>
      </w:r>
    </w:p>
  </w:footnote>
  <w:footnote w:type="continuationNotice" w:id="1">
    <w:p w14:paraId="1AB3D877" w14:textId="77777777" w:rsidR="00923EA3" w:rsidRDefault="00923E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3702503"/>
      <w:docPartObj>
        <w:docPartGallery w:val="Page Numbers (Top of Page)"/>
        <w:docPartUnique/>
      </w:docPartObj>
    </w:sdtPr>
    <w:sdtEndPr/>
    <w:sdtContent>
      <w:p w14:paraId="30216016" w14:textId="558455F0" w:rsidR="0021091A" w:rsidRDefault="0021091A">
        <w:pPr>
          <w:pStyle w:val="Header"/>
          <w:jc w:val="center"/>
        </w:pPr>
        <w:r>
          <w:fldChar w:fldCharType="begin"/>
        </w:r>
        <w:r>
          <w:instrText>PAGE   \* MERGEFORMAT</w:instrText>
        </w:r>
        <w:r>
          <w:fldChar w:fldCharType="separate"/>
        </w:r>
        <w:r w:rsidR="009B6F9D">
          <w:rPr>
            <w:noProof/>
          </w:rPr>
          <w:t>9</w:t>
        </w:r>
        <w:r>
          <w:fldChar w:fldCharType="end"/>
        </w:r>
      </w:p>
    </w:sdtContent>
  </w:sdt>
  <w:p w14:paraId="49ABF039" w14:textId="77777777" w:rsidR="0021091A" w:rsidRDefault="002109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163"/>
    <w:multiLevelType w:val="hybridMultilevel"/>
    <w:tmpl w:val="C1D0EF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7176C9"/>
    <w:multiLevelType w:val="multilevel"/>
    <w:tmpl w:val="E5629C0C"/>
    <w:lvl w:ilvl="0">
      <w:start w:val="1"/>
      <w:numFmt w:val="decimal"/>
      <w:lvlText w:val="%1."/>
      <w:lvlJc w:val="left"/>
      <w:pPr>
        <w:ind w:left="765" w:hanging="405"/>
      </w:pPr>
      <w:rPr>
        <w:rFonts w:ascii="Times New Roman" w:hAnsi="Times New Roman" w:cs="Times New Roman" w:hint="default"/>
        <w:sz w:val="24"/>
        <w:szCs w:val="24"/>
      </w:rPr>
    </w:lvl>
    <w:lvl w:ilvl="1">
      <w:start w:val="1"/>
      <w:numFmt w:val="decimal"/>
      <w:isLgl/>
      <w:lvlText w:val="%1.%2."/>
      <w:lvlJc w:val="left"/>
      <w:pPr>
        <w:ind w:left="1125"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295"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65" w:hanging="108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635"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0A242EA5"/>
    <w:multiLevelType w:val="multilevel"/>
    <w:tmpl w:val="5394E22E"/>
    <w:lvl w:ilvl="0">
      <w:start w:val="2"/>
      <w:numFmt w:val="decimal"/>
      <w:lvlText w:val="%1."/>
      <w:lvlJc w:val="left"/>
      <w:pPr>
        <w:ind w:left="360" w:hanging="360"/>
      </w:pPr>
      <w:rPr>
        <w:rFonts w:hint="default"/>
        <w:b w:val="0"/>
        <w:i w:val="0"/>
        <w:color w:val="000000"/>
      </w:rPr>
    </w:lvl>
    <w:lvl w:ilvl="1">
      <w:start w:val="1"/>
      <w:numFmt w:val="decimal"/>
      <w:lvlText w:val="%1.%2."/>
      <w:lvlJc w:val="left"/>
      <w:pPr>
        <w:ind w:left="360" w:hanging="360"/>
      </w:pPr>
      <w:rPr>
        <w:rFonts w:hint="default"/>
        <w:b w:val="0"/>
        <w:i w:val="0"/>
        <w:color w:val="000000"/>
      </w:rPr>
    </w:lvl>
    <w:lvl w:ilvl="2">
      <w:start w:val="1"/>
      <w:numFmt w:val="decimalZero"/>
      <w:lvlText w:val="%1.%2.%3."/>
      <w:lvlJc w:val="left"/>
      <w:pPr>
        <w:ind w:left="720" w:hanging="720"/>
      </w:pPr>
      <w:rPr>
        <w:rFonts w:hint="default"/>
        <w:b w:val="0"/>
        <w:i w:val="0"/>
        <w:color w:val="000000"/>
      </w:rPr>
    </w:lvl>
    <w:lvl w:ilvl="3">
      <w:start w:val="1"/>
      <w:numFmt w:val="decimalZero"/>
      <w:lvlText w:val="%1.%2.%3.%4."/>
      <w:lvlJc w:val="left"/>
      <w:pPr>
        <w:ind w:left="720" w:hanging="720"/>
      </w:pPr>
      <w:rPr>
        <w:rFonts w:hint="default"/>
        <w:b w:val="0"/>
        <w:i w:val="0"/>
        <w:color w:val="000000"/>
      </w:rPr>
    </w:lvl>
    <w:lvl w:ilvl="4">
      <w:start w:val="1"/>
      <w:numFmt w:val="decimalZero"/>
      <w:lvlText w:val="%1.%2.%3.%4.%5."/>
      <w:lvlJc w:val="left"/>
      <w:pPr>
        <w:ind w:left="1080" w:hanging="1080"/>
      </w:pPr>
      <w:rPr>
        <w:rFonts w:hint="default"/>
        <w:b w:val="0"/>
        <w:i w:val="0"/>
        <w:color w:val="000000"/>
      </w:rPr>
    </w:lvl>
    <w:lvl w:ilvl="5">
      <w:start w:val="1"/>
      <w:numFmt w:val="decimalZero"/>
      <w:lvlText w:val="%1.%2.%3.%4.%5.%6."/>
      <w:lvlJc w:val="left"/>
      <w:pPr>
        <w:ind w:left="1080" w:hanging="1080"/>
      </w:pPr>
      <w:rPr>
        <w:rFonts w:hint="default"/>
        <w:b w:val="0"/>
        <w:i w:val="0"/>
        <w:color w:val="000000"/>
      </w:rPr>
    </w:lvl>
    <w:lvl w:ilvl="6">
      <w:start w:val="1"/>
      <w:numFmt w:val="decimal"/>
      <w:lvlText w:val="%1.%2.%3.%4.%5.%6.%7."/>
      <w:lvlJc w:val="left"/>
      <w:pPr>
        <w:ind w:left="1440" w:hanging="1440"/>
      </w:pPr>
      <w:rPr>
        <w:rFonts w:hint="default"/>
        <w:b w:val="0"/>
        <w:i w:val="0"/>
        <w:color w:val="000000"/>
      </w:rPr>
    </w:lvl>
    <w:lvl w:ilvl="7">
      <w:start w:val="1"/>
      <w:numFmt w:val="decimal"/>
      <w:lvlText w:val="%1.%2.%3.%4.%5.%6.%7.%8."/>
      <w:lvlJc w:val="left"/>
      <w:pPr>
        <w:ind w:left="1440" w:hanging="1440"/>
      </w:pPr>
      <w:rPr>
        <w:rFonts w:hint="default"/>
        <w:b w:val="0"/>
        <w:i w:val="0"/>
        <w:color w:val="000000"/>
      </w:rPr>
    </w:lvl>
    <w:lvl w:ilvl="8">
      <w:start w:val="1"/>
      <w:numFmt w:val="decimal"/>
      <w:lvlText w:val="%1.%2.%3.%4.%5.%6.%7.%8.%9."/>
      <w:lvlJc w:val="left"/>
      <w:pPr>
        <w:ind w:left="1800" w:hanging="1800"/>
      </w:pPr>
      <w:rPr>
        <w:rFonts w:hint="default"/>
        <w:b w:val="0"/>
        <w:i w:val="0"/>
        <w:color w:val="000000"/>
      </w:rPr>
    </w:lvl>
  </w:abstractNum>
  <w:abstractNum w:abstractNumId="3" w15:restartNumberingAfterBreak="0">
    <w:nsid w:val="2008134F"/>
    <w:multiLevelType w:val="hybridMultilevel"/>
    <w:tmpl w:val="89620382"/>
    <w:lvl w:ilvl="0" w:tplc="EC147178">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8535BD"/>
    <w:multiLevelType w:val="multilevel"/>
    <w:tmpl w:val="837A51EC"/>
    <w:lvl w:ilvl="0">
      <w:start w:val="1"/>
      <w:numFmt w:val="decimal"/>
      <w:lvlText w:val="%1."/>
      <w:lvlJc w:val="left"/>
      <w:pPr>
        <w:ind w:left="720" w:hanging="360"/>
      </w:pPr>
      <w:rPr>
        <w:rFonts w:ascii="Times New Roman" w:eastAsiaTheme="minorEastAsia" w:hAnsi="Times New Roman" w:cs="Times New Roman"/>
      </w:rPr>
    </w:lvl>
    <w:lvl w:ilvl="1">
      <w:start w:val="1"/>
      <w:numFmt w:val="decimal"/>
      <w:isLgl/>
      <w:lvlText w:val="%1.%2."/>
      <w:lvlJc w:val="left"/>
      <w:pPr>
        <w:ind w:left="720" w:hanging="360"/>
      </w:pPr>
      <w:rPr>
        <w:rFonts w:eastAsia="Times New Roman" w:hint="default"/>
        <w:color w:val="000000"/>
        <w:sz w:val="24"/>
      </w:rPr>
    </w:lvl>
    <w:lvl w:ilvl="2">
      <w:start w:val="1"/>
      <w:numFmt w:val="decimal"/>
      <w:isLgl/>
      <w:lvlText w:val="%1.%2.%3."/>
      <w:lvlJc w:val="left"/>
      <w:pPr>
        <w:ind w:left="1080" w:hanging="720"/>
      </w:pPr>
      <w:rPr>
        <w:rFonts w:eastAsia="Times New Roman" w:hint="default"/>
        <w:color w:val="000000"/>
        <w:sz w:val="24"/>
      </w:rPr>
    </w:lvl>
    <w:lvl w:ilvl="3">
      <w:start w:val="1"/>
      <w:numFmt w:val="decimal"/>
      <w:isLgl/>
      <w:lvlText w:val="%1.%2.%3.%4."/>
      <w:lvlJc w:val="left"/>
      <w:pPr>
        <w:ind w:left="1080" w:hanging="720"/>
      </w:pPr>
      <w:rPr>
        <w:rFonts w:eastAsia="Times New Roman" w:hint="default"/>
        <w:color w:val="000000"/>
        <w:sz w:val="24"/>
      </w:rPr>
    </w:lvl>
    <w:lvl w:ilvl="4">
      <w:start w:val="1"/>
      <w:numFmt w:val="decimal"/>
      <w:isLgl/>
      <w:lvlText w:val="%1.%2.%3.%4.%5."/>
      <w:lvlJc w:val="left"/>
      <w:pPr>
        <w:ind w:left="1440" w:hanging="1080"/>
      </w:pPr>
      <w:rPr>
        <w:rFonts w:eastAsia="Times New Roman" w:hint="default"/>
        <w:color w:val="000000"/>
        <w:sz w:val="24"/>
      </w:rPr>
    </w:lvl>
    <w:lvl w:ilvl="5">
      <w:start w:val="1"/>
      <w:numFmt w:val="decimal"/>
      <w:isLgl/>
      <w:lvlText w:val="%1.%2.%3.%4.%5.%6."/>
      <w:lvlJc w:val="left"/>
      <w:pPr>
        <w:ind w:left="1440" w:hanging="1080"/>
      </w:pPr>
      <w:rPr>
        <w:rFonts w:eastAsia="Times New Roman" w:hint="default"/>
        <w:color w:val="000000"/>
        <w:sz w:val="24"/>
      </w:rPr>
    </w:lvl>
    <w:lvl w:ilvl="6">
      <w:start w:val="1"/>
      <w:numFmt w:val="decimal"/>
      <w:isLgl/>
      <w:lvlText w:val="%1.%2.%3.%4.%5.%6.%7."/>
      <w:lvlJc w:val="left"/>
      <w:pPr>
        <w:ind w:left="1800" w:hanging="1440"/>
      </w:pPr>
      <w:rPr>
        <w:rFonts w:eastAsia="Times New Roman" w:hint="default"/>
        <w:color w:val="000000"/>
        <w:sz w:val="24"/>
      </w:rPr>
    </w:lvl>
    <w:lvl w:ilvl="7">
      <w:start w:val="1"/>
      <w:numFmt w:val="decimal"/>
      <w:isLgl/>
      <w:lvlText w:val="%1.%2.%3.%4.%5.%6.%7.%8."/>
      <w:lvlJc w:val="left"/>
      <w:pPr>
        <w:ind w:left="1800" w:hanging="1440"/>
      </w:pPr>
      <w:rPr>
        <w:rFonts w:eastAsia="Times New Roman" w:hint="default"/>
        <w:color w:val="000000"/>
        <w:sz w:val="24"/>
      </w:rPr>
    </w:lvl>
    <w:lvl w:ilvl="8">
      <w:start w:val="1"/>
      <w:numFmt w:val="decimal"/>
      <w:isLgl/>
      <w:lvlText w:val="%1.%2.%3.%4.%5.%6.%7.%8.%9."/>
      <w:lvlJc w:val="left"/>
      <w:pPr>
        <w:ind w:left="2160" w:hanging="1800"/>
      </w:pPr>
      <w:rPr>
        <w:rFonts w:eastAsia="Times New Roman" w:hint="default"/>
        <w:color w:val="000000"/>
        <w:sz w:val="24"/>
      </w:rPr>
    </w:lvl>
  </w:abstractNum>
  <w:abstractNum w:abstractNumId="5" w15:restartNumberingAfterBreak="0">
    <w:nsid w:val="349D2BD9"/>
    <w:multiLevelType w:val="hybridMultilevel"/>
    <w:tmpl w:val="B34CF416"/>
    <w:lvl w:ilvl="0" w:tplc="04270001">
      <w:start w:val="1"/>
      <w:numFmt w:val="bullet"/>
      <w:lvlText w:val=""/>
      <w:lvlJc w:val="left"/>
      <w:pPr>
        <w:ind w:left="2078" w:hanging="360"/>
      </w:pPr>
      <w:rPr>
        <w:rFonts w:ascii="Symbol" w:hAnsi="Symbol" w:hint="default"/>
      </w:rPr>
    </w:lvl>
    <w:lvl w:ilvl="1" w:tplc="04270003" w:tentative="1">
      <w:start w:val="1"/>
      <w:numFmt w:val="bullet"/>
      <w:lvlText w:val="o"/>
      <w:lvlJc w:val="left"/>
      <w:pPr>
        <w:ind w:left="2798" w:hanging="360"/>
      </w:pPr>
      <w:rPr>
        <w:rFonts w:ascii="Courier New" w:hAnsi="Courier New" w:cs="Courier New" w:hint="default"/>
      </w:rPr>
    </w:lvl>
    <w:lvl w:ilvl="2" w:tplc="04270005" w:tentative="1">
      <w:start w:val="1"/>
      <w:numFmt w:val="bullet"/>
      <w:lvlText w:val=""/>
      <w:lvlJc w:val="left"/>
      <w:pPr>
        <w:ind w:left="3518" w:hanging="360"/>
      </w:pPr>
      <w:rPr>
        <w:rFonts w:ascii="Wingdings" w:hAnsi="Wingdings" w:hint="default"/>
      </w:rPr>
    </w:lvl>
    <w:lvl w:ilvl="3" w:tplc="04270001" w:tentative="1">
      <w:start w:val="1"/>
      <w:numFmt w:val="bullet"/>
      <w:lvlText w:val=""/>
      <w:lvlJc w:val="left"/>
      <w:pPr>
        <w:ind w:left="4238" w:hanging="360"/>
      </w:pPr>
      <w:rPr>
        <w:rFonts w:ascii="Symbol" w:hAnsi="Symbol" w:hint="default"/>
      </w:rPr>
    </w:lvl>
    <w:lvl w:ilvl="4" w:tplc="04270003" w:tentative="1">
      <w:start w:val="1"/>
      <w:numFmt w:val="bullet"/>
      <w:lvlText w:val="o"/>
      <w:lvlJc w:val="left"/>
      <w:pPr>
        <w:ind w:left="4958" w:hanging="360"/>
      </w:pPr>
      <w:rPr>
        <w:rFonts w:ascii="Courier New" w:hAnsi="Courier New" w:cs="Courier New" w:hint="default"/>
      </w:rPr>
    </w:lvl>
    <w:lvl w:ilvl="5" w:tplc="04270005" w:tentative="1">
      <w:start w:val="1"/>
      <w:numFmt w:val="bullet"/>
      <w:lvlText w:val=""/>
      <w:lvlJc w:val="left"/>
      <w:pPr>
        <w:ind w:left="5678" w:hanging="360"/>
      </w:pPr>
      <w:rPr>
        <w:rFonts w:ascii="Wingdings" w:hAnsi="Wingdings" w:hint="default"/>
      </w:rPr>
    </w:lvl>
    <w:lvl w:ilvl="6" w:tplc="04270001" w:tentative="1">
      <w:start w:val="1"/>
      <w:numFmt w:val="bullet"/>
      <w:lvlText w:val=""/>
      <w:lvlJc w:val="left"/>
      <w:pPr>
        <w:ind w:left="6398" w:hanging="360"/>
      </w:pPr>
      <w:rPr>
        <w:rFonts w:ascii="Symbol" w:hAnsi="Symbol" w:hint="default"/>
      </w:rPr>
    </w:lvl>
    <w:lvl w:ilvl="7" w:tplc="04270003" w:tentative="1">
      <w:start w:val="1"/>
      <w:numFmt w:val="bullet"/>
      <w:lvlText w:val="o"/>
      <w:lvlJc w:val="left"/>
      <w:pPr>
        <w:ind w:left="7118" w:hanging="360"/>
      </w:pPr>
      <w:rPr>
        <w:rFonts w:ascii="Courier New" w:hAnsi="Courier New" w:cs="Courier New" w:hint="default"/>
      </w:rPr>
    </w:lvl>
    <w:lvl w:ilvl="8" w:tplc="04270005" w:tentative="1">
      <w:start w:val="1"/>
      <w:numFmt w:val="bullet"/>
      <w:lvlText w:val=""/>
      <w:lvlJc w:val="left"/>
      <w:pPr>
        <w:ind w:left="7838" w:hanging="360"/>
      </w:pPr>
      <w:rPr>
        <w:rFonts w:ascii="Wingdings" w:hAnsi="Wingdings" w:hint="default"/>
      </w:rPr>
    </w:lvl>
  </w:abstractNum>
  <w:abstractNum w:abstractNumId="6" w15:restartNumberingAfterBreak="0">
    <w:nsid w:val="671B3F4F"/>
    <w:multiLevelType w:val="multilevel"/>
    <w:tmpl w:val="D11E1CBA"/>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674F1B98"/>
    <w:multiLevelType w:val="hybridMultilevel"/>
    <w:tmpl w:val="36FE25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F53659"/>
    <w:multiLevelType w:val="hybridMultilevel"/>
    <w:tmpl w:val="7B7232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48852877">
    <w:abstractNumId w:val="4"/>
  </w:num>
  <w:num w:numId="2" w16cid:durableId="1376853583">
    <w:abstractNumId w:val="0"/>
  </w:num>
  <w:num w:numId="3" w16cid:durableId="520894011">
    <w:abstractNumId w:val="2"/>
  </w:num>
  <w:num w:numId="4" w16cid:durableId="1521505657">
    <w:abstractNumId w:val="7"/>
  </w:num>
  <w:num w:numId="5" w16cid:durableId="493765176">
    <w:abstractNumId w:val="1"/>
  </w:num>
  <w:num w:numId="6" w16cid:durableId="788864205">
    <w:abstractNumId w:val="5"/>
  </w:num>
  <w:num w:numId="7" w16cid:durableId="101078548">
    <w:abstractNumId w:val="6"/>
  </w:num>
  <w:num w:numId="8" w16cid:durableId="1113011565">
    <w:abstractNumId w:val="3"/>
  </w:num>
  <w:num w:numId="9" w16cid:durableId="20073996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HyphenateCaps/>
  <w:doNotShadeFormData/>
  <w:noPunctuationKerning/>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127FD"/>
    <w:rsid w:val="000140C1"/>
    <w:rsid w:val="0001705F"/>
    <w:rsid w:val="000252C7"/>
    <w:rsid w:val="000274AC"/>
    <w:rsid w:val="00035E07"/>
    <w:rsid w:val="00036130"/>
    <w:rsid w:val="00036470"/>
    <w:rsid w:val="00044FDD"/>
    <w:rsid w:val="00050176"/>
    <w:rsid w:val="0005113F"/>
    <w:rsid w:val="00056D12"/>
    <w:rsid w:val="00066D93"/>
    <w:rsid w:val="000674AE"/>
    <w:rsid w:val="000836B3"/>
    <w:rsid w:val="00084864"/>
    <w:rsid w:val="00091021"/>
    <w:rsid w:val="00091E41"/>
    <w:rsid w:val="000961F6"/>
    <w:rsid w:val="00097A7C"/>
    <w:rsid w:val="000A23FD"/>
    <w:rsid w:val="000A3B66"/>
    <w:rsid w:val="000A4EC6"/>
    <w:rsid w:val="000A4F2E"/>
    <w:rsid w:val="000D05B9"/>
    <w:rsid w:val="000D5B67"/>
    <w:rsid w:val="000E182F"/>
    <w:rsid w:val="000E29EB"/>
    <w:rsid w:val="000E4A1B"/>
    <w:rsid w:val="000E7165"/>
    <w:rsid w:val="000F098B"/>
    <w:rsid w:val="000F1CA7"/>
    <w:rsid w:val="000F3259"/>
    <w:rsid w:val="000F3795"/>
    <w:rsid w:val="000F598C"/>
    <w:rsid w:val="000F6B6F"/>
    <w:rsid w:val="00106B5B"/>
    <w:rsid w:val="00117610"/>
    <w:rsid w:val="0012444D"/>
    <w:rsid w:val="00127BDF"/>
    <w:rsid w:val="00127D6E"/>
    <w:rsid w:val="00127F7B"/>
    <w:rsid w:val="00131A2F"/>
    <w:rsid w:val="001338B8"/>
    <w:rsid w:val="00133EFA"/>
    <w:rsid w:val="001358C5"/>
    <w:rsid w:val="001362D4"/>
    <w:rsid w:val="00137FDA"/>
    <w:rsid w:val="0016102D"/>
    <w:rsid w:val="001640C6"/>
    <w:rsid w:val="00167A61"/>
    <w:rsid w:val="00167FB3"/>
    <w:rsid w:val="00175D79"/>
    <w:rsid w:val="00176B05"/>
    <w:rsid w:val="001839D9"/>
    <w:rsid w:val="001854E8"/>
    <w:rsid w:val="001925CD"/>
    <w:rsid w:val="00197D47"/>
    <w:rsid w:val="001A3981"/>
    <w:rsid w:val="001A5905"/>
    <w:rsid w:val="001A7675"/>
    <w:rsid w:val="001B6499"/>
    <w:rsid w:val="001B6562"/>
    <w:rsid w:val="001C1E67"/>
    <w:rsid w:val="001C40F6"/>
    <w:rsid w:val="001C6B63"/>
    <w:rsid w:val="001C6E03"/>
    <w:rsid w:val="001D1472"/>
    <w:rsid w:val="001D76CF"/>
    <w:rsid w:val="001E4E8A"/>
    <w:rsid w:val="001E736E"/>
    <w:rsid w:val="001E7CAA"/>
    <w:rsid w:val="001F782C"/>
    <w:rsid w:val="00201579"/>
    <w:rsid w:val="0021091A"/>
    <w:rsid w:val="00216A0B"/>
    <w:rsid w:val="00222D43"/>
    <w:rsid w:val="002241F9"/>
    <w:rsid w:val="002313F7"/>
    <w:rsid w:val="00231A3E"/>
    <w:rsid w:val="002332C0"/>
    <w:rsid w:val="00242284"/>
    <w:rsid w:val="00255174"/>
    <w:rsid w:val="002656E1"/>
    <w:rsid w:val="00270246"/>
    <w:rsid w:val="00271B8F"/>
    <w:rsid w:val="00274C27"/>
    <w:rsid w:val="00282C61"/>
    <w:rsid w:val="00292966"/>
    <w:rsid w:val="002969F3"/>
    <w:rsid w:val="002A65D7"/>
    <w:rsid w:val="002B18F7"/>
    <w:rsid w:val="002B32C4"/>
    <w:rsid w:val="002B7E4B"/>
    <w:rsid w:val="002C113C"/>
    <w:rsid w:val="002D1D41"/>
    <w:rsid w:val="002D3B7E"/>
    <w:rsid w:val="002F1897"/>
    <w:rsid w:val="00300D94"/>
    <w:rsid w:val="00302CE4"/>
    <w:rsid w:val="00302D23"/>
    <w:rsid w:val="00304C6C"/>
    <w:rsid w:val="0031014C"/>
    <w:rsid w:val="00313828"/>
    <w:rsid w:val="00317444"/>
    <w:rsid w:val="00317B79"/>
    <w:rsid w:val="00322038"/>
    <w:rsid w:val="00324E5A"/>
    <w:rsid w:val="00325872"/>
    <w:rsid w:val="00332C88"/>
    <w:rsid w:val="0033379A"/>
    <w:rsid w:val="00336760"/>
    <w:rsid w:val="00336F6E"/>
    <w:rsid w:val="003371FF"/>
    <w:rsid w:val="00341C4C"/>
    <w:rsid w:val="003426CF"/>
    <w:rsid w:val="00345770"/>
    <w:rsid w:val="00345FFB"/>
    <w:rsid w:val="0034755C"/>
    <w:rsid w:val="003536B3"/>
    <w:rsid w:val="00356D01"/>
    <w:rsid w:val="00370B2E"/>
    <w:rsid w:val="00371761"/>
    <w:rsid w:val="00372E1C"/>
    <w:rsid w:val="003757E2"/>
    <w:rsid w:val="0037777C"/>
    <w:rsid w:val="00377C41"/>
    <w:rsid w:val="00384E5A"/>
    <w:rsid w:val="00386620"/>
    <w:rsid w:val="00387FE6"/>
    <w:rsid w:val="00391FC3"/>
    <w:rsid w:val="003A2BBD"/>
    <w:rsid w:val="003A5168"/>
    <w:rsid w:val="003A7C90"/>
    <w:rsid w:val="003A7DD1"/>
    <w:rsid w:val="003C082E"/>
    <w:rsid w:val="003C2780"/>
    <w:rsid w:val="003C4163"/>
    <w:rsid w:val="003D19A4"/>
    <w:rsid w:val="003E2757"/>
    <w:rsid w:val="003F0D61"/>
    <w:rsid w:val="003F0EA0"/>
    <w:rsid w:val="003F29E2"/>
    <w:rsid w:val="003F300E"/>
    <w:rsid w:val="003F38D3"/>
    <w:rsid w:val="003F3BF4"/>
    <w:rsid w:val="003F54AD"/>
    <w:rsid w:val="004003DF"/>
    <w:rsid w:val="00404517"/>
    <w:rsid w:val="00413313"/>
    <w:rsid w:val="00416030"/>
    <w:rsid w:val="00417464"/>
    <w:rsid w:val="0043695F"/>
    <w:rsid w:val="00437A96"/>
    <w:rsid w:val="0044682D"/>
    <w:rsid w:val="00451784"/>
    <w:rsid w:val="00455BE5"/>
    <w:rsid w:val="00456FF8"/>
    <w:rsid w:val="00460716"/>
    <w:rsid w:val="00464FBC"/>
    <w:rsid w:val="004652AC"/>
    <w:rsid w:val="0047279A"/>
    <w:rsid w:val="00482D08"/>
    <w:rsid w:val="00482FB2"/>
    <w:rsid w:val="00485DA5"/>
    <w:rsid w:val="00485E48"/>
    <w:rsid w:val="00491E52"/>
    <w:rsid w:val="00497B47"/>
    <w:rsid w:val="004A37F3"/>
    <w:rsid w:val="004A78EC"/>
    <w:rsid w:val="004B0135"/>
    <w:rsid w:val="004B069F"/>
    <w:rsid w:val="004B2425"/>
    <w:rsid w:val="004B2E89"/>
    <w:rsid w:val="004C05DA"/>
    <w:rsid w:val="004C2B27"/>
    <w:rsid w:val="004C4163"/>
    <w:rsid w:val="004C5852"/>
    <w:rsid w:val="004C6A14"/>
    <w:rsid w:val="004D3A32"/>
    <w:rsid w:val="004D4346"/>
    <w:rsid w:val="004D46F1"/>
    <w:rsid w:val="004E073A"/>
    <w:rsid w:val="004E756D"/>
    <w:rsid w:val="004F30B0"/>
    <w:rsid w:val="004F3DD6"/>
    <w:rsid w:val="004F406F"/>
    <w:rsid w:val="004F49CE"/>
    <w:rsid w:val="005010E6"/>
    <w:rsid w:val="005045D5"/>
    <w:rsid w:val="00504F3B"/>
    <w:rsid w:val="00514624"/>
    <w:rsid w:val="00515A65"/>
    <w:rsid w:val="00522869"/>
    <w:rsid w:val="00525B74"/>
    <w:rsid w:val="00531937"/>
    <w:rsid w:val="00534924"/>
    <w:rsid w:val="00534AD7"/>
    <w:rsid w:val="00534AFF"/>
    <w:rsid w:val="00540452"/>
    <w:rsid w:val="00540EB1"/>
    <w:rsid w:val="00544FDC"/>
    <w:rsid w:val="00550578"/>
    <w:rsid w:val="005543E8"/>
    <w:rsid w:val="0055516F"/>
    <w:rsid w:val="00557ED9"/>
    <w:rsid w:val="00560173"/>
    <w:rsid w:val="00562F16"/>
    <w:rsid w:val="005655C3"/>
    <w:rsid w:val="00572DB5"/>
    <w:rsid w:val="0058015C"/>
    <w:rsid w:val="005850F1"/>
    <w:rsid w:val="00585D97"/>
    <w:rsid w:val="00585F60"/>
    <w:rsid w:val="0058739B"/>
    <w:rsid w:val="0059484C"/>
    <w:rsid w:val="00597BE1"/>
    <w:rsid w:val="005A36C6"/>
    <w:rsid w:val="005A3B81"/>
    <w:rsid w:val="005A50AC"/>
    <w:rsid w:val="005A553A"/>
    <w:rsid w:val="005A5DFB"/>
    <w:rsid w:val="005B34D5"/>
    <w:rsid w:val="005B45DC"/>
    <w:rsid w:val="005C6FBA"/>
    <w:rsid w:val="005D6611"/>
    <w:rsid w:val="005D772C"/>
    <w:rsid w:val="006006DB"/>
    <w:rsid w:val="006054E4"/>
    <w:rsid w:val="0060738A"/>
    <w:rsid w:val="00610F10"/>
    <w:rsid w:val="00611030"/>
    <w:rsid w:val="006150D4"/>
    <w:rsid w:val="00615737"/>
    <w:rsid w:val="00620ABC"/>
    <w:rsid w:val="006256D8"/>
    <w:rsid w:val="0062599E"/>
    <w:rsid w:val="00630CAC"/>
    <w:rsid w:val="00631D56"/>
    <w:rsid w:val="006328AA"/>
    <w:rsid w:val="006359B6"/>
    <w:rsid w:val="006468F2"/>
    <w:rsid w:val="00652FD7"/>
    <w:rsid w:val="00654AE9"/>
    <w:rsid w:val="00660796"/>
    <w:rsid w:val="00672B9B"/>
    <w:rsid w:val="006735F1"/>
    <w:rsid w:val="00681CCC"/>
    <w:rsid w:val="00691FB9"/>
    <w:rsid w:val="006A0CFB"/>
    <w:rsid w:val="006A56AB"/>
    <w:rsid w:val="006A5DD8"/>
    <w:rsid w:val="006B04E5"/>
    <w:rsid w:val="006B486A"/>
    <w:rsid w:val="006B5D98"/>
    <w:rsid w:val="006B69BC"/>
    <w:rsid w:val="006C1425"/>
    <w:rsid w:val="006C2351"/>
    <w:rsid w:val="006C7343"/>
    <w:rsid w:val="006D11D1"/>
    <w:rsid w:val="006D2D38"/>
    <w:rsid w:val="006D3BB4"/>
    <w:rsid w:val="006D5974"/>
    <w:rsid w:val="006E5C26"/>
    <w:rsid w:val="006E5C9B"/>
    <w:rsid w:val="00706529"/>
    <w:rsid w:val="0071111E"/>
    <w:rsid w:val="00712B2B"/>
    <w:rsid w:val="007138B7"/>
    <w:rsid w:val="007154F3"/>
    <w:rsid w:val="007161A3"/>
    <w:rsid w:val="00720E9E"/>
    <w:rsid w:val="0072218D"/>
    <w:rsid w:val="0072575F"/>
    <w:rsid w:val="00725921"/>
    <w:rsid w:val="00725E08"/>
    <w:rsid w:val="00727AE5"/>
    <w:rsid w:val="007314E9"/>
    <w:rsid w:val="007404F1"/>
    <w:rsid w:val="007407BC"/>
    <w:rsid w:val="00740BCA"/>
    <w:rsid w:val="00740E68"/>
    <w:rsid w:val="007416E6"/>
    <w:rsid w:val="00743A62"/>
    <w:rsid w:val="007443FD"/>
    <w:rsid w:val="00746241"/>
    <w:rsid w:val="007469F9"/>
    <w:rsid w:val="0075354F"/>
    <w:rsid w:val="00754800"/>
    <w:rsid w:val="0075722D"/>
    <w:rsid w:val="00767650"/>
    <w:rsid w:val="0077150C"/>
    <w:rsid w:val="00774984"/>
    <w:rsid w:val="00777466"/>
    <w:rsid w:val="00784653"/>
    <w:rsid w:val="007848F6"/>
    <w:rsid w:val="00785453"/>
    <w:rsid w:val="00794830"/>
    <w:rsid w:val="00794B38"/>
    <w:rsid w:val="00797122"/>
    <w:rsid w:val="007A0075"/>
    <w:rsid w:val="007A1681"/>
    <w:rsid w:val="007A1696"/>
    <w:rsid w:val="007B0587"/>
    <w:rsid w:val="007B12F2"/>
    <w:rsid w:val="007C49F2"/>
    <w:rsid w:val="007C4D3B"/>
    <w:rsid w:val="007D0713"/>
    <w:rsid w:val="007F2A02"/>
    <w:rsid w:val="007F5006"/>
    <w:rsid w:val="007F5834"/>
    <w:rsid w:val="0080348C"/>
    <w:rsid w:val="00806E28"/>
    <w:rsid w:val="00813C6E"/>
    <w:rsid w:val="0081471F"/>
    <w:rsid w:val="0081636D"/>
    <w:rsid w:val="008173A6"/>
    <w:rsid w:val="00820877"/>
    <w:rsid w:val="0082267B"/>
    <w:rsid w:val="00823A4E"/>
    <w:rsid w:val="00824458"/>
    <w:rsid w:val="008250A5"/>
    <w:rsid w:val="00830C75"/>
    <w:rsid w:val="008360CA"/>
    <w:rsid w:val="008371CB"/>
    <w:rsid w:val="00844E16"/>
    <w:rsid w:val="00847FA5"/>
    <w:rsid w:val="00852E07"/>
    <w:rsid w:val="00853C95"/>
    <w:rsid w:val="00861869"/>
    <w:rsid w:val="00865D68"/>
    <w:rsid w:val="00867C46"/>
    <w:rsid w:val="0087069B"/>
    <w:rsid w:val="0087205A"/>
    <w:rsid w:val="00874180"/>
    <w:rsid w:val="00881410"/>
    <w:rsid w:val="00882649"/>
    <w:rsid w:val="008827CE"/>
    <w:rsid w:val="00885D60"/>
    <w:rsid w:val="00886D65"/>
    <w:rsid w:val="00890F9D"/>
    <w:rsid w:val="00895D5B"/>
    <w:rsid w:val="00897FEC"/>
    <w:rsid w:val="008A2DB1"/>
    <w:rsid w:val="008A4A81"/>
    <w:rsid w:val="008A4B6F"/>
    <w:rsid w:val="008A5246"/>
    <w:rsid w:val="008B13C1"/>
    <w:rsid w:val="008B7064"/>
    <w:rsid w:val="008C0931"/>
    <w:rsid w:val="008D1868"/>
    <w:rsid w:val="008D34C2"/>
    <w:rsid w:val="008E13E8"/>
    <w:rsid w:val="008E36BE"/>
    <w:rsid w:val="008E5D85"/>
    <w:rsid w:val="008F51CA"/>
    <w:rsid w:val="008F7A1B"/>
    <w:rsid w:val="008F7FCF"/>
    <w:rsid w:val="00905A92"/>
    <w:rsid w:val="00906F94"/>
    <w:rsid w:val="0090751A"/>
    <w:rsid w:val="00910084"/>
    <w:rsid w:val="00911C69"/>
    <w:rsid w:val="009133A0"/>
    <w:rsid w:val="00914F84"/>
    <w:rsid w:val="0091515D"/>
    <w:rsid w:val="0092044D"/>
    <w:rsid w:val="00921B84"/>
    <w:rsid w:val="00923EA3"/>
    <w:rsid w:val="0092411A"/>
    <w:rsid w:val="0092737E"/>
    <w:rsid w:val="009276D4"/>
    <w:rsid w:val="009325C1"/>
    <w:rsid w:val="00934E71"/>
    <w:rsid w:val="00937033"/>
    <w:rsid w:val="0094070C"/>
    <w:rsid w:val="009421A8"/>
    <w:rsid w:val="00942DAE"/>
    <w:rsid w:val="00946168"/>
    <w:rsid w:val="00956606"/>
    <w:rsid w:val="00956B04"/>
    <w:rsid w:val="009604EE"/>
    <w:rsid w:val="00971CA7"/>
    <w:rsid w:val="00974496"/>
    <w:rsid w:val="00981DB0"/>
    <w:rsid w:val="0098391F"/>
    <w:rsid w:val="00987AE0"/>
    <w:rsid w:val="0099241B"/>
    <w:rsid w:val="00996B44"/>
    <w:rsid w:val="009A0CAA"/>
    <w:rsid w:val="009A4D6F"/>
    <w:rsid w:val="009B1A4C"/>
    <w:rsid w:val="009B5E82"/>
    <w:rsid w:val="009B6B63"/>
    <w:rsid w:val="009B6F9D"/>
    <w:rsid w:val="009B79BC"/>
    <w:rsid w:val="009C0D58"/>
    <w:rsid w:val="009C4F34"/>
    <w:rsid w:val="009C5D0F"/>
    <w:rsid w:val="009C6C08"/>
    <w:rsid w:val="009D560D"/>
    <w:rsid w:val="009D5E97"/>
    <w:rsid w:val="009D713B"/>
    <w:rsid w:val="009E36F0"/>
    <w:rsid w:val="009E7C87"/>
    <w:rsid w:val="009F5303"/>
    <w:rsid w:val="009F6690"/>
    <w:rsid w:val="00A02F2B"/>
    <w:rsid w:val="00A035CA"/>
    <w:rsid w:val="00A06C0C"/>
    <w:rsid w:val="00A1072C"/>
    <w:rsid w:val="00A1239B"/>
    <w:rsid w:val="00A2422D"/>
    <w:rsid w:val="00A2560E"/>
    <w:rsid w:val="00A25EA9"/>
    <w:rsid w:val="00A37031"/>
    <w:rsid w:val="00A37964"/>
    <w:rsid w:val="00A41296"/>
    <w:rsid w:val="00A441CD"/>
    <w:rsid w:val="00A44CFD"/>
    <w:rsid w:val="00A4602A"/>
    <w:rsid w:val="00A508DA"/>
    <w:rsid w:val="00A52641"/>
    <w:rsid w:val="00A5416F"/>
    <w:rsid w:val="00A602E3"/>
    <w:rsid w:val="00A61B3E"/>
    <w:rsid w:val="00A74004"/>
    <w:rsid w:val="00A80450"/>
    <w:rsid w:val="00A85E33"/>
    <w:rsid w:val="00A87981"/>
    <w:rsid w:val="00A93083"/>
    <w:rsid w:val="00AA01BB"/>
    <w:rsid w:val="00AA12B6"/>
    <w:rsid w:val="00AA34CA"/>
    <w:rsid w:val="00AA3543"/>
    <w:rsid w:val="00AA58AE"/>
    <w:rsid w:val="00AB140A"/>
    <w:rsid w:val="00AC2797"/>
    <w:rsid w:val="00AD0FBB"/>
    <w:rsid w:val="00AE0E4B"/>
    <w:rsid w:val="00AE4EC4"/>
    <w:rsid w:val="00AE565C"/>
    <w:rsid w:val="00AF5B4C"/>
    <w:rsid w:val="00AF790B"/>
    <w:rsid w:val="00B050FA"/>
    <w:rsid w:val="00B064CD"/>
    <w:rsid w:val="00B1334F"/>
    <w:rsid w:val="00B137A4"/>
    <w:rsid w:val="00B139D6"/>
    <w:rsid w:val="00B14450"/>
    <w:rsid w:val="00B14B90"/>
    <w:rsid w:val="00B2102B"/>
    <w:rsid w:val="00B256A9"/>
    <w:rsid w:val="00B25C88"/>
    <w:rsid w:val="00B261E5"/>
    <w:rsid w:val="00B327C4"/>
    <w:rsid w:val="00B33898"/>
    <w:rsid w:val="00B34FAB"/>
    <w:rsid w:val="00B35AC5"/>
    <w:rsid w:val="00B37F99"/>
    <w:rsid w:val="00B40EF3"/>
    <w:rsid w:val="00B43E6E"/>
    <w:rsid w:val="00B54660"/>
    <w:rsid w:val="00B55741"/>
    <w:rsid w:val="00B5683F"/>
    <w:rsid w:val="00B638BC"/>
    <w:rsid w:val="00B67CCE"/>
    <w:rsid w:val="00B71EDA"/>
    <w:rsid w:val="00B7461E"/>
    <w:rsid w:val="00B7503C"/>
    <w:rsid w:val="00B84007"/>
    <w:rsid w:val="00B85120"/>
    <w:rsid w:val="00B85C5C"/>
    <w:rsid w:val="00B87F23"/>
    <w:rsid w:val="00B90AED"/>
    <w:rsid w:val="00B90C7F"/>
    <w:rsid w:val="00B93783"/>
    <w:rsid w:val="00B93F9E"/>
    <w:rsid w:val="00B96FD3"/>
    <w:rsid w:val="00B97959"/>
    <w:rsid w:val="00BA154C"/>
    <w:rsid w:val="00BA17EE"/>
    <w:rsid w:val="00BA2228"/>
    <w:rsid w:val="00BA4BBE"/>
    <w:rsid w:val="00BA65F7"/>
    <w:rsid w:val="00BC7FCB"/>
    <w:rsid w:val="00BD2B13"/>
    <w:rsid w:val="00BD4455"/>
    <w:rsid w:val="00BE3090"/>
    <w:rsid w:val="00BE6FF8"/>
    <w:rsid w:val="00BF177B"/>
    <w:rsid w:val="00C01B71"/>
    <w:rsid w:val="00C043E1"/>
    <w:rsid w:val="00C046C0"/>
    <w:rsid w:val="00C05A28"/>
    <w:rsid w:val="00C07662"/>
    <w:rsid w:val="00C10EA2"/>
    <w:rsid w:val="00C21A57"/>
    <w:rsid w:val="00C21B3C"/>
    <w:rsid w:val="00C230AA"/>
    <w:rsid w:val="00C23732"/>
    <w:rsid w:val="00C242D4"/>
    <w:rsid w:val="00C30E59"/>
    <w:rsid w:val="00C3104D"/>
    <w:rsid w:val="00C321E2"/>
    <w:rsid w:val="00C37452"/>
    <w:rsid w:val="00C408C9"/>
    <w:rsid w:val="00C4251D"/>
    <w:rsid w:val="00C55963"/>
    <w:rsid w:val="00C55F8E"/>
    <w:rsid w:val="00C5743E"/>
    <w:rsid w:val="00C62E89"/>
    <w:rsid w:val="00C63289"/>
    <w:rsid w:val="00C632AE"/>
    <w:rsid w:val="00C633AA"/>
    <w:rsid w:val="00C64423"/>
    <w:rsid w:val="00C65366"/>
    <w:rsid w:val="00C67DEB"/>
    <w:rsid w:val="00C70CC4"/>
    <w:rsid w:val="00C739BD"/>
    <w:rsid w:val="00C77963"/>
    <w:rsid w:val="00C77A0A"/>
    <w:rsid w:val="00C810A8"/>
    <w:rsid w:val="00C94D36"/>
    <w:rsid w:val="00CA14AD"/>
    <w:rsid w:val="00CA20BD"/>
    <w:rsid w:val="00CA6DF2"/>
    <w:rsid w:val="00CA7A62"/>
    <w:rsid w:val="00CD763D"/>
    <w:rsid w:val="00CE3202"/>
    <w:rsid w:val="00CE45A8"/>
    <w:rsid w:val="00CE5967"/>
    <w:rsid w:val="00CF17C1"/>
    <w:rsid w:val="00CF31C3"/>
    <w:rsid w:val="00CF32BD"/>
    <w:rsid w:val="00D05484"/>
    <w:rsid w:val="00D05FC9"/>
    <w:rsid w:val="00D06863"/>
    <w:rsid w:val="00D32744"/>
    <w:rsid w:val="00D337B8"/>
    <w:rsid w:val="00D35AE8"/>
    <w:rsid w:val="00D35D8F"/>
    <w:rsid w:val="00D409C5"/>
    <w:rsid w:val="00D43B3D"/>
    <w:rsid w:val="00D55BCD"/>
    <w:rsid w:val="00D600B1"/>
    <w:rsid w:val="00D6056E"/>
    <w:rsid w:val="00D61B1B"/>
    <w:rsid w:val="00D6500F"/>
    <w:rsid w:val="00D651A5"/>
    <w:rsid w:val="00D66CE4"/>
    <w:rsid w:val="00D77DF1"/>
    <w:rsid w:val="00D851AB"/>
    <w:rsid w:val="00D930DD"/>
    <w:rsid w:val="00D94B36"/>
    <w:rsid w:val="00D9742D"/>
    <w:rsid w:val="00DA29A4"/>
    <w:rsid w:val="00DA2C0C"/>
    <w:rsid w:val="00DA5892"/>
    <w:rsid w:val="00DB3F59"/>
    <w:rsid w:val="00DB45CF"/>
    <w:rsid w:val="00DC29EA"/>
    <w:rsid w:val="00DC5437"/>
    <w:rsid w:val="00DD04A8"/>
    <w:rsid w:val="00DD33E8"/>
    <w:rsid w:val="00DF1DD7"/>
    <w:rsid w:val="00DF1E53"/>
    <w:rsid w:val="00DF2C26"/>
    <w:rsid w:val="00DF4D62"/>
    <w:rsid w:val="00E01112"/>
    <w:rsid w:val="00E10BEA"/>
    <w:rsid w:val="00E12465"/>
    <w:rsid w:val="00E14770"/>
    <w:rsid w:val="00E160AA"/>
    <w:rsid w:val="00E168FB"/>
    <w:rsid w:val="00E17ECA"/>
    <w:rsid w:val="00E31611"/>
    <w:rsid w:val="00E35340"/>
    <w:rsid w:val="00E44A98"/>
    <w:rsid w:val="00E5493B"/>
    <w:rsid w:val="00E60269"/>
    <w:rsid w:val="00E60EF1"/>
    <w:rsid w:val="00E61440"/>
    <w:rsid w:val="00E627F4"/>
    <w:rsid w:val="00E70FCB"/>
    <w:rsid w:val="00E862E6"/>
    <w:rsid w:val="00E95B58"/>
    <w:rsid w:val="00EA049D"/>
    <w:rsid w:val="00EA0DA8"/>
    <w:rsid w:val="00EA685F"/>
    <w:rsid w:val="00EA7D11"/>
    <w:rsid w:val="00EB0C97"/>
    <w:rsid w:val="00EC1D95"/>
    <w:rsid w:val="00EC239E"/>
    <w:rsid w:val="00EC3A81"/>
    <w:rsid w:val="00EC4C40"/>
    <w:rsid w:val="00ED1A84"/>
    <w:rsid w:val="00ED242D"/>
    <w:rsid w:val="00ED2F84"/>
    <w:rsid w:val="00ED5A16"/>
    <w:rsid w:val="00ED66FA"/>
    <w:rsid w:val="00ED67D2"/>
    <w:rsid w:val="00ED6B71"/>
    <w:rsid w:val="00EF00A7"/>
    <w:rsid w:val="00EF7E90"/>
    <w:rsid w:val="00F042E5"/>
    <w:rsid w:val="00F14D95"/>
    <w:rsid w:val="00F17B25"/>
    <w:rsid w:val="00F221E9"/>
    <w:rsid w:val="00F33DF7"/>
    <w:rsid w:val="00F3483B"/>
    <w:rsid w:val="00F42C27"/>
    <w:rsid w:val="00F4656F"/>
    <w:rsid w:val="00F46A36"/>
    <w:rsid w:val="00F504C1"/>
    <w:rsid w:val="00F5151B"/>
    <w:rsid w:val="00F55106"/>
    <w:rsid w:val="00F55119"/>
    <w:rsid w:val="00F63F67"/>
    <w:rsid w:val="00F70288"/>
    <w:rsid w:val="00F711E2"/>
    <w:rsid w:val="00F83B3A"/>
    <w:rsid w:val="00F84444"/>
    <w:rsid w:val="00F84AAD"/>
    <w:rsid w:val="00F872E2"/>
    <w:rsid w:val="00F91037"/>
    <w:rsid w:val="00F943C8"/>
    <w:rsid w:val="00F95CBF"/>
    <w:rsid w:val="00FA0E95"/>
    <w:rsid w:val="00FA33E6"/>
    <w:rsid w:val="00FA67C6"/>
    <w:rsid w:val="00FB3B87"/>
    <w:rsid w:val="00FB3D40"/>
    <w:rsid w:val="00FB5162"/>
    <w:rsid w:val="00FB54B7"/>
    <w:rsid w:val="00FB72CB"/>
    <w:rsid w:val="00FC1D95"/>
    <w:rsid w:val="00FC606A"/>
    <w:rsid w:val="00FD3F50"/>
    <w:rsid w:val="00FD5217"/>
    <w:rsid w:val="00FD5ADC"/>
    <w:rsid w:val="00FE16E6"/>
    <w:rsid w:val="00FE7D2F"/>
    <w:rsid w:val="00FF0020"/>
    <w:rsid w:val="00FF19F5"/>
    <w:rsid w:val="00FF41F9"/>
    <w:rsid w:val="0A29CDE8"/>
    <w:rsid w:val="0FDC36EA"/>
    <w:rsid w:val="11ECF1D2"/>
    <w:rsid w:val="136B15E0"/>
    <w:rsid w:val="1FADEF99"/>
    <w:rsid w:val="253E920C"/>
    <w:rsid w:val="3E94DA74"/>
    <w:rsid w:val="3EFF1430"/>
    <w:rsid w:val="444E8E32"/>
    <w:rsid w:val="4ADD0AE0"/>
    <w:rsid w:val="4EE0CAEB"/>
    <w:rsid w:val="5494D684"/>
    <w:rsid w:val="54D3CB6D"/>
    <w:rsid w:val="59486D29"/>
    <w:rsid w:val="5CB2CCE9"/>
    <w:rsid w:val="603E2C61"/>
    <w:rsid w:val="66117EF8"/>
    <w:rsid w:val="68E2DE15"/>
    <w:rsid w:val="69E03011"/>
    <w:rsid w:val="6ACAE548"/>
    <w:rsid w:val="6E151B13"/>
    <w:rsid w:val="7398872A"/>
    <w:rsid w:val="788B5621"/>
    <w:rsid w:val="797050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C45FFA7D-622E-48A6-BC66-0E7672FCE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C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Red,Bullet EY,lp1,Bullet 1,Use Case List Paragraph,Numbering,ERP-List Paragraph,List Paragraph11,Teksto skyrius,List Paragraph1,Normal bullet 2,Bullet list,Numbered List,Lettre d'introduction,l"/>
    <w:basedOn w:val="Normal"/>
    <w:link w:val="ListParagraphChar"/>
    <w:uiPriority w:val="34"/>
    <w:qFormat/>
    <w:rsid w:val="00282C61"/>
    <w:pPr>
      <w:ind w:left="720"/>
      <w:contextualSpacing/>
    </w:pPr>
  </w:style>
  <w:style w:type="character" w:styleId="CommentReference">
    <w:name w:val="annotation reference"/>
    <w:basedOn w:val="DefaultParagraphFont"/>
    <w:uiPriority w:val="99"/>
    <w:semiHidden/>
    <w:unhideWhenUsed/>
    <w:rsid w:val="006A0CFB"/>
    <w:rPr>
      <w:sz w:val="16"/>
      <w:szCs w:val="16"/>
    </w:rPr>
  </w:style>
  <w:style w:type="paragraph" w:styleId="CommentText">
    <w:name w:val="annotation text"/>
    <w:basedOn w:val="Normal"/>
    <w:link w:val="CommentTextChar"/>
    <w:uiPriority w:val="99"/>
    <w:unhideWhenUsed/>
    <w:rsid w:val="006A0CFB"/>
    <w:rPr>
      <w:sz w:val="20"/>
    </w:rPr>
  </w:style>
  <w:style w:type="character" w:customStyle="1" w:styleId="CommentTextChar">
    <w:name w:val="Comment Text Char"/>
    <w:basedOn w:val="DefaultParagraphFont"/>
    <w:link w:val="CommentText"/>
    <w:uiPriority w:val="99"/>
    <w:rsid w:val="006A0CFB"/>
    <w:rPr>
      <w:sz w:val="20"/>
    </w:rPr>
  </w:style>
  <w:style w:type="paragraph" w:styleId="CommentSubject">
    <w:name w:val="annotation subject"/>
    <w:basedOn w:val="CommentText"/>
    <w:next w:val="CommentText"/>
    <w:link w:val="CommentSubjectChar"/>
    <w:semiHidden/>
    <w:unhideWhenUsed/>
    <w:rsid w:val="006A0CFB"/>
    <w:rPr>
      <w:b/>
      <w:bCs/>
    </w:rPr>
  </w:style>
  <w:style w:type="character" w:customStyle="1" w:styleId="CommentSubjectChar">
    <w:name w:val="Comment Subject Char"/>
    <w:basedOn w:val="CommentTextChar"/>
    <w:link w:val="CommentSubject"/>
    <w:semiHidden/>
    <w:rsid w:val="006A0CFB"/>
    <w:rPr>
      <w:b/>
      <w:bCs/>
      <w:sz w:val="20"/>
    </w:rPr>
  </w:style>
  <w:style w:type="paragraph" w:styleId="Revision">
    <w:name w:val="Revision"/>
    <w:hidden/>
    <w:semiHidden/>
    <w:rsid w:val="00C739BD"/>
  </w:style>
  <w:style w:type="character" w:styleId="Hyperlink">
    <w:name w:val="Hyperlink"/>
    <w:basedOn w:val="DefaultParagraphFont"/>
    <w:uiPriority w:val="99"/>
    <w:unhideWhenUsed/>
    <w:rsid w:val="008E36BE"/>
    <w:rPr>
      <w:color w:val="0000FF" w:themeColor="hyperlink"/>
      <w:u w:val="single"/>
    </w:rPr>
  </w:style>
  <w:style w:type="character" w:customStyle="1" w:styleId="Neapdorotaspaminjimas1">
    <w:name w:val="Neapdorotas paminėjimas1"/>
    <w:basedOn w:val="DefaultParagraphFont"/>
    <w:uiPriority w:val="99"/>
    <w:semiHidden/>
    <w:unhideWhenUsed/>
    <w:rsid w:val="008E36BE"/>
    <w:rPr>
      <w:color w:val="605E5C"/>
      <w:shd w:val="clear" w:color="auto" w:fill="E1DFDD"/>
    </w:rPr>
  </w:style>
  <w:style w:type="paragraph" w:styleId="BalloonText">
    <w:name w:val="Balloon Text"/>
    <w:basedOn w:val="Normal"/>
    <w:link w:val="BalloonTextChar"/>
    <w:semiHidden/>
    <w:unhideWhenUsed/>
    <w:rsid w:val="00292966"/>
    <w:rPr>
      <w:rFonts w:ascii="Tahoma" w:hAnsi="Tahoma" w:cs="Tahoma"/>
      <w:sz w:val="16"/>
      <w:szCs w:val="16"/>
    </w:rPr>
  </w:style>
  <w:style w:type="character" w:customStyle="1" w:styleId="BalloonTextChar">
    <w:name w:val="Balloon Text Char"/>
    <w:basedOn w:val="DefaultParagraphFont"/>
    <w:link w:val="BalloonText"/>
    <w:semiHidden/>
    <w:rsid w:val="00292966"/>
    <w:rPr>
      <w:rFonts w:ascii="Tahoma" w:hAnsi="Tahoma" w:cs="Tahoma"/>
      <w:sz w:val="16"/>
      <w:szCs w:val="16"/>
    </w:rPr>
  </w:style>
  <w:style w:type="character" w:customStyle="1" w:styleId="Neapdorotaspaminjimas2">
    <w:name w:val="Neapdorotas paminėjimas2"/>
    <w:basedOn w:val="DefaultParagraphFont"/>
    <w:uiPriority w:val="99"/>
    <w:semiHidden/>
    <w:unhideWhenUsed/>
    <w:rsid w:val="00317B79"/>
    <w:rPr>
      <w:color w:val="605E5C"/>
      <w:shd w:val="clear" w:color="auto" w:fill="E1DFDD"/>
    </w:rPr>
  </w:style>
  <w:style w:type="character" w:styleId="FollowedHyperlink">
    <w:name w:val="FollowedHyperlink"/>
    <w:basedOn w:val="DefaultParagraphFont"/>
    <w:semiHidden/>
    <w:unhideWhenUsed/>
    <w:rsid w:val="00DA29A4"/>
    <w:rPr>
      <w:color w:val="800080" w:themeColor="followedHyperlink"/>
      <w:u w:val="single"/>
    </w:rPr>
  </w:style>
  <w:style w:type="character" w:customStyle="1" w:styleId="Neapdorotaspaminjimas3">
    <w:name w:val="Neapdorotas paminėjimas3"/>
    <w:basedOn w:val="DefaultParagraphFont"/>
    <w:uiPriority w:val="99"/>
    <w:semiHidden/>
    <w:unhideWhenUsed/>
    <w:rsid w:val="00FF0020"/>
    <w:rPr>
      <w:color w:val="605E5C"/>
      <w:shd w:val="clear" w:color="auto" w:fill="E1DFDD"/>
    </w:rPr>
  </w:style>
  <w:style w:type="paragraph" w:styleId="Header">
    <w:name w:val="header"/>
    <w:basedOn w:val="Normal"/>
    <w:link w:val="HeaderChar"/>
    <w:uiPriority w:val="99"/>
    <w:unhideWhenUsed/>
    <w:rsid w:val="0021091A"/>
    <w:pPr>
      <w:tabs>
        <w:tab w:val="center" w:pos="4819"/>
        <w:tab w:val="right" w:pos="9638"/>
      </w:tabs>
    </w:pPr>
  </w:style>
  <w:style w:type="character" w:customStyle="1" w:styleId="HeaderChar">
    <w:name w:val="Header Char"/>
    <w:basedOn w:val="DefaultParagraphFont"/>
    <w:link w:val="Header"/>
    <w:uiPriority w:val="99"/>
    <w:rsid w:val="0021091A"/>
  </w:style>
  <w:style w:type="paragraph" w:styleId="Footer">
    <w:name w:val="footer"/>
    <w:basedOn w:val="Normal"/>
    <w:link w:val="FooterChar"/>
    <w:unhideWhenUsed/>
    <w:rsid w:val="0021091A"/>
    <w:pPr>
      <w:tabs>
        <w:tab w:val="center" w:pos="4819"/>
        <w:tab w:val="right" w:pos="9638"/>
      </w:tabs>
    </w:pPr>
  </w:style>
  <w:style w:type="character" w:customStyle="1" w:styleId="FooterChar">
    <w:name w:val="Footer Char"/>
    <w:basedOn w:val="DefaultParagraphFont"/>
    <w:link w:val="Footer"/>
    <w:rsid w:val="0021091A"/>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Teksto skyrius Char,List Paragraph1 Char,l Char"/>
    <w:basedOn w:val="DefaultParagraphFont"/>
    <w:link w:val="ListParagraph"/>
    <w:uiPriority w:val="34"/>
    <w:qFormat/>
    <w:locked/>
    <w:rsid w:val="00302D23"/>
  </w:style>
  <w:style w:type="paragraph" w:styleId="FootnoteText">
    <w:name w:val="footnote text"/>
    <w:aliases w:val="Footnote,Fußnote,Voetnoottekst Char,Voetnoottekst Char1 Char,Voetnoottekst Char Char1 Char,Voetnoottekst Char1 Char Char Char,Voetnoottekst Char Char1 Char Char Char,Voetnoottekst Char1 Char Char Char Char Char,• Isnasos,f,fn,ft"/>
    <w:basedOn w:val="Normal"/>
    <w:link w:val="FootnoteTextChar"/>
    <w:uiPriority w:val="99"/>
    <w:unhideWhenUsed/>
    <w:qFormat/>
    <w:rsid w:val="00C55F8E"/>
    <w:rPr>
      <w:rFonts w:asciiTheme="minorHAnsi" w:eastAsiaTheme="minorHAnsi" w:hAnsiTheme="minorHAnsi" w:cstheme="minorBidi"/>
      <w:sz w:val="20"/>
    </w:rPr>
  </w:style>
  <w:style w:type="character" w:customStyle="1" w:styleId="FootnoteTextChar">
    <w:name w:val="Footnote Text Char"/>
    <w:aliases w:val="Footnote Char,Fußnote Char,Voetnoottekst Char Char,Voetnoottekst Char1 Char Char,Voetnoottekst Char Char1 Char Char,Voetnoottekst Char1 Char Char Char Char,Voetnoottekst Char Char1 Char Char Char Char,• Isnasos Char,f Char,fn Char"/>
    <w:basedOn w:val="DefaultParagraphFont"/>
    <w:link w:val="FootnoteText"/>
    <w:uiPriority w:val="99"/>
    <w:rsid w:val="00C55F8E"/>
    <w:rPr>
      <w:rFonts w:asciiTheme="minorHAnsi" w:eastAsiaTheme="minorHAnsi" w:hAnsiTheme="minorHAnsi" w:cstheme="minorBidi"/>
      <w:sz w:val="20"/>
    </w:rPr>
  </w:style>
  <w:style w:type="character" w:styleId="FootnoteReference">
    <w:name w:val="footnote reference"/>
    <w:aliases w:val="Footnote Reference Superscript,EN Footnote Reference,number,SUPERS,• Isnasos nuoroda,BVI fnr,Footnote symbol,Footnote Reference Number,Footnote anchor,Times 10 Point,Exposant 3 Point,Footnote reference number,Voetnootverwijzing"/>
    <w:basedOn w:val="DefaultParagraphFont"/>
    <w:link w:val="FootnoteReferenceCharCarCharCharCarCharCarCharCarCharCarCharCharCarCarCharCharCharCharCharCarCharCarCharCharCarCharCar"/>
    <w:uiPriority w:val="99"/>
    <w:unhideWhenUsed/>
    <w:qFormat/>
    <w:rsid w:val="00C55F8E"/>
    <w:rPr>
      <w:vertAlign w:val="superscript"/>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qFormat/>
    <w:rsid w:val="00C55F8E"/>
    <w:pPr>
      <w:spacing w:after="160" w:line="240" w:lineRule="exact"/>
    </w:pPr>
    <w:rPr>
      <w:vertAlign w:val="superscript"/>
    </w:rPr>
  </w:style>
  <w:style w:type="paragraph" w:customStyle="1" w:styleId="Default">
    <w:name w:val="Default"/>
    <w:basedOn w:val="Normal"/>
    <w:rsid w:val="00C55F8E"/>
    <w:pPr>
      <w:autoSpaceDE w:val="0"/>
      <w:autoSpaceDN w:val="0"/>
    </w:pPr>
    <w:rPr>
      <w:rFonts w:ascii="EUAlbertina" w:eastAsiaTheme="minorHAnsi" w:hAnsi="EUAlbertina" w:cs="Calibri"/>
      <w:color w:val="000000"/>
      <w:szCs w:val="24"/>
      <w:lang w:eastAsia="lt-LT"/>
    </w:rPr>
  </w:style>
  <w:style w:type="character" w:customStyle="1" w:styleId="UnresolvedMention1">
    <w:name w:val="Unresolved Mention1"/>
    <w:basedOn w:val="DefaultParagraphFont"/>
    <w:uiPriority w:val="99"/>
    <w:semiHidden/>
    <w:unhideWhenUsed/>
    <w:rsid w:val="006E5C26"/>
    <w:rPr>
      <w:color w:val="605E5C"/>
      <w:shd w:val="clear" w:color="auto" w:fill="E1DFDD"/>
    </w:rPr>
  </w:style>
  <w:style w:type="paragraph" w:customStyle="1" w:styleId="xxxxxmsonormal">
    <w:name w:val="x_xxxxmsonormal"/>
    <w:basedOn w:val="Normal"/>
    <w:rsid w:val="00324E5A"/>
    <w:rPr>
      <w:rFonts w:ascii="Calibri" w:eastAsiaTheme="minorHAnsi" w:hAnsi="Calibri" w:cs="Calibri"/>
      <w:sz w:val="22"/>
      <w:szCs w:val="22"/>
      <w:lang w:eastAsia="lt-LT"/>
    </w:rPr>
  </w:style>
  <w:style w:type="character" w:styleId="UnresolvedMention">
    <w:name w:val="Unresolved Mention"/>
    <w:basedOn w:val="DefaultParagraphFont"/>
    <w:uiPriority w:val="99"/>
    <w:semiHidden/>
    <w:unhideWhenUsed/>
    <w:rsid w:val="00FB3D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aaa.lrv.lt/lt/veiklos-sritys/atliekos/atlieku-apskaita/atlieku-apskaitos-duomenys/suvestine-pagal-atlieku-kodu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e-seimas.lrs.lt/portal/legalAct/lt/TAD/TAIS.309099?positionInSearchResults=6&amp;searchModelUUID=ff967197-aab7-4bfd-9977-2abcdec1cea1" TargetMode="External"/><Relationship Id="rId2" Type="http://schemas.openxmlformats.org/officeDocument/2006/relationships/customXml" Target="../customXml/item2.xml"/><Relationship Id="rId16" Type="http://schemas.openxmlformats.org/officeDocument/2006/relationships/hyperlink" Target="https://www.e-tar.lt/portal/lt/legalAct/9f349d40221011edb4cae1b158f98ea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eur-lex.europa.eu/legal-content/LT/TXT/?uri=CELEX%3A32020R0852"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ur-lex.europa.eu/legal-content/EN/TXT/PDF/?uri=CELEX:52021XC0218(01)&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b0bfb35d2811d5212937458ee95f43ff">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2370b17005c7bafbb45be6f4243b4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12285-B83A-4411-869F-1A38B7A650F6}">
  <ds:schemaRefs>
    <ds:schemaRef ds:uri="http://schemas.microsoft.com/sharepoint/v3/contenttype/forms"/>
  </ds:schemaRefs>
</ds:datastoreItem>
</file>

<file path=customXml/itemProps2.xml><?xml version="1.0" encoding="utf-8"?>
<ds:datastoreItem xmlns:ds="http://schemas.openxmlformats.org/officeDocument/2006/customXml" ds:itemID="{2192DE8D-4D4A-44CF-8256-A20B19986C05}">
  <ds:schemaRef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 ds:uri="8fa2b46d-e0e5-4105-8197-5a0c810b9da7"/>
    <ds:schemaRef ds:uri="7ed14601-a767-49df-87ac-319a5ad53ef2"/>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66069CED-CA07-4BBB-A0CD-ED2EF48824DB}">
  <ds:schemaRefs>
    <ds:schemaRef ds:uri="http://schemas.openxmlformats.org/officeDocument/2006/bibliography"/>
  </ds:schemaRefs>
</ds:datastoreItem>
</file>

<file path=customXml/itemProps4.xml><?xml version="1.0" encoding="utf-8"?>
<ds:datastoreItem xmlns:ds="http://schemas.openxmlformats.org/officeDocument/2006/customXml" ds:itemID="{6D16D0FB-4F1D-403E-ABBF-C620228206B9}">
  <ds:schemaRefs>
    <ds:schemaRef ds:uri="http://schemas.openxmlformats.org/officeDocument/2006/bibliography"/>
  </ds:schemaRefs>
</ds:datastoreItem>
</file>

<file path=customXml/itemProps5.xml><?xml version="1.0" encoding="utf-8"?>
<ds:datastoreItem xmlns:ds="http://schemas.openxmlformats.org/officeDocument/2006/customXml" ds:itemID="{E2162A08-1508-4851-AC18-0D77A4CCE554}">
  <ds:schemaRefs>
    <ds:schemaRef ds:uri="http://schemas.openxmlformats.org/officeDocument/2006/bibliography"/>
  </ds:schemaRefs>
</ds:datastoreItem>
</file>

<file path=customXml/itemProps6.xml><?xml version="1.0" encoding="utf-8"?>
<ds:datastoreItem xmlns:ds="http://schemas.openxmlformats.org/officeDocument/2006/customXml" ds:itemID="{B7BE7B2D-2379-458D-B32C-17CEB6E0B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4536D50-139D-4154-8C74-F271E3F7F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2185</Words>
  <Characters>17293</Characters>
  <Application>Microsoft Office Word</Application>
  <DocSecurity>0</DocSecurity>
  <Lines>144</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19440</CharactersWithSpaces>
  <SharedDoc>false</SharedDoc>
  <HyperlinkBase/>
  <HLinks>
    <vt:vector size="36" baseType="variant">
      <vt:variant>
        <vt:i4>7733356</vt:i4>
      </vt:variant>
      <vt:variant>
        <vt:i4>51</vt:i4>
      </vt:variant>
      <vt:variant>
        <vt:i4>0</vt:i4>
      </vt:variant>
      <vt:variant>
        <vt:i4>5</vt:i4>
      </vt:variant>
      <vt:variant>
        <vt:lpwstr>https://aaa.lrv.lt/lt/veiklos-sritys/atliekos/atlieku-apskaita/atlieku-apskaitos-duomenys/suvestine-pagal-atlieku-kodus</vt:lpwstr>
      </vt:variant>
      <vt:variant>
        <vt:lpwstr/>
      </vt:variant>
      <vt:variant>
        <vt:i4>655427</vt:i4>
      </vt:variant>
      <vt:variant>
        <vt:i4>24</vt:i4>
      </vt:variant>
      <vt:variant>
        <vt:i4>0</vt:i4>
      </vt:variant>
      <vt:variant>
        <vt:i4>5</vt:i4>
      </vt:variant>
      <vt:variant>
        <vt:lpwstr>https://e-seimas.lrs.lt/portal/legalAct/lt/TAD/TAIS.309099?positionInSearchResults=6&amp;searchModelUUID=ff967197-aab7-4bfd-9977-2abcdec1cea1</vt:lpwstr>
      </vt:variant>
      <vt:variant>
        <vt:lpwstr/>
      </vt:variant>
      <vt:variant>
        <vt:i4>1572889</vt:i4>
      </vt:variant>
      <vt:variant>
        <vt:i4>15</vt:i4>
      </vt:variant>
      <vt:variant>
        <vt:i4>0</vt:i4>
      </vt:variant>
      <vt:variant>
        <vt:i4>5</vt:i4>
      </vt:variant>
      <vt:variant>
        <vt:lpwstr>https://www.e-tar.lt/portal/lt/legalAct/9f349d40221011edb4cae1b158f98ea5</vt:lpwstr>
      </vt:variant>
      <vt:variant>
        <vt:lpwstr/>
      </vt:variant>
      <vt:variant>
        <vt:i4>7864446</vt:i4>
      </vt:variant>
      <vt:variant>
        <vt:i4>6</vt:i4>
      </vt:variant>
      <vt:variant>
        <vt:i4>0</vt:i4>
      </vt:variant>
      <vt:variant>
        <vt:i4>5</vt:i4>
      </vt:variant>
      <vt:variant>
        <vt:lpwstr>https://eur-lex.europa.eu/legal-content/LT/TXT/?uri=CELEX%3A32020R0852</vt:lpwstr>
      </vt:variant>
      <vt:variant>
        <vt:lpwstr/>
      </vt:variant>
      <vt:variant>
        <vt:i4>5111881</vt:i4>
      </vt:variant>
      <vt:variant>
        <vt:i4>3</vt:i4>
      </vt:variant>
      <vt:variant>
        <vt:i4>0</vt:i4>
      </vt:variant>
      <vt:variant>
        <vt:i4>5</vt:i4>
      </vt:variant>
      <vt:variant>
        <vt:lpwstr>https://eur-lex.europa.eu/legal-content/EN/TXT/PDF/?uri=CELEX:52021XC0218(01)&amp;from=EN</vt:lpwstr>
      </vt:variant>
      <vt:variant>
        <vt:lpwstr/>
      </vt:variant>
      <vt:variant>
        <vt:i4>7405628</vt:i4>
      </vt:variant>
      <vt:variant>
        <vt:i4>0</vt:i4>
      </vt:variant>
      <vt:variant>
        <vt:i4>0</vt:i4>
      </vt:variant>
      <vt:variant>
        <vt:i4>5</vt:i4>
      </vt:variant>
      <vt:variant>
        <vt:lpwstr>https://www.e-tar.lt/portal/lt/legalAct/TAR.2512A4C0E864/ICNGjlDJUf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cp:lastModifiedBy>Aurelija Kazlauskienė</cp:lastModifiedBy>
  <cp:revision>4</cp:revision>
  <cp:lastPrinted>2017-02-13T18:49:00Z</cp:lastPrinted>
  <dcterms:created xsi:type="dcterms:W3CDTF">2023-04-12T10:08:00Z</dcterms:created>
  <dcterms:modified xsi:type="dcterms:W3CDTF">2023-04-12T10:37:00Z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