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5F62" w14:textId="4AFA90BA" w:rsidR="000E1BDC" w:rsidRPr="008910FE" w:rsidRDefault="002F0078" w:rsidP="00E93301">
      <w:pPr>
        <w:jc w:val="center"/>
        <w:rPr>
          <w:rFonts w:ascii="Times New Roman" w:hAnsi="Times New Roman" w:cs="Times New Roman"/>
          <w:b/>
        </w:rPr>
      </w:pPr>
      <w:r>
        <w:rPr>
          <w:rFonts w:ascii="Times New Roman" w:hAnsi="Times New Roman" w:cs="Times New Roman"/>
          <w:b/>
        </w:rPr>
        <w:t>NAUDOS IR KOKYBĖS VERTINIMO</w:t>
      </w:r>
      <w:r w:rsidR="008910FE" w:rsidRPr="008910FE">
        <w:rPr>
          <w:rFonts w:ascii="Times New Roman" w:hAnsi="Times New Roman" w:cs="Times New Roman"/>
          <w:b/>
        </w:rPr>
        <w:t xml:space="preserve">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4596" w:type="dxa"/>
        <w:tblLook w:val="04A0" w:firstRow="1" w:lastRow="0" w:firstColumn="1" w:lastColumn="0" w:noHBand="0" w:noVBand="1"/>
      </w:tblPr>
      <w:tblGrid>
        <w:gridCol w:w="3539"/>
        <w:gridCol w:w="11057"/>
      </w:tblGrid>
      <w:tr w:rsidR="00B351D0" w:rsidRPr="007C7A59" w14:paraId="324F7CBB" w14:textId="77777777" w:rsidTr="003125E8">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11057" w:type="dxa"/>
          </w:tcPr>
          <w:p w14:paraId="09E85D49" w14:textId="6FD8BFE8" w:rsidR="00B351D0" w:rsidRPr="008D18C8" w:rsidRDefault="00B351D0" w:rsidP="00E93301">
            <w:pPr>
              <w:spacing w:after="120"/>
              <w:rPr>
                <w:rFonts w:ascii="Times New Roman" w:hAnsi="Times New Roman" w:cs="Times New Roman"/>
              </w:rPr>
            </w:pPr>
          </w:p>
        </w:tc>
      </w:tr>
      <w:tr w:rsidR="00B351D0" w:rsidRPr="007C7A59" w14:paraId="69A47D95" w14:textId="77777777" w:rsidTr="003125E8">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11057" w:type="dxa"/>
          </w:tcPr>
          <w:p w14:paraId="7D24036E" w14:textId="694715F3" w:rsidR="00B351D0" w:rsidRPr="008D18C8" w:rsidRDefault="00B351D0" w:rsidP="00E93301">
            <w:pPr>
              <w:spacing w:after="120"/>
              <w:rPr>
                <w:rFonts w:ascii="Times New Roman" w:hAnsi="Times New Roman" w:cs="Times New Roman"/>
              </w:rPr>
            </w:pPr>
          </w:p>
        </w:tc>
      </w:tr>
      <w:tr w:rsidR="001D355E" w:rsidRPr="007C7A59" w14:paraId="72579DC4" w14:textId="77777777" w:rsidTr="003125E8">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11057" w:type="dxa"/>
          </w:tcPr>
          <w:p w14:paraId="4AEC9D33" w14:textId="6721F00E" w:rsidR="001D355E" w:rsidRPr="008D18C8" w:rsidRDefault="001D355E" w:rsidP="00E93301">
            <w:pPr>
              <w:spacing w:after="120"/>
              <w:rPr>
                <w:rFonts w:ascii="Times New Roman" w:hAnsi="Times New Roman" w:cs="Times New Roman"/>
              </w:rPr>
            </w:pPr>
          </w:p>
        </w:tc>
      </w:tr>
    </w:tbl>
    <w:p w14:paraId="027A7495" w14:textId="761852F1" w:rsidR="0079046B" w:rsidRDefault="001D355E" w:rsidP="00047D1C">
      <w:pPr>
        <w:pStyle w:val="Heading1"/>
        <w:numPr>
          <w:ilvl w:val="0"/>
          <w:numId w:val="2"/>
        </w:numPr>
      </w:pPr>
      <w:r w:rsidRPr="007C7A59">
        <w:t>PATIKROS KLAUSIMAI</w:t>
      </w:r>
    </w:p>
    <w:tbl>
      <w:tblPr>
        <w:tblW w:w="5000" w:type="pct"/>
        <w:tblLayout w:type="fixed"/>
        <w:tblCellMar>
          <w:top w:w="15" w:type="dxa"/>
          <w:bottom w:w="15" w:type="dxa"/>
        </w:tblCellMar>
        <w:tblLook w:val="04A0" w:firstRow="1" w:lastRow="0" w:firstColumn="1" w:lastColumn="0" w:noHBand="0" w:noVBand="1"/>
      </w:tblPr>
      <w:tblGrid>
        <w:gridCol w:w="422"/>
        <w:gridCol w:w="1698"/>
        <w:gridCol w:w="6668"/>
        <w:gridCol w:w="990"/>
        <w:gridCol w:w="850"/>
        <w:gridCol w:w="993"/>
        <w:gridCol w:w="990"/>
        <w:gridCol w:w="993"/>
        <w:gridCol w:w="955"/>
      </w:tblGrid>
      <w:tr w:rsidR="00E12105" w:rsidRPr="002F0078" w14:paraId="056CAE02" w14:textId="77777777" w:rsidTr="00A10522">
        <w:trPr>
          <w:trHeight w:val="915"/>
        </w:trPr>
        <w:tc>
          <w:tcPr>
            <w:tcW w:w="145" w:type="pct"/>
            <w:tcBorders>
              <w:top w:val="single" w:sz="4" w:space="0" w:color="auto"/>
              <w:left w:val="single" w:sz="4" w:space="0" w:color="auto"/>
              <w:bottom w:val="nil"/>
              <w:right w:val="single" w:sz="4" w:space="0" w:color="auto"/>
            </w:tcBorders>
            <w:shd w:val="clear" w:color="000000" w:fill="D9D9D9"/>
            <w:hideMark/>
          </w:tcPr>
          <w:p w14:paraId="7A53C4C0" w14:textId="77777777" w:rsidR="002F0078" w:rsidRPr="002F0078" w:rsidRDefault="002F0078" w:rsidP="002F0078">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Eil. Nr.</w:t>
            </w:r>
          </w:p>
        </w:tc>
        <w:tc>
          <w:tcPr>
            <w:tcW w:w="583" w:type="pct"/>
            <w:tcBorders>
              <w:top w:val="single" w:sz="4" w:space="0" w:color="auto"/>
              <w:left w:val="single" w:sz="4" w:space="0" w:color="auto"/>
              <w:bottom w:val="single" w:sz="4" w:space="0" w:color="auto"/>
              <w:right w:val="single" w:sz="4" w:space="0" w:color="auto"/>
            </w:tcBorders>
            <w:shd w:val="clear" w:color="000000" w:fill="D9D9D9"/>
            <w:hideMark/>
          </w:tcPr>
          <w:p w14:paraId="7AB00590" w14:textId="4543C8FD"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Kriterijus</w:t>
            </w:r>
          </w:p>
        </w:tc>
        <w:tc>
          <w:tcPr>
            <w:tcW w:w="2290" w:type="pct"/>
            <w:tcBorders>
              <w:top w:val="single" w:sz="4" w:space="0" w:color="auto"/>
              <w:left w:val="single" w:sz="4" w:space="0" w:color="auto"/>
              <w:bottom w:val="single" w:sz="4" w:space="0" w:color="auto"/>
              <w:right w:val="single" w:sz="4" w:space="0" w:color="auto"/>
            </w:tcBorders>
            <w:shd w:val="clear" w:color="000000" w:fill="D9D9D9"/>
            <w:hideMark/>
          </w:tcPr>
          <w:p w14:paraId="4DD26ECE" w14:textId="6CF15351"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Kriterijaus vertinimo</w:t>
            </w:r>
            <w:r w:rsidR="001A6072" w:rsidRPr="00EA4E9A">
              <w:rPr>
                <w:rFonts w:ascii="Times New Roman" w:eastAsia="Times New Roman" w:hAnsi="Times New Roman" w:cs="Times New Roman"/>
                <w:b/>
                <w:bCs/>
                <w:color w:val="000000"/>
                <w:lang w:eastAsia="lt-LT"/>
              </w:rPr>
              <w:t xml:space="preserve"> metodas</w:t>
            </w:r>
          </w:p>
        </w:tc>
        <w:tc>
          <w:tcPr>
            <w:tcW w:w="340" w:type="pct"/>
            <w:tcBorders>
              <w:top w:val="single" w:sz="4" w:space="0" w:color="auto"/>
              <w:left w:val="single" w:sz="4" w:space="0" w:color="auto"/>
              <w:bottom w:val="single" w:sz="4" w:space="0" w:color="auto"/>
              <w:right w:val="single" w:sz="4" w:space="0" w:color="auto"/>
            </w:tcBorders>
            <w:shd w:val="clear" w:color="000000" w:fill="D9D9D9"/>
            <w:hideMark/>
          </w:tcPr>
          <w:p w14:paraId="1CF1BAAA" w14:textId="77777777"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Didžiausias galimas kriterijaus balas</w:t>
            </w:r>
          </w:p>
        </w:tc>
        <w:tc>
          <w:tcPr>
            <w:tcW w:w="292" w:type="pct"/>
            <w:tcBorders>
              <w:top w:val="single" w:sz="4" w:space="0" w:color="auto"/>
              <w:left w:val="single" w:sz="4" w:space="0" w:color="auto"/>
              <w:bottom w:val="nil"/>
              <w:right w:val="single" w:sz="4" w:space="0" w:color="auto"/>
            </w:tcBorders>
            <w:shd w:val="clear" w:color="000000" w:fill="D9D9D9"/>
            <w:hideMark/>
          </w:tcPr>
          <w:p w14:paraId="0092DFD5" w14:textId="77777777"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Kriterijaus įvertinimas</w:t>
            </w:r>
          </w:p>
        </w:tc>
        <w:tc>
          <w:tcPr>
            <w:tcW w:w="341" w:type="pct"/>
            <w:tcBorders>
              <w:top w:val="single" w:sz="4" w:space="0" w:color="auto"/>
              <w:left w:val="single" w:sz="4" w:space="0" w:color="auto"/>
              <w:bottom w:val="nil"/>
              <w:right w:val="single" w:sz="4" w:space="0" w:color="auto"/>
            </w:tcBorders>
            <w:shd w:val="clear" w:color="000000" w:fill="D9D9D9"/>
            <w:hideMark/>
          </w:tcPr>
          <w:p w14:paraId="1DA19A37" w14:textId="412D0708" w:rsidR="002F0078" w:rsidRPr="00EA4E9A" w:rsidRDefault="001A6072"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Kriterijaus s</w:t>
            </w:r>
            <w:r w:rsidR="002F0078" w:rsidRPr="00EA4E9A">
              <w:rPr>
                <w:rFonts w:ascii="Times New Roman" w:eastAsia="Times New Roman" w:hAnsi="Times New Roman" w:cs="Times New Roman"/>
                <w:b/>
                <w:bCs/>
                <w:color w:val="000000"/>
                <w:lang w:eastAsia="lt-LT"/>
              </w:rPr>
              <w:t xml:space="preserve">vorio koeficientas </w:t>
            </w:r>
            <w:r w:rsidR="002F0078" w:rsidRPr="00EA4E9A">
              <w:rPr>
                <w:rFonts w:ascii="Times New Roman" w:eastAsia="Times New Roman" w:hAnsi="Times New Roman" w:cs="Times New Roman"/>
                <w:i/>
                <w:iCs/>
                <w:color w:val="000000"/>
                <w:lang w:eastAsia="lt-LT"/>
              </w:rPr>
              <w:t>(jei taikoma)</w:t>
            </w:r>
          </w:p>
        </w:tc>
        <w:tc>
          <w:tcPr>
            <w:tcW w:w="340" w:type="pct"/>
            <w:tcBorders>
              <w:top w:val="single" w:sz="4" w:space="0" w:color="auto"/>
              <w:left w:val="single" w:sz="4" w:space="0" w:color="auto"/>
              <w:bottom w:val="nil"/>
              <w:right w:val="single" w:sz="4" w:space="0" w:color="auto"/>
            </w:tcBorders>
            <w:shd w:val="clear" w:color="000000" w:fill="D9D9D9"/>
            <w:hideMark/>
          </w:tcPr>
          <w:p w14:paraId="5BA5ED6C" w14:textId="77777777"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Suteiktų balų skaičius</w:t>
            </w:r>
          </w:p>
        </w:tc>
        <w:tc>
          <w:tcPr>
            <w:tcW w:w="341" w:type="pct"/>
            <w:tcBorders>
              <w:top w:val="single" w:sz="4" w:space="0" w:color="auto"/>
              <w:left w:val="single" w:sz="4" w:space="0" w:color="auto"/>
              <w:bottom w:val="nil"/>
              <w:right w:val="single" w:sz="4" w:space="0" w:color="auto"/>
            </w:tcBorders>
            <w:shd w:val="clear" w:color="000000" w:fill="D9D9D9"/>
            <w:hideMark/>
          </w:tcPr>
          <w:p w14:paraId="07922B7B" w14:textId="77777777" w:rsidR="002F0078" w:rsidRPr="002F0078" w:rsidRDefault="002F0078" w:rsidP="002F0078">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Minimalus privalomas surinkti balų skaičius</w:t>
            </w:r>
          </w:p>
        </w:tc>
        <w:tc>
          <w:tcPr>
            <w:tcW w:w="328" w:type="pct"/>
            <w:tcBorders>
              <w:top w:val="single" w:sz="4" w:space="0" w:color="auto"/>
              <w:left w:val="single" w:sz="4" w:space="0" w:color="auto"/>
              <w:bottom w:val="nil"/>
              <w:right w:val="single" w:sz="4" w:space="0" w:color="auto"/>
            </w:tcBorders>
            <w:shd w:val="clear" w:color="000000" w:fill="D9D9D9"/>
            <w:hideMark/>
          </w:tcPr>
          <w:p w14:paraId="0D9AC462" w14:textId="77777777" w:rsidR="002F0078" w:rsidRPr="002F0078" w:rsidRDefault="002F0078" w:rsidP="002F0078">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Komentarai</w:t>
            </w:r>
          </w:p>
        </w:tc>
      </w:tr>
      <w:tr w:rsidR="00EC3C47" w:rsidRPr="002F0078" w14:paraId="76685C02" w14:textId="77777777" w:rsidTr="00A10522">
        <w:trPr>
          <w:trHeight w:val="1388"/>
        </w:trPr>
        <w:tc>
          <w:tcPr>
            <w:tcW w:w="145" w:type="pct"/>
            <w:tcBorders>
              <w:top w:val="single" w:sz="4" w:space="0" w:color="auto"/>
              <w:left w:val="single" w:sz="4" w:space="0" w:color="auto"/>
              <w:bottom w:val="nil"/>
              <w:right w:val="single" w:sz="4" w:space="0" w:color="auto"/>
            </w:tcBorders>
            <w:noWrap/>
            <w:hideMark/>
          </w:tcPr>
          <w:p w14:paraId="355C445D" w14:textId="20207D55" w:rsidR="00EC3C47" w:rsidRPr="001657DC" w:rsidRDefault="00EC3C47" w:rsidP="00EC3C47">
            <w:pPr>
              <w:spacing w:after="0" w:line="240" w:lineRule="auto"/>
              <w:ind w:left="-57" w:right="-57"/>
              <w:rPr>
                <w:rFonts w:ascii="Times New Roman" w:eastAsia="Times New Roman" w:hAnsi="Times New Roman" w:cs="Times New Roman"/>
                <w:color w:val="000000"/>
                <w:lang w:eastAsia="lt-LT"/>
              </w:rPr>
            </w:pPr>
            <w:r w:rsidRPr="001657DC">
              <w:rPr>
                <w:rFonts w:ascii="Times New Roman" w:eastAsia="Times New Roman" w:hAnsi="Times New Roman" w:cs="Times New Roman"/>
                <w:color w:val="000000"/>
                <w:lang w:eastAsia="lt-LT"/>
              </w:rPr>
              <w:t>1.</w:t>
            </w:r>
          </w:p>
        </w:tc>
        <w:tc>
          <w:tcPr>
            <w:tcW w:w="58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B7821F" w14:textId="0AC2190A" w:rsidR="00EC3C47" w:rsidRPr="001657DC" w:rsidRDefault="00EC3C47" w:rsidP="00EC3C47">
            <w:pPr>
              <w:spacing w:after="120" w:line="240" w:lineRule="auto"/>
              <w:jc w:val="both"/>
              <w:rPr>
                <w:rFonts w:ascii="Times New Roman" w:eastAsia="Times New Roman" w:hAnsi="Times New Roman" w:cs="Times New Roman"/>
                <w:i/>
                <w:iCs/>
                <w:color w:val="000000"/>
                <w:lang w:eastAsia="lt-LT"/>
              </w:rPr>
            </w:pPr>
            <w:r w:rsidRPr="00EC3C47">
              <w:rPr>
                <w:rFonts w:ascii="Times New Roman" w:hAnsi="Times New Roman" w:cs="Times New Roman"/>
                <w:szCs w:val="24"/>
              </w:rPr>
              <w:t>Projekto nauda transporto sektoriui</w:t>
            </w:r>
          </w:p>
        </w:tc>
        <w:tc>
          <w:tcPr>
            <w:tcW w:w="229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AF2279"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Balai suteikiami, kai kuriamų inovatyvių skaitmeninių technologinių sprendimų, kuriems įgyvendinti būtinas 5G ryšys, nauda numatoma transporto sektoriui.</w:t>
            </w:r>
          </w:p>
          <w:p w14:paraId="2E07AD0A" w14:textId="4FCA73FE" w:rsidR="00EC3C47" w:rsidRPr="001657DC" w:rsidRDefault="00EC3C47" w:rsidP="00EC3C47">
            <w:pPr>
              <w:spacing w:after="120" w:line="240" w:lineRule="auto"/>
              <w:jc w:val="both"/>
              <w:rPr>
                <w:rFonts w:ascii="Times New Roman" w:hAnsi="Times New Roman" w:cs="Times New Roman"/>
                <w:color w:val="000000"/>
                <w:shd w:val="clear" w:color="auto" w:fill="FFFFFF"/>
              </w:rPr>
            </w:pPr>
            <w:r w:rsidRPr="00EC3C47">
              <w:rPr>
                <w:rFonts w:ascii="Times New Roman" w:hAnsi="Times New Roman" w:cs="Times New Roman"/>
                <w:szCs w:val="24"/>
              </w:rPr>
              <w:t>Jei projektas neatitinka nustatyto kriterijaus, skiriama 0 balų.</w:t>
            </w:r>
          </w:p>
        </w:tc>
        <w:tc>
          <w:tcPr>
            <w:tcW w:w="340" w:type="pct"/>
            <w:tcBorders>
              <w:top w:val="single" w:sz="4" w:space="0" w:color="auto"/>
              <w:left w:val="single" w:sz="4" w:space="0" w:color="auto"/>
              <w:bottom w:val="single" w:sz="4" w:space="0" w:color="auto"/>
              <w:right w:val="single" w:sz="4" w:space="0" w:color="auto"/>
            </w:tcBorders>
            <w:hideMark/>
          </w:tcPr>
          <w:p w14:paraId="778620F0" w14:textId="751BF7B9" w:rsidR="00EC3C47" w:rsidRPr="001657DC" w:rsidRDefault="00EC3C47" w:rsidP="00EC3C47">
            <w:pPr>
              <w:spacing w:after="120" w:line="240" w:lineRule="auto"/>
              <w:jc w:val="center"/>
              <w:rPr>
                <w:rFonts w:ascii="Times New Roman" w:eastAsia="Times New Roman" w:hAnsi="Times New Roman" w:cs="Times New Roman"/>
                <w:lang w:eastAsia="lt-LT"/>
              </w:rPr>
            </w:pPr>
            <w:r w:rsidRPr="00EC3C47">
              <w:rPr>
                <w:rFonts w:ascii="Times New Roman" w:hAnsi="Times New Roman" w:cs="Times New Roman"/>
                <w:szCs w:val="24"/>
              </w:rPr>
              <w:t>20</w:t>
            </w:r>
          </w:p>
        </w:tc>
        <w:tc>
          <w:tcPr>
            <w:tcW w:w="292" w:type="pct"/>
            <w:tcBorders>
              <w:top w:val="single" w:sz="4" w:space="0" w:color="auto"/>
              <w:left w:val="single" w:sz="4" w:space="0" w:color="auto"/>
              <w:bottom w:val="single" w:sz="4" w:space="0" w:color="auto"/>
              <w:right w:val="single" w:sz="4" w:space="0" w:color="auto"/>
            </w:tcBorders>
          </w:tcPr>
          <w:p w14:paraId="6FAA7BE3" w14:textId="1894ECDE"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single" w:sz="4" w:space="0" w:color="auto"/>
              <w:right w:val="single" w:sz="4" w:space="0" w:color="auto"/>
            </w:tcBorders>
            <w:hideMark/>
          </w:tcPr>
          <w:p w14:paraId="7A5FB876" w14:textId="7164B217"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r w:rsidRPr="001657DC">
              <w:rPr>
                <w:rFonts w:ascii="Times New Roman" w:hAnsi="Times New Roman" w:cs="Times New Roman"/>
                <w:szCs w:val="24"/>
              </w:rPr>
              <w:t>1</w:t>
            </w:r>
          </w:p>
        </w:tc>
        <w:tc>
          <w:tcPr>
            <w:tcW w:w="340" w:type="pct"/>
            <w:tcBorders>
              <w:top w:val="single" w:sz="4" w:space="0" w:color="auto"/>
              <w:left w:val="single" w:sz="4" w:space="0" w:color="auto"/>
              <w:bottom w:val="single" w:sz="4" w:space="0" w:color="auto"/>
              <w:right w:val="single" w:sz="4" w:space="0" w:color="auto"/>
            </w:tcBorders>
            <w:hideMark/>
          </w:tcPr>
          <w:p w14:paraId="45347097" w14:textId="027BD0EF" w:rsidR="00EC3C47" w:rsidRPr="001657DC" w:rsidRDefault="00EC3C47" w:rsidP="00EC3C47">
            <w:pPr>
              <w:spacing w:after="0" w:line="240" w:lineRule="auto"/>
              <w:ind w:left="-57" w:right="-57"/>
              <w:jc w:val="center"/>
              <w:rPr>
                <w:rFonts w:ascii="Times New Roman" w:eastAsia="Times New Roman" w:hAnsi="Times New Roman" w:cs="Times New Roman"/>
                <w:i/>
                <w:iCs/>
                <w:lang w:eastAsia="lt-LT"/>
              </w:rPr>
            </w:pPr>
          </w:p>
        </w:tc>
        <w:tc>
          <w:tcPr>
            <w:tcW w:w="341" w:type="pct"/>
            <w:tcBorders>
              <w:top w:val="single" w:sz="4" w:space="0" w:color="auto"/>
              <w:left w:val="single" w:sz="4" w:space="0" w:color="auto"/>
              <w:bottom w:val="single" w:sz="4" w:space="0" w:color="auto"/>
              <w:right w:val="single" w:sz="4" w:space="0" w:color="auto"/>
            </w:tcBorders>
          </w:tcPr>
          <w:p w14:paraId="07D03616" w14:textId="52B0C1C6" w:rsidR="00EC3C47" w:rsidRPr="00486E60" w:rsidRDefault="00EC3C47" w:rsidP="00EC3C47">
            <w:pPr>
              <w:spacing w:after="0" w:line="240" w:lineRule="auto"/>
              <w:ind w:left="-57" w:right="-57"/>
              <w:jc w:val="center"/>
              <w:rPr>
                <w:rFonts w:ascii="Times New Roman" w:eastAsia="Times New Roman" w:hAnsi="Times New Roman" w:cs="Times New Roman"/>
                <w:iCs/>
                <w:lang w:eastAsia="lt-LT"/>
              </w:rPr>
            </w:pPr>
          </w:p>
        </w:tc>
        <w:tc>
          <w:tcPr>
            <w:tcW w:w="328" w:type="pct"/>
            <w:tcBorders>
              <w:top w:val="single" w:sz="4" w:space="0" w:color="auto"/>
              <w:left w:val="single" w:sz="4" w:space="0" w:color="auto"/>
              <w:bottom w:val="single" w:sz="4" w:space="0" w:color="auto"/>
              <w:right w:val="single" w:sz="4" w:space="0" w:color="auto"/>
            </w:tcBorders>
            <w:hideMark/>
          </w:tcPr>
          <w:p w14:paraId="59B7ACAD" w14:textId="54B5CC8F" w:rsidR="00EC3C47" w:rsidRPr="002F0078" w:rsidRDefault="00EC3C47" w:rsidP="00EC3C47">
            <w:pPr>
              <w:spacing w:after="0" w:line="240" w:lineRule="auto"/>
              <w:ind w:left="-57" w:right="-57"/>
              <w:jc w:val="center"/>
              <w:rPr>
                <w:rFonts w:ascii="Times New Roman" w:eastAsia="Times New Roman" w:hAnsi="Times New Roman" w:cs="Times New Roman"/>
                <w:i/>
                <w:iCs/>
                <w:color w:val="000000"/>
                <w:sz w:val="20"/>
                <w:szCs w:val="20"/>
                <w:lang w:eastAsia="lt-LT"/>
              </w:rPr>
            </w:pPr>
          </w:p>
        </w:tc>
      </w:tr>
      <w:tr w:rsidR="00EC3C47" w:rsidRPr="002F0078" w14:paraId="0EFF391A" w14:textId="77777777" w:rsidTr="00A10522">
        <w:trPr>
          <w:trHeight w:val="300"/>
        </w:trPr>
        <w:tc>
          <w:tcPr>
            <w:tcW w:w="145" w:type="pct"/>
            <w:tcBorders>
              <w:top w:val="single" w:sz="4" w:space="0" w:color="auto"/>
              <w:left w:val="single" w:sz="4" w:space="0" w:color="auto"/>
              <w:bottom w:val="single" w:sz="4" w:space="0" w:color="auto"/>
              <w:right w:val="single" w:sz="4" w:space="0" w:color="auto"/>
            </w:tcBorders>
            <w:noWrap/>
            <w:hideMark/>
          </w:tcPr>
          <w:p w14:paraId="1C9EBFE6" w14:textId="1C84AB5B" w:rsidR="00EC3C47" w:rsidRPr="001657DC" w:rsidRDefault="00EC3C47" w:rsidP="00EC3C47">
            <w:pPr>
              <w:spacing w:after="0" w:line="240" w:lineRule="auto"/>
              <w:ind w:left="-57" w:right="-57"/>
              <w:rPr>
                <w:rFonts w:ascii="Times New Roman" w:eastAsia="Times New Roman" w:hAnsi="Times New Roman" w:cs="Times New Roman"/>
                <w:color w:val="000000"/>
                <w:lang w:eastAsia="lt-LT"/>
              </w:rPr>
            </w:pPr>
            <w:r w:rsidRPr="001657DC">
              <w:rPr>
                <w:rFonts w:ascii="Times New Roman" w:eastAsia="Times New Roman" w:hAnsi="Times New Roman" w:cs="Times New Roman"/>
                <w:color w:val="000000"/>
                <w:lang w:eastAsia="lt-LT"/>
              </w:rPr>
              <w:t>2.</w:t>
            </w:r>
          </w:p>
        </w:tc>
        <w:tc>
          <w:tcPr>
            <w:tcW w:w="583"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hideMark/>
          </w:tcPr>
          <w:p w14:paraId="1134A81C" w14:textId="4BF39E16" w:rsidR="00EC3C47" w:rsidRPr="001657DC" w:rsidRDefault="00EC3C47" w:rsidP="00EC3C47">
            <w:pPr>
              <w:spacing w:after="120" w:line="240" w:lineRule="auto"/>
              <w:jc w:val="both"/>
              <w:rPr>
                <w:rFonts w:ascii="Times New Roman" w:eastAsia="Times New Roman" w:hAnsi="Times New Roman" w:cs="Times New Roman"/>
                <w:color w:val="000000"/>
                <w:lang w:eastAsia="lt-LT"/>
              </w:rPr>
            </w:pPr>
            <w:r w:rsidRPr="00EC3C47">
              <w:rPr>
                <w:rFonts w:ascii="Times New Roman" w:hAnsi="Times New Roman" w:cs="Times New Roman"/>
                <w:szCs w:val="24"/>
              </w:rPr>
              <w:t>TPL projekto pradžioje</w:t>
            </w:r>
          </w:p>
        </w:tc>
        <w:tc>
          <w:tcPr>
            <w:tcW w:w="2290"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hideMark/>
          </w:tcPr>
          <w:p w14:paraId="3469E814"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 xml:space="preserve">Balai suteikiami projektams, kuriuose planuojamas vėlesnis TPL projekto pradžioje negu nustatyta Aprašo 2.2 papunktyje:  </w:t>
            </w:r>
          </w:p>
          <w:p w14:paraId="5DF92047"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20 balų suteikiama projektui, kuriame planuojamos veiklos pradedant nuo TPL 7 etapo.</w:t>
            </w:r>
          </w:p>
          <w:p w14:paraId="39583BE7"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10 balų suteikiama projektui, kuriame planuojamos veiklos pradedant nuo TPL 6 etapo.</w:t>
            </w:r>
          </w:p>
          <w:p w14:paraId="08FEED48"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5 balai suteikiama projektui, kuriame planuojamos veiklos pradedant nuo TPL 5 etapo.</w:t>
            </w:r>
          </w:p>
          <w:p w14:paraId="2C21ED93" w14:textId="36E186E6" w:rsidR="00EC3C47" w:rsidRPr="001657DC" w:rsidRDefault="00EC3C47" w:rsidP="00EC3C47">
            <w:pPr>
              <w:spacing w:after="120" w:line="240" w:lineRule="auto"/>
              <w:jc w:val="both"/>
              <w:rPr>
                <w:rFonts w:ascii="Times New Roman" w:hAnsi="Times New Roman" w:cs="Times New Roman"/>
                <w:lang w:val="lt"/>
              </w:rPr>
            </w:pPr>
            <w:r w:rsidRPr="00EC3C47">
              <w:rPr>
                <w:rFonts w:ascii="Times New Roman" w:hAnsi="Times New Roman" w:cs="Times New Roman"/>
                <w:szCs w:val="24"/>
              </w:rPr>
              <w:t>Projektams, kuriuose planuojamas TPL projekto pradžioje sutampa su nustatytu Aprašo 2.2 papunktyje, skiriama 0 balų.</w:t>
            </w:r>
          </w:p>
        </w:tc>
        <w:tc>
          <w:tcPr>
            <w:tcW w:w="340" w:type="pct"/>
            <w:tcBorders>
              <w:top w:val="single" w:sz="4" w:space="0" w:color="auto"/>
              <w:left w:val="single" w:sz="4" w:space="0" w:color="auto"/>
              <w:bottom w:val="single" w:sz="4" w:space="0" w:color="auto"/>
              <w:right w:val="single" w:sz="4" w:space="0" w:color="auto"/>
            </w:tcBorders>
            <w:hideMark/>
          </w:tcPr>
          <w:p w14:paraId="2CA3EB1B" w14:textId="10448F08" w:rsidR="00EC3C47" w:rsidRPr="001657DC" w:rsidRDefault="00EC3C47" w:rsidP="00EC3C47">
            <w:pPr>
              <w:spacing w:after="120" w:line="240" w:lineRule="auto"/>
              <w:jc w:val="center"/>
              <w:rPr>
                <w:rFonts w:ascii="Times New Roman" w:eastAsia="Times New Roman" w:hAnsi="Times New Roman" w:cs="Times New Roman"/>
                <w:lang w:eastAsia="lt-LT"/>
              </w:rPr>
            </w:pPr>
            <w:r w:rsidRPr="00EC3C47">
              <w:rPr>
                <w:rFonts w:ascii="Times New Roman" w:hAnsi="Times New Roman" w:cs="Times New Roman"/>
                <w:szCs w:val="24"/>
              </w:rPr>
              <w:t>20</w:t>
            </w:r>
          </w:p>
        </w:tc>
        <w:tc>
          <w:tcPr>
            <w:tcW w:w="292" w:type="pct"/>
            <w:tcBorders>
              <w:top w:val="single" w:sz="4" w:space="0" w:color="auto"/>
              <w:left w:val="single" w:sz="4" w:space="0" w:color="auto"/>
              <w:bottom w:val="nil"/>
              <w:right w:val="single" w:sz="4" w:space="0" w:color="auto"/>
            </w:tcBorders>
            <w:hideMark/>
          </w:tcPr>
          <w:p w14:paraId="277F4852" w14:textId="77777777"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hideMark/>
          </w:tcPr>
          <w:p w14:paraId="59063FA3" w14:textId="3AE6C990"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r w:rsidRPr="001657DC">
              <w:rPr>
                <w:rFonts w:ascii="Times New Roman" w:eastAsia="Times New Roman" w:hAnsi="Times New Roman" w:cs="Times New Roman"/>
                <w:lang w:eastAsia="lt-LT"/>
              </w:rPr>
              <w:t>1</w:t>
            </w:r>
          </w:p>
        </w:tc>
        <w:tc>
          <w:tcPr>
            <w:tcW w:w="340" w:type="pct"/>
            <w:tcBorders>
              <w:top w:val="single" w:sz="4" w:space="0" w:color="auto"/>
              <w:left w:val="single" w:sz="4" w:space="0" w:color="auto"/>
              <w:bottom w:val="nil"/>
              <w:right w:val="single" w:sz="4" w:space="0" w:color="auto"/>
            </w:tcBorders>
            <w:hideMark/>
          </w:tcPr>
          <w:p w14:paraId="5FC445DA" w14:textId="77777777"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hideMark/>
          </w:tcPr>
          <w:p w14:paraId="07B89CC8" w14:textId="6206A3E4" w:rsidR="00EC3C47" w:rsidRPr="002F0078" w:rsidRDefault="00EC3C47" w:rsidP="00EC3C47">
            <w:pPr>
              <w:spacing w:after="0" w:line="240" w:lineRule="auto"/>
              <w:ind w:left="-57" w:right="-57"/>
              <w:jc w:val="center"/>
              <w:rPr>
                <w:rFonts w:ascii="Times New Roman" w:eastAsia="Times New Roman" w:hAnsi="Times New Roman" w:cs="Times New Roman"/>
                <w:sz w:val="20"/>
                <w:szCs w:val="20"/>
                <w:lang w:eastAsia="lt-LT"/>
              </w:rPr>
            </w:pPr>
          </w:p>
        </w:tc>
        <w:tc>
          <w:tcPr>
            <w:tcW w:w="328" w:type="pct"/>
            <w:tcBorders>
              <w:top w:val="single" w:sz="4" w:space="0" w:color="auto"/>
              <w:left w:val="single" w:sz="4" w:space="0" w:color="auto"/>
              <w:bottom w:val="nil"/>
              <w:right w:val="single" w:sz="4" w:space="0" w:color="auto"/>
            </w:tcBorders>
            <w:noWrap/>
            <w:hideMark/>
          </w:tcPr>
          <w:p w14:paraId="50635D4D" w14:textId="77777777" w:rsidR="00EC3C47" w:rsidRPr="002F0078" w:rsidRDefault="00EC3C47" w:rsidP="00EC3C47">
            <w:pPr>
              <w:spacing w:after="0" w:line="240" w:lineRule="auto"/>
              <w:ind w:left="-57" w:right="-57"/>
              <w:jc w:val="center"/>
              <w:rPr>
                <w:rFonts w:ascii="Times New Roman" w:eastAsia="Times New Roman" w:hAnsi="Times New Roman" w:cs="Times New Roman"/>
                <w:sz w:val="20"/>
                <w:szCs w:val="20"/>
                <w:lang w:eastAsia="lt-LT"/>
              </w:rPr>
            </w:pPr>
          </w:p>
        </w:tc>
      </w:tr>
      <w:tr w:rsidR="00EC3C47" w:rsidRPr="002F0078" w14:paraId="3095D86E" w14:textId="77777777" w:rsidTr="00A10522">
        <w:trPr>
          <w:trHeight w:val="300"/>
        </w:trPr>
        <w:tc>
          <w:tcPr>
            <w:tcW w:w="145" w:type="pct"/>
            <w:tcBorders>
              <w:top w:val="single" w:sz="4" w:space="0" w:color="auto"/>
              <w:left w:val="single" w:sz="4" w:space="0" w:color="auto"/>
              <w:bottom w:val="single" w:sz="4" w:space="0" w:color="auto"/>
              <w:right w:val="single" w:sz="4" w:space="0" w:color="auto"/>
            </w:tcBorders>
            <w:noWrap/>
          </w:tcPr>
          <w:p w14:paraId="38077895" w14:textId="5A599D81" w:rsidR="00EC3C47" w:rsidRPr="001657DC" w:rsidRDefault="00EC3C47" w:rsidP="00EC3C47">
            <w:pPr>
              <w:spacing w:after="0" w:line="240" w:lineRule="auto"/>
              <w:ind w:left="-57" w:right="-57"/>
              <w:rPr>
                <w:rFonts w:ascii="Times New Roman" w:eastAsia="Times New Roman" w:hAnsi="Times New Roman" w:cs="Times New Roman"/>
                <w:color w:val="000000"/>
                <w:lang w:eastAsia="lt-LT"/>
              </w:rPr>
            </w:pPr>
            <w:r w:rsidRPr="001657DC">
              <w:rPr>
                <w:rFonts w:ascii="Times New Roman" w:eastAsia="Times New Roman" w:hAnsi="Times New Roman" w:cs="Times New Roman"/>
                <w:color w:val="000000"/>
                <w:lang w:eastAsia="lt-LT"/>
              </w:rPr>
              <w:t>3.</w:t>
            </w:r>
          </w:p>
        </w:tc>
        <w:tc>
          <w:tcPr>
            <w:tcW w:w="583"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11A9C945" w14:textId="5D79EA2A" w:rsidR="00EC3C47" w:rsidRPr="001657DC"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TPL projekto pabaigoje</w:t>
            </w:r>
          </w:p>
        </w:tc>
        <w:tc>
          <w:tcPr>
            <w:tcW w:w="2290"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49396AFF"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Balai suteikiami projektams, kuriuose planuojamas vėlesnis TPL projekto pabaigoje, negu nustatyta Aprašo 2.2 papunktyje:</w:t>
            </w:r>
          </w:p>
          <w:p w14:paraId="3ACAA549"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10 balų suteikiama projektui, kuriame planuojama projekto veiklas užbaigti TPL 9 etapu.</w:t>
            </w:r>
          </w:p>
          <w:p w14:paraId="399B0713" w14:textId="0B33A389" w:rsidR="00EC3C47" w:rsidRPr="001657DC"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lastRenderedPageBreak/>
              <w:t>Projektams, kuriuose planuojamas TPL užbaigus projektą sutampa su nustatytu Aprašo 2.2 papunktyje, skiriama 0 balų.</w:t>
            </w:r>
            <w:r>
              <w:rPr>
                <w:szCs w:val="24"/>
              </w:rPr>
              <w:t xml:space="preserve"> </w:t>
            </w:r>
          </w:p>
        </w:tc>
        <w:tc>
          <w:tcPr>
            <w:tcW w:w="340" w:type="pct"/>
            <w:tcBorders>
              <w:top w:val="single" w:sz="4" w:space="0" w:color="auto"/>
              <w:left w:val="single" w:sz="4" w:space="0" w:color="auto"/>
              <w:bottom w:val="single" w:sz="4" w:space="0" w:color="auto"/>
              <w:right w:val="single" w:sz="4" w:space="0" w:color="auto"/>
            </w:tcBorders>
          </w:tcPr>
          <w:p w14:paraId="0B6B47C9" w14:textId="6CF20AE0" w:rsidR="00EC3C47" w:rsidRPr="001657DC" w:rsidRDefault="00EC3C47" w:rsidP="00EC3C47">
            <w:pPr>
              <w:spacing w:after="120" w:line="240" w:lineRule="auto"/>
              <w:jc w:val="center"/>
              <w:rPr>
                <w:rFonts w:ascii="Times New Roman" w:hAnsi="Times New Roman" w:cs="Times New Roman"/>
                <w:szCs w:val="24"/>
              </w:rPr>
            </w:pPr>
            <w:r w:rsidRPr="00EC3C47">
              <w:rPr>
                <w:rFonts w:ascii="Times New Roman" w:hAnsi="Times New Roman" w:cs="Times New Roman"/>
                <w:szCs w:val="24"/>
              </w:rPr>
              <w:lastRenderedPageBreak/>
              <w:t>10</w:t>
            </w:r>
          </w:p>
        </w:tc>
        <w:tc>
          <w:tcPr>
            <w:tcW w:w="292" w:type="pct"/>
            <w:tcBorders>
              <w:top w:val="single" w:sz="4" w:space="0" w:color="auto"/>
              <w:left w:val="single" w:sz="4" w:space="0" w:color="auto"/>
              <w:bottom w:val="nil"/>
              <w:right w:val="single" w:sz="4" w:space="0" w:color="auto"/>
            </w:tcBorders>
          </w:tcPr>
          <w:p w14:paraId="2DADA25E" w14:textId="77777777"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tcPr>
          <w:p w14:paraId="793ABA66" w14:textId="39A16020"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r w:rsidRPr="001657DC">
              <w:rPr>
                <w:rFonts w:ascii="Times New Roman" w:eastAsia="Times New Roman" w:hAnsi="Times New Roman" w:cs="Times New Roman"/>
                <w:lang w:eastAsia="lt-LT"/>
              </w:rPr>
              <w:t>1</w:t>
            </w:r>
          </w:p>
        </w:tc>
        <w:tc>
          <w:tcPr>
            <w:tcW w:w="340" w:type="pct"/>
            <w:tcBorders>
              <w:top w:val="single" w:sz="4" w:space="0" w:color="auto"/>
              <w:left w:val="single" w:sz="4" w:space="0" w:color="auto"/>
              <w:bottom w:val="nil"/>
              <w:right w:val="single" w:sz="4" w:space="0" w:color="auto"/>
            </w:tcBorders>
          </w:tcPr>
          <w:p w14:paraId="5D0DDB7B" w14:textId="77777777"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tcPr>
          <w:p w14:paraId="77A9E468" w14:textId="77777777" w:rsidR="00EC3C47" w:rsidRPr="002F0078" w:rsidRDefault="00EC3C47" w:rsidP="00EC3C47">
            <w:pPr>
              <w:spacing w:after="0" w:line="240" w:lineRule="auto"/>
              <w:ind w:left="-57" w:right="-57"/>
              <w:jc w:val="center"/>
              <w:rPr>
                <w:rFonts w:ascii="Times New Roman" w:eastAsia="Times New Roman" w:hAnsi="Times New Roman" w:cs="Times New Roman"/>
                <w:sz w:val="20"/>
                <w:szCs w:val="20"/>
                <w:lang w:eastAsia="lt-LT"/>
              </w:rPr>
            </w:pPr>
          </w:p>
        </w:tc>
        <w:tc>
          <w:tcPr>
            <w:tcW w:w="328" w:type="pct"/>
            <w:tcBorders>
              <w:top w:val="single" w:sz="4" w:space="0" w:color="auto"/>
              <w:left w:val="single" w:sz="4" w:space="0" w:color="auto"/>
              <w:bottom w:val="nil"/>
              <w:right w:val="single" w:sz="4" w:space="0" w:color="auto"/>
            </w:tcBorders>
            <w:noWrap/>
          </w:tcPr>
          <w:p w14:paraId="4BAC6B1B" w14:textId="77777777" w:rsidR="00EC3C47" w:rsidRPr="002F0078" w:rsidRDefault="00EC3C47" w:rsidP="00EC3C47">
            <w:pPr>
              <w:spacing w:after="0" w:line="240" w:lineRule="auto"/>
              <w:ind w:left="-57" w:right="-57"/>
              <w:jc w:val="center"/>
              <w:rPr>
                <w:rFonts w:ascii="Times New Roman" w:eastAsia="Times New Roman" w:hAnsi="Times New Roman" w:cs="Times New Roman"/>
                <w:sz w:val="20"/>
                <w:szCs w:val="20"/>
                <w:lang w:eastAsia="lt-LT"/>
              </w:rPr>
            </w:pPr>
          </w:p>
        </w:tc>
      </w:tr>
      <w:tr w:rsidR="00EC3C47" w:rsidRPr="002F0078" w14:paraId="1A17743A" w14:textId="77777777" w:rsidTr="00A10522">
        <w:trPr>
          <w:trHeight w:val="300"/>
        </w:trPr>
        <w:tc>
          <w:tcPr>
            <w:tcW w:w="145" w:type="pct"/>
            <w:tcBorders>
              <w:top w:val="single" w:sz="4" w:space="0" w:color="auto"/>
              <w:left w:val="single" w:sz="4" w:space="0" w:color="auto"/>
              <w:bottom w:val="single" w:sz="4" w:space="0" w:color="auto"/>
              <w:right w:val="single" w:sz="4" w:space="0" w:color="auto"/>
            </w:tcBorders>
            <w:noWrap/>
          </w:tcPr>
          <w:p w14:paraId="5DA71FCC" w14:textId="73D8046A" w:rsidR="00EC3C47" w:rsidRPr="001657DC" w:rsidRDefault="00EC3C47" w:rsidP="00EC3C47">
            <w:pPr>
              <w:spacing w:after="0" w:line="240" w:lineRule="auto"/>
              <w:ind w:left="-57" w:right="-57"/>
              <w:rPr>
                <w:rFonts w:ascii="Times New Roman" w:eastAsia="Times New Roman" w:hAnsi="Times New Roman" w:cs="Times New Roman"/>
                <w:color w:val="000000"/>
                <w:lang w:eastAsia="lt-LT"/>
              </w:rPr>
            </w:pPr>
            <w:r w:rsidRPr="001657DC">
              <w:rPr>
                <w:rFonts w:ascii="Times New Roman" w:eastAsia="Times New Roman" w:hAnsi="Times New Roman" w:cs="Times New Roman"/>
                <w:color w:val="000000"/>
                <w:lang w:eastAsia="lt-LT"/>
              </w:rPr>
              <w:t>4.</w:t>
            </w:r>
          </w:p>
        </w:tc>
        <w:tc>
          <w:tcPr>
            <w:tcW w:w="583"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6F7BB325" w14:textId="52B215AA" w:rsidR="00EC3C47" w:rsidRPr="001657DC" w:rsidRDefault="00EC3C47" w:rsidP="00EC3C47">
            <w:pPr>
              <w:spacing w:after="0" w:line="240" w:lineRule="auto"/>
              <w:ind w:left="-57" w:right="-57"/>
              <w:rPr>
                <w:rFonts w:ascii="Times New Roman" w:hAnsi="Times New Roman" w:cs="Times New Roman"/>
                <w:szCs w:val="24"/>
              </w:rPr>
            </w:pPr>
            <w:r w:rsidRPr="00EC3C47">
              <w:rPr>
                <w:rFonts w:ascii="Times New Roman" w:hAnsi="Times New Roman" w:cs="Times New Roman"/>
                <w:szCs w:val="24"/>
              </w:rPr>
              <w:t>Nuosavų lėšų dalis</w:t>
            </w:r>
          </w:p>
        </w:tc>
        <w:tc>
          <w:tcPr>
            <w:tcW w:w="2290"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3C507C3A"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Balai suteikiami už papildomą nuosavų lėšų dalį, t. y. kai pareiškėjas ir (ar) partneris (-</w:t>
            </w:r>
            <w:proofErr w:type="spellStart"/>
            <w:r w:rsidRPr="00EC3C47">
              <w:rPr>
                <w:rFonts w:ascii="Times New Roman" w:hAnsi="Times New Roman" w:cs="Times New Roman"/>
                <w:szCs w:val="24"/>
              </w:rPr>
              <w:t>iai</w:t>
            </w:r>
            <w:proofErr w:type="spellEnd"/>
            <w:r w:rsidRPr="00EC3C47">
              <w:rPr>
                <w:rFonts w:ascii="Times New Roman" w:hAnsi="Times New Roman" w:cs="Times New Roman"/>
                <w:szCs w:val="24"/>
              </w:rPr>
              <w:t>) prie projekto įgyvendinimo prisideda didesne nuosavų lėšų dalimi nei minimali procentinė dalis, apskaičiuota atsižvelgiant į pagal Aprašo 5.2 papunktį taikomą finansuojamąją dalį.</w:t>
            </w:r>
          </w:p>
          <w:p w14:paraId="76BA8094"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 xml:space="preserve">Papildoma nuosavų lėšų dalis apskaičiuojama pagal formulę: </w:t>
            </w:r>
          </w:p>
          <w:p w14:paraId="6BE3A0DA" w14:textId="77777777" w:rsidR="00EC3C47" w:rsidRPr="00EC3C47" w:rsidRDefault="00EC3C47" w:rsidP="00EC3C47">
            <w:pPr>
              <w:spacing w:after="120" w:line="240" w:lineRule="auto"/>
              <w:jc w:val="both"/>
              <w:rPr>
                <w:rFonts w:ascii="Times New Roman" w:hAnsi="Times New Roman" w:cs="Times New Roman"/>
                <w:szCs w:val="24"/>
              </w:rPr>
            </w:pPr>
          </w:p>
          <w:p w14:paraId="169ECB67" w14:textId="77777777" w:rsidR="00EC3C47" w:rsidRPr="00EC3C47" w:rsidRDefault="00EC3C47" w:rsidP="00EC3C47">
            <w:pPr>
              <w:spacing w:after="120" w:line="240" w:lineRule="auto"/>
              <w:jc w:val="both"/>
              <w:rPr>
                <w:rFonts w:ascii="Times New Roman" w:hAnsi="Times New Roman" w:cs="Times New Roman"/>
                <w:szCs w:val="24"/>
              </w:rPr>
            </w:pPr>
            <m:oMathPara>
              <m:oMath>
                <m:r>
                  <w:rPr>
                    <w:rFonts w:ascii="Cambria Math" w:hAnsi="Cambria Math" w:cs="Times New Roman"/>
                    <w:szCs w:val="24"/>
                  </w:rPr>
                  <m:t>PND</m:t>
                </m:r>
                <m:r>
                  <m:rPr>
                    <m:sty m:val="p"/>
                  </m:rPr>
                  <w:rPr>
                    <w:rFonts w:ascii="Cambria Math" w:hAnsi="Cambria Math" w:cs="Times New Roman"/>
                    <w:szCs w:val="24"/>
                  </w:rPr>
                  <m:t>=</m:t>
                </m:r>
                <m:f>
                  <m:fPr>
                    <m:ctrlPr>
                      <w:rPr>
                        <w:rFonts w:ascii="Cambria Math" w:hAnsi="Cambria Math" w:cs="Times New Roman"/>
                        <w:szCs w:val="24"/>
                      </w:rPr>
                    </m:ctrlPr>
                  </m:fPr>
                  <m:num>
                    <m:r>
                      <w:rPr>
                        <w:rFonts w:ascii="Cambria Math" w:hAnsi="Cambria Math" w:cs="Times New Roman"/>
                        <w:szCs w:val="24"/>
                      </w:rPr>
                      <m:t>ND</m:t>
                    </m:r>
                    <m:r>
                      <m:rPr>
                        <m:sty m:val="p"/>
                      </m:rPr>
                      <w:rPr>
                        <w:rFonts w:ascii="Cambria Math" w:hAnsi="Cambria Math" w:cs="Times New Roman"/>
                        <w:szCs w:val="24"/>
                      </w:rPr>
                      <m:t>-</m:t>
                    </m:r>
                    <m:r>
                      <w:rPr>
                        <w:rFonts w:ascii="Cambria Math" w:hAnsi="Cambria Math" w:cs="Times New Roman"/>
                        <w:szCs w:val="24"/>
                      </w:rPr>
                      <m:t>NP</m:t>
                    </m:r>
                    <m:r>
                      <m:rPr>
                        <m:sty m:val="p"/>
                      </m:rPr>
                      <w:rPr>
                        <w:rFonts w:ascii="Cambria Math" w:hAnsi="Cambria Math" w:cs="Times New Roman"/>
                        <w:szCs w:val="24"/>
                      </w:rPr>
                      <m:t>Į</m:t>
                    </m:r>
                  </m:num>
                  <m:den>
                    <m:r>
                      <w:rPr>
                        <w:rFonts w:ascii="Cambria Math" w:hAnsi="Cambria Math" w:cs="Times New Roman"/>
                        <w:szCs w:val="24"/>
                      </w:rPr>
                      <m:t>I</m:t>
                    </m:r>
                  </m:den>
                </m:f>
                <m:r>
                  <m:rPr>
                    <m:sty m:val="p"/>
                  </m:rPr>
                  <w:rPr>
                    <w:rFonts w:ascii="Cambria Math" w:hAnsi="Cambria Math" w:cs="Times New Roman"/>
                    <w:szCs w:val="24"/>
                  </w:rPr>
                  <m:t>*100-</m:t>
                </m:r>
                <m:d>
                  <m:dPr>
                    <m:ctrlPr>
                      <w:rPr>
                        <w:rFonts w:ascii="Cambria Math" w:hAnsi="Cambria Math" w:cs="Times New Roman"/>
                        <w:szCs w:val="24"/>
                      </w:rPr>
                    </m:ctrlPr>
                  </m:dPr>
                  <m:e>
                    <m:r>
                      <m:rPr>
                        <m:sty m:val="p"/>
                      </m:rPr>
                      <w:rPr>
                        <w:rFonts w:ascii="Cambria Math" w:hAnsi="Cambria Math" w:cs="Times New Roman"/>
                        <w:szCs w:val="24"/>
                      </w:rPr>
                      <m:t>100-</m:t>
                    </m:r>
                    <m:r>
                      <w:rPr>
                        <w:rFonts w:ascii="Cambria Math" w:hAnsi="Cambria Math" w:cs="Times New Roman"/>
                        <w:szCs w:val="24"/>
                      </w:rPr>
                      <m:t>VFD</m:t>
                    </m:r>
                  </m:e>
                </m:d>
              </m:oMath>
            </m:oMathPara>
          </w:p>
          <w:p w14:paraId="64EDD9CD" w14:textId="77777777" w:rsidR="00EC3C47" w:rsidRPr="00EC3C47" w:rsidRDefault="00EC3C47" w:rsidP="00EC3C47">
            <w:pPr>
              <w:spacing w:after="120" w:line="240" w:lineRule="auto"/>
              <w:jc w:val="both"/>
              <w:rPr>
                <w:rFonts w:ascii="Times New Roman" w:hAnsi="Times New Roman" w:cs="Times New Roman"/>
                <w:szCs w:val="24"/>
              </w:rPr>
            </w:pPr>
          </w:p>
          <w:p w14:paraId="13C96DD5"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kur:</w:t>
            </w:r>
          </w:p>
          <w:p w14:paraId="31874E7C"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PND – papildoma nuosavų lėšų dalis (proc.);</w:t>
            </w:r>
          </w:p>
          <w:p w14:paraId="2EDAB72D"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ND – pareiškėjo ir partnerio (-</w:t>
            </w:r>
            <w:proofErr w:type="spellStart"/>
            <w:r w:rsidRPr="00EC3C47">
              <w:rPr>
                <w:rFonts w:ascii="Times New Roman" w:hAnsi="Times New Roman" w:cs="Times New Roman"/>
                <w:szCs w:val="24"/>
              </w:rPr>
              <w:t>ių</w:t>
            </w:r>
            <w:proofErr w:type="spellEnd"/>
            <w:r w:rsidRPr="00EC3C47">
              <w:rPr>
                <w:rFonts w:ascii="Times New Roman" w:hAnsi="Times New Roman" w:cs="Times New Roman"/>
                <w:szCs w:val="24"/>
              </w:rPr>
              <w:t>) nuosavų lėšų, skirtų projekto tinkamoms finansuoti išlaidoms padengti, suma;</w:t>
            </w:r>
          </w:p>
          <w:p w14:paraId="17B201CE"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NPĮ  – nepiniginio įnašo vertė;</w:t>
            </w:r>
          </w:p>
          <w:p w14:paraId="22FC081D"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I – projekto tinkamų finansuoti išlaidų suma;</w:t>
            </w:r>
          </w:p>
          <w:p w14:paraId="39D016EE"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VFD – vidutinė pagal Aprašo 5.2–5.4 papunkčius taikoma finansavimo dalis (po tinkamumo finansuoti vertinimo), apskaičiuojama taip:</w:t>
            </w:r>
          </w:p>
          <w:p w14:paraId="7F0C6C7E" w14:textId="77777777" w:rsidR="00EC3C47" w:rsidRPr="00EC3C47" w:rsidRDefault="00EC3C47" w:rsidP="00EC3C47">
            <w:pPr>
              <w:spacing w:after="120" w:line="240" w:lineRule="auto"/>
              <w:jc w:val="both"/>
              <w:rPr>
                <w:rFonts w:ascii="Times New Roman" w:hAnsi="Times New Roman" w:cs="Times New Roman"/>
                <w:szCs w:val="24"/>
              </w:rPr>
            </w:pPr>
            <m:oMathPara>
              <m:oMath>
                <m:r>
                  <w:rPr>
                    <w:rFonts w:ascii="Cambria Math" w:hAnsi="Cambria Math" w:cs="Times New Roman"/>
                    <w:szCs w:val="24"/>
                  </w:rPr>
                  <m:t>VFD</m:t>
                </m:r>
                <m:r>
                  <m:rPr>
                    <m:sty m:val="p"/>
                  </m:rPr>
                  <w:rPr>
                    <w:rFonts w:ascii="Cambria Math" w:hAnsi="Cambria Math" w:cs="Times New Roman"/>
                    <w:szCs w:val="24"/>
                  </w:rPr>
                  <m:t>=</m:t>
                </m:r>
                <m:f>
                  <m:fPr>
                    <m:ctrlPr>
                      <w:rPr>
                        <w:rFonts w:ascii="Cambria Math" w:hAnsi="Cambria Math" w:cs="Times New Roman"/>
                        <w:szCs w:val="24"/>
                      </w:rPr>
                    </m:ctrlPr>
                  </m:fPr>
                  <m:num>
                    <m:r>
                      <w:rPr>
                        <w:rFonts w:ascii="Cambria Math" w:hAnsi="Cambria Math" w:cs="Times New Roman"/>
                        <w:szCs w:val="24"/>
                      </w:rPr>
                      <m:t>F</m:t>
                    </m:r>
                    <m:sSub>
                      <m:sSubPr>
                        <m:ctrlPr>
                          <w:rPr>
                            <w:rFonts w:ascii="Cambria Math" w:hAnsi="Cambria Math" w:cs="Times New Roman"/>
                            <w:szCs w:val="24"/>
                          </w:rPr>
                        </m:ctrlPr>
                      </m:sSubPr>
                      <m:e>
                        <m:r>
                          <w:rPr>
                            <w:rFonts w:ascii="Cambria Math" w:hAnsi="Cambria Math" w:cs="Times New Roman"/>
                            <w:szCs w:val="24"/>
                          </w:rPr>
                          <m:t>D</m:t>
                        </m:r>
                      </m:e>
                      <m:sub>
                        <m:r>
                          <m:rPr>
                            <m:sty m:val="p"/>
                          </m:rPr>
                          <w:rPr>
                            <w:rFonts w:ascii="Cambria Math" w:hAnsi="Cambria Math" w:cs="Times New Roman"/>
                            <w:szCs w:val="24"/>
                          </w:rPr>
                          <m:t>1</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I</m:t>
                        </m:r>
                      </m:e>
                      <m:sub>
                        <m:r>
                          <m:rPr>
                            <m:sty m:val="p"/>
                          </m:rPr>
                          <w:rPr>
                            <w:rFonts w:ascii="Cambria Math" w:hAnsi="Cambria Math" w:cs="Times New Roman"/>
                            <w:szCs w:val="24"/>
                          </w:rPr>
                          <m:t>1</m:t>
                        </m:r>
                      </m:sub>
                    </m:sSub>
                    <m:r>
                      <m:rPr>
                        <m:sty m:val="p"/>
                      </m:rPr>
                      <w:rPr>
                        <w:rFonts w:ascii="Cambria Math" w:hAnsi="Cambria Math" w:cs="Times New Roman"/>
                        <w:szCs w:val="24"/>
                      </w:rPr>
                      <m:t>+</m:t>
                    </m:r>
                    <m:r>
                      <w:rPr>
                        <w:rFonts w:ascii="Cambria Math" w:hAnsi="Cambria Math" w:cs="Times New Roman"/>
                        <w:szCs w:val="24"/>
                      </w:rPr>
                      <m:t>F</m:t>
                    </m:r>
                    <m:sSub>
                      <m:sSubPr>
                        <m:ctrlPr>
                          <w:rPr>
                            <w:rFonts w:ascii="Cambria Math" w:hAnsi="Cambria Math" w:cs="Times New Roman"/>
                            <w:szCs w:val="24"/>
                          </w:rPr>
                        </m:ctrlPr>
                      </m:sSubPr>
                      <m:e>
                        <m:r>
                          <w:rPr>
                            <w:rFonts w:ascii="Cambria Math" w:hAnsi="Cambria Math" w:cs="Times New Roman"/>
                            <w:szCs w:val="24"/>
                          </w:rPr>
                          <m:t>D</m:t>
                        </m:r>
                      </m:e>
                      <m:sub>
                        <m:r>
                          <m:rPr>
                            <m:sty m:val="p"/>
                          </m:rPr>
                          <w:rPr>
                            <w:rFonts w:ascii="Cambria Math" w:hAnsi="Cambria Math" w:cs="Times New Roman"/>
                            <w:szCs w:val="24"/>
                          </w:rPr>
                          <m:t>2</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I</m:t>
                        </m:r>
                      </m:e>
                      <m:sub>
                        <m:r>
                          <m:rPr>
                            <m:sty m:val="p"/>
                          </m:rPr>
                          <w:rPr>
                            <w:rFonts w:ascii="Cambria Math" w:hAnsi="Cambria Math" w:cs="Times New Roman"/>
                            <w:szCs w:val="24"/>
                          </w:rPr>
                          <m:t>2</m:t>
                        </m:r>
                      </m:sub>
                    </m:sSub>
                    <m:r>
                      <m:rPr>
                        <m:sty m:val="p"/>
                      </m:rPr>
                      <w:rPr>
                        <w:rFonts w:ascii="Cambria Math" w:hAnsi="Cambria Math" w:cs="Times New Roman"/>
                        <w:szCs w:val="24"/>
                      </w:rPr>
                      <m:t>+…+</m:t>
                    </m:r>
                    <m:r>
                      <w:rPr>
                        <w:rFonts w:ascii="Cambria Math" w:hAnsi="Cambria Math" w:cs="Times New Roman"/>
                        <w:szCs w:val="24"/>
                      </w:rPr>
                      <m:t>F</m:t>
                    </m:r>
                    <m:sSub>
                      <m:sSubPr>
                        <m:ctrlPr>
                          <w:rPr>
                            <w:rFonts w:ascii="Cambria Math" w:hAnsi="Cambria Math" w:cs="Times New Roman"/>
                            <w:szCs w:val="24"/>
                          </w:rPr>
                        </m:ctrlPr>
                      </m:sSubPr>
                      <m:e>
                        <m:r>
                          <w:rPr>
                            <w:rFonts w:ascii="Cambria Math" w:hAnsi="Cambria Math" w:cs="Times New Roman"/>
                            <w:szCs w:val="24"/>
                          </w:rPr>
                          <m:t>D</m:t>
                        </m:r>
                      </m:e>
                      <m:sub>
                        <m:r>
                          <w:rPr>
                            <w:rFonts w:ascii="Cambria Math" w:hAnsi="Cambria Math" w:cs="Times New Roman"/>
                            <w:szCs w:val="24"/>
                          </w:rPr>
                          <m:t>n</m:t>
                        </m:r>
                      </m:sub>
                    </m:sSub>
                    <m:r>
                      <m:rPr>
                        <m:sty m:val="p"/>
                      </m:rP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I</m:t>
                        </m:r>
                      </m:e>
                      <m:sub>
                        <m:r>
                          <w:rPr>
                            <w:rFonts w:ascii="Cambria Math" w:hAnsi="Cambria Math" w:cs="Times New Roman"/>
                            <w:szCs w:val="24"/>
                          </w:rPr>
                          <m:t>n</m:t>
                        </m:r>
                      </m:sub>
                    </m:sSub>
                  </m:num>
                  <m:den>
                    <m:r>
                      <w:rPr>
                        <w:rFonts w:ascii="Cambria Math" w:hAnsi="Cambria Math" w:cs="Times New Roman"/>
                        <w:szCs w:val="24"/>
                      </w:rPr>
                      <m:t>I</m:t>
                    </m:r>
                  </m:den>
                </m:f>
                <m:r>
                  <m:rPr>
                    <m:sty m:val="p"/>
                  </m:rPr>
                  <w:rPr>
                    <w:rFonts w:ascii="Cambria Math" w:hAnsi="Cambria Math" w:cs="Times New Roman"/>
                    <w:szCs w:val="24"/>
                  </w:rPr>
                  <m:t>*100</m:t>
                </m:r>
              </m:oMath>
            </m:oMathPara>
          </w:p>
          <w:p w14:paraId="1AAB1B48"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kur:</w:t>
            </w:r>
          </w:p>
          <w:p w14:paraId="31425639"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FD1...</w:t>
            </w:r>
            <w:proofErr w:type="spellStart"/>
            <w:r w:rsidRPr="00EC3C47">
              <w:rPr>
                <w:rFonts w:ascii="Times New Roman" w:hAnsi="Times New Roman" w:cs="Times New Roman"/>
                <w:szCs w:val="24"/>
              </w:rPr>
              <w:t>FDn</w:t>
            </w:r>
            <w:proofErr w:type="spellEnd"/>
            <w:r w:rsidRPr="00EC3C47">
              <w:rPr>
                <w:rFonts w:ascii="Times New Roman" w:hAnsi="Times New Roman" w:cs="Times New Roman"/>
                <w:szCs w:val="24"/>
              </w:rPr>
              <w:t xml:space="preserve"> – pagal Aprašo 5.2–5.4 papunkčius taikomos finansavimo normos (išreikštos kaip trupmenos, pvz., 0,5);</w:t>
            </w:r>
          </w:p>
          <w:p w14:paraId="58F2A3F8"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I1...</w:t>
            </w:r>
            <w:proofErr w:type="spellStart"/>
            <w:r w:rsidRPr="00EC3C47">
              <w:rPr>
                <w:rFonts w:ascii="Times New Roman" w:hAnsi="Times New Roman" w:cs="Times New Roman"/>
                <w:szCs w:val="24"/>
              </w:rPr>
              <w:t>In</w:t>
            </w:r>
            <w:proofErr w:type="spellEnd"/>
            <w:r w:rsidRPr="00EC3C47">
              <w:rPr>
                <w:rFonts w:ascii="Times New Roman" w:hAnsi="Times New Roman" w:cs="Times New Roman"/>
                <w:szCs w:val="24"/>
              </w:rPr>
              <w:t xml:space="preserve"> – tinkamų finansuoti išlaidų, kurioms taikoma atitinkama finansavimo norma, suma.</w:t>
            </w:r>
          </w:p>
          <w:p w14:paraId="6F894412" w14:textId="77777777" w:rsidR="00EC3C47" w:rsidRPr="00EC3C47" w:rsidRDefault="00EC3C47" w:rsidP="00EC3C47">
            <w:pPr>
              <w:spacing w:after="120" w:line="240" w:lineRule="auto"/>
              <w:jc w:val="both"/>
              <w:rPr>
                <w:rFonts w:ascii="Times New Roman" w:hAnsi="Times New Roman" w:cs="Times New Roman"/>
                <w:szCs w:val="24"/>
              </w:rPr>
            </w:pPr>
          </w:p>
          <w:p w14:paraId="000564B9"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0 balų skiriama, kai PND mažiau už 5;</w:t>
            </w:r>
          </w:p>
          <w:p w14:paraId="69F5BC2F"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3 balai skiriami, kai PND yra 5 ir daugiau, bet mažiau už 10;</w:t>
            </w:r>
          </w:p>
          <w:p w14:paraId="13415303"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5 balai skiriami, kai PND yra 10 ir daugiau, bet mažiau už 15;</w:t>
            </w:r>
          </w:p>
          <w:p w14:paraId="4C1A45B3"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7 balai skiriami, kai PND yra 15 ir daugiau, bet mažiau už 20;</w:t>
            </w:r>
          </w:p>
          <w:p w14:paraId="26F0B2EE"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10 balų skiriama, kai PND yra 20 ir daugiau, bet mažiau už 25;</w:t>
            </w:r>
          </w:p>
          <w:p w14:paraId="7794762B" w14:textId="72253249" w:rsidR="00EC3C47" w:rsidRPr="001657DC"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lastRenderedPageBreak/>
              <w:t>15 balų skiriama, kai PND yra 25 ir daugiau.</w:t>
            </w:r>
          </w:p>
        </w:tc>
        <w:tc>
          <w:tcPr>
            <w:tcW w:w="340" w:type="pct"/>
            <w:tcBorders>
              <w:top w:val="single" w:sz="4" w:space="0" w:color="auto"/>
              <w:left w:val="single" w:sz="4" w:space="0" w:color="auto"/>
              <w:bottom w:val="single" w:sz="4" w:space="0" w:color="auto"/>
              <w:right w:val="single" w:sz="4" w:space="0" w:color="auto"/>
            </w:tcBorders>
          </w:tcPr>
          <w:p w14:paraId="158646D6" w14:textId="08265B49" w:rsidR="00EC3C47" w:rsidRPr="001657DC" w:rsidRDefault="00EC3C47" w:rsidP="00EC3C47">
            <w:pPr>
              <w:spacing w:after="0" w:line="240" w:lineRule="auto"/>
              <w:ind w:left="-57" w:right="-57"/>
              <w:jc w:val="center"/>
              <w:rPr>
                <w:rFonts w:ascii="Times New Roman" w:hAnsi="Times New Roman" w:cs="Times New Roman"/>
                <w:szCs w:val="24"/>
              </w:rPr>
            </w:pPr>
            <w:r>
              <w:rPr>
                <w:rFonts w:ascii="Times New Roman" w:hAnsi="Times New Roman" w:cs="Times New Roman"/>
                <w:szCs w:val="24"/>
              </w:rPr>
              <w:lastRenderedPageBreak/>
              <w:t>15</w:t>
            </w:r>
          </w:p>
        </w:tc>
        <w:tc>
          <w:tcPr>
            <w:tcW w:w="292" w:type="pct"/>
            <w:tcBorders>
              <w:top w:val="single" w:sz="4" w:space="0" w:color="auto"/>
              <w:left w:val="single" w:sz="4" w:space="0" w:color="auto"/>
              <w:bottom w:val="nil"/>
              <w:right w:val="single" w:sz="4" w:space="0" w:color="auto"/>
            </w:tcBorders>
          </w:tcPr>
          <w:p w14:paraId="5B5832EB" w14:textId="77777777"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tcPr>
          <w:p w14:paraId="61A63D88" w14:textId="1790FEEF"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r w:rsidRPr="001657DC">
              <w:rPr>
                <w:rFonts w:ascii="Times New Roman" w:eastAsia="Times New Roman" w:hAnsi="Times New Roman" w:cs="Times New Roman"/>
                <w:lang w:eastAsia="lt-LT"/>
              </w:rPr>
              <w:t>1</w:t>
            </w:r>
          </w:p>
        </w:tc>
        <w:tc>
          <w:tcPr>
            <w:tcW w:w="340" w:type="pct"/>
            <w:tcBorders>
              <w:top w:val="single" w:sz="4" w:space="0" w:color="auto"/>
              <w:left w:val="single" w:sz="4" w:space="0" w:color="auto"/>
              <w:bottom w:val="nil"/>
              <w:right w:val="single" w:sz="4" w:space="0" w:color="auto"/>
            </w:tcBorders>
          </w:tcPr>
          <w:p w14:paraId="41937448" w14:textId="77777777"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tcPr>
          <w:p w14:paraId="50E0BAE2" w14:textId="77777777" w:rsidR="00EC3C47" w:rsidRPr="002F0078" w:rsidRDefault="00EC3C47" w:rsidP="00EC3C47">
            <w:pPr>
              <w:spacing w:after="0" w:line="240" w:lineRule="auto"/>
              <w:ind w:left="-57" w:right="-57"/>
              <w:jc w:val="center"/>
              <w:rPr>
                <w:rFonts w:ascii="Times New Roman" w:eastAsia="Times New Roman" w:hAnsi="Times New Roman" w:cs="Times New Roman"/>
                <w:sz w:val="20"/>
                <w:szCs w:val="20"/>
                <w:lang w:eastAsia="lt-LT"/>
              </w:rPr>
            </w:pPr>
          </w:p>
        </w:tc>
        <w:tc>
          <w:tcPr>
            <w:tcW w:w="328" w:type="pct"/>
            <w:tcBorders>
              <w:top w:val="single" w:sz="4" w:space="0" w:color="auto"/>
              <w:left w:val="single" w:sz="4" w:space="0" w:color="auto"/>
              <w:bottom w:val="nil"/>
              <w:right w:val="single" w:sz="4" w:space="0" w:color="auto"/>
            </w:tcBorders>
            <w:noWrap/>
          </w:tcPr>
          <w:p w14:paraId="586E49F0" w14:textId="77777777" w:rsidR="00EC3C47" w:rsidRPr="002F0078" w:rsidRDefault="00EC3C47" w:rsidP="00EC3C47">
            <w:pPr>
              <w:spacing w:after="0" w:line="240" w:lineRule="auto"/>
              <w:ind w:left="-57" w:right="-57"/>
              <w:jc w:val="center"/>
              <w:rPr>
                <w:rFonts w:ascii="Times New Roman" w:eastAsia="Times New Roman" w:hAnsi="Times New Roman" w:cs="Times New Roman"/>
                <w:sz w:val="20"/>
                <w:szCs w:val="20"/>
                <w:lang w:eastAsia="lt-LT"/>
              </w:rPr>
            </w:pPr>
          </w:p>
        </w:tc>
      </w:tr>
      <w:tr w:rsidR="00EC3C47" w:rsidRPr="002F0078" w14:paraId="55CEC71F" w14:textId="77777777" w:rsidTr="00A10522">
        <w:trPr>
          <w:trHeight w:val="300"/>
        </w:trPr>
        <w:tc>
          <w:tcPr>
            <w:tcW w:w="145" w:type="pct"/>
            <w:tcBorders>
              <w:top w:val="single" w:sz="4" w:space="0" w:color="auto"/>
              <w:left w:val="single" w:sz="4" w:space="0" w:color="auto"/>
              <w:bottom w:val="single" w:sz="4" w:space="0" w:color="auto"/>
              <w:right w:val="single" w:sz="4" w:space="0" w:color="auto"/>
            </w:tcBorders>
            <w:noWrap/>
          </w:tcPr>
          <w:p w14:paraId="1FED8CBC" w14:textId="3CE76692" w:rsidR="00EC3C47" w:rsidRPr="001657DC" w:rsidRDefault="00EC3C47" w:rsidP="00EC3C47">
            <w:pPr>
              <w:spacing w:after="0" w:line="240" w:lineRule="auto"/>
              <w:ind w:left="-57" w:right="-57"/>
              <w:rPr>
                <w:rFonts w:ascii="Times New Roman" w:eastAsia="Times New Roman" w:hAnsi="Times New Roman" w:cs="Times New Roman"/>
                <w:color w:val="000000"/>
                <w:lang w:eastAsia="lt-LT"/>
              </w:rPr>
            </w:pPr>
            <w:r w:rsidRPr="001657DC">
              <w:rPr>
                <w:rFonts w:ascii="Times New Roman" w:eastAsia="Times New Roman" w:hAnsi="Times New Roman" w:cs="Times New Roman"/>
                <w:color w:val="000000"/>
                <w:lang w:eastAsia="lt-LT"/>
              </w:rPr>
              <w:t>5.</w:t>
            </w:r>
          </w:p>
        </w:tc>
        <w:tc>
          <w:tcPr>
            <w:tcW w:w="583"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773CCDFA" w14:textId="2338BB57" w:rsidR="00EC3C47" w:rsidRPr="001657DC"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Pareiškėjo arba partnerio (-</w:t>
            </w:r>
            <w:proofErr w:type="spellStart"/>
            <w:r w:rsidRPr="00EC3C47">
              <w:rPr>
                <w:rFonts w:ascii="Times New Roman" w:hAnsi="Times New Roman" w:cs="Times New Roman"/>
                <w:szCs w:val="24"/>
              </w:rPr>
              <w:t>ių</w:t>
            </w:r>
            <w:proofErr w:type="spellEnd"/>
            <w:r w:rsidRPr="00EC3C47">
              <w:rPr>
                <w:rFonts w:ascii="Times New Roman" w:hAnsi="Times New Roman" w:cs="Times New Roman"/>
                <w:szCs w:val="24"/>
              </w:rPr>
              <w:t>) patirtis</w:t>
            </w:r>
          </w:p>
        </w:tc>
        <w:tc>
          <w:tcPr>
            <w:tcW w:w="2290"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598C3430"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Balai suteikiami projektams už pareiškėjo arba partnerio (-</w:t>
            </w:r>
            <w:proofErr w:type="spellStart"/>
            <w:r w:rsidRPr="00EC3C47">
              <w:rPr>
                <w:rFonts w:ascii="Times New Roman" w:hAnsi="Times New Roman" w:cs="Times New Roman"/>
                <w:szCs w:val="24"/>
              </w:rPr>
              <w:t>ių</w:t>
            </w:r>
            <w:proofErr w:type="spellEnd"/>
            <w:r w:rsidRPr="00EC3C47">
              <w:rPr>
                <w:rFonts w:ascii="Times New Roman" w:hAnsi="Times New Roman" w:cs="Times New Roman"/>
                <w:szCs w:val="24"/>
              </w:rPr>
              <w:t xml:space="preserve">) patirtį, įgyvendinant MTEP veiklas ir dalyvaujant tarptautiniuose verslo ir mokslo bendradarbiavimui skirtuose MTEP projektuose: </w:t>
            </w:r>
          </w:p>
          <w:p w14:paraId="72BB0501"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15 balų suteikiama, jei pareiškėjas arba partneris (-</w:t>
            </w:r>
            <w:proofErr w:type="spellStart"/>
            <w:r w:rsidRPr="00EC3C47">
              <w:rPr>
                <w:rFonts w:ascii="Times New Roman" w:hAnsi="Times New Roman" w:cs="Times New Roman"/>
                <w:szCs w:val="24"/>
              </w:rPr>
              <w:t>iai</w:t>
            </w:r>
            <w:proofErr w:type="spellEnd"/>
            <w:r w:rsidRPr="00EC3C47">
              <w:rPr>
                <w:rFonts w:ascii="Times New Roman" w:hAnsi="Times New Roman" w:cs="Times New Roman"/>
                <w:szCs w:val="24"/>
              </w:rPr>
              <w:t xml:space="preserve">) dalyvavo (dalyvauja) įgyvendinant bent vieną finansavimą gavusį tarptautinį verslo ir mokslo bendradarbiavimui skirtą MTEP projektą; </w:t>
            </w:r>
          </w:p>
          <w:p w14:paraId="0BBBE2F7" w14:textId="7777777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10 balų suteikiama, jei pareiškėjas arba partneris (-</w:t>
            </w:r>
            <w:proofErr w:type="spellStart"/>
            <w:r w:rsidRPr="00EC3C47">
              <w:rPr>
                <w:rFonts w:ascii="Times New Roman" w:hAnsi="Times New Roman" w:cs="Times New Roman"/>
                <w:szCs w:val="24"/>
              </w:rPr>
              <w:t>iai</w:t>
            </w:r>
            <w:proofErr w:type="spellEnd"/>
            <w:r w:rsidRPr="00EC3C47">
              <w:rPr>
                <w:rFonts w:ascii="Times New Roman" w:hAnsi="Times New Roman" w:cs="Times New Roman"/>
                <w:szCs w:val="24"/>
              </w:rPr>
              <w:t>) dalyvavo pateikiant tarptautinio verslo ir mokslo bendradarbiavimui skirto MTEP projekto paraišką, tačiau tokia paraiška nebuvo finansuota pritrūkus finansavimo lėšų, arba šiuo metu yra vertinama pareiškėjui dalyvaujant pateikta tarptautinio verslo ir mokslo bendradarbiavimui skirto MTEP projekto paraiška;</w:t>
            </w:r>
          </w:p>
          <w:p w14:paraId="72B6ED2C" w14:textId="41FECAEA" w:rsidR="00EC3C47" w:rsidRPr="001657DC"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5 balai suteikiami, jei pareiškėjas arba partneris (-</w:t>
            </w:r>
            <w:proofErr w:type="spellStart"/>
            <w:r w:rsidRPr="00EC3C47">
              <w:rPr>
                <w:rFonts w:ascii="Times New Roman" w:hAnsi="Times New Roman" w:cs="Times New Roman"/>
                <w:szCs w:val="24"/>
              </w:rPr>
              <w:t>iai</w:t>
            </w:r>
            <w:proofErr w:type="spellEnd"/>
            <w:r w:rsidRPr="00EC3C47">
              <w:rPr>
                <w:rFonts w:ascii="Times New Roman" w:hAnsi="Times New Roman" w:cs="Times New Roman"/>
                <w:szCs w:val="24"/>
              </w:rPr>
              <w:t>) yra deklaravę Valstybės duomenų agentūrai MTEP veiklai skirtas lėšas.</w:t>
            </w:r>
            <w:r>
              <w:rPr>
                <w:szCs w:val="24"/>
              </w:rPr>
              <w:t xml:space="preserve"> </w:t>
            </w:r>
          </w:p>
        </w:tc>
        <w:tc>
          <w:tcPr>
            <w:tcW w:w="340" w:type="pct"/>
            <w:tcBorders>
              <w:top w:val="single" w:sz="4" w:space="0" w:color="auto"/>
              <w:left w:val="single" w:sz="4" w:space="0" w:color="auto"/>
              <w:bottom w:val="single" w:sz="4" w:space="0" w:color="auto"/>
              <w:right w:val="single" w:sz="4" w:space="0" w:color="auto"/>
            </w:tcBorders>
          </w:tcPr>
          <w:p w14:paraId="6EB5ACD7" w14:textId="37CB31AC" w:rsidR="00EC3C47" w:rsidRPr="001657DC" w:rsidRDefault="00EC3C47" w:rsidP="00EC3C47">
            <w:pPr>
              <w:spacing w:after="120" w:line="240" w:lineRule="auto"/>
              <w:jc w:val="center"/>
              <w:rPr>
                <w:rFonts w:ascii="Times New Roman" w:hAnsi="Times New Roman" w:cs="Times New Roman"/>
                <w:szCs w:val="24"/>
              </w:rPr>
            </w:pPr>
            <w:r w:rsidRPr="00EC3C47">
              <w:rPr>
                <w:rFonts w:ascii="Times New Roman" w:hAnsi="Times New Roman" w:cs="Times New Roman"/>
                <w:szCs w:val="24"/>
              </w:rPr>
              <w:t>15</w:t>
            </w:r>
          </w:p>
        </w:tc>
        <w:tc>
          <w:tcPr>
            <w:tcW w:w="292" w:type="pct"/>
            <w:tcBorders>
              <w:top w:val="single" w:sz="4" w:space="0" w:color="auto"/>
              <w:left w:val="single" w:sz="4" w:space="0" w:color="auto"/>
              <w:bottom w:val="nil"/>
              <w:right w:val="single" w:sz="4" w:space="0" w:color="auto"/>
            </w:tcBorders>
          </w:tcPr>
          <w:p w14:paraId="4AB497AF" w14:textId="77777777"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tcPr>
          <w:p w14:paraId="0D2BFDDA" w14:textId="16BB5C71"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r w:rsidRPr="001657DC">
              <w:rPr>
                <w:rFonts w:ascii="Times New Roman" w:eastAsia="Times New Roman" w:hAnsi="Times New Roman" w:cs="Times New Roman"/>
                <w:lang w:eastAsia="lt-LT"/>
              </w:rPr>
              <w:t>1</w:t>
            </w:r>
          </w:p>
        </w:tc>
        <w:tc>
          <w:tcPr>
            <w:tcW w:w="340" w:type="pct"/>
            <w:tcBorders>
              <w:top w:val="single" w:sz="4" w:space="0" w:color="auto"/>
              <w:left w:val="single" w:sz="4" w:space="0" w:color="auto"/>
              <w:bottom w:val="nil"/>
              <w:right w:val="single" w:sz="4" w:space="0" w:color="auto"/>
            </w:tcBorders>
          </w:tcPr>
          <w:p w14:paraId="6BB64F89" w14:textId="77777777"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tcPr>
          <w:p w14:paraId="4C163594" w14:textId="77777777" w:rsidR="00EC3C47" w:rsidRPr="002F0078" w:rsidRDefault="00EC3C47" w:rsidP="00EC3C47">
            <w:pPr>
              <w:spacing w:after="0" w:line="240" w:lineRule="auto"/>
              <w:ind w:left="-57" w:right="-57"/>
              <w:jc w:val="center"/>
              <w:rPr>
                <w:rFonts w:ascii="Times New Roman" w:eastAsia="Times New Roman" w:hAnsi="Times New Roman" w:cs="Times New Roman"/>
                <w:sz w:val="20"/>
                <w:szCs w:val="20"/>
                <w:lang w:eastAsia="lt-LT"/>
              </w:rPr>
            </w:pPr>
          </w:p>
        </w:tc>
        <w:tc>
          <w:tcPr>
            <w:tcW w:w="328" w:type="pct"/>
            <w:tcBorders>
              <w:top w:val="single" w:sz="4" w:space="0" w:color="auto"/>
              <w:left w:val="single" w:sz="4" w:space="0" w:color="auto"/>
              <w:bottom w:val="nil"/>
              <w:right w:val="single" w:sz="4" w:space="0" w:color="auto"/>
            </w:tcBorders>
            <w:noWrap/>
          </w:tcPr>
          <w:p w14:paraId="0B123D85" w14:textId="77777777" w:rsidR="00EC3C47" w:rsidRPr="002F0078" w:rsidRDefault="00EC3C47" w:rsidP="00EC3C47">
            <w:pPr>
              <w:spacing w:after="0" w:line="240" w:lineRule="auto"/>
              <w:ind w:left="-57" w:right="-57"/>
              <w:jc w:val="center"/>
              <w:rPr>
                <w:rFonts w:ascii="Times New Roman" w:eastAsia="Times New Roman" w:hAnsi="Times New Roman" w:cs="Times New Roman"/>
                <w:sz w:val="20"/>
                <w:szCs w:val="20"/>
                <w:lang w:eastAsia="lt-LT"/>
              </w:rPr>
            </w:pPr>
          </w:p>
        </w:tc>
      </w:tr>
      <w:tr w:rsidR="00EC3C47" w:rsidRPr="002F0078" w14:paraId="2C0332E7" w14:textId="77777777" w:rsidTr="00A10522">
        <w:trPr>
          <w:trHeight w:val="300"/>
        </w:trPr>
        <w:tc>
          <w:tcPr>
            <w:tcW w:w="145" w:type="pct"/>
            <w:tcBorders>
              <w:top w:val="single" w:sz="4" w:space="0" w:color="auto"/>
              <w:left w:val="single" w:sz="4" w:space="0" w:color="auto"/>
              <w:bottom w:val="single" w:sz="4" w:space="0" w:color="auto"/>
              <w:right w:val="single" w:sz="4" w:space="0" w:color="auto"/>
            </w:tcBorders>
            <w:noWrap/>
          </w:tcPr>
          <w:p w14:paraId="2C96FA33" w14:textId="34E9D2F7" w:rsidR="00EC3C47" w:rsidRPr="001657DC" w:rsidRDefault="00EC3C47" w:rsidP="00EC3C47">
            <w:pPr>
              <w:spacing w:after="0" w:line="240" w:lineRule="auto"/>
              <w:ind w:left="-57" w:right="-57"/>
              <w:rPr>
                <w:rFonts w:ascii="Times New Roman" w:eastAsia="Times New Roman" w:hAnsi="Times New Roman" w:cs="Times New Roman"/>
                <w:color w:val="000000"/>
                <w:lang w:eastAsia="lt-LT"/>
              </w:rPr>
            </w:pPr>
            <w:r w:rsidRPr="001657DC">
              <w:rPr>
                <w:rFonts w:ascii="Times New Roman" w:eastAsia="Times New Roman" w:hAnsi="Times New Roman" w:cs="Times New Roman"/>
                <w:color w:val="000000"/>
                <w:lang w:eastAsia="lt-LT"/>
              </w:rPr>
              <w:t>6.</w:t>
            </w:r>
          </w:p>
        </w:tc>
        <w:tc>
          <w:tcPr>
            <w:tcW w:w="583"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3709546A" w14:textId="7DD67303" w:rsidR="00EC3C47" w:rsidRPr="001657DC" w:rsidRDefault="00EC3C47" w:rsidP="00EC3C47">
            <w:pPr>
              <w:spacing w:after="0" w:line="240" w:lineRule="auto"/>
              <w:ind w:left="-57" w:right="-57"/>
              <w:rPr>
                <w:rFonts w:ascii="Times New Roman" w:hAnsi="Times New Roman" w:cs="Times New Roman"/>
                <w:szCs w:val="24"/>
              </w:rPr>
            </w:pPr>
            <w:r w:rsidRPr="00EC3C47">
              <w:rPr>
                <w:rFonts w:ascii="Times New Roman" w:hAnsi="Times New Roman" w:cs="Times New Roman"/>
                <w:szCs w:val="24"/>
              </w:rPr>
              <w:t>Mokslo ir studijų institucijos dalyvavimas projekte</w:t>
            </w:r>
          </w:p>
        </w:tc>
        <w:tc>
          <w:tcPr>
            <w:tcW w:w="2290"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7BF830D5" w14:textId="5ABEA7B7" w:rsidR="00EC3C47" w:rsidRPr="001657DC"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Balai suteikiami projektui, kurio konsorciume bent vienas iš partnerių, dalyvaujančių įgyvendinant MTEP veiklą (-</w:t>
            </w:r>
            <w:proofErr w:type="spellStart"/>
            <w:r w:rsidRPr="00EC3C47">
              <w:rPr>
                <w:rFonts w:ascii="Times New Roman" w:hAnsi="Times New Roman" w:cs="Times New Roman"/>
                <w:szCs w:val="24"/>
              </w:rPr>
              <w:t>as</w:t>
            </w:r>
            <w:proofErr w:type="spellEnd"/>
            <w:r w:rsidRPr="00EC3C47">
              <w:rPr>
                <w:rFonts w:ascii="Times New Roman" w:hAnsi="Times New Roman" w:cs="Times New Roman"/>
                <w:szCs w:val="24"/>
              </w:rPr>
              <w:t>), yra mokslo ir studijų institucija, įtraukta į Atviros informavimo, konsultavimo ir orientavimo sistemos (AIKOS) registrą https://www.aikos.smm.lt/SitePages/Registruokis.aspx.</w:t>
            </w:r>
          </w:p>
        </w:tc>
        <w:tc>
          <w:tcPr>
            <w:tcW w:w="340" w:type="pct"/>
            <w:tcBorders>
              <w:top w:val="single" w:sz="4" w:space="0" w:color="auto"/>
              <w:left w:val="single" w:sz="4" w:space="0" w:color="auto"/>
              <w:bottom w:val="single" w:sz="4" w:space="0" w:color="auto"/>
              <w:right w:val="single" w:sz="4" w:space="0" w:color="auto"/>
            </w:tcBorders>
          </w:tcPr>
          <w:p w14:paraId="7B7662C5" w14:textId="1173166A" w:rsidR="00EC3C47" w:rsidRPr="001657DC" w:rsidRDefault="00EC3C47" w:rsidP="00EC3C47">
            <w:pPr>
              <w:spacing w:after="0" w:line="240" w:lineRule="auto"/>
              <w:ind w:left="-57" w:right="-57"/>
              <w:jc w:val="center"/>
              <w:rPr>
                <w:rFonts w:ascii="Times New Roman" w:hAnsi="Times New Roman" w:cs="Times New Roman"/>
                <w:szCs w:val="24"/>
              </w:rPr>
            </w:pPr>
            <w:r w:rsidRPr="00EC3C47">
              <w:rPr>
                <w:rFonts w:ascii="Times New Roman" w:hAnsi="Times New Roman" w:cs="Times New Roman"/>
                <w:szCs w:val="24"/>
              </w:rPr>
              <w:t>15</w:t>
            </w:r>
          </w:p>
        </w:tc>
        <w:tc>
          <w:tcPr>
            <w:tcW w:w="292" w:type="pct"/>
            <w:tcBorders>
              <w:top w:val="single" w:sz="4" w:space="0" w:color="auto"/>
              <w:left w:val="single" w:sz="4" w:space="0" w:color="auto"/>
              <w:bottom w:val="nil"/>
              <w:right w:val="single" w:sz="4" w:space="0" w:color="auto"/>
            </w:tcBorders>
          </w:tcPr>
          <w:p w14:paraId="07B82877" w14:textId="77777777"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tcPr>
          <w:p w14:paraId="3EF50B50" w14:textId="58282A1F"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r w:rsidRPr="001657DC">
              <w:rPr>
                <w:rFonts w:ascii="Times New Roman" w:eastAsia="Times New Roman" w:hAnsi="Times New Roman" w:cs="Times New Roman"/>
                <w:lang w:eastAsia="lt-LT"/>
              </w:rPr>
              <w:t>1</w:t>
            </w:r>
          </w:p>
        </w:tc>
        <w:tc>
          <w:tcPr>
            <w:tcW w:w="340" w:type="pct"/>
            <w:tcBorders>
              <w:top w:val="single" w:sz="4" w:space="0" w:color="auto"/>
              <w:left w:val="single" w:sz="4" w:space="0" w:color="auto"/>
              <w:bottom w:val="nil"/>
              <w:right w:val="single" w:sz="4" w:space="0" w:color="auto"/>
            </w:tcBorders>
          </w:tcPr>
          <w:p w14:paraId="59BFCABC" w14:textId="77777777"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tcPr>
          <w:p w14:paraId="2DD183DC" w14:textId="77777777" w:rsidR="00EC3C47" w:rsidRPr="002F0078" w:rsidRDefault="00EC3C47" w:rsidP="00EC3C47">
            <w:pPr>
              <w:spacing w:after="0" w:line="240" w:lineRule="auto"/>
              <w:ind w:left="-57" w:right="-57"/>
              <w:jc w:val="center"/>
              <w:rPr>
                <w:rFonts w:ascii="Times New Roman" w:eastAsia="Times New Roman" w:hAnsi="Times New Roman" w:cs="Times New Roman"/>
                <w:sz w:val="20"/>
                <w:szCs w:val="20"/>
                <w:lang w:eastAsia="lt-LT"/>
              </w:rPr>
            </w:pPr>
          </w:p>
        </w:tc>
        <w:tc>
          <w:tcPr>
            <w:tcW w:w="328" w:type="pct"/>
            <w:tcBorders>
              <w:top w:val="single" w:sz="4" w:space="0" w:color="auto"/>
              <w:left w:val="single" w:sz="4" w:space="0" w:color="auto"/>
              <w:bottom w:val="nil"/>
              <w:right w:val="single" w:sz="4" w:space="0" w:color="auto"/>
            </w:tcBorders>
            <w:noWrap/>
          </w:tcPr>
          <w:p w14:paraId="59BC6889" w14:textId="77777777" w:rsidR="00EC3C47" w:rsidRPr="002F0078" w:rsidRDefault="00EC3C47" w:rsidP="00EC3C47">
            <w:pPr>
              <w:spacing w:after="0" w:line="240" w:lineRule="auto"/>
              <w:ind w:left="-57" w:right="-57"/>
              <w:jc w:val="center"/>
              <w:rPr>
                <w:rFonts w:ascii="Times New Roman" w:eastAsia="Times New Roman" w:hAnsi="Times New Roman" w:cs="Times New Roman"/>
                <w:sz w:val="20"/>
                <w:szCs w:val="20"/>
                <w:lang w:eastAsia="lt-LT"/>
              </w:rPr>
            </w:pPr>
          </w:p>
        </w:tc>
      </w:tr>
      <w:tr w:rsidR="00EC3C47" w:rsidRPr="002F0078" w14:paraId="0440804C" w14:textId="77777777" w:rsidTr="00A10522">
        <w:trPr>
          <w:trHeight w:val="300"/>
        </w:trPr>
        <w:tc>
          <w:tcPr>
            <w:tcW w:w="145" w:type="pct"/>
            <w:tcBorders>
              <w:top w:val="single" w:sz="4" w:space="0" w:color="auto"/>
              <w:left w:val="single" w:sz="4" w:space="0" w:color="auto"/>
              <w:bottom w:val="single" w:sz="4" w:space="0" w:color="auto"/>
              <w:right w:val="single" w:sz="4" w:space="0" w:color="auto"/>
            </w:tcBorders>
            <w:noWrap/>
          </w:tcPr>
          <w:p w14:paraId="0635B795" w14:textId="7CD1C7FA" w:rsidR="00EC3C47" w:rsidRPr="001657DC" w:rsidRDefault="00EC3C47" w:rsidP="00EC3C47">
            <w:pPr>
              <w:spacing w:after="0" w:line="240" w:lineRule="auto"/>
              <w:ind w:left="-57" w:right="-57"/>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p>
        </w:tc>
        <w:tc>
          <w:tcPr>
            <w:tcW w:w="583"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55D08633" w14:textId="0E18AFBB"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Mažos ar vidutinės įmonės dalyvavimas projekte</w:t>
            </w:r>
          </w:p>
        </w:tc>
        <w:tc>
          <w:tcPr>
            <w:tcW w:w="2290"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3BB93FC6" w14:textId="646C1CA7" w:rsidR="00EC3C47" w:rsidRPr="00EC3C47" w:rsidRDefault="00EC3C47" w:rsidP="00EC3C47">
            <w:pPr>
              <w:spacing w:after="120" w:line="240" w:lineRule="auto"/>
              <w:jc w:val="both"/>
              <w:rPr>
                <w:rFonts w:ascii="Times New Roman" w:hAnsi="Times New Roman" w:cs="Times New Roman"/>
                <w:szCs w:val="24"/>
              </w:rPr>
            </w:pPr>
            <w:r w:rsidRPr="00EC3C47">
              <w:rPr>
                <w:rFonts w:ascii="Times New Roman" w:hAnsi="Times New Roman" w:cs="Times New Roman"/>
                <w:szCs w:val="24"/>
              </w:rPr>
              <w:t>Balai suteikiami projektui, kurio konsorciume bent vienas iš partnerių, dalyvaujančių įgyvendinant MTEP veiklą (-</w:t>
            </w:r>
            <w:proofErr w:type="spellStart"/>
            <w:r w:rsidRPr="00EC3C47">
              <w:rPr>
                <w:rFonts w:ascii="Times New Roman" w:hAnsi="Times New Roman" w:cs="Times New Roman"/>
                <w:szCs w:val="24"/>
              </w:rPr>
              <w:t>as</w:t>
            </w:r>
            <w:proofErr w:type="spellEnd"/>
            <w:r w:rsidRPr="00EC3C47">
              <w:rPr>
                <w:rFonts w:ascii="Times New Roman" w:hAnsi="Times New Roman" w:cs="Times New Roman"/>
                <w:szCs w:val="24"/>
              </w:rPr>
              <w:t>), yra maža arba vidutinė įmonė.</w:t>
            </w:r>
          </w:p>
        </w:tc>
        <w:tc>
          <w:tcPr>
            <w:tcW w:w="340" w:type="pct"/>
            <w:tcBorders>
              <w:top w:val="single" w:sz="4" w:space="0" w:color="auto"/>
              <w:left w:val="single" w:sz="4" w:space="0" w:color="auto"/>
              <w:bottom w:val="single" w:sz="4" w:space="0" w:color="auto"/>
              <w:right w:val="single" w:sz="4" w:space="0" w:color="auto"/>
            </w:tcBorders>
          </w:tcPr>
          <w:p w14:paraId="4CD06253" w14:textId="2E28C04C" w:rsidR="00EC3C47" w:rsidRPr="00EC3C47" w:rsidRDefault="00EC3C47" w:rsidP="00EC3C47">
            <w:pPr>
              <w:spacing w:after="120" w:line="240" w:lineRule="auto"/>
              <w:jc w:val="center"/>
              <w:rPr>
                <w:rFonts w:ascii="Times New Roman" w:hAnsi="Times New Roman" w:cs="Times New Roman"/>
                <w:szCs w:val="24"/>
              </w:rPr>
            </w:pPr>
            <w:r w:rsidRPr="00EC3C47">
              <w:rPr>
                <w:rFonts w:ascii="Times New Roman" w:hAnsi="Times New Roman" w:cs="Times New Roman"/>
                <w:szCs w:val="24"/>
              </w:rPr>
              <w:t>10</w:t>
            </w:r>
          </w:p>
        </w:tc>
        <w:tc>
          <w:tcPr>
            <w:tcW w:w="292" w:type="pct"/>
            <w:tcBorders>
              <w:top w:val="single" w:sz="4" w:space="0" w:color="auto"/>
              <w:left w:val="single" w:sz="4" w:space="0" w:color="auto"/>
              <w:bottom w:val="nil"/>
              <w:right w:val="single" w:sz="4" w:space="0" w:color="auto"/>
            </w:tcBorders>
          </w:tcPr>
          <w:p w14:paraId="7158EA5C" w14:textId="77777777"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tcPr>
          <w:p w14:paraId="7B23ADF3" w14:textId="20E55FE9"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340" w:type="pct"/>
            <w:tcBorders>
              <w:top w:val="single" w:sz="4" w:space="0" w:color="auto"/>
              <w:left w:val="single" w:sz="4" w:space="0" w:color="auto"/>
              <w:bottom w:val="nil"/>
              <w:right w:val="single" w:sz="4" w:space="0" w:color="auto"/>
            </w:tcBorders>
          </w:tcPr>
          <w:p w14:paraId="22D53E16" w14:textId="77777777" w:rsidR="00EC3C47" w:rsidRPr="001657DC" w:rsidRDefault="00EC3C47" w:rsidP="00EC3C47">
            <w:pPr>
              <w:spacing w:after="0" w:line="240" w:lineRule="auto"/>
              <w:ind w:left="-57" w:right="-57"/>
              <w:jc w:val="center"/>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tcPr>
          <w:p w14:paraId="69BBA0BD" w14:textId="77777777" w:rsidR="00EC3C47" w:rsidRPr="002F0078" w:rsidRDefault="00EC3C47" w:rsidP="00EC3C47">
            <w:pPr>
              <w:spacing w:after="0" w:line="240" w:lineRule="auto"/>
              <w:ind w:left="-57" w:right="-57"/>
              <w:jc w:val="center"/>
              <w:rPr>
                <w:rFonts w:ascii="Times New Roman" w:eastAsia="Times New Roman" w:hAnsi="Times New Roman" w:cs="Times New Roman"/>
                <w:sz w:val="20"/>
                <w:szCs w:val="20"/>
                <w:lang w:eastAsia="lt-LT"/>
              </w:rPr>
            </w:pPr>
          </w:p>
        </w:tc>
        <w:tc>
          <w:tcPr>
            <w:tcW w:w="328" w:type="pct"/>
            <w:tcBorders>
              <w:top w:val="single" w:sz="4" w:space="0" w:color="auto"/>
              <w:left w:val="single" w:sz="4" w:space="0" w:color="auto"/>
              <w:bottom w:val="nil"/>
              <w:right w:val="single" w:sz="4" w:space="0" w:color="auto"/>
            </w:tcBorders>
            <w:noWrap/>
          </w:tcPr>
          <w:p w14:paraId="5E126F31" w14:textId="77777777" w:rsidR="00EC3C47" w:rsidRPr="002F0078" w:rsidRDefault="00EC3C47" w:rsidP="00EC3C47">
            <w:pPr>
              <w:spacing w:after="0" w:line="240" w:lineRule="auto"/>
              <w:ind w:left="-57" w:right="-57"/>
              <w:jc w:val="center"/>
              <w:rPr>
                <w:rFonts w:ascii="Times New Roman" w:eastAsia="Times New Roman" w:hAnsi="Times New Roman" w:cs="Times New Roman"/>
                <w:sz w:val="20"/>
                <w:szCs w:val="20"/>
                <w:lang w:eastAsia="lt-LT"/>
              </w:rPr>
            </w:pPr>
          </w:p>
        </w:tc>
      </w:tr>
      <w:tr w:rsidR="00A10522" w:rsidRPr="002F0078" w14:paraId="6CE49BF1" w14:textId="77777777" w:rsidTr="00A10522">
        <w:trPr>
          <w:trHeight w:val="1250"/>
        </w:trPr>
        <w:tc>
          <w:tcPr>
            <w:tcW w:w="3358" w:type="pct"/>
            <w:gridSpan w:val="4"/>
            <w:tcBorders>
              <w:top w:val="single" w:sz="4" w:space="0" w:color="auto"/>
              <w:left w:val="single" w:sz="4" w:space="0" w:color="auto"/>
              <w:bottom w:val="single" w:sz="4" w:space="0" w:color="auto"/>
              <w:right w:val="nil"/>
            </w:tcBorders>
            <w:noWrap/>
            <w:vAlign w:val="bottom"/>
            <w:hideMark/>
          </w:tcPr>
          <w:p w14:paraId="66B8F327" w14:textId="77777777" w:rsidR="00EC3C47" w:rsidRPr="00EC3C47" w:rsidRDefault="00EC3C47" w:rsidP="00EC3C47">
            <w:pPr>
              <w:spacing w:after="120" w:line="240" w:lineRule="auto"/>
              <w:jc w:val="both"/>
              <w:rPr>
                <w:rFonts w:ascii="Times New Roman" w:hAnsi="Times New Roman" w:cs="Times New Roman"/>
                <w:szCs w:val="24"/>
              </w:rPr>
            </w:pPr>
            <w:bookmarkStart w:id="0" w:name="NK_vertinimas_(1.2.4)!C48"/>
            <w:bookmarkEnd w:id="0"/>
            <w:r w:rsidRPr="00EC3C47">
              <w:rPr>
                <w:rFonts w:ascii="Times New Roman" w:hAnsi="Times New Roman" w:cs="Times New Roman"/>
                <w:szCs w:val="24"/>
              </w:rPr>
              <w:t>Mažiausia balų suma, kurią turi surinkti planuojamas finansuoti projektas – 25. Balų suma apskaičiuojama sudėjus balus, skirtus pagal prioritetinius projektų atrankos kriterijus. Jei projektas vertinimo metu nesurenka minimalios balų sumos, PĮP atmetamas.</w:t>
            </w:r>
          </w:p>
          <w:p w14:paraId="5CDFE9DD" w14:textId="6054FC9A" w:rsidR="00A10522" w:rsidRPr="001657DC" w:rsidRDefault="00EC3C47" w:rsidP="00EC3C47">
            <w:pPr>
              <w:spacing w:after="120" w:line="240" w:lineRule="auto"/>
              <w:jc w:val="both"/>
              <w:rPr>
                <w:rFonts w:ascii="Times New Roman" w:eastAsia="Times New Roman" w:hAnsi="Times New Roman" w:cs="Times New Roman"/>
                <w:sz w:val="20"/>
                <w:szCs w:val="20"/>
                <w:lang w:eastAsia="lt-LT"/>
              </w:rPr>
            </w:pPr>
            <w:r w:rsidRPr="00EC3C47">
              <w:rPr>
                <w:rFonts w:ascii="Times New Roman" w:hAnsi="Times New Roman" w:cs="Times New Roman"/>
                <w:szCs w:val="24"/>
              </w:rPr>
              <w:t>Jeigu projektai surenka vienodą galutinį balų skaičių ir visiems nepakanka kvietimui teikti PĮP skirtos finansavimo lėšų sumos, pirmenybė teikiama projektams, surinkusiems daugiau balų pagal pirmąjį Aprašo 6.2 papunkčio lentelėje nurodytą prioritetinį atrankos kriterijų, o jeigu projektai vienodai įvertinti pagal šį prioritetinį atrankos kriterijų, pirmenybė suteikiama projektams, surinkusiems daugiau balų pagal kitą iš eilės nurodytą prioritetinį atrankos kriterijų. Jeigu suteikti vienodi balai pagal visus prioritetinius atrankos kriterijus, šie projektai nurodomi PĮP vertinimo ataskaitos sąraše „PĮP, kurie nebuvo atmesti projektų tinkamumo finansuoti bei naudos ir kokybės vertinimo etape, tačiau jiems finansuoti nepakanka kvietimui teikti PĮP skirtų lėšų“.</w:t>
            </w:r>
          </w:p>
        </w:tc>
        <w:tc>
          <w:tcPr>
            <w:tcW w:w="633" w:type="pct"/>
            <w:gridSpan w:val="2"/>
            <w:tcBorders>
              <w:top w:val="single" w:sz="4" w:space="0" w:color="auto"/>
              <w:left w:val="single" w:sz="4" w:space="0" w:color="auto"/>
              <w:bottom w:val="single" w:sz="4" w:space="0" w:color="auto"/>
              <w:right w:val="single" w:sz="4" w:space="0" w:color="auto"/>
            </w:tcBorders>
            <w:shd w:val="clear" w:color="000000" w:fill="D0CECE"/>
            <w:hideMark/>
          </w:tcPr>
          <w:p w14:paraId="151BBACC" w14:textId="77777777" w:rsidR="00A10522" w:rsidRPr="001657DC" w:rsidRDefault="00A10522" w:rsidP="002F0078">
            <w:pPr>
              <w:spacing w:after="0" w:line="240" w:lineRule="auto"/>
              <w:ind w:left="-57" w:right="-57"/>
              <w:jc w:val="right"/>
              <w:rPr>
                <w:rFonts w:ascii="Times New Roman" w:eastAsia="Times New Roman" w:hAnsi="Times New Roman" w:cs="Times New Roman"/>
                <w:b/>
                <w:bCs/>
                <w:color w:val="000000"/>
                <w:lang w:eastAsia="lt-LT"/>
              </w:rPr>
            </w:pPr>
            <w:r w:rsidRPr="001657DC">
              <w:rPr>
                <w:rFonts w:ascii="Times New Roman" w:eastAsia="Times New Roman" w:hAnsi="Times New Roman" w:cs="Times New Roman"/>
                <w:b/>
                <w:bCs/>
                <w:color w:val="000000"/>
                <w:lang w:eastAsia="lt-LT"/>
              </w:rPr>
              <w:t>SUMA:</w:t>
            </w:r>
          </w:p>
        </w:tc>
        <w:tc>
          <w:tcPr>
            <w:tcW w:w="340" w:type="pct"/>
            <w:tcBorders>
              <w:top w:val="single" w:sz="4" w:space="0" w:color="auto"/>
              <w:left w:val="single" w:sz="4" w:space="0" w:color="auto"/>
              <w:bottom w:val="single" w:sz="4" w:space="0" w:color="auto"/>
              <w:right w:val="single" w:sz="4" w:space="0" w:color="auto"/>
            </w:tcBorders>
            <w:hideMark/>
          </w:tcPr>
          <w:p w14:paraId="63D9F315" w14:textId="1A6C7A87" w:rsidR="00A10522" w:rsidRPr="001657DC" w:rsidRDefault="00A10522" w:rsidP="00DC19F9">
            <w:pPr>
              <w:spacing w:after="0" w:line="240" w:lineRule="auto"/>
              <w:ind w:left="-57" w:right="-57"/>
              <w:jc w:val="center"/>
              <w:rPr>
                <w:rFonts w:ascii="Times New Roman" w:eastAsia="Times New Roman" w:hAnsi="Times New Roman" w:cs="Times New Roman"/>
                <w:i/>
                <w:iCs/>
                <w:sz w:val="20"/>
                <w:szCs w:val="20"/>
                <w:lang w:eastAsia="lt-LT"/>
              </w:rPr>
            </w:pPr>
          </w:p>
        </w:tc>
        <w:tc>
          <w:tcPr>
            <w:tcW w:w="341" w:type="pct"/>
            <w:tcBorders>
              <w:top w:val="single" w:sz="4" w:space="0" w:color="auto"/>
              <w:left w:val="single" w:sz="4" w:space="0" w:color="auto"/>
              <w:bottom w:val="single" w:sz="4" w:space="0" w:color="auto"/>
              <w:right w:val="single" w:sz="4" w:space="0" w:color="auto"/>
            </w:tcBorders>
            <w:hideMark/>
          </w:tcPr>
          <w:p w14:paraId="3B4F57B4" w14:textId="3E57EE0A" w:rsidR="00A10522" w:rsidRPr="001657DC" w:rsidRDefault="00DC19F9" w:rsidP="00DC19F9">
            <w:pPr>
              <w:spacing w:after="0" w:line="240" w:lineRule="auto"/>
              <w:ind w:left="-57" w:right="-57"/>
              <w:jc w:val="center"/>
              <w:rPr>
                <w:rFonts w:ascii="Times New Roman" w:eastAsia="Times New Roman" w:hAnsi="Times New Roman" w:cs="Times New Roman"/>
                <w:b/>
                <w:bCs/>
                <w:sz w:val="20"/>
                <w:szCs w:val="20"/>
                <w:lang w:eastAsia="lt-LT"/>
              </w:rPr>
            </w:pPr>
            <w:r w:rsidRPr="001657DC">
              <w:rPr>
                <w:rFonts w:ascii="Times New Roman" w:eastAsia="Times New Roman" w:hAnsi="Times New Roman" w:cs="Times New Roman"/>
                <w:b/>
                <w:bCs/>
                <w:sz w:val="20"/>
                <w:szCs w:val="20"/>
                <w:lang w:eastAsia="lt-LT"/>
              </w:rPr>
              <w:t>25</w:t>
            </w:r>
          </w:p>
        </w:tc>
        <w:tc>
          <w:tcPr>
            <w:tcW w:w="328" w:type="pct"/>
            <w:tcBorders>
              <w:top w:val="single" w:sz="4" w:space="0" w:color="auto"/>
              <w:left w:val="single" w:sz="4" w:space="0" w:color="auto"/>
              <w:bottom w:val="single" w:sz="4" w:space="0" w:color="auto"/>
              <w:right w:val="single" w:sz="4" w:space="0" w:color="auto"/>
            </w:tcBorders>
            <w:shd w:val="clear" w:color="000000" w:fill="D0CECE"/>
            <w:noWrap/>
            <w:hideMark/>
          </w:tcPr>
          <w:p w14:paraId="6DE45D85" w14:textId="77777777" w:rsidR="00A10522" w:rsidRPr="002F0078" w:rsidRDefault="00A10522" w:rsidP="002F0078">
            <w:pPr>
              <w:spacing w:after="0" w:line="240" w:lineRule="auto"/>
              <w:ind w:left="-57" w:right="-57"/>
              <w:rPr>
                <w:rFonts w:ascii="Times New Roman" w:eastAsia="Times New Roman" w:hAnsi="Times New Roman" w:cs="Times New Roman"/>
                <w:i/>
                <w:iCs/>
                <w:sz w:val="20"/>
                <w:szCs w:val="20"/>
                <w:lang w:eastAsia="lt-LT"/>
              </w:rPr>
            </w:pPr>
          </w:p>
        </w:tc>
      </w:tr>
    </w:tbl>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5024AE22" w14:textId="2756BBD8" w:rsidR="00AB1327" w:rsidRDefault="005808BF" w:rsidP="00047D1C">
      <w:pPr>
        <w:pStyle w:val="Heading1"/>
        <w:numPr>
          <w:ilvl w:val="0"/>
          <w:numId w:val="2"/>
        </w:numPr>
      </w:pPr>
      <w:r>
        <w:t>S</w:t>
      </w:r>
      <w:r w:rsidR="00EC0E11" w:rsidRPr="00EC0E11">
        <w:t>PRENDIMAS</w:t>
      </w:r>
    </w:p>
    <w:tbl>
      <w:tblPr>
        <w:tblStyle w:val="TableGrid"/>
        <w:tblW w:w="14596" w:type="dxa"/>
        <w:tblLook w:val="04A0" w:firstRow="1" w:lastRow="0" w:firstColumn="1" w:lastColumn="0" w:noHBand="0" w:noVBand="1"/>
      </w:tblPr>
      <w:tblGrid>
        <w:gridCol w:w="14596"/>
      </w:tblGrid>
      <w:tr w:rsidR="002F4D33" w14:paraId="29B50397" w14:textId="77777777" w:rsidTr="00EA4E9A">
        <w:tc>
          <w:tcPr>
            <w:tcW w:w="14596" w:type="dxa"/>
          </w:tcPr>
          <w:p w14:paraId="5348C4DC" w14:textId="65EF45D4" w:rsidR="002F4D33" w:rsidRDefault="002F4D33" w:rsidP="008864ED">
            <w:pPr>
              <w:pStyle w:val="Heading2"/>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4596" w:type="dxa"/>
        <w:tblLook w:val="04A0" w:firstRow="1" w:lastRow="0" w:firstColumn="1" w:lastColumn="0" w:noHBand="0" w:noVBand="1"/>
      </w:tblPr>
      <w:tblGrid>
        <w:gridCol w:w="14596"/>
      </w:tblGrid>
      <w:tr w:rsidR="001259C3" w14:paraId="570E1E21" w14:textId="77777777" w:rsidTr="00EA4E9A">
        <w:trPr>
          <w:trHeight w:val="481"/>
        </w:trPr>
        <w:tc>
          <w:tcPr>
            <w:tcW w:w="14596" w:type="dxa"/>
          </w:tcPr>
          <w:p w14:paraId="3EB5947C" w14:textId="4571218A" w:rsidR="001259C3" w:rsidRDefault="001259C3" w:rsidP="00E93301">
            <w:pPr>
              <w:rPr>
                <w:rFonts w:ascii="Times New Roman" w:hAnsi="Times New Roman" w:cs="Times New Roman"/>
                <w:b/>
              </w:rPr>
            </w:pPr>
          </w:p>
        </w:tc>
      </w:tr>
    </w:tbl>
    <w:p w14:paraId="3C5F87EA" w14:textId="2043DFA9" w:rsidR="002D7EEE" w:rsidRDefault="002D7EEE" w:rsidP="00047D1C">
      <w:pPr>
        <w:pStyle w:val="Heading1"/>
        <w:numPr>
          <w:ilvl w:val="0"/>
          <w:numId w:val="2"/>
        </w:numPr>
        <w:rPr>
          <w:b w:val="0"/>
          <w:bCs/>
        </w:rPr>
      </w:pPr>
      <w:r w:rsidRPr="70CCFC48">
        <w:rPr>
          <w:bCs/>
        </w:rPr>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4596" w:type="dxa"/>
        <w:tblLook w:val="04A0" w:firstRow="1" w:lastRow="0" w:firstColumn="1" w:lastColumn="0" w:noHBand="0" w:noVBand="1"/>
      </w:tblPr>
      <w:tblGrid>
        <w:gridCol w:w="14596"/>
      </w:tblGrid>
      <w:tr w:rsidR="002D7EEE" w14:paraId="1FA5FB0B" w14:textId="77777777" w:rsidTr="00EA4E9A">
        <w:trPr>
          <w:trHeight w:val="1137"/>
        </w:trPr>
        <w:tc>
          <w:tcPr>
            <w:tcW w:w="14596" w:type="dxa"/>
          </w:tcPr>
          <w:p w14:paraId="2D22806F" w14:textId="219CEEE9" w:rsidR="002D7EEE" w:rsidRDefault="002D7EEE" w:rsidP="005808BF">
            <w:pPr>
              <w:rPr>
                <w:rFonts w:ascii="Times New Roman" w:hAnsi="Times New Roman" w:cs="Times New Roman"/>
                <w:b/>
              </w:rPr>
            </w:pPr>
          </w:p>
        </w:tc>
      </w:tr>
    </w:tbl>
    <w:p w14:paraId="6D6B894E" w14:textId="77777777" w:rsidR="002D7EEE" w:rsidRPr="002D7EEE" w:rsidRDefault="002D7EEE" w:rsidP="00E93301">
      <w:pPr>
        <w:rPr>
          <w:rFonts w:ascii="Times New Roman" w:hAnsi="Times New Roman" w:cs="Times New Roman"/>
          <w:b/>
        </w:rPr>
      </w:pPr>
    </w:p>
    <w:sectPr w:rsidR="002D7EEE" w:rsidRPr="002D7EEE" w:rsidSect="003125E8">
      <w:pgSz w:w="16838" w:h="11906" w:orient="landscape"/>
      <w:pgMar w:top="566" w:right="1134" w:bottom="424" w:left="1135" w:header="34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5EA3" w14:textId="77777777" w:rsidR="004C0BE5" w:rsidRDefault="004C0BE5" w:rsidP="00B351D0">
      <w:pPr>
        <w:spacing w:after="0" w:line="240" w:lineRule="auto"/>
      </w:pPr>
      <w:r>
        <w:separator/>
      </w:r>
    </w:p>
  </w:endnote>
  <w:endnote w:type="continuationSeparator" w:id="0">
    <w:p w14:paraId="56AAD4AF" w14:textId="77777777" w:rsidR="004C0BE5" w:rsidRDefault="004C0BE5" w:rsidP="00B351D0">
      <w:pPr>
        <w:spacing w:after="0" w:line="240" w:lineRule="auto"/>
      </w:pPr>
      <w:r>
        <w:continuationSeparator/>
      </w:r>
    </w:p>
  </w:endnote>
  <w:endnote w:type="continuationNotice" w:id="1">
    <w:p w14:paraId="1B24166D" w14:textId="77777777" w:rsidR="004C0BE5" w:rsidRDefault="004C0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703C4" w14:textId="77777777" w:rsidR="004C0BE5" w:rsidRDefault="004C0BE5" w:rsidP="00B351D0">
      <w:pPr>
        <w:spacing w:after="0" w:line="240" w:lineRule="auto"/>
      </w:pPr>
      <w:r>
        <w:separator/>
      </w:r>
    </w:p>
  </w:footnote>
  <w:footnote w:type="continuationSeparator" w:id="0">
    <w:p w14:paraId="35490B7F" w14:textId="77777777" w:rsidR="004C0BE5" w:rsidRDefault="004C0BE5" w:rsidP="00B351D0">
      <w:pPr>
        <w:spacing w:after="0" w:line="240" w:lineRule="auto"/>
      </w:pPr>
      <w:r>
        <w:continuationSeparator/>
      </w:r>
    </w:p>
  </w:footnote>
  <w:footnote w:type="continuationNotice" w:id="1">
    <w:p w14:paraId="28A8B3E0" w14:textId="77777777" w:rsidR="004C0BE5" w:rsidRDefault="004C0B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5990651"/>
    <w:multiLevelType w:val="multilevel"/>
    <w:tmpl w:val="6D3AA4C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i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7700404">
    <w:abstractNumId w:val="0"/>
  </w:num>
  <w:num w:numId="2" w16cid:durableId="1224029144">
    <w:abstractNumId w:val="8"/>
  </w:num>
  <w:num w:numId="3" w16cid:durableId="1325356361">
    <w:abstractNumId w:val="6"/>
  </w:num>
  <w:num w:numId="4" w16cid:durableId="1407611554">
    <w:abstractNumId w:val="11"/>
  </w:num>
  <w:num w:numId="5" w16cid:durableId="1431316093">
    <w:abstractNumId w:val="1"/>
  </w:num>
  <w:num w:numId="6" w16cid:durableId="1400982212">
    <w:abstractNumId w:val="2"/>
  </w:num>
  <w:num w:numId="7" w16cid:durableId="1476137988">
    <w:abstractNumId w:val="4"/>
  </w:num>
  <w:num w:numId="8" w16cid:durableId="1802768854">
    <w:abstractNumId w:val="9"/>
  </w:num>
  <w:num w:numId="9" w16cid:durableId="549418781">
    <w:abstractNumId w:val="8"/>
  </w:num>
  <w:num w:numId="10" w16cid:durableId="1164588580">
    <w:abstractNumId w:val="8"/>
  </w:num>
  <w:num w:numId="11" w16cid:durableId="289480018">
    <w:abstractNumId w:val="8"/>
  </w:num>
  <w:num w:numId="12" w16cid:durableId="137578341">
    <w:abstractNumId w:val="8"/>
  </w:num>
  <w:num w:numId="13" w16cid:durableId="1335036355">
    <w:abstractNumId w:val="5"/>
  </w:num>
  <w:num w:numId="14" w16cid:durableId="194273831">
    <w:abstractNumId w:val="3"/>
  </w:num>
  <w:num w:numId="15" w16cid:durableId="1778132426">
    <w:abstractNumId w:val="10"/>
  </w:num>
  <w:num w:numId="16" w16cid:durableId="507913298">
    <w:abstractNumId w:val="8"/>
  </w:num>
  <w:num w:numId="17" w16cid:durableId="1247881880">
    <w:abstractNumId w:val="8"/>
  </w:num>
  <w:num w:numId="18" w16cid:durableId="59720874">
    <w:abstractNumId w:val="8"/>
  </w:num>
  <w:num w:numId="19" w16cid:durableId="268244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333E0"/>
    <w:rsid w:val="00043533"/>
    <w:rsid w:val="00047D1C"/>
    <w:rsid w:val="0005060E"/>
    <w:rsid w:val="00057242"/>
    <w:rsid w:val="000572E0"/>
    <w:rsid w:val="0006111F"/>
    <w:rsid w:val="00076E44"/>
    <w:rsid w:val="00084997"/>
    <w:rsid w:val="000D677C"/>
    <w:rsid w:val="000E1BDC"/>
    <w:rsid w:val="000E64C3"/>
    <w:rsid w:val="000F0C95"/>
    <w:rsid w:val="00104DAE"/>
    <w:rsid w:val="00114817"/>
    <w:rsid w:val="0012151E"/>
    <w:rsid w:val="001259C3"/>
    <w:rsid w:val="00137468"/>
    <w:rsid w:val="00150A02"/>
    <w:rsid w:val="00161FFE"/>
    <w:rsid w:val="001657DC"/>
    <w:rsid w:val="001A6072"/>
    <w:rsid w:val="001B1711"/>
    <w:rsid w:val="001D355E"/>
    <w:rsid w:val="001F6B02"/>
    <w:rsid w:val="00203EAE"/>
    <w:rsid w:val="00207A46"/>
    <w:rsid w:val="0023763D"/>
    <w:rsid w:val="0024066B"/>
    <w:rsid w:val="00241D74"/>
    <w:rsid w:val="002514A2"/>
    <w:rsid w:val="002537E4"/>
    <w:rsid w:val="00257859"/>
    <w:rsid w:val="00277CDC"/>
    <w:rsid w:val="002B3590"/>
    <w:rsid w:val="002B6055"/>
    <w:rsid w:val="002C7C44"/>
    <w:rsid w:val="002D7EEE"/>
    <w:rsid w:val="002F0078"/>
    <w:rsid w:val="002F4D33"/>
    <w:rsid w:val="003013EE"/>
    <w:rsid w:val="003125E8"/>
    <w:rsid w:val="003545CF"/>
    <w:rsid w:val="00360A4B"/>
    <w:rsid w:val="003714BD"/>
    <w:rsid w:val="00383707"/>
    <w:rsid w:val="00387BA3"/>
    <w:rsid w:val="003A0CE3"/>
    <w:rsid w:val="003B42F4"/>
    <w:rsid w:val="003B55C8"/>
    <w:rsid w:val="003C4819"/>
    <w:rsid w:val="003E60ED"/>
    <w:rsid w:val="003F2286"/>
    <w:rsid w:val="003F3E1B"/>
    <w:rsid w:val="0042288E"/>
    <w:rsid w:val="00435582"/>
    <w:rsid w:val="00443102"/>
    <w:rsid w:val="004656F0"/>
    <w:rsid w:val="00474602"/>
    <w:rsid w:val="00486E60"/>
    <w:rsid w:val="00487D77"/>
    <w:rsid w:val="00490E38"/>
    <w:rsid w:val="004C0BE5"/>
    <w:rsid w:val="004F39F2"/>
    <w:rsid w:val="00524BAD"/>
    <w:rsid w:val="00526A14"/>
    <w:rsid w:val="005421A3"/>
    <w:rsid w:val="005437BC"/>
    <w:rsid w:val="00575564"/>
    <w:rsid w:val="005808BF"/>
    <w:rsid w:val="00590917"/>
    <w:rsid w:val="005A780B"/>
    <w:rsid w:val="005F3E2C"/>
    <w:rsid w:val="00603120"/>
    <w:rsid w:val="00604CC3"/>
    <w:rsid w:val="00624ECB"/>
    <w:rsid w:val="00652A5C"/>
    <w:rsid w:val="006A41F7"/>
    <w:rsid w:val="006A5A06"/>
    <w:rsid w:val="006D27F0"/>
    <w:rsid w:val="006E129C"/>
    <w:rsid w:val="006F1E26"/>
    <w:rsid w:val="00700D50"/>
    <w:rsid w:val="007033FE"/>
    <w:rsid w:val="00710DF4"/>
    <w:rsid w:val="00712E9C"/>
    <w:rsid w:val="00724F66"/>
    <w:rsid w:val="007304E8"/>
    <w:rsid w:val="00737DCF"/>
    <w:rsid w:val="007427BA"/>
    <w:rsid w:val="00786A9F"/>
    <w:rsid w:val="0079046B"/>
    <w:rsid w:val="00796CB1"/>
    <w:rsid w:val="007A07D5"/>
    <w:rsid w:val="007B7EB2"/>
    <w:rsid w:val="007C49AD"/>
    <w:rsid w:val="007C4F58"/>
    <w:rsid w:val="007C7A59"/>
    <w:rsid w:val="007D3408"/>
    <w:rsid w:val="007D5464"/>
    <w:rsid w:val="007E5232"/>
    <w:rsid w:val="00820E9C"/>
    <w:rsid w:val="00841EF0"/>
    <w:rsid w:val="008711CE"/>
    <w:rsid w:val="008864ED"/>
    <w:rsid w:val="008910FE"/>
    <w:rsid w:val="008D18C8"/>
    <w:rsid w:val="008D238F"/>
    <w:rsid w:val="009137FF"/>
    <w:rsid w:val="009727F0"/>
    <w:rsid w:val="0097282F"/>
    <w:rsid w:val="0099583A"/>
    <w:rsid w:val="009B2AA4"/>
    <w:rsid w:val="009B7414"/>
    <w:rsid w:val="009D017F"/>
    <w:rsid w:val="009D1156"/>
    <w:rsid w:val="009F0AA0"/>
    <w:rsid w:val="009F786E"/>
    <w:rsid w:val="00A033E1"/>
    <w:rsid w:val="00A043DF"/>
    <w:rsid w:val="00A10522"/>
    <w:rsid w:val="00A14DA4"/>
    <w:rsid w:val="00A60CFF"/>
    <w:rsid w:val="00A6297D"/>
    <w:rsid w:val="00A81016"/>
    <w:rsid w:val="00AA44E2"/>
    <w:rsid w:val="00AA698F"/>
    <w:rsid w:val="00AA7138"/>
    <w:rsid w:val="00AB1327"/>
    <w:rsid w:val="00AE1D79"/>
    <w:rsid w:val="00AE36DB"/>
    <w:rsid w:val="00B351D0"/>
    <w:rsid w:val="00B56BF0"/>
    <w:rsid w:val="00B75FCE"/>
    <w:rsid w:val="00B8429F"/>
    <w:rsid w:val="00BA2878"/>
    <w:rsid w:val="00BF5217"/>
    <w:rsid w:val="00C10C82"/>
    <w:rsid w:val="00C1181F"/>
    <w:rsid w:val="00C87EAD"/>
    <w:rsid w:val="00CA709E"/>
    <w:rsid w:val="00CD1E52"/>
    <w:rsid w:val="00CD5BE7"/>
    <w:rsid w:val="00CE4CB2"/>
    <w:rsid w:val="00D13C72"/>
    <w:rsid w:val="00D3720E"/>
    <w:rsid w:val="00D400C1"/>
    <w:rsid w:val="00D93284"/>
    <w:rsid w:val="00D95176"/>
    <w:rsid w:val="00D95B46"/>
    <w:rsid w:val="00DB30E3"/>
    <w:rsid w:val="00DC19F9"/>
    <w:rsid w:val="00DD76D5"/>
    <w:rsid w:val="00DE25D9"/>
    <w:rsid w:val="00E01DE9"/>
    <w:rsid w:val="00E06CD0"/>
    <w:rsid w:val="00E12105"/>
    <w:rsid w:val="00E3045E"/>
    <w:rsid w:val="00E7587F"/>
    <w:rsid w:val="00E93301"/>
    <w:rsid w:val="00EA4E9A"/>
    <w:rsid w:val="00EA742D"/>
    <w:rsid w:val="00EC0E11"/>
    <w:rsid w:val="00EC3C47"/>
    <w:rsid w:val="00ED47D5"/>
    <w:rsid w:val="00EF1EA6"/>
    <w:rsid w:val="00F0383C"/>
    <w:rsid w:val="00F67075"/>
    <w:rsid w:val="00F8350B"/>
    <w:rsid w:val="00FA002F"/>
    <w:rsid w:val="00FB71F4"/>
    <w:rsid w:val="00FC20DE"/>
    <w:rsid w:val="00FD7366"/>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 w:type="character" w:customStyle="1" w:styleId="font241">
    <w:name w:val="font241"/>
    <w:basedOn w:val="DefaultParagraphFont"/>
    <w:rsid w:val="002F0078"/>
    <w:rPr>
      <w:rFonts w:ascii="Times New Roman" w:hAnsi="Times New Roman" w:cs="Times New Roman" w:hint="default"/>
      <w:b w:val="0"/>
      <w:bCs w:val="0"/>
      <w:i/>
      <w:iCs/>
      <w:strike w:val="0"/>
      <w:dstrike w:val="0"/>
      <w:color w:val="auto"/>
      <w:sz w:val="20"/>
      <w:szCs w:val="20"/>
      <w:u w:val="none"/>
      <w:effect w:val="none"/>
    </w:rPr>
  </w:style>
  <w:style w:type="character" w:customStyle="1" w:styleId="font221">
    <w:name w:val="font221"/>
    <w:basedOn w:val="DefaultParagraphFont"/>
    <w:rsid w:val="002F0078"/>
    <w:rPr>
      <w:rFonts w:ascii="Times New Roman" w:hAnsi="Times New Roman" w:cs="Times New Roman" w:hint="default"/>
      <w:b w:val="0"/>
      <w:bCs w:val="0"/>
      <w:i/>
      <w:iCs/>
      <w:strike w:val="0"/>
      <w:dstrike w:val="0"/>
      <w:color w:val="auto"/>
      <w:sz w:val="20"/>
      <w:szCs w:val="20"/>
      <w:u w:val="none"/>
      <w:effect w: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EC3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1011759689">
      <w:bodyDiv w:val="1"/>
      <w:marLeft w:val="0"/>
      <w:marRight w:val="0"/>
      <w:marTop w:val="0"/>
      <w:marBottom w:val="0"/>
      <w:divBdr>
        <w:top w:val="none" w:sz="0" w:space="0" w:color="auto"/>
        <w:left w:val="none" w:sz="0" w:space="0" w:color="auto"/>
        <w:bottom w:val="none" w:sz="0" w:space="0" w:color="auto"/>
        <w:right w:val="none" w:sz="0" w:space="0" w:color="auto"/>
      </w:divBdr>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 w:id="145918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2.xml><?xml version="1.0" encoding="utf-8"?>
<ds:datastoreItem xmlns:ds="http://schemas.openxmlformats.org/officeDocument/2006/customXml" ds:itemID="{6850472A-31E1-4886-A6CF-55D983A47804}">
  <ds:schemaRefs>
    <ds:schemaRef ds:uri="http://schemas.openxmlformats.org/officeDocument/2006/bibliography"/>
  </ds:schemaRefs>
</ds:datastoreItem>
</file>

<file path=customXml/itemProps3.xml><?xml version="1.0" encoding="utf-8"?>
<ds:datastoreItem xmlns:ds="http://schemas.openxmlformats.org/officeDocument/2006/customXml" ds:itemID="{D66B08E6-4F96-4FF1-9FFD-EA9E150A8226}">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C4CB4400-B305-432B-8F1D-7F681CAD2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3558</Words>
  <Characters>2029</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Naudos ir kokybės vertinimo  PL</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Naudos ir kokybės vertinimo  PL</dc:title>
  <dc:subject/>
  <dc:creator>Zita  Markevičienė</dc:creator>
  <cp:keywords/>
  <dc:description/>
  <cp:lastModifiedBy>Aušra Jankauskaitė</cp:lastModifiedBy>
  <cp:revision>6</cp:revision>
  <dcterms:created xsi:type="dcterms:W3CDTF">2023-04-18T10:49:00Z</dcterms:created>
  <dcterms:modified xsi:type="dcterms:W3CDTF">2023-04-26T07:27:00Z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5" name="DmsPermissionsFlags">
    <vt:lpwstr>,SECTRUE,</vt:lpwstr>
  </property>
  <property fmtid="{D5CDD505-2E9C-101B-9397-08002B2CF9AE}" pid="6" name="DmsPermissionsDivisions">
    <vt:lpwstr>3169;#Darnaus transporto projektų skyrius|ac541b4c-a511-49a1-b192-8ec1ac837a74</vt:lpwstr>
  </property>
  <property fmtid="{D5CDD505-2E9C-101B-9397-08002B2CF9AE}" pid="7" name="DmsPermissionsUsers">
    <vt:lpwstr>149;#Tautvydas Umbražūnas;#145;#Audrius Tamkus</vt:lpwstr>
  </property>
  <property fmtid="{D5CDD505-2E9C-101B-9397-08002B2CF9AE}" pid="8" name="DmsDocPrepDocSendRegReal">
    <vt:bool>false</vt:bool>
  </property>
  <property fmtid="{D5CDD505-2E9C-101B-9397-08002B2CF9AE}" pid="9" name="DmsWaitingForSign">
    <vt:bool>false</vt:bool>
  </property>
</Properties>
</file>