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5F62" w14:textId="4AFA90BA" w:rsidR="000E1BDC" w:rsidRPr="008910FE" w:rsidRDefault="002F0078" w:rsidP="00E93301">
      <w:pPr>
        <w:jc w:val="center"/>
        <w:rPr>
          <w:rFonts w:ascii="Times New Roman" w:hAnsi="Times New Roman" w:cs="Times New Roman"/>
          <w:b/>
        </w:rPr>
      </w:pPr>
      <w:bookmarkStart w:id="0" w:name="_GoBack"/>
      <w:bookmarkEnd w:id="0"/>
      <w:r>
        <w:rPr>
          <w:rFonts w:ascii="Times New Roman" w:hAnsi="Times New Roman" w:cs="Times New Roman"/>
          <w:b/>
        </w:rPr>
        <w:t>NAUDOS IR KOKYBĖS VERTINIMO</w:t>
      </w:r>
      <w:r w:rsidR="008910FE" w:rsidRPr="008910FE">
        <w:rPr>
          <w:rFonts w:ascii="Times New Roman" w:hAnsi="Times New Roman" w:cs="Times New Roman"/>
          <w:b/>
        </w:rPr>
        <w:t xml:space="preserve">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4596" w:type="dxa"/>
        <w:tblLook w:val="04A0" w:firstRow="1" w:lastRow="0" w:firstColumn="1" w:lastColumn="0" w:noHBand="0" w:noVBand="1"/>
      </w:tblPr>
      <w:tblGrid>
        <w:gridCol w:w="3539"/>
        <w:gridCol w:w="11057"/>
      </w:tblGrid>
      <w:tr w:rsidR="00B351D0" w:rsidRPr="007C7A59" w14:paraId="324F7CBB" w14:textId="77777777" w:rsidTr="003125E8">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11057" w:type="dxa"/>
          </w:tcPr>
          <w:p w14:paraId="09E85D49" w14:textId="6FD8BFE8" w:rsidR="00B351D0" w:rsidRPr="008D18C8" w:rsidRDefault="00B351D0" w:rsidP="00E93301">
            <w:pPr>
              <w:spacing w:after="120"/>
              <w:rPr>
                <w:rFonts w:ascii="Times New Roman" w:hAnsi="Times New Roman" w:cs="Times New Roman"/>
              </w:rPr>
            </w:pPr>
          </w:p>
        </w:tc>
      </w:tr>
      <w:tr w:rsidR="00B351D0" w:rsidRPr="007C7A59" w14:paraId="69A47D95" w14:textId="77777777" w:rsidTr="003125E8">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11057" w:type="dxa"/>
          </w:tcPr>
          <w:p w14:paraId="7D24036E" w14:textId="694715F3" w:rsidR="00B351D0" w:rsidRPr="008D18C8" w:rsidRDefault="00B351D0" w:rsidP="00E93301">
            <w:pPr>
              <w:spacing w:after="120"/>
              <w:rPr>
                <w:rFonts w:ascii="Times New Roman" w:hAnsi="Times New Roman" w:cs="Times New Roman"/>
              </w:rPr>
            </w:pPr>
          </w:p>
        </w:tc>
      </w:tr>
      <w:tr w:rsidR="001D355E" w:rsidRPr="007C7A59" w14:paraId="72579DC4" w14:textId="77777777" w:rsidTr="003125E8">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11057" w:type="dxa"/>
          </w:tcPr>
          <w:p w14:paraId="4AEC9D33" w14:textId="6721F00E" w:rsidR="001D355E" w:rsidRPr="008D18C8" w:rsidRDefault="001D355E" w:rsidP="00E93301">
            <w:pPr>
              <w:spacing w:after="120"/>
              <w:rPr>
                <w:rFonts w:ascii="Times New Roman" w:hAnsi="Times New Roman" w:cs="Times New Roman"/>
              </w:rPr>
            </w:pPr>
          </w:p>
        </w:tc>
      </w:tr>
    </w:tbl>
    <w:p w14:paraId="027A7495" w14:textId="761852F1" w:rsidR="0079046B" w:rsidRDefault="001D355E" w:rsidP="00047D1C">
      <w:pPr>
        <w:pStyle w:val="Heading1"/>
        <w:numPr>
          <w:ilvl w:val="0"/>
          <w:numId w:val="2"/>
        </w:numPr>
      </w:pPr>
      <w:r w:rsidRPr="007C7A59">
        <w:t>PATIKROS KLAUSIMAI</w:t>
      </w:r>
    </w:p>
    <w:tbl>
      <w:tblPr>
        <w:tblW w:w="5000" w:type="pct"/>
        <w:tblLayout w:type="fixed"/>
        <w:tblCellMar>
          <w:top w:w="15" w:type="dxa"/>
          <w:bottom w:w="15" w:type="dxa"/>
        </w:tblCellMar>
        <w:tblLook w:val="04A0" w:firstRow="1" w:lastRow="0" w:firstColumn="1" w:lastColumn="0" w:noHBand="0" w:noVBand="1"/>
      </w:tblPr>
      <w:tblGrid>
        <w:gridCol w:w="422"/>
        <w:gridCol w:w="1698"/>
        <w:gridCol w:w="6668"/>
        <w:gridCol w:w="990"/>
        <w:gridCol w:w="850"/>
        <w:gridCol w:w="993"/>
        <w:gridCol w:w="990"/>
        <w:gridCol w:w="993"/>
        <w:gridCol w:w="955"/>
      </w:tblGrid>
      <w:tr w:rsidR="00E12105" w:rsidRPr="002F0078" w14:paraId="056CAE02" w14:textId="77777777" w:rsidTr="00A10522">
        <w:trPr>
          <w:trHeight w:val="915"/>
        </w:trPr>
        <w:tc>
          <w:tcPr>
            <w:tcW w:w="145" w:type="pct"/>
            <w:tcBorders>
              <w:top w:val="single" w:sz="4" w:space="0" w:color="auto"/>
              <w:left w:val="single" w:sz="4" w:space="0" w:color="auto"/>
              <w:bottom w:val="nil"/>
              <w:right w:val="single" w:sz="4" w:space="0" w:color="auto"/>
            </w:tcBorders>
            <w:shd w:val="clear" w:color="000000" w:fill="D9D9D9"/>
            <w:hideMark/>
          </w:tcPr>
          <w:p w14:paraId="7A53C4C0" w14:textId="77777777" w:rsidR="002F0078" w:rsidRPr="002F0078" w:rsidRDefault="002F0078"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Eil. Nr.</w:t>
            </w:r>
          </w:p>
        </w:tc>
        <w:tc>
          <w:tcPr>
            <w:tcW w:w="583" w:type="pct"/>
            <w:tcBorders>
              <w:top w:val="single" w:sz="4" w:space="0" w:color="auto"/>
              <w:left w:val="single" w:sz="4" w:space="0" w:color="auto"/>
              <w:bottom w:val="single" w:sz="4" w:space="0" w:color="auto"/>
              <w:right w:val="single" w:sz="4" w:space="0" w:color="auto"/>
            </w:tcBorders>
            <w:shd w:val="clear" w:color="000000" w:fill="D9D9D9"/>
            <w:hideMark/>
          </w:tcPr>
          <w:p w14:paraId="7AB00590" w14:textId="4543C8FD"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Kriterijus</w:t>
            </w:r>
          </w:p>
        </w:tc>
        <w:tc>
          <w:tcPr>
            <w:tcW w:w="2290" w:type="pct"/>
            <w:tcBorders>
              <w:top w:val="single" w:sz="4" w:space="0" w:color="auto"/>
              <w:left w:val="single" w:sz="4" w:space="0" w:color="auto"/>
              <w:bottom w:val="single" w:sz="4" w:space="0" w:color="auto"/>
              <w:right w:val="single" w:sz="4" w:space="0" w:color="auto"/>
            </w:tcBorders>
            <w:shd w:val="clear" w:color="000000" w:fill="D9D9D9"/>
            <w:hideMark/>
          </w:tcPr>
          <w:p w14:paraId="4DD26ECE" w14:textId="6CF15351"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Kriterijaus vertinimo</w:t>
            </w:r>
            <w:r w:rsidR="001A6072" w:rsidRPr="00EA4E9A">
              <w:rPr>
                <w:rFonts w:ascii="Times New Roman" w:eastAsia="Times New Roman" w:hAnsi="Times New Roman" w:cs="Times New Roman"/>
                <w:b/>
                <w:bCs/>
                <w:color w:val="000000"/>
                <w:lang w:eastAsia="lt-LT"/>
              </w:rPr>
              <w:t xml:space="preserve"> metodas</w:t>
            </w:r>
          </w:p>
        </w:tc>
        <w:tc>
          <w:tcPr>
            <w:tcW w:w="340" w:type="pct"/>
            <w:tcBorders>
              <w:top w:val="single" w:sz="4" w:space="0" w:color="auto"/>
              <w:left w:val="single" w:sz="4" w:space="0" w:color="auto"/>
              <w:bottom w:val="single" w:sz="4" w:space="0" w:color="auto"/>
              <w:right w:val="single" w:sz="4" w:space="0" w:color="auto"/>
            </w:tcBorders>
            <w:shd w:val="clear" w:color="000000" w:fill="D9D9D9"/>
            <w:hideMark/>
          </w:tcPr>
          <w:p w14:paraId="1CF1BAAA" w14:textId="77777777"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Didžiausias galimas kriterijaus balas</w:t>
            </w:r>
          </w:p>
        </w:tc>
        <w:tc>
          <w:tcPr>
            <w:tcW w:w="292" w:type="pct"/>
            <w:tcBorders>
              <w:top w:val="single" w:sz="4" w:space="0" w:color="auto"/>
              <w:left w:val="single" w:sz="4" w:space="0" w:color="auto"/>
              <w:bottom w:val="nil"/>
              <w:right w:val="single" w:sz="4" w:space="0" w:color="auto"/>
            </w:tcBorders>
            <w:shd w:val="clear" w:color="000000" w:fill="D9D9D9"/>
            <w:hideMark/>
          </w:tcPr>
          <w:p w14:paraId="0092DFD5" w14:textId="77777777"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Kriterijaus įvertinimas</w:t>
            </w:r>
          </w:p>
        </w:tc>
        <w:tc>
          <w:tcPr>
            <w:tcW w:w="341" w:type="pct"/>
            <w:tcBorders>
              <w:top w:val="single" w:sz="4" w:space="0" w:color="auto"/>
              <w:left w:val="single" w:sz="4" w:space="0" w:color="auto"/>
              <w:bottom w:val="nil"/>
              <w:right w:val="single" w:sz="4" w:space="0" w:color="auto"/>
            </w:tcBorders>
            <w:shd w:val="clear" w:color="000000" w:fill="D9D9D9"/>
            <w:hideMark/>
          </w:tcPr>
          <w:p w14:paraId="1DA19A37" w14:textId="412D0708" w:rsidR="002F0078" w:rsidRPr="00EA4E9A" w:rsidRDefault="001A6072"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Kriterijaus s</w:t>
            </w:r>
            <w:r w:rsidR="002F0078" w:rsidRPr="00EA4E9A">
              <w:rPr>
                <w:rFonts w:ascii="Times New Roman" w:eastAsia="Times New Roman" w:hAnsi="Times New Roman" w:cs="Times New Roman"/>
                <w:b/>
                <w:bCs/>
                <w:color w:val="000000"/>
                <w:lang w:eastAsia="lt-LT"/>
              </w:rPr>
              <w:t xml:space="preserve">vorio koeficientas </w:t>
            </w:r>
            <w:r w:rsidR="002F0078" w:rsidRPr="00EA4E9A">
              <w:rPr>
                <w:rFonts w:ascii="Times New Roman" w:eastAsia="Times New Roman" w:hAnsi="Times New Roman" w:cs="Times New Roman"/>
                <w:i/>
                <w:iCs/>
                <w:color w:val="000000"/>
                <w:lang w:eastAsia="lt-LT"/>
              </w:rPr>
              <w:t>(jei taikoma)</w:t>
            </w:r>
          </w:p>
        </w:tc>
        <w:tc>
          <w:tcPr>
            <w:tcW w:w="340" w:type="pct"/>
            <w:tcBorders>
              <w:top w:val="single" w:sz="4" w:space="0" w:color="auto"/>
              <w:left w:val="single" w:sz="4" w:space="0" w:color="auto"/>
              <w:bottom w:val="nil"/>
              <w:right w:val="single" w:sz="4" w:space="0" w:color="auto"/>
            </w:tcBorders>
            <w:shd w:val="clear" w:color="000000" w:fill="D9D9D9"/>
            <w:hideMark/>
          </w:tcPr>
          <w:p w14:paraId="5BA5ED6C" w14:textId="77777777" w:rsidR="002F0078" w:rsidRPr="00EA4E9A" w:rsidRDefault="002F0078" w:rsidP="002F0078">
            <w:pPr>
              <w:spacing w:after="0" w:line="240" w:lineRule="auto"/>
              <w:ind w:left="-57" w:right="-57"/>
              <w:rPr>
                <w:rFonts w:ascii="Times New Roman" w:eastAsia="Times New Roman" w:hAnsi="Times New Roman" w:cs="Times New Roman"/>
                <w:b/>
                <w:bCs/>
                <w:color w:val="000000"/>
                <w:lang w:eastAsia="lt-LT"/>
              </w:rPr>
            </w:pPr>
            <w:r w:rsidRPr="00EA4E9A">
              <w:rPr>
                <w:rFonts w:ascii="Times New Roman" w:eastAsia="Times New Roman" w:hAnsi="Times New Roman" w:cs="Times New Roman"/>
                <w:b/>
                <w:bCs/>
                <w:color w:val="000000"/>
                <w:lang w:eastAsia="lt-LT"/>
              </w:rPr>
              <w:t>Suteiktų balų skaičius</w:t>
            </w:r>
          </w:p>
        </w:tc>
        <w:tc>
          <w:tcPr>
            <w:tcW w:w="341" w:type="pct"/>
            <w:tcBorders>
              <w:top w:val="single" w:sz="4" w:space="0" w:color="auto"/>
              <w:left w:val="single" w:sz="4" w:space="0" w:color="auto"/>
              <w:bottom w:val="nil"/>
              <w:right w:val="single" w:sz="4" w:space="0" w:color="auto"/>
            </w:tcBorders>
            <w:shd w:val="clear" w:color="000000" w:fill="D9D9D9"/>
            <w:hideMark/>
          </w:tcPr>
          <w:p w14:paraId="07922B7B" w14:textId="77777777" w:rsidR="002F0078" w:rsidRPr="002F0078" w:rsidRDefault="002F0078"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Minimalus privalomas surinkti balų skaičius</w:t>
            </w:r>
          </w:p>
        </w:tc>
        <w:tc>
          <w:tcPr>
            <w:tcW w:w="328" w:type="pct"/>
            <w:tcBorders>
              <w:top w:val="single" w:sz="4" w:space="0" w:color="auto"/>
              <w:left w:val="single" w:sz="4" w:space="0" w:color="auto"/>
              <w:bottom w:val="nil"/>
              <w:right w:val="single" w:sz="4" w:space="0" w:color="auto"/>
            </w:tcBorders>
            <w:shd w:val="clear" w:color="000000" w:fill="D9D9D9"/>
            <w:hideMark/>
          </w:tcPr>
          <w:p w14:paraId="0D9AC462" w14:textId="77777777" w:rsidR="002F0078" w:rsidRPr="002F0078" w:rsidRDefault="002F0078" w:rsidP="002F0078">
            <w:pPr>
              <w:spacing w:after="0" w:line="240" w:lineRule="auto"/>
              <w:ind w:left="-57" w:right="-57"/>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Komentarai</w:t>
            </w:r>
          </w:p>
        </w:tc>
      </w:tr>
      <w:tr w:rsidR="000333E0" w:rsidRPr="002F0078" w14:paraId="76685C02" w14:textId="77777777" w:rsidTr="00A10522">
        <w:trPr>
          <w:trHeight w:val="1388"/>
        </w:trPr>
        <w:tc>
          <w:tcPr>
            <w:tcW w:w="145" w:type="pct"/>
            <w:tcBorders>
              <w:top w:val="single" w:sz="4" w:space="0" w:color="auto"/>
              <w:left w:val="single" w:sz="4" w:space="0" w:color="auto"/>
              <w:bottom w:val="nil"/>
              <w:right w:val="single" w:sz="4" w:space="0" w:color="auto"/>
            </w:tcBorders>
            <w:noWrap/>
            <w:hideMark/>
          </w:tcPr>
          <w:p w14:paraId="355C445D" w14:textId="20207D55" w:rsidR="000333E0" w:rsidRPr="002F0078" w:rsidRDefault="000333E0" w:rsidP="000333E0">
            <w:pPr>
              <w:spacing w:after="0" w:line="240" w:lineRule="auto"/>
              <w:ind w:left="-57" w:right="-57"/>
              <w:rPr>
                <w:rFonts w:ascii="Times New Roman" w:eastAsia="Times New Roman" w:hAnsi="Times New Roman" w:cs="Times New Roman"/>
                <w:color w:val="000000"/>
                <w:lang w:eastAsia="lt-LT"/>
              </w:rPr>
            </w:pPr>
            <w:r w:rsidRPr="002F0078">
              <w:rPr>
                <w:rFonts w:ascii="Times New Roman" w:eastAsia="Times New Roman" w:hAnsi="Times New Roman" w:cs="Times New Roman"/>
                <w:color w:val="000000"/>
                <w:lang w:eastAsia="lt-LT"/>
              </w:rPr>
              <w:t>1</w:t>
            </w:r>
            <w:r>
              <w:rPr>
                <w:rFonts w:ascii="Times New Roman" w:eastAsia="Times New Roman" w:hAnsi="Times New Roman" w:cs="Times New Roman"/>
                <w:color w:val="000000"/>
                <w:lang w:eastAsia="lt-LT"/>
              </w:rPr>
              <w:t>.</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B7821F" w14:textId="47ED6745" w:rsidR="000333E0" w:rsidRPr="00EA4E9A" w:rsidRDefault="000333E0" w:rsidP="000333E0">
            <w:pPr>
              <w:spacing w:after="0" w:line="240" w:lineRule="auto"/>
              <w:ind w:left="-57" w:right="-57"/>
              <w:rPr>
                <w:rFonts w:ascii="Times New Roman" w:eastAsia="Times New Roman" w:hAnsi="Times New Roman" w:cs="Times New Roman"/>
                <w:i/>
                <w:iCs/>
                <w:color w:val="000000"/>
                <w:lang w:eastAsia="lt-LT"/>
              </w:rPr>
            </w:pPr>
            <w:r>
              <w:rPr>
                <w:szCs w:val="24"/>
              </w:rPr>
              <w:t>Vandenilio pildymo punkto įrengimo vieta</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E76586" w14:textId="77777777" w:rsidR="000333E0" w:rsidRDefault="000333E0" w:rsidP="000333E0">
            <w:pPr>
              <w:jc w:val="both"/>
            </w:pPr>
            <w:r>
              <w:t>50 balų suteikiama, jei punktas įrengiamas šalia TEN-T pagrindiniam tinklui* priklausančio kelio (A1 Vilnius–Kaunas–Klaipėda, A5 Kaunas–Marijampolė–Suvalkai, A8 Kaunas–Panevėžys, A10 Panevėžys–Pasvalys–Ryga, A17 Panevėžio aplinkkelis); arba ne didesniu kaip 10 km atstumu nuo artimiausio išvažiavimo iš TEN-T kelio arba miestų transporto mazgams** priskiriamų miestų (Vilniaus, Kauno, Klaipėdos, Šiaulių, Panevėžio) zonose arba ne didesniu kaip 10 km atstumu nuo miesto zonos ribos esančiuose uostuose, įskaitant keleivių terminalus, oro uostuose, geležinkelių stotyse, autobusų terminaluose / stotyse, logistikos centruose bei krovinių terminaluose.</w:t>
            </w:r>
          </w:p>
          <w:p w14:paraId="312EC18A" w14:textId="77777777" w:rsidR="000333E0" w:rsidRDefault="000333E0" w:rsidP="000333E0">
            <w:pPr>
              <w:jc w:val="both"/>
            </w:pPr>
            <w:r>
              <w:t xml:space="preserve">30 balų suteikiama, jei punktas įrengiamas miestų (išskyrus Vilnių, Kauną, Klaipėdą, Šiaulius, Panevėžį), besiribojančių su TEN-T pagrindiniu ar visuotiniu kelių tinklu*** </w:t>
            </w:r>
            <w:r>
              <w:rPr>
                <w:bCs/>
                <w:iCs/>
                <w:szCs w:val="24"/>
                <w:lang w:eastAsia="lt-LT"/>
              </w:rPr>
              <w:t>(A1 Vilnius</w:t>
            </w:r>
            <w:r>
              <w:t>–</w:t>
            </w:r>
            <w:r>
              <w:rPr>
                <w:bCs/>
                <w:iCs/>
                <w:szCs w:val="24"/>
                <w:lang w:eastAsia="lt-LT"/>
              </w:rPr>
              <w:t>Kaunas</w:t>
            </w:r>
            <w:r>
              <w:t>–</w:t>
            </w:r>
            <w:r>
              <w:rPr>
                <w:bCs/>
                <w:iCs/>
                <w:szCs w:val="24"/>
                <w:lang w:eastAsia="lt-LT"/>
              </w:rPr>
              <w:t>Klaipėda, A5 Kaunas</w:t>
            </w:r>
            <w:r>
              <w:t>–</w:t>
            </w:r>
            <w:r>
              <w:rPr>
                <w:bCs/>
                <w:iCs/>
                <w:szCs w:val="24"/>
                <w:lang w:eastAsia="lt-LT"/>
              </w:rPr>
              <w:t>Marijampolė</w:t>
            </w:r>
            <w:r>
              <w:t>–</w:t>
            </w:r>
            <w:r>
              <w:rPr>
                <w:bCs/>
                <w:iCs/>
                <w:szCs w:val="24"/>
                <w:lang w:eastAsia="lt-LT"/>
              </w:rPr>
              <w:t>Suvalkai, A8 Kaunas</w:t>
            </w:r>
            <w:r>
              <w:t>–</w:t>
            </w:r>
            <w:r>
              <w:rPr>
                <w:bCs/>
                <w:iCs/>
                <w:szCs w:val="24"/>
                <w:lang w:eastAsia="lt-LT"/>
              </w:rPr>
              <w:t>Panevėžys, A10 Panevėžys</w:t>
            </w:r>
            <w:r>
              <w:t>–</w:t>
            </w:r>
            <w:r>
              <w:rPr>
                <w:bCs/>
                <w:iCs/>
                <w:szCs w:val="24"/>
                <w:lang w:eastAsia="lt-LT"/>
              </w:rPr>
              <w:t>Pasvalys</w:t>
            </w:r>
            <w:r>
              <w:t>–</w:t>
            </w:r>
            <w:r>
              <w:rPr>
                <w:bCs/>
                <w:iCs/>
                <w:szCs w:val="24"/>
                <w:lang w:eastAsia="lt-LT"/>
              </w:rPr>
              <w:t>Ryga, A17 Panevėžio aplinkkelis, A2 Vilnius</w:t>
            </w:r>
            <w:r>
              <w:t>–</w:t>
            </w:r>
            <w:r>
              <w:rPr>
                <w:bCs/>
                <w:iCs/>
                <w:szCs w:val="24"/>
                <w:lang w:eastAsia="lt-LT"/>
              </w:rPr>
              <w:t>Panevėžys, A4 Vilnius</w:t>
            </w:r>
            <w:r>
              <w:t>–</w:t>
            </w:r>
            <w:r>
              <w:rPr>
                <w:bCs/>
                <w:iCs/>
                <w:szCs w:val="24"/>
                <w:lang w:eastAsia="lt-LT"/>
              </w:rPr>
              <w:t>Varėna</w:t>
            </w:r>
            <w:r>
              <w:t>–</w:t>
            </w:r>
            <w:r>
              <w:rPr>
                <w:bCs/>
                <w:iCs/>
                <w:szCs w:val="24"/>
                <w:lang w:eastAsia="lt-LT"/>
              </w:rPr>
              <w:t>Gardinas, A6 Kaunas</w:t>
            </w:r>
            <w:r>
              <w:t>–</w:t>
            </w:r>
            <w:r>
              <w:rPr>
                <w:bCs/>
                <w:iCs/>
                <w:szCs w:val="24"/>
                <w:lang w:eastAsia="lt-LT"/>
              </w:rPr>
              <w:t>Zarasai</w:t>
            </w:r>
            <w:r>
              <w:t>–</w:t>
            </w:r>
            <w:r>
              <w:rPr>
                <w:bCs/>
                <w:iCs/>
                <w:szCs w:val="24"/>
                <w:lang w:eastAsia="lt-LT"/>
              </w:rPr>
              <w:t>Daugpilis, A9 Panevėžys</w:t>
            </w:r>
            <w:r>
              <w:t>–</w:t>
            </w:r>
            <w:r>
              <w:rPr>
                <w:bCs/>
                <w:iCs/>
                <w:szCs w:val="24"/>
                <w:lang w:eastAsia="lt-LT"/>
              </w:rPr>
              <w:t>Šiauliai, A11 Šiauliai</w:t>
            </w:r>
            <w:r>
              <w:t>–</w:t>
            </w:r>
            <w:r>
              <w:rPr>
                <w:bCs/>
                <w:iCs/>
                <w:szCs w:val="24"/>
                <w:lang w:eastAsia="lt-LT"/>
              </w:rPr>
              <w:t>Palanga, A12 Ryga</w:t>
            </w:r>
            <w:r>
              <w:t>–</w:t>
            </w:r>
            <w:r>
              <w:rPr>
                <w:bCs/>
                <w:iCs/>
                <w:szCs w:val="24"/>
                <w:lang w:eastAsia="lt-LT"/>
              </w:rPr>
              <w:t>Šiauliai</w:t>
            </w:r>
            <w:r>
              <w:t>–</w:t>
            </w:r>
            <w:r>
              <w:rPr>
                <w:bCs/>
                <w:iCs/>
                <w:szCs w:val="24"/>
                <w:lang w:eastAsia="lt-LT"/>
              </w:rPr>
              <w:t>Tauragė</w:t>
            </w:r>
            <w:r>
              <w:t>–</w:t>
            </w:r>
            <w:r>
              <w:rPr>
                <w:bCs/>
                <w:iCs/>
                <w:szCs w:val="24"/>
                <w:lang w:eastAsia="lt-LT"/>
              </w:rPr>
              <w:t>Kaliningradas, A13 Klaipėda</w:t>
            </w:r>
            <w:r>
              <w:t>–</w:t>
            </w:r>
            <w:r>
              <w:rPr>
                <w:bCs/>
                <w:iCs/>
                <w:szCs w:val="24"/>
                <w:lang w:eastAsia="lt-LT"/>
              </w:rPr>
              <w:t>Liepoja, A14 Vilnius</w:t>
            </w:r>
            <w:r>
              <w:t>–</w:t>
            </w:r>
            <w:r>
              <w:rPr>
                <w:bCs/>
                <w:iCs/>
                <w:szCs w:val="24"/>
                <w:lang w:eastAsia="lt-LT"/>
              </w:rPr>
              <w:t>Utena, A16 Vilnius</w:t>
            </w:r>
            <w:r>
              <w:t>–</w:t>
            </w:r>
            <w:r>
              <w:rPr>
                <w:bCs/>
                <w:iCs/>
                <w:szCs w:val="24"/>
                <w:lang w:eastAsia="lt-LT"/>
              </w:rPr>
              <w:t>Prienai</w:t>
            </w:r>
            <w:r>
              <w:t>–</w:t>
            </w:r>
            <w:r>
              <w:rPr>
                <w:bCs/>
                <w:iCs/>
                <w:szCs w:val="24"/>
                <w:lang w:eastAsia="lt-LT"/>
              </w:rPr>
              <w:t>Marijampolė, A18 Šiaulių aplinkkelis),</w:t>
            </w:r>
            <w:r>
              <w:t xml:space="preserve"> zonose arba ne didesniu kaip 10 km atstumu nuo miesto zonos ribos esančiuose uostuose, įskaitant keleivių terminalus, </w:t>
            </w:r>
            <w:r>
              <w:lastRenderedPageBreak/>
              <w:t>oro uostuose, geležinkelių stotyse, autobusų terminaluose / stotyse, logistikos centruose bei krovinių terminaluose.</w:t>
            </w:r>
          </w:p>
          <w:p w14:paraId="2E07AD0A" w14:textId="69C38859" w:rsidR="000333E0" w:rsidRPr="00E7587F" w:rsidRDefault="000333E0" w:rsidP="000333E0">
            <w:pPr>
              <w:spacing w:after="0" w:line="240" w:lineRule="auto"/>
              <w:ind w:left="-57" w:right="-57"/>
              <w:rPr>
                <w:rFonts w:ascii="Times New Roman" w:hAnsi="Times New Roman" w:cs="Times New Roman"/>
                <w:color w:val="000000"/>
                <w:shd w:val="clear" w:color="auto" w:fill="FFFFFF"/>
              </w:rPr>
            </w:pPr>
            <w:r>
              <w:rPr>
                <w:szCs w:val="24"/>
              </w:rPr>
              <w:t>10 balų suteikiama kitose vietose, kurios nepatenka į aprašytas kategorijas.</w:t>
            </w:r>
          </w:p>
        </w:tc>
        <w:tc>
          <w:tcPr>
            <w:tcW w:w="340" w:type="pct"/>
            <w:tcBorders>
              <w:top w:val="single" w:sz="4" w:space="0" w:color="auto"/>
              <w:left w:val="single" w:sz="4" w:space="0" w:color="auto"/>
              <w:bottom w:val="single" w:sz="4" w:space="0" w:color="auto"/>
              <w:right w:val="single" w:sz="4" w:space="0" w:color="auto"/>
            </w:tcBorders>
            <w:hideMark/>
          </w:tcPr>
          <w:p w14:paraId="778620F0" w14:textId="6A94CF7F" w:rsidR="000333E0" w:rsidRPr="00486E60" w:rsidRDefault="00486E60" w:rsidP="000333E0">
            <w:pPr>
              <w:spacing w:after="0" w:line="240" w:lineRule="auto"/>
              <w:ind w:left="-57" w:right="-57"/>
              <w:rPr>
                <w:rFonts w:ascii="Times New Roman" w:eastAsia="Times New Roman" w:hAnsi="Times New Roman" w:cs="Times New Roman"/>
                <w:lang w:eastAsia="lt-LT"/>
              </w:rPr>
            </w:pPr>
            <w:r w:rsidRPr="00486E60">
              <w:rPr>
                <w:rFonts w:ascii="Times New Roman" w:eastAsia="Times New Roman" w:hAnsi="Times New Roman" w:cs="Times New Roman"/>
                <w:lang w:eastAsia="lt-LT"/>
              </w:rPr>
              <w:lastRenderedPageBreak/>
              <w:t>50</w:t>
            </w:r>
          </w:p>
        </w:tc>
        <w:tc>
          <w:tcPr>
            <w:tcW w:w="292" w:type="pct"/>
            <w:tcBorders>
              <w:top w:val="single" w:sz="4" w:space="0" w:color="auto"/>
              <w:left w:val="single" w:sz="4" w:space="0" w:color="auto"/>
              <w:bottom w:val="single" w:sz="4" w:space="0" w:color="auto"/>
              <w:right w:val="single" w:sz="4" w:space="0" w:color="auto"/>
            </w:tcBorders>
          </w:tcPr>
          <w:p w14:paraId="6FAA7BE3" w14:textId="1894ECDE" w:rsidR="000333E0" w:rsidRPr="00486E60" w:rsidRDefault="000333E0" w:rsidP="000333E0">
            <w:pPr>
              <w:spacing w:after="0" w:line="240" w:lineRule="auto"/>
              <w:ind w:left="-57" w:right="-57"/>
              <w:rPr>
                <w:rFonts w:ascii="Times New Roman" w:eastAsia="Times New Roman" w:hAnsi="Times New Roman" w:cs="Times New Roman"/>
                <w:lang w:eastAsia="lt-LT"/>
              </w:rPr>
            </w:pPr>
          </w:p>
        </w:tc>
        <w:tc>
          <w:tcPr>
            <w:tcW w:w="341" w:type="pct"/>
            <w:tcBorders>
              <w:top w:val="single" w:sz="4" w:space="0" w:color="auto"/>
              <w:left w:val="single" w:sz="4" w:space="0" w:color="auto"/>
              <w:bottom w:val="single" w:sz="4" w:space="0" w:color="auto"/>
              <w:right w:val="single" w:sz="4" w:space="0" w:color="auto"/>
            </w:tcBorders>
            <w:hideMark/>
          </w:tcPr>
          <w:p w14:paraId="7A5FB876" w14:textId="09AE9362" w:rsidR="000333E0" w:rsidRPr="00486E60" w:rsidRDefault="00486E60" w:rsidP="000333E0">
            <w:pPr>
              <w:spacing w:after="0" w:line="240" w:lineRule="auto"/>
              <w:ind w:left="-57" w:right="-57"/>
              <w:rPr>
                <w:rFonts w:ascii="Times New Roman" w:eastAsia="Times New Roman" w:hAnsi="Times New Roman" w:cs="Times New Roman"/>
                <w:lang w:eastAsia="lt-LT"/>
              </w:rPr>
            </w:pPr>
            <w:r w:rsidRPr="00486E60">
              <w:rPr>
                <w:rFonts w:ascii="Times New Roman" w:eastAsia="Times New Roman" w:hAnsi="Times New Roman" w:cs="Times New Roman"/>
                <w:lang w:eastAsia="lt-LT"/>
              </w:rPr>
              <w:t>-</w:t>
            </w:r>
          </w:p>
        </w:tc>
        <w:tc>
          <w:tcPr>
            <w:tcW w:w="340" w:type="pct"/>
            <w:tcBorders>
              <w:top w:val="single" w:sz="4" w:space="0" w:color="auto"/>
              <w:left w:val="single" w:sz="4" w:space="0" w:color="auto"/>
              <w:bottom w:val="single" w:sz="4" w:space="0" w:color="auto"/>
              <w:right w:val="single" w:sz="4" w:space="0" w:color="auto"/>
            </w:tcBorders>
            <w:hideMark/>
          </w:tcPr>
          <w:p w14:paraId="45347097" w14:textId="027BD0EF" w:rsidR="000333E0" w:rsidRPr="00486E60" w:rsidRDefault="000333E0" w:rsidP="000333E0">
            <w:pPr>
              <w:spacing w:after="0" w:line="240" w:lineRule="auto"/>
              <w:ind w:left="-57" w:right="-57"/>
              <w:rPr>
                <w:rFonts w:ascii="Times New Roman" w:eastAsia="Times New Roman" w:hAnsi="Times New Roman" w:cs="Times New Roman"/>
                <w:i/>
                <w:iCs/>
                <w:lang w:eastAsia="lt-LT"/>
              </w:rPr>
            </w:pPr>
          </w:p>
        </w:tc>
        <w:tc>
          <w:tcPr>
            <w:tcW w:w="341" w:type="pct"/>
            <w:tcBorders>
              <w:top w:val="single" w:sz="4" w:space="0" w:color="auto"/>
              <w:left w:val="single" w:sz="4" w:space="0" w:color="auto"/>
              <w:bottom w:val="single" w:sz="4" w:space="0" w:color="auto"/>
              <w:right w:val="single" w:sz="4" w:space="0" w:color="auto"/>
            </w:tcBorders>
          </w:tcPr>
          <w:p w14:paraId="07D03616" w14:textId="6074EA40" w:rsidR="000333E0" w:rsidRPr="00486E60" w:rsidRDefault="00486E60" w:rsidP="000333E0">
            <w:pPr>
              <w:spacing w:after="0" w:line="240" w:lineRule="auto"/>
              <w:ind w:left="-57" w:right="-57"/>
              <w:rPr>
                <w:rFonts w:ascii="Times New Roman" w:eastAsia="Times New Roman" w:hAnsi="Times New Roman" w:cs="Times New Roman"/>
                <w:iCs/>
                <w:lang w:eastAsia="lt-LT"/>
              </w:rPr>
            </w:pPr>
            <w:r w:rsidRPr="00486E60">
              <w:rPr>
                <w:rFonts w:ascii="Times New Roman" w:eastAsia="Times New Roman" w:hAnsi="Times New Roman" w:cs="Times New Roman"/>
                <w:iCs/>
                <w:lang w:eastAsia="lt-LT"/>
              </w:rPr>
              <w:t>10</w:t>
            </w:r>
          </w:p>
        </w:tc>
        <w:tc>
          <w:tcPr>
            <w:tcW w:w="328" w:type="pct"/>
            <w:tcBorders>
              <w:top w:val="single" w:sz="4" w:space="0" w:color="auto"/>
              <w:left w:val="single" w:sz="4" w:space="0" w:color="auto"/>
              <w:bottom w:val="single" w:sz="4" w:space="0" w:color="auto"/>
              <w:right w:val="single" w:sz="4" w:space="0" w:color="auto"/>
            </w:tcBorders>
            <w:hideMark/>
          </w:tcPr>
          <w:p w14:paraId="59B7ACAD" w14:textId="54B5CC8F" w:rsidR="000333E0" w:rsidRPr="002F0078" w:rsidRDefault="000333E0" w:rsidP="000333E0">
            <w:pPr>
              <w:spacing w:after="0" w:line="240" w:lineRule="auto"/>
              <w:ind w:left="-57" w:right="-57"/>
              <w:rPr>
                <w:rFonts w:ascii="Times New Roman" w:eastAsia="Times New Roman" w:hAnsi="Times New Roman" w:cs="Times New Roman"/>
                <w:i/>
                <w:iCs/>
                <w:color w:val="000000"/>
                <w:sz w:val="20"/>
                <w:szCs w:val="20"/>
                <w:lang w:eastAsia="lt-LT"/>
              </w:rPr>
            </w:pPr>
          </w:p>
        </w:tc>
      </w:tr>
      <w:tr w:rsidR="00486E60" w:rsidRPr="002F0078" w14:paraId="0EFF391A" w14:textId="77777777" w:rsidTr="00A10522">
        <w:trPr>
          <w:trHeight w:val="300"/>
        </w:trPr>
        <w:tc>
          <w:tcPr>
            <w:tcW w:w="145" w:type="pct"/>
            <w:tcBorders>
              <w:top w:val="single" w:sz="4" w:space="0" w:color="auto"/>
              <w:left w:val="single" w:sz="4" w:space="0" w:color="auto"/>
              <w:bottom w:val="single" w:sz="4" w:space="0" w:color="auto"/>
              <w:right w:val="single" w:sz="4" w:space="0" w:color="auto"/>
            </w:tcBorders>
            <w:noWrap/>
            <w:hideMark/>
          </w:tcPr>
          <w:p w14:paraId="1C9EBFE6" w14:textId="1C84AB5B" w:rsidR="00486E60" w:rsidRPr="002F0078" w:rsidRDefault="00486E60" w:rsidP="00486E60">
            <w:pPr>
              <w:spacing w:after="0" w:line="240" w:lineRule="auto"/>
              <w:ind w:left="-57" w:right="-57"/>
              <w:rPr>
                <w:rFonts w:ascii="Times New Roman" w:eastAsia="Times New Roman" w:hAnsi="Times New Roman" w:cs="Times New Roman"/>
                <w:color w:val="000000"/>
                <w:lang w:eastAsia="lt-LT"/>
              </w:rPr>
            </w:pPr>
            <w:r w:rsidRPr="002F0078">
              <w:rPr>
                <w:rFonts w:ascii="Times New Roman" w:eastAsia="Times New Roman" w:hAnsi="Times New Roman" w:cs="Times New Roman"/>
                <w:color w:val="000000"/>
                <w:lang w:eastAsia="lt-LT"/>
              </w:rPr>
              <w:t>2</w:t>
            </w:r>
            <w:r>
              <w:rPr>
                <w:rFonts w:ascii="Times New Roman" w:eastAsia="Times New Roman" w:hAnsi="Times New Roman" w:cs="Times New Roman"/>
                <w:color w:val="000000"/>
                <w:lang w:eastAsia="lt-LT"/>
              </w:rPr>
              <w:t>.</w:t>
            </w:r>
          </w:p>
        </w:tc>
        <w:tc>
          <w:tcPr>
            <w:tcW w:w="583"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1134A81C" w14:textId="4213B5AC" w:rsidR="00486E60" w:rsidRPr="00EA4E9A" w:rsidRDefault="00486E60" w:rsidP="00486E60">
            <w:pPr>
              <w:spacing w:after="0" w:line="240" w:lineRule="auto"/>
              <w:ind w:left="-57" w:right="-57"/>
              <w:rPr>
                <w:rFonts w:ascii="Times New Roman" w:eastAsia="Times New Roman" w:hAnsi="Times New Roman" w:cs="Times New Roman"/>
                <w:color w:val="000000"/>
                <w:lang w:eastAsia="lt-LT"/>
              </w:rPr>
            </w:pPr>
            <w:r>
              <w:t>Vandenilio pildymo punkto pajėgumas</w:t>
            </w:r>
          </w:p>
        </w:tc>
        <w:tc>
          <w:tcPr>
            <w:tcW w:w="2290" w:type="pct"/>
            <w:tcBorders>
              <w:top w:val="single" w:sz="6" w:space="0" w:color="000000" w:themeColor="text1"/>
              <w:left w:val="single" w:sz="6" w:space="0" w:color="000000" w:themeColor="text1"/>
              <w:bottom w:val="single" w:sz="6" w:space="0" w:color="000000" w:themeColor="text1"/>
              <w:right w:val="single" w:sz="6" w:space="0" w:color="000000" w:themeColor="text1"/>
            </w:tcBorders>
            <w:noWrap/>
            <w:hideMark/>
          </w:tcPr>
          <w:p w14:paraId="2C8E43BD" w14:textId="77777777" w:rsidR="00486E60" w:rsidRDefault="00486E60" w:rsidP="00A10522">
            <w:pPr>
              <w:spacing w:after="0"/>
              <w:jc w:val="both"/>
              <w:rPr>
                <w:szCs w:val="24"/>
              </w:rPr>
            </w:pPr>
            <w:r>
              <w:rPr>
                <w:szCs w:val="24"/>
              </w:rPr>
              <w:t>50 balų suteikiama, jei pajėgumas 1 000 kg per parą ir daugiau.</w:t>
            </w:r>
          </w:p>
          <w:p w14:paraId="68C98632" w14:textId="77777777" w:rsidR="00486E60" w:rsidRDefault="00486E60" w:rsidP="00A10522">
            <w:pPr>
              <w:spacing w:after="0"/>
              <w:jc w:val="both"/>
              <w:rPr>
                <w:szCs w:val="24"/>
              </w:rPr>
            </w:pPr>
            <w:r>
              <w:rPr>
                <w:szCs w:val="24"/>
              </w:rPr>
              <w:t xml:space="preserve">30 balų suteikiama, jei pajėgumas </w:t>
            </w:r>
            <w:r>
              <w:rPr>
                <w:szCs w:val="24"/>
                <w:lang w:val="en-US"/>
              </w:rPr>
              <w:t>500</w:t>
            </w:r>
            <w:r>
              <w:t>–</w:t>
            </w:r>
            <w:r>
              <w:rPr>
                <w:szCs w:val="24"/>
                <w:lang w:val="en-US"/>
              </w:rPr>
              <w:t>999 kg</w:t>
            </w:r>
            <w:r>
              <w:rPr>
                <w:szCs w:val="24"/>
              </w:rPr>
              <w:t xml:space="preserve"> per parą.</w:t>
            </w:r>
          </w:p>
          <w:p w14:paraId="46982BB1" w14:textId="77777777" w:rsidR="00486E60" w:rsidRDefault="00486E60" w:rsidP="00A10522">
            <w:pPr>
              <w:tabs>
                <w:tab w:val="left" w:pos="271"/>
                <w:tab w:val="left" w:pos="993"/>
                <w:tab w:val="left" w:pos="1134"/>
              </w:tabs>
              <w:spacing w:after="0" w:line="240" w:lineRule="auto"/>
              <w:rPr>
                <w:szCs w:val="24"/>
              </w:rPr>
            </w:pPr>
            <w:r>
              <w:rPr>
                <w:szCs w:val="24"/>
              </w:rPr>
              <w:t>10 balų suteikiama, jei pajėgumas 200</w:t>
            </w:r>
            <w:r>
              <w:t>–</w:t>
            </w:r>
            <w:r>
              <w:rPr>
                <w:szCs w:val="24"/>
              </w:rPr>
              <w:t>499 kg per parą.</w:t>
            </w:r>
          </w:p>
          <w:p w14:paraId="2C21ED93" w14:textId="67EB3D36" w:rsidR="003545CF" w:rsidRPr="00EA4E9A" w:rsidRDefault="003545CF" w:rsidP="00A10522">
            <w:pPr>
              <w:tabs>
                <w:tab w:val="left" w:pos="271"/>
                <w:tab w:val="left" w:pos="993"/>
                <w:tab w:val="left" w:pos="1134"/>
              </w:tabs>
              <w:spacing w:after="0" w:line="240" w:lineRule="auto"/>
              <w:rPr>
                <w:rFonts w:ascii="Times New Roman" w:hAnsi="Times New Roman" w:cs="Times New Roman"/>
                <w:lang w:val="lt"/>
              </w:rPr>
            </w:pPr>
          </w:p>
        </w:tc>
        <w:tc>
          <w:tcPr>
            <w:tcW w:w="340" w:type="pct"/>
            <w:tcBorders>
              <w:top w:val="single" w:sz="4" w:space="0" w:color="auto"/>
              <w:left w:val="single" w:sz="4" w:space="0" w:color="auto"/>
              <w:bottom w:val="single" w:sz="4" w:space="0" w:color="auto"/>
              <w:right w:val="single" w:sz="4" w:space="0" w:color="auto"/>
            </w:tcBorders>
            <w:hideMark/>
          </w:tcPr>
          <w:p w14:paraId="2CA3EB1B" w14:textId="0F77D66C" w:rsidR="00486E60" w:rsidRPr="00EA4E9A" w:rsidRDefault="00486E60" w:rsidP="00486E6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50</w:t>
            </w:r>
          </w:p>
        </w:tc>
        <w:tc>
          <w:tcPr>
            <w:tcW w:w="292" w:type="pct"/>
            <w:tcBorders>
              <w:top w:val="single" w:sz="4" w:space="0" w:color="auto"/>
              <w:left w:val="single" w:sz="4" w:space="0" w:color="auto"/>
              <w:bottom w:val="nil"/>
              <w:right w:val="single" w:sz="4" w:space="0" w:color="auto"/>
            </w:tcBorders>
            <w:hideMark/>
          </w:tcPr>
          <w:p w14:paraId="277F4852" w14:textId="77777777" w:rsidR="00486E60" w:rsidRPr="00EA4E9A" w:rsidRDefault="00486E60" w:rsidP="00486E60">
            <w:pPr>
              <w:spacing w:after="0" w:line="240" w:lineRule="auto"/>
              <w:ind w:left="-57" w:right="-57"/>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hideMark/>
          </w:tcPr>
          <w:p w14:paraId="59063FA3" w14:textId="69CB5019" w:rsidR="00486E60" w:rsidRPr="00EA4E9A" w:rsidRDefault="00486E60" w:rsidP="00486E60">
            <w:pPr>
              <w:spacing w:after="0" w:line="240" w:lineRule="auto"/>
              <w:ind w:left="-57" w:right="-57"/>
              <w:rPr>
                <w:rFonts w:ascii="Times New Roman" w:eastAsia="Times New Roman" w:hAnsi="Times New Roman" w:cs="Times New Roman"/>
                <w:lang w:eastAsia="lt-LT"/>
              </w:rPr>
            </w:pPr>
            <w:r>
              <w:rPr>
                <w:rFonts w:ascii="Times New Roman" w:eastAsia="Times New Roman" w:hAnsi="Times New Roman" w:cs="Times New Roman"/>
                <w:lang w:eastAsia="lt-LT"/>
              </w:rPr>
              <w:t>-</w:t>
            </w:r>
          </w:p>
        </w:tc>
        <w:tc>
          <w:tcPr>
            <w:tcW w:w="340" w:type="pct"/>
            <w:tcBorders>
              <w:top w:val="single" w:sz="4" w:space="0" w:color="auto"/>
              <w:left w:val="single" w:sz="4" w:space="0" w:color="auto"/>
              <w:bottom w:val="nil"/>
              <w:right w:val="single" w:sz="4" w:space="0" w:color="auto"/>
            </w:tcBorders>
            <w:hideMark/>
          </w:tcPr>
          <w:p w14:paraId="5FC445DA" w14:textId="77777777" w:rsidR="00486E60" w:rsidRPr="00EA4E9A" w:rsidRDefault="00486E60" w:rsidP="00486E60">
            <w:pPr>
              <w:spacing w:after="0" w:line="240" w:lineRule="auto"/>
              <w:ind w:left="-57" w:right="-57"/>
              <w:rPr>
                <w:rFonts w:ascii="Times New Roman" w:eastAsia="Times New Roman" w:hAnsi="Times New Roman" w:cs="Times New Roman"/>
                <w:lang w:eastAsia="lt-LT"/>
              </w:rPr>
            </w:pPr>
          </w:p>
        </w:tc>
        <w:tc>
          <w:tcPr>
            <w:tcW w:w="341" w:type="pct"/>
            <w:tcBorders>
              <w:top w:val="single" w:sz="4" w:space="0" w:color="auto"/>
              <w:left w:val="single" w:sz="4" w:space="0" w:color="auto"/>
              <w:bottom w:val="nil"/>
              <w:right w:val="single" w:sz="4" w:space="0" w:color="auto"/>
            </w:tcBorders>
            <w:hideMark/>
          </w:tcPr>
          <w:p w14:paraId="07B89CC8" w14:textId="4236EEDF" w:rsidR="00486E60" w:rsidRPr="002F0078" w:rsidRDefault="00486E60" w:rsidP="00486E60">
            <w:pPr>
              <w:spacing w:after="0" w:line="240" w:lineRule="auto"/>
              <w:ind w:left="-57" w:right="-57"/>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p>
        </w:tc>
        <w:tc>
          <w:tcPr>
            <w:tcW w:w="328" w:type="pct"/>
            <w:tcBorders>
              <w:top w:val="single" w:sz="4" w:space="0" w:color="auto"/>
              <w:left w:val="single" w:sz="4" w:space="0" w:color="auto"/>
              <w:bottom w:val="nil"/>
              <w:right w:val="single" w:sz="4" w:space="0" w:color="auto"/>
            </w:tcBorders>
            <w:noWrap/>
            <w:hideMark/>
          </w:tcPr>
          <w:p w14:paraId="50635D4D" w14:textId="77777777" w:rsidR="00486E60" w:rsidRPr="002F0078" w:rsidRDefault="00486E60" w:rsidP="00486E60">
            <w:pPr>
              <w:spacing w:after="0" w:line="240" w:lineRule="auto"/>
              <w:ind w:left="-57" w:right="-57"/>
              <w:rPr>
                <w:rFonts w:ascii="Times New Roman" w:eastAsia="Times New Roman" w:hAnsi="Times New Roman" w:cs="Times New Roman"/>
                <w:sz w:val="20"/>
                <w:szCs w:val="20"/>
                <w:lang w:eastAsia="lt-LT"/>
              </w:rPr>
            </w:pPr>
          </w:p>
        </w:tc>
      </w:tr>
      <w:tr w:rsidR="00A10522" w:rsidRPr="002F0078" w14:paraId="6CE49BF1" w14:textId="77777777" w:rsidTr="00A10522">
        <w:trPr>
          <w:trHeight w:val="1250"/>
        </w:trPr>
        <w:tc>
          <w:tcPr>
            <w:tcW w:w="3358" w:type="pct"/>
            <w:gridSpan w:val="4"/>
            <w:tcBorders>
              <w:top w:val="single" w:sz="4" w:space="0" w:color="auto"/>
              <w:left w:val="single" w:sz="4" w:space="0" w:color="auto"/>
              <w:bottom w:val="single" w:sz="4" w:space="0" w:color="auto"/>
              <w:right w:val="nil"/>
            </w:tcBorders>
            <w:noWrap/>
            <w:vAlign w:val="bottom"/>
            <w:hideMark/>
          </w:tcPr>
          <w:p w14:paraId="4D43DCB8" w14:textId="77777777" w:rsidR="00A10522" w:rsidRPr="00A10522" w:rsidRDefault="00A10522" w:rsidP="00A10522">
            <w:pPr>
              <w:rPr>
                <w:rFonts w:ascii="Times New Roman" w:eastAsia="Times New Roman" w:hAnsi="Times New Roman" w:cs="Times New Roman"/>
                <w:sz w:val="20"/>
                <w:szCs w:val="20"/>
                <w:lang w:eastAsia="lt-LT"/>
              </w:rPr>
            </w:pPr>
            <w:bookmarkStart w:id="1" w:name="NK_vertinimas_(1.2.4)!C48"/>
            <w:bookmarkEnd w:id="1"/>
            <w:r w:rsidRPr="00A10522">
              <w:rPr>
                <w:rFonts w:ascii="Times New Roman" w:eastAsia="Times New Roman" w:hAnsi="Times New Roman" w:cs="Times New Roman"/>
                <w:sz w:val="20"/>
                <w:szCs w:val="20"/>
                <w:lang w:eastAsia="lt-LT"/>
              </w:rPr>
              <w:t>* TEN-T pagrindinis tinklas – tinklas, apibrėžtas 2013 m. gruodžio 11 d. Europos Parlamento ir Tarybos reglamento (ES) Nr. 1315/2013 dėl Sąjungos transeuropinio transporto tinklo plėtros gairių, kuriuo panaikinamas Sprendimas Nr. 661/2010/ES, 38 straipsnyje.</w:t>
            </w:r>
          </w:p>
          <w:p w14:paraId="3F776246" w14:textId="77777777" w:rsidR="00A10522" w:rsidRPr="00A10522" w:rsidRDefault="00A10522" w:rsidP="00A10522">
            <w:pPr>
              <w:rPr>
                <w:rFonts w:ascii="Times New Roman" w:eastAsia="Times New Roman" w:hAnsi="Times New Roman" w:cs="Times New Roman"/>
                <w:sz w:val="20"/>
                <w:szCs w:val="20"/>
                <w:lang w:eastAsia="lt-LT"/>
              </w:rPr>
            </w:pPr>
            <w:r w:rsidRPr="00A10522">
              <w:rPr>
                <w:rFonts w:ascii="Times New Roman" w:eastAsia="Times New Roman" w:hAnsi="Times New Roman" w:cs="Times New Roman"/>
                <w:sz w:val="20"/>
                <w:szCs w:val="20"/>
                <w:lang w:eastAsia="lt-LT"/>
              </w:rPr>
              <w:t>** Miestų transporto mazgas – miesto zona, kurioje transeuropinio transporto tinklo transporto infrastruktūros elementai, pavyzdžiui, uostai, įskaitant keleivių terminalus, oro uostai, geležinkelio stotys, autobusų terminalai, logistikos centrai ir įrenginiai bei krovinių terminalai, esantys miestų zonose arba aplink jas, yra sujungti su kitais tos infrastruktūros elementais ir su regioninio ir vietos eismo infrastruktūra, įskaitant susijusią su aktyviuoju judumu, kaip apibrėžta Pasiūlyme dėl Europos Parlamento ir Tarybos reglamento dėl Sąjungos transeuropinio tinklo plėtros gairių, kuriuo iš dalies keičiamas Reglamentas (ES) 2021/1153 bei Reglamentas (ES) Nr. 913/2010 ir panaikinamas Reglamentas (ES) Nr. 1315/2013. Minėto dokumento II priede pateikiami 5 Lietuvos miestai, priskiriami miestų transporto mazgams: Vilnius, Kaunas, Klaipėda, Šiauliai, Panevėžys.</w:t>
            </w:r>
          </w:p>
          <w:p w14:paraId="5CDFE9DD" w14:textId="50D72D09" w:rsidR="00A10522" w:rsidRPr="002F0078" w:rsidRDefault="00A10522" w:rsidP="00A10522">
            <w:pPr>
              <w:spacing w:after="0" w:line="240" w:lineRule="auto"/>
              <w:ind w:left="-57" w:right="-57"/>
              <w:rPr>
                <w:rFonts w:ascii="Times New Roman" w:eastAsia="Times New Roman" w:hAnsi="Times New Roman" w:cs="Times New Roman"/>
                <w:sz w:val="20"/>
                <w:szCs w:val="20"/>
                <w:lang w:eastAsia="lt-LT"/>
              </w:rPr>
            </w:pPr>
            <w:r w:rsidRPr="00A10522">
              <w:rPr>
                <w:rFonts w:ascii="Times New Roman" w:eastAsia="Times New Roman" w:hAnsi="Times New Roman" w:cs="Times New Roman"/>
                <w:sz w:val="20"/>
                <w:szCs w:val="20"/>
                <w:lang w:eastAsia="lt-LT"/>
              </w:rPr>
              <w:t>*** TEN-T visuotinis tinklas – tinklas, apibrėžtas Reglamento (ES) Nr. 1315/2013 9 straipsnyje.</w:t>
            </w:r>
          </w:p>
        </w:tc>
        <w:tc>
          <w:tcPr>
            <w:tcW w:w="633" w:type="pct"/>
            <w:gridSpan w:val="2"/>
            <w:tcBorders>
              <w:top w:val="single" w:sz="4" w:space="0" w:color="auto"/>
              <w:left w:val="single" w:sz="4" w:space="0" w:color="auto"/>
              <w:bottom w:val="single" w:sz="4" w:space="0" w:color="auto"/>
              <w:right w:val="single" w:sz="4" w:space="0" w:color="auto"/>
            </w:tcBorders>
            <w:shd w:val="clear" w:color="000000" w:fill="D0CECE"/>
            <w:hideMark/>
          </w:tcPr>
          <w:p w14:paraId="151BBACC" w14:textId="77777777" w:rsidR="00A10522" w:rsidRPr="002F0078" w:rsidRDefault="00A10522" w:rsidP="002F0078">
            <w:pPr>
              <w:spacing w:after="0" w:line="240" w:lineRule="auto"/>
              <w:ind w:left="-57" w:right="-57"/>
              <w:jc w:val="right"/>
              <w:rPr>
                <w:rFonts w:ascii="Times New Roman" w:eastAsia="Times New Roman" w:hAnsi="Times New Roman" w:cs="Times New Roman"/>
                <w:b/>
                <w:bCs/>
                <w:color w:val="000000"/>
                <w:lang w:eastAsia="lt-LT"/>
              </w:rPr>
            </w:pPr>
            <w:r w:rsidRPr="002F0078">
              <w:rPr>
                <w:rFonts w:ascii="Times New Roman" w:eastAsia="Times New Roman" w:hAnsi="Times New Roman" w:cs="Times New Roman"/>
                <w:b/>
                <w:bCs/>
                <w:color w:val="000000"/>
                <w:lang w:eastAsia="lt-LT"/>
              </w:rPr>
              <w:t>SUMA:</w:t>
            </w:r>
          </w:p>
        </w:tc>
        <w:tc>
          <w:tcPr>
            <w:tcW w:w="340" w:type="pct"/>
            <w:tcBorders>
              <w:top w:val="single" w:sz="4" w:space="0" w:color="auto"/>
              <w:left w:val="single" w:sz="4" w:space="0" w:color="auto"/>
              <w:bottom w:val="single" w:sz="4" w:space="0" w:color="auto"/>
              <w:right w:val="single" w:sz="4" w:space="0" w:color="auto"/>
            </w:tcBorders>
            <w:hideMark/>
          </w:tcPr>
          <w:p w14:paraId="63D9F315" w14:textId="1A6C7A87" w:rsidR="00A10522" w:rsidRPr="002F0078" w:rsidRDefault="00A10522" w:rsidP="002F0078">
            <w:pPr>
              <w:spacing w:after="0" w:line="240" w:lineRule="auto"/>
              <w:ind w:left="-57" w:right="-57"/>
              <w:rPr>
                <w:rFonts w:ascii="Times New Roman" w:eastAsia="Times New Roman" w:hAnsi="Times New Roman" w:cs="Times New Roman"/>
                <w:i/>
                <w:iCs/>
                <w:sz w:val="20"/>
                <w:szCs w:val="20"/>
                <w:lang w:eastAsia="lt-LT"/>
              </w:rPr>
            </w:pPr>
          </w:p>
        </w:tc>
        <w:tc>
          <w:tcPr>
            <w:tcW w:w="341" w:type="pct"/>
            <w:tcBorders>
              <w:top w:val="single" w:sz="4" w:space="0" w:color="auto"/>
              <w:left w:val="single" w:sz="4" w:space="0" w:color="auto"/>
              <w:bottom w:val="single" w:sz="4" w:space="0" w:color="auto"/>
              <w:right w:val="single" w:sz="4" w:space="0" w:color="auto"/>
            </w:tcBorders>
            <w:hideMark/>
          </w:tcPr>
          <w:p w14:paraId="3B4F57B4" w14:textId="38A6E764" w:rsidR="00A10522" w:rsidRPr="00AE36DB" w:rsidRDefault="00A10522" w:rsidP="002F0078">
            <w:pPr>
              <w:spacing w:after="0" w:line="240" w:lineRule="auto"/>
              <w:ind w:left="-57" w:right="-57"/>
              <w:rPr>
                <w:rFonts w:ascii="Times New Roman" w:eastAsia="Times New Roman" w:hAnsi="Times New Roman" w:cs="Times New Roman"/>
                <w:b/>
                <w:bCs/>
                <w:i/>
                <w:iCs/>
                <w:sz w:val="20"/>
                <w:szCs w:val="20"/>
                <w:lang w:eastAsia="lt-LT"/>
              </w:rPr>
            </w:pPr>
          </w:p>
        </w:tc>
        <w:tc>
          <w:tcPr>
            <w:tcW w:w="328" w:type="pct"/>
            <w:tcBorders>
              <w:top w:val="single" w:sz="4" w:space="0" w:color="auto"/>
              <w:left w:val="single" w:sz="4" w:space="0" w:color="auto"/>
              <w:bottom w:val="single" w:sz="4" w:space="0" w:color="auto"/>
              <w:right w:val="single" w:sz="4" w:space="0" w:color="auto"/>
            </w:tcBorders>
            <w:shd w:val="clear" w:color="000000" w:fill="D0CECE"/>
            <w:noWrap/>
            <w:hideMark/>
          </w:tcPr>
          <w:p w14:paraId="6DE45D85" w14:textId="77777777" w:rsidR="00A10522" w:rsidRPr="002F0078" w:rsidRDefault="00A10522" w:rsidP="002F0078">
            <w:pPr>
              <w:spacing w:after="0" w:line="240" w:lineRule="auto"/>
              <w:ind w:left="-57" w:right="-57"/>
              <w:rPr>
                <w:rFonts w:ascii="Times New Roman" w:eastAsia="Times New Roman" w:hAnsi="Times New Roman" w:cs="Times New Roman"/>
                <w:i/>
                <w:iCs/>
                <w:sz w:val="20"/>
                <w:szCs w:val="20"/>
                <w:lang w:eastAsia="lt-LT"/>
              </w:rPr>
            </w:pPr>
          </w:p>
        </w:tc>
      </w:tr>
    </w:tbl>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5024AE22" w14:textId="2756BBD8" w:rsidR="00AB1327" w:rsidRDefault="005808BF" w:rsidP="00047D1C">
      <w:pPr>
        <w:pStyle w:val="Heading1"/>
        <w:numPr>
          <w:ilvl w:val="0"/>
          <w:numId w:val="2"/>
        </w:numPr>
      </w:pPr>
      <w:r>
        <w:t>S</w:t>
      </w:r>
      <w:r w:rsidR="00EC0E11" w:rsidRPr="00EC0E11">
        <w:t>PRENDIMAS</w:t>
      </w:r>
    </w:p>
    <w:tbl>
      <w:tblPr>
        <w:tblStyle w:val="TableGrid"/>
        <w:tblW w:w="14596" w:type="dxa"/>
        <w:tblLook w:val="04A0" w:firstRow="1" w:lastRow="0" w:firstColumn="1" w:lastColumn="0" w:noHBand="0" w:noVBand="1"/>
      </w:tblPr>
      <w:tblGrid>
        <w:gridCol w:w="14596"/>
      </w:tblGrid>
      <w:tr w:rsidR="002F4D33" w14:paraId="29B50397" w14:textId="77777777" w:rsidTr="00EA4E9A">
        <w:tc>
          <w:tcPr>
            <w:tcW w:w="14596" w:type="dxa"/>
          </w:tcPr>
          <w:p w14:paraId="5348C4DC" w14:textId="65EF45D4" w:rsidR="002F4D33" w:rsidRDefault="002F4D33" w:rsidP="008864ED">
            <w:pPr>
              <w:pStyle w:val="Heading2"/>
              <w:outlineLvl w:val="1"/>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4596" w:type="dxa"/>
        <w:tblLook w:val="04A0" w:firstRow="1" w:lastRow="0" w:firstColumn="1" w:lastColumn="0" w:noHBand="0" w:noVBand="1"/>
      </w:tblPr>
      <w:tblGrid>
        <w:gridCol w:w="14596"/>
      </w:tblGrid>
      <w:tr w:rsidR="001259C3" w14:paraId="570E1E21" w14:textId="77777777" w:rsidTr="00EA4E9A">
        <w:trPr>
          <w:trHeight w:val="481"/>
        </w:trPr>
        <w:tc>
          <w:tcPr>
            <w:tcW w:w="14596" w:type="dxa"/>
          </w:tcPr>
          <w:p w14:paraId="3EB5947C" w14:textId="4571218A" w:rsidR="001259C3" w:rsidRDefault="001259C3" w:rsidP="00E93301">
            <w:pPr>
              <w:rPr>
                <w:rFonts w:ascii="Times New Roman" w:hAnsi="Times New Roman" w:cs="Times New Roman"/>
                <w:b/>
              </w:rPr>
            </w:pPr>
          </w:p>
        </w:tc>
      </w:tr>
    </w:tbl>
    <w:p w14:paraId="3C5F87EA" w14:textId="2043DFA9" w:rsidR="002D7EEE" w:rsidRDefault="002D7EEE" w:rsidP="00047D1C">
      <w:pPr>
        <w:pStyle w:val="Heading1"/>
        <w:numPr>
          <w:ilvl w:val="0"/>
          <w:numId w:val="2"/>
        </w:numPr>
        <w:rPr>
          <w:b w:val="0"/>
          <w:bCs/>
        </w:rPr>
      </w:pPr>
      <w:r w:rsidRPr="70CCFC48">
        <w:rPr>
          <w:bCs/>
        </w:rPr>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4596" w:type="dxa"/>
        <w:tblLook w:val="04A0" w:firstRow="1" w:lastRow="0" w:firstColumn="1" w:lastColumn="0" w:noHBand="0" w:noVBand="1"/>
      </w:tblPr>
      <w:tblGrid>
        <w:gridCol w:w="14596"/>
      </w:tblGrid>
      <w:tr w:rsidR="002D7EEE" w14:paraId="1FA5FB0B" w14:textId="77777777" w:rsidTr="00EA4E9A">
        <w:trPr>
          <w:trHeight w:val="1137"/>
        </w:trPr>
        <w:tc>
          <w:tcPr>
            <w:tcW w:w="14596" w:type="dxa"/>
          </w:tcPr>
          <w:p w14:paraId="2D22806F" w14:textId="219CEEE9" w:rsidR="002D7EEE" w:rsidRDefault="002D7EEE" w:rsidP="005808BF">
            <w:pPr>
              <w:rPr>
                <w:rFonts w:ascii="Times New Roman" w:hAnsi="Times New Roman" w:cs="Times New Roman"/>
                <w:b/>
              </w:rPr>
            </w:pPr>
          </w:p>
        </w:tc>
      </w:tr>
    </w:tbl>
    <w:p w14:paraId="6D6B894E" w14:textId="77777777" w:rsidR="002D7EEE" w:rsidRPr="002D7EEE" w:rsidRDefault="002D7EEE" w:rsidP="00E93301">
      <w:pPr>
        <w:rPr>
          <w:rFonts w:ascii="Times New Roman" w:hAnsi="Times New Roman" w:cs="Times New Roman"/>
          <w:b/>
        </w:rPr>
      </w:pPr>
    </w:p>
    <w:sectPr w:rsidR="002D7EEE" w:rsidRPr="002D7EEE" w:rsidSect="003125E8">
      <w:pgSz w:w="16838" w:h="11906" w:orient="landscape"/>
      <w:pgMar w:top="566" w:right="1134" w:bottom="424" w:left="1135" w:header="34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E7B32" w14:textId="77777777" w:rsidR="000333E0" w:rsidRDefault="000333E0" w:rsidP="00B351D0">
      <w:pPr>
        <w:spacing w:after="0" w:line="240" w:lineRule="auto"/>
      </w:pPr>
      <w:r>
        <w:separator/>
      </w:r>
    </w:p>
  </w:endnote>
  <w:endnote w:type="continuationSeparator" w:id="0">
    <w:p w14:paraId="39705558" w14:textId="77777777" w:rsidR="000333E0" w:rsidRDefault="000333E0" w:rsidP="00B351D0">
      <w:pPr>
        <w:spacing w:after="0" w:line="240" w:lineRule="auto"/>
      </w:pPr>
      <w:r>
        <w:continuationSeparator/>
      </w:r>
    </w:p>
  </w:endnote>
  <w:endnote w:type="continuationNotice" w:id="1">
    <w:p w14:paraId="42A05EBF" w14:textId="77777777" w:rsidR="000333E0" w:rsidRDefault="00033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ED9DD" w14:textId="77777777" w:rsidR="000333E0" w:rsidRDefault="000333E0" w:rsidP="00B351D0">
      <w:pPr>
        <w:spacing w:after="0" w:line="240" w:lineRule="auto"/>
      </w:pPr>
      <w:r>
        <w:separator/>
      </w:r>
    </w:p>
  </w:footnote>
  <w:footnote w:type="continuationSeparator" w:id="0">
    <w:p w14:paraId="03EC60F6" w14:textId="77777777" w:rsidR="000333E0" w:rsidRDefault="000333E0" w:rsidP="00B351D0">
      <w:pPr>
        <w:spacing w:after="0" w:line="240" w:lineRule="auto"/>
      </w:pPr>
      <w:r>
        <w:continuationSeparator/>
      </w:r>
    </w:p>
  </w:footnote>
  <w:footnote w:type="continuationNotice" w:id="1">
    <w:p w14:paraId="1089EEAF" w14:textId="77777777" w:rsidR="000333E0" w:rsidRDefault="000333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0"/>
  </w:num>
  <w:num w:numId="5">
    <w:abstractNumId w:val="1"/>
  </w:num>
  <w:num w:numId="6">
    <w:abstractNumId w:val="2"/>
  </w:num>
  <w:num w:numId="7">
    <w:abstractNumId w:val="4"/>
  </w:num>
  <w:num w:numId="8">
    <w:abstractNumId w:val="8"/>
  </w:num>
  <w:num w:numId="9">
    <w:abstractNumId w:val="7"/>
  </w:num>
  <w:num w:numId="10">
    <w:abstractNumId w:val="7"/>
  </w:num>
  <w:num w:numId="11">
    <w:abstractNumId w:val="7"/>
  </w:num>
  <w:num w:numId="12">
    <w:abstractNumId w:val="7"/>
  </w:num>
  <w:num w:numId="13">
    <w:abstractNumId w:val="5"/>
  </w:num>
  <w:num w:numId="14">
    <w:abstractNumId w:val="3"/>
  </w:num>
  <w:num w:numId="15">
    <w:abstractNumId w:val="9"/>
  </w:num>
  <w:num w:numId="16">
    <w:abstractNumId w:val="7"/>
  </w:num>
  <w:num w:numId="17">
    <w:abstractNumId w:val="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D0"/>
    <w:rsid w:val="000333E0"/>
    <w:rsid w:val="00043533"/>
    <w:rsid w:val="00047D1C"/>
    <w:rsid w:val="0005060E"/>
    <w:rsid w:val="00057242"/>
    <w:rsid w:val="000572E0"/>
    <w:rsid w:val="0006111F"/>
    <w:rsid w:val="00076E44"/>
    <w:rsid w:val="00084997"/>
    <w:rsid w:val="000D677C"/>
    <w:rsid w:val="000E1BDC"/>
    <w:rsid w:val="000E64C3"/>
    <w:rsid w:val="000F0C95"/>
    <w:rsid w:val="00104DAE"/>
    <w:rsid w:val="00114817"/>
    <w:rsid w:val="0012151E"/>
    <w:rsid w:val="001259C3"/>
    <w:rsid w:val="00137468"/>
    <w:rsid w:val="00150A02"/>
    <w:rsid w:val="00161FFE"/>
    <w:rsid w:val="001A6072"/>
    <w:rsid w:val="001B1711"/>
    <w:rsid w:val="001D355E"/>
    <w:rsid w:val="001F6B02"/>
    <w:rsid w:val="00203EAE"/>
    <w:rsid w:val="00207A46"/>
    <w:rsid w:val="0023763D"/>
    <w:rsid w:val="0024066B"/>
    <w:rsid w:val="002514A2"/>
    <w:rsid w:val="002537E4"/>
    <w:rsid w:val="00277CDC"/>
    <w:rsid w:val="002B3590"/>
    <w:rsid w:val="002B6055"/>
    <w:rsid w:val="002C7C44"/>
    <w:rsid w:val="002D7EEE"/>
    <w:rsid w:val="002F0078"/>
    <w:rsid w:val="002F4D33"/>
    <w:rsid w:val="003013EE"/>
    <w:rsid w:val="003125E8"/>
    <w:rsid w:val="003545CF"/>
    <w:rsid w:val="00360A4B"/>
    <w:rsid w:val="003714BD"/>
    <w:rsid w:val="00383707"/>
    <w:rsid w:val="00387BA3"/>
    <w:rsid w:val="003A0CE3"/>
    <w:rsid w:val="003B42F4"/>
    <w:rsid w:val="003B55C8"/>
    <w:rsid w:val="003C4819"/>
    <w:rsid w:val="003E60ED"/>
    <w:rsid w:val="003F2286"/>
    <w:rsid w:val="003F3E1B"/>
    <w:rsid w:val="0042288E"/>
    <w:rsid w:val="00435582"/>
    <w:rsid w:val="00443102"/>
    <w:rsid w:val="00474602"/>
    <w:rsid w:val="00486E60"/>
    <w:rsid w:val="00487D77"/>
    <w:rsid w:val="00490E38"/>
    <w:rsid w:val="004F39F2"/>
    <w:rsid w:val="00524BAD"/>
    <w:rsid w:val="00526A14"/>
    <w:rsid w:val="005421A3"/>
    <w:rsid w:val="005437BC"/>
    <w:rsid w:val="00575564"/>
    <w:rsid w:val="005808BF"/>
    <w:rsid w:val="00590917"/>
    <w:rsid w:val="005A780B"/>
    <w:rsid w:val="005F3E2C"/>
    <w:rsid w:val="00603120"/>
    <w:rsid w:val="00604CC3"/>
    <w:rsid w:val="00624ECB"/>
    <w:rsid w:val="00652A5C"/>
    <w:rsid w:val="006A41F7"/>
    <w:rsid w:val="006A5A06"/>
    <w:rsid w:val="006D27F0"/>
    <w:rsid w:val="006E129C"/>
    <w:rsid w:val="006F1E26"/>
    <w:rsid w:val="00700D50"/>
    <w:rsid w:val="007033FE"/>
    <w:rsid w:val="00710DF4"/>
    <w:rsid w:val="00724F66"/>
    <w:rsid w:val="007304E8"/>
    <w:rsid w:val="00737DCF"/>
    <w:rsid w:val="007427BA"/>
    <w:rsid w:val="00786A9F"/>
    <w:rsid w:val="0079046B"/>
    <w:rsid w:val="00796CB1"/>
    <w:rsid w:val="007A07D5"/>
    <w:rsid w:val="007B7EB2"/>
    <w:rsid w:val="007C49AD"/>
    <w:rsid w:val="007C4F58"/>
    <w:rsid w:val="007C7A59"/>
    <w:rsid w:val="007D3408"/>
    <w:rsid w:val="007D5464"/>
    <w:rsid w:val="007E5232"/>
    <w:rsid w:val="00820E9C"/>
    <w:rsid w:val="00841EF0"/>
    <w:rsid w:val="008711CE"/>
    <w:rsid w:val="008864ED"/>
    <w:rsid w:val="008910FE"/>
    <w:rsid w:val="008D18C8"/>
    <w:rsid w:val="008D238F"/>
    <w:rsid w:val="009137FF"/>
    <w:rsid w:val="009727F0"/>
    <w:rsid w:val="0097282F"/>
    <w:rsid w:val="0099583A"/>
    <w:rsid w:val="009B2AA4"/>
    <w:rsid w:val="009B7414"/>
    <w:rsid w:val="009D017F"/>
    <w:rsid w:val="009D1156"/>
    <w:rsid w:val="009F0AA0"/>
    <w:rsid w:val="009F786E"/>
    <w:rsid w:val="00A033E1"/>
    <w:rsid w:val="00A043DF"/>
    <w:rsid w:val="00A10522"/>
    <w:rsid w:val="00A14DA4"/>
    <w:rsid w:val="00A60CFF"/>
    <w:rsid w:val="00A6297D"/>
    <w:rsid w:val="00A81016"/>
    <w:rsid w:val="00AA44E2"/>
    <w:rsid w:val="00AA698F"/>
    <w:rsid w:val="00AA7138"/>
    <w:rsid w:val="00AB1327"/>
    <w:rsid w:val="00AE1D79"/>
    <w:rsid w:val="00AE36DB"/>
    <w:rsid w:val="00B351D0"/>
    <w:rsid w:val="00B56BF0"/>
    <w:rsid w:val="00B75FCE"/>
    <w:rsid w:val="00BA2878"/>
    <w:rsid w:val="00BF5217"/>
    <w:rsid w:val="00C10C82"/>
    <w:rsid w:val="00C1181F"/>
    <w:rsid w:val="00C87EAD"/>
    <w:rsid w:val="00CA709E"/>
    <w:rsid w:val="00CD1E52"/>
    <w:rsid w:val="00CD5BE7"/>
    <w:rsid w:val="00CE4CB2"/>
    <w:rsid w:val="00D13C72"/>
    <w:rsid w:val="00D3720E"/>
    <w:rsid w:val="00D400C1"/>
    <w:rsid w:val="00D93284"/>
    <w:rsid w:val="00D95176"/>
    <w:rsid w:val="00D95B46"/>
    <w:rsid w:val="00DB30E3"/>
    <w:rsid w:val="00DD76D5"/>
    <w:rsid w:val="00DE25D9"/>
    <w:rsid w:val="00E01DE9"/>
    <w:rsid w:val="00E06CD0"/>
    <w:rsid w:val="00E12105"/>
    <w:rsid w:val="00E3045E"/>
    <w:rsid w:val="00E7587F"/>
    <w:rsid w:val="00E93301"/>
    <w:rsid w:val="00EA4E9A"/>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 w:type="character" w:customStyle="1" w:styleId="font241">
    <w:name w:val="font241"/>
    <w:basedOn w:val="DefaultParagraphFont"/>
    <w:rsid w:val="002F0078"/>
    <w:rPr>
      <w:rFonts w:ascii="Times New Roman" w:hAnsi="Times New Roman" w:cs="Times New Roman" w:hint="default"/>
      <w:b w:val="0"/>
      <w:bCs w:val="0"/>
      <w:i/>
      <w:iCs/>
      <w:strike w:val="0"/>
      <w:dstrike w:val="0"/>
      <w:color w:val="auto"/>
      <w:sz w:val="20"/>
      <w:szCs w:val="20"/>
      <w:u w:val="none"/>
      <w:effect w:val="none"/>
    </w:rPr>
  </w:style>
  <w:style w:type="character" w:customStyle="1" w:styleId="font221">
    <w:name w:val="font221"/>
    <w:basedOn w:val="DefaultParagraphFont"/>
    <w:rsid w:val="002F0078"/>
    <w:rPr>
      <w:rFonts w:ascii="Times New Roman" w:hAnsi="Times New Roman" w:cs="Times New Roman" w:hint="default"/>
      <w:b w:val="0"/>
      <w:bCs w:val="0"/>
      <w:i/>
      <w:iCs/>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1011759689">
      <w:bodyDiv w:val="1"/>
      <w:marLeft w:val="0"/>
      <w:marRight w:val="0"/>
      <w:marTop w:val="0"/>
      <w:marBottom w:val="0"/>
      <w:divBdr>
        <w:top w:val="none" w:sz="0" w:space="0" w:color="auto"/>
        <w:left w:val="none" w:sz="0" w:space="0" w:color="auto"/>
        <w:bottom w:val="none" w:sz="0" w:space="0" w:color="auto"/>
        <w:right w:val="none" w:sz="0" w:space="0" w:color="auto"/>
      </w:divBdr>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 w:id="14591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B08E6-4F96-4FF1-9FFD-EA9E150A8226}">
  <ds:schemaRefs>
    <ds:schemaRef ds:uri="http://schemas.microsoft.com/office/2006/metadata/properties"/>
    <ds:schemaRef ds:uri="http://purl.org/dc/elements/1.1/"/>
    <ds:schemaRef ds:uri="http://www.w3.org/XML/1998/namespace"/>
    <ds:schemaRef ds:uri="f5ebda27-b626-448f-a7d1-d1cf5ad133fa"/>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C4CB4400-B305-432B-8F1D-7F681CAD2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4.xml><?xml version="1.0" encoding="utf-8"?>
<ds:datastoreItem xmlns:ds="http://schemas.openxmlformats.org/officeDocument/2006/customXml" ds:itemID="{6850472A-31E1-4886-A6CF-55D983A47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2264</Words>
  <Characters>1292</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Naudos ir kokybės vertinimo  PL</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Naudos ir kokybės vertinimo  PL</dc:title>
  <dc:subject/>
  <dc:creator>Zita  Markevičienė</dc:creator>
  <cp:keywords/>
  <dc:description/>
  <cp:lastModifiedBy>Tautvydas Umbražūnas</cp:lastModifiedBy>
  <cp:revision>2</cp:revision>
  <dcterms:created xsi:type="dcterms:W3CDTF">2023-04-14T11:41:00Z</dcterms:created>
  <dcterms:modified xsi:type="dcterms:W3CDTF">2023-04-14T11:41:00Z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3169;#Darnaus transporto projektų skyrius|ac541b4c-a511-49a1-b192-8ec1ac837a74</vt:lpwstr>
  </property>
  <property fmtid="{D5CDD505-2E9C-101B-9397-08002B2CF9AE}" pid="7" name="DmsPermissionsUsers">
    <vt:lpwstr>149;#Tautvydas Umbražūnas;#145;#Audrius Tamkus</vt:lpwstr>
  </property>
  <property fmtid="{D5CDD505-2E9C-101B-9397-08002B2CF9AE}" pid="8" name="DmsDocPrepDocSendRegReal">
    <vt:bool>false</vt:bool>
  </property>
  <property fmtid="{D5CDD505-2E9C-101B-9397-08002B2CF9AE}" pid="9" name="DmsWaitingForSign">
    <vt:bool>false</vt:bool>
  </property>
</Properties>
</file>