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09D2" w14:textId="77777777" w:rsidR="0092645B" w:rsidRDefault="0092645B">
      <w:pPr>
        <w:tabs>
          <w:tab w:val="center" w:pos="4819"/>
          <w:tab w:val="right" w:pos="9638"/>
        </w:tabs>
        <w:jc w:val="center"/>
      </w:pPr>
    </w:p>
    <w:p w14:paraId="31DF7749" w14:textId="77777777" w:rsidR="0092645B" w:rsidRDefault="0092645B">
      <w:pPr>
        <w:tabs>
          <w:tab w:val="center" w:pos="4819"/>
          <w:tab w:val="right" w:pos="9638"/>
        </w:tabs>
      </w:pPr>
    </w:p>
    <w:p w14:paraId="64EFF59F" w14:textId="77777777" w:rsidR="0092645B" w:rsidRDefault="00E93B47">
      <w:pPr>
        <w:suppressAutoHyphens/>
        <w:spacing w:line="276" w:lineRule="atLeast"/>
        <w:ind w:left="9639"/>
        <w:jc w:val="both"/>
        <w:textAlignment w:val="baseline"/>
        <w:rPr>
          <w:color w:val="000000"/>
          <w:szCs w:val="24"/>
          <w:lang w:eastAsia="en-GB"/>
        </w:rPr>
      </w:pPr>
      <w:r>
        <w:rPr>
          <w:color w:val="000000"/>
          <w:szCs w:val="24"/>
          <w:lang w:eastAsia="en-GB"/>
        </w:rPr>
        <w:t xml:space="preserve">2022–2030 metų plėtros programos valdytojos </w:t>
      </w:r>
    </w:p>
    <w:p w14:paraId="64AEC740"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Lietuvos Respublikos susisiekimo ministerijos </w:t>
      </w:r>
    </w:p>
    <w:p w14:paraId="201ED112" w14:textId="77777777" w:rsidR="0092645B" w:rsidRDefault="00E93B47">
      <w:pPr>
        <w:suppressAutoHyphens/>
        <w:spacing w:line="276" w:lineRule="atLeast"/>
        <w:ind w:left="9639"/>
        <w:jc w:val="both"/>
        <w:textAlignment w:val="baseline"/>
        <w:rPr>
          <w:color w:val="000000"/>
          <w:szCs w:val="24"/>
          <w:lang w:eastAsia="en-GB"/>
        </w:rPr>
      </w:pPr>
      <w:r>
        <w:rPr>
          <w:color w:val="000000"/>
          <w:szCs w:val="24"/>
          <w:lang w:eastAsia="en-GB"/>
        </w:rPr>
        <w:t xml:space="preserve">susisiekimo plėtros programos pažangos </w:t>
      </w:r>
    </w:p>
    <w:p w14:paraId="59476BD1"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priemonės Nr. 10-001-06-01-01 „Skatinti </w:t>
      </w:r>
    </w:p>
    <w:p w14:paraId="24000752" w14:textId="77777777" w:rsidR="0092645B" w:rsidRDefault="00E93B47">
      <w:pPr>
        <w:suppressAutoHyphens/>
        <w:spacing w:line="276" w:lineRule="atLeast"/>
        <w:ind w:left="5103" w:firstLine="4536"/>
        <w:jc w:val="both"/>
        <w:textAlignment w:val="baseline"/>
        <w:rPr>
          <w:color w:val="000000"/>
          <w:szCs w:val="24"/>
          <w:lang w:eastAsia="en-GB"/>
        </w:rPr>
      </w:pPr>
      <w:r>
        <w:rPr>
          <w:color w:val="000000"/>
          <w:szCs w:val="24"/>
          <w:lang w:eastAsia="en-GB"/>
        </w:rPr>
        <w:t xml:space="preserve">alternatyviųjų degalų naudojimą transporto </w:t>
      </w:r>
    </w:p>
    <w:p w14:paraId="302598D3" w14:textId="77777777" w:rsidR="0092645B" w:rsidRDefault="00E93B47">
      <w:pPr>
        <w:ind w:left="9639"/>
        <w:jc w:val="both"/>
        <w:rPr>
          <w:color w:val="000000"/>
          <w:szCs w:val="24"/>
          <w:lang w:eastAsia="en-GB"/>
        </w:rPr>
      </w:pPr>
      <w:r>
        <w:rPr>
          <w:color w:val="000000"/>
          <w:szCs w:val="24"/>
          <w:lang w:eastAsia="en-GB"/>
        </w:rPr>
        <w:t xml:space="preserve">sektoriuje“ aprašo </w:t>
      </w:r>
    </w:p>
    <w:p w14:paraId="2D64ADCC" w14:textId="77777777" w:rsidR="0092645B" w:rsidRDefault="00E93B47">
      <w:pPr>
        <w:ind w:left="9639"/>
        <w:jc w:val="both"/>
        <w:rPr>
          <w:iCs/>
          <w:szCs w:val="24"/>
        </w:rPr>
      </w:pPr>
      <w:r>
        <w:rPr>
          <w:color w:val="000000"/>
          <w:szCs w:val="24"/>
          <w:lang w:eastAsia="en-GB"/>
        </w:rPr>
        <w:t>4</w:t>
      </w:r>
      <w:r>
        <w:rPr>
          <w:szCs w:val="24"/>
        </w:rPr>
        <w:t xml:space="preserve"> priedas</w:t>
      </w:r>
    </w:p>
    <w:p w14:paraId="0A6C281B" w14:textId="77777777" w:rsidR="0092645B" w:rsidRDefault="0092645B">
      <w:pPr>
        <w:jc w:val="center"/>
        <w:rPr>
          <w:iCs/>
          <w:szCs w:val="24"/>
        </w:rPr>
      </w:pPr>
    </w:p>
    <w:p w14:paraId="724B41BD" w14:textId="77777777" w:rsidR="0092645B" w:rsidRDefault="00E93B47">
      <w:pPr>
        <w:suppressAutoHyphens/>
        <w:jc w:val="center"/>
        <w:textAlignment w:val="baseline"/>
        <w:rPr>
          <w:lang w:eastAsia="lt-LT"/>
        </w:rPr>
      </w:pPr>
      <w:r>
        <w:rPr>
          <w:b/>
          <w:bCs/>
          <w:szCs w:val="24"/>
          <w:lang w:eastAsia="lt-LT"/>
        </w:rPr>
        <w:t xml:space="preserve">2022–2030 METŲ PLĖTROS PROGRAMOS </w:t>
      </w:r>
      <w:r>
        <w:rPr>
          <w:b/>
          <w:bCs/>
        </w:rPr>
        <w:t>VALDYTOJOS LIETUVOS RESPUBLIKOS SUSISIEKIMO MINISTERIJOS SUSISIEKIMO PLĖTROS PROGRAMOS</w:t>
      </w:r>
      <w:r>
        <w:t xml:space="preserve"> </w:t>
      </w:r>
      <w:r>
        <w:rPr>
          <w:b/>
          <w:bCs/>
          <w:szCs w:val="24"/>
          <w:lang w:eastAsia="lt-LT"/>
        </w:rPr>
        <w:t>PAŽANGOS PRIEMONĖS NR. 10-001-06-01-01 „SKATINTI ALTERNATYVIŲJŲ DEGALŲ NAUDOJIMĄ TRANSPORTO SEKTORIUJE“ VEIKLOS „</w:t>
      </w:r>
      <w:r>
        <w:rPr>
          <w:b/>
          <w:bCs/>
          <w:iCs/>
          <w:szCs w:val="24"/>
        </w:rPr>
        <w:t>TARŠIŲ LENGVOJO TRANSPORTO PRIEMONIŲ (M1 IR N1 KLASĖS) PAKEITIMO Į VISAI NETARŠIAS (ELEKTRA ARBA VANDENILIU VAROMAS) SKATINIMAS</w:t>
      </w:r>
      <w:r>
        <w:rPr>
          <w:b/>
          <w:bCs/>
          <w:szCs w:val="24"/>
          <w:lang w:eastAsia="lt-LT"/>
        </w:rPr>
        <w:t>“ POVEIKLĖS „</w:t>
      </w:r>
      <w:r>
        <w:rPr>
          <w:b/>
          <w:bCs/>
          <w:caps/>
          <w:szCs w:val="24"/>
          <w:lang w:eastAsia="lt-LT"/>
        </w:rPr>
        <w:t>Grynųjų elektromobilių arba vandeniliu varomų transporto priemonių įsigijimo viešajam sektoriui skatinimas“</w:t>
      </w:r>
    </w:p>
    <w:p w14:paraId="4C25D6C3" w14:textId="77777777" w:rsidR="0092645B" w:rsidRDefault="00E93B47">
      <w:pPr>
        <w:jc w:val="center"/>
        <w:rPr>
          <w:szCs w:val="24"/>
        </w:rPr>
      </w:pPr>
      <w:r>
        <w:rPr>
          <w:b/>
          <w:bCs/>
          <w:szCs w:val="24"/>
        </w:rPr>
        <w:t>PROJEKTŲ FINANSAVIMO SĄLYGŲ APRAŠAS</w:t>
      </w:r>
    </w:p>
    <w:p w14:paraId="62ACCE48" w14:textId="77777777" w:rsidR="0092645B" w:rsidRDefault="0092645B">
      <w:pPr>
        <w:rPr>
          <w:sz w:val="14"/>
          <w:szCs w:val="14"/>
        </w:rPr>
      </w:pPr>
    </w:p>
    <w:p w14:paraId="1A727906" w14:textId="77777777" w:rsidR="0092645B" w:rsidRDefault="0092645B">
      <w:pPr>
        <w:rPr>
          <w:sz w:val="14"/>
          <w:szCs w:val="1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134"/>
        <w:gridCol w:w="993"/>
        <w:gridCol w:w="1134"/>
        <w:gridCol w:w="1134"/>
        <w:gridCol w:w="992"/>
        <w:gridCol w:w="1134"/>
        <w:gridCol w:w="1134"/>
        <w:gridCol w:w="1134"/>
        <w:gridCol w:w="1134"/>
        <w:gridCol w:w="1276"/>
      </w:tblGrid>
      <w:tr w:rsidR="0092645B" w14:paraId="2005C2F2" w14:textId="77777777">
        <w:tc>
          <w:tcPr>
            <w:tcW w:w="15163" w:type="dxa"/>
            <w:gridSpan w:val="13"/>
            <w:vAlign w:val="center"/>
          </w:tcPr>
          <w:p w14:paraId="34999EFE" w14:textId="77777777" w:rsidR="0092645B" w:rsidRDefault="0092645B">
            <w:pPr>
              <w:rPr>
                <w:sz w:val="10"/>
                <w:szCs w:val="10"/>
              </w:rPr>
            </w:pPr>
          </w:p>
          <w:p w14:paraId="04753884" w14:textId="77777777" w:rsidR="0092645B" w:rsidRDefault="00E93B47">
            <w:pPr>
              <w:jc w:val="center"/>
              <w:rPr>
                <w:b/>
                <w:sz w:val="22"/>
                <w:szCs w:val="22"/>
              </w:rPr>
            </w:pPr>
            <w:r>
              <w:rPr>
                <w:b/>
                <w:sz w:val="22"/>
                <w:szCs w:val="22"/>
              </w:rPr>
              <w:t>VEIKLOS AR POVEIKLĖS, KURIOMS NUSTATOMOS PROJEKTŲ FINANSAVIMO SĄLYGOS</w:t>
            </w:r>
          </w:p>
        </w:tc>
      </w:tr>
      <w:tr w:rsidR="0092645B" w14:paraId="44BEF044" w14:textId="77777777">
        <w:tc>
          <w:tcPr>
            <w:tcW w:w="1413" w:type="dxa"/>
            <w:vAlign w:val="center"/>
          </w:tcPr>
          <w:p w14:paraId="18149116" w14:textId="77777777" w:rsidR="0092645B" w:rsidRDefault="00E93B47">
            <w:pPr>
              <w:jc w:val="center"/>
              <w:rPr>
                <w:b/>
                <w:sz w:val="20"/>
                <w:szCs w:val="22"/>
              </w:rPr>
            </w:pPr>
            <w:r>
              <w:rPr>
                <w:b/>
                <w:sz w:val="20"/>
                <w:szCs w:val="22"/>
              </w:rPr>
              <w:t>Veiklos ar poveiklės pavadinimas</w:t>
            </w:r>
          </w:p>
        </w:tc>
        <w:tc>
          <w:tcPr>
            <w:tcW w:w="1417" w:type="dxa"/>
            <w:vAlign w:val="center"/>
          </w:tcPr>
          <w:p w14:paraId="680EC44B" w14:textId="77777777" w:rsidR="0092645B" w:rsidRDefault="00E93B47">
            <w:pPr>
              <w:jc w:val="center"/>
              <w:rPr>
                <w:b/>
                <w:sz w:val="20"/>
                <w:szCs w:val="22"/>
              </w:rPr>
            </w:pPr>
            <w:r>
              <w:rPr>
                <w:b/>
                <w:sz w:val="20"/>
                <w:szCs w:val="22"/>
              </w:rPr>
              <w:t>Finansavimo šaltinis</w:t>
            </w:r>
          </w:p>
        </w:tc>
        <w:tc>
          <w:tcPr>
            <w:tcW w:w="1134" w:type="dxa"/>
            <w:vAlign w:val="center"/>
          </w:tcPr>
          <w:p w14:paraId="198D6025" w14:textId="77777777" w:rsidR="0092645B" w:rsidRDefault="00E93B47">
            <w:pPr>
              <w:ind w:left="-107"/>
              <w:jc w:val="center"/>
              <w:rPr>
                <w:b/>
                <w:sz w:val="20"/>
                <w:szCs w:val="22"/>
              </w:rPr>
            </w:pPr>
            <w:r>
              <w:rPr>
                <w:b/>
                <w:bCs/>
                <w:sz w:val="20"/>
                <w:szCs w:val="22"/>
              </w:rPr>
              <w:t>Prioritetas ar komponen-tas</w:t>
            </w:r>
          </w:p>
        </w:tc>
        <w:tc>
          <w:tcPr>
            <w:tcW w:w="1134" w:type="dxa"/>
            <w:vAlign w:val="center"/>
          </w:tcPr>
          <w:p w14:paraId="5FAE1852" w14:textId="77777777" w:rsidR="0092645B" w:rsidRDefault="00E93B47">
            <w:pPr>
              <w:jc w:val="center"/>
              <w:rPr>
                <w:b/>
                <w:sz w:val="20"/>
                <w:szCs w:val="22"/>
              </w:rPr>
            </w:pPr>
            <w:r>
              <w:rPr>
                <w:b/>
                <w:bCs/>
                <w:sz w:val="20"/>
                <w:szCs w:val="22"/>
              </w:rPr>
              <w:t>Uždavi-nys ar priemonė</w:t>
            </w:r>
          </w:p>
        </w:tc>
        <w:tc>
          <w:tcPr>
            <w:tcW w:w="993" w:type="dxa"/>
            <w:vAlign w:val="center"/>
          </w:tcPr>
          <w:p w14:paraId="34E7FA6D" w14:textId="77777777" w:rsidR="0092645B" w:rsidRDefault="00E93B47">
            <w:pPr>
              <w:jc w:val="center"/>
              <w:rPr>
                <w:b/>
                <w:sz w:val="20"/>
                <w:szCs w:val="22"/>
              </w:rPr>
            </w:pPr>
            <w:r>
              <w:rPr>
                <w:b/>
                <w:bCs/>
                <w:sz w:val="20"/>
                <w:szCs w:val="22"/>
              </w:rPr>
              <w:t>Veikla ar poveiklė</w:t>
            </w:r>
          </w:p>
        </w:tc>
        <w:tc>
          <w:tcPr>
            <w:tcW w:w="1134" w:type="dxa"/>
            <w:vAlign w:val="center"/>
          </w:tcPr>
          <w:p w14:paraId="427EEC02" w14:textId="77777777" w:rsidR="0092645B" w:rsidRDefault="00E93B47">
            <w:pPr>
              <w:ind w:left="-102"/>
              <w:jc w:val="center"/>
              <w:rPr>
                <w:b/>
                <w:sz w:val="20"/>
                <w:szCs w:val="22"/>
              </w:rPr>
            </w:pPr>
            <w:r>
              <w:rPr>
                <w:b/>
                <w:sz w:val="20"/>
                <w:szCs w:val="22"/>
              </w:rPr>
              <w:t>Intervenci-nės priemonės kodas</w:t>
            </w:r>
          </w:p>
        </w:tc>
        <w:tc>
          <w:tcPr>
            <w:tcW w:w="1134" w:type="dxa"/>
            <w:vAlign w:val="center"/>
          </w:tcPr>
          <w:p w14:paraId="1A30DC59" w14:textId="77777777" w:rsidR="0092645B" w:rsidRDefault="00E93B47">
            <w:pPr>
              <w:jc w:val="center"/>
              <w:rPr>
                <w:b/>
                <w:bCs/>
                <w:sz w:val="20"/>
                <w:szCs w:val="22"/>
              </w:rPr>
            </w:pPr>
            <w:r>
              <w:rPr>
                <w:b/>
                <w:sz w:val="20"/>
              </w:rPr>
              <w:t>Regionas, kuriam priskiria-ma veikla ar poveiklė</w:t>
            </w:r>
          </w:p>
        </w:tc>
        <w:tc>
          <w:tcPr>
            <w:tcW w:w="992" w:type="dxa"/>
            <w:vAlign w:val="center"/>
          </w:tcPr>
          <w:p w14:paraId="5F821114" w14:textId="77777777" w:rsidR="0092645B" w:rsidRDefault="00E93B47">
            <w:pPr>
              <w:jc w:val="center"/>
              <w:rPr>
                <w:b/>
                <w:sz w:val="20"/>
                <w:szCs w:val="22"/>
              </w:rPr>
            </w:pPr>
            <w:r>
              <w:rPr>
                <w:b/>
                <w:bCs/>
                <w:sz w:val="20"/>
                <w:szCs w:val="22"/>
              </w:rPr>
              <w:t>Paramos formos kodas</w:t>
            </w:r>
          </w:p>
        </w:tc>
        <w:tc>
          <w:tcPr>
            <w:tcW w:w="1134" w:type="dxa"/>
            <w:vAlign w:val="center"/>
          </w:tcPr>
          <w:p w14:paraId="1BD628CD" w14:textId="77777777" w:rsidR="0092645B" w:rsidRDefault="00E93B47">
            <w:pPr>
              <w:jc w:val="center"/>
              <w:rPr>
                <w:b/>
                <w:sz w:val="20"/>
                <w:szCs w:val="22"/>
              </w:rPr>
            </w:pPr>
            <w:r>
              <w:rPr>
                <w:b/>
                <w:bCs/>
                <w:sz w:val="20"/>
                <w:szCs w:val="22"/>
              </w:rPr>
              <w:t>Pagrindi-nės teritorinės srities kodas (-ai)</w:t>
            </w:r>
          </w:p>
        </w:tc>
        <w:tc>
          <w:tcPr>
            <w:tcW w:w="1134" w:type="dxa"/>
            <w:vAlign w:val="center"/>
          </w:tcPr>
          <w:p w14:paraId="01E7EF9B" w14:textId="77777777" w:rsidR="0092645B" w:rsidRDefault="00E93B47">
            <w:pPr>
              <w:jc w:val="center"/>
              <w:rPr>
                <w:b/>
                <w:bCs/>
                <w:sz w:val="20"/>
                <w:szCs w:val="22"/>
              </w:rPr>
            </w:pPr>
            <w:r>
              <w:rPr>
                <w:b/>
                <w:bCs/>
                <w:sz w:val="20"/>
                <w:szCs w:val="22"/>
              </w:rPr>
              <w:t>Ekonomi-</w:t>
            </w:r>
          </w:p>
          <w:p w14:paraId="39DFCA73" w14:textId="77777777" w:rsidR="0092645B" w:rsidRDefault="00E93B47">
            <w:pPr>
              <w:jc w:val="center"/>
              <w:rPr>
                <w:b/>
                <w:sz w:val="20"/>
                <w:szCs w:val="22"/>
              </w:rPr>
            </w:pPr>
            <w:r>
              <w:rPr>
                <w:b/>
                <w:bCs/>
                <w:sz w:val="20"/>
                <w:szCs w:val="22"/>
              </w:rPr>
              <w:t>nės veiklos kodas (-ai)</w:t>
            </w:r>
          </w:p>
        </w:tc>
        <w:tc>
          <w:tcPr>
            <w:tcW w:w="1134" w:type="dxa"/>
            <w:vAlign w:val="center"/>
          </w:tcPr>
          <w:p w14:paraId="59668002" w14:textId="77777777" w:rsidR="0092645B" w:rsidRDefault="00E93B47">
            <w:pPr>
              <w:jc w:val="center"/>
              <w:rPr>
                <w:b/>
                <w:bCs/>
                <w:sz w:val="20"/>
                <w:szCs w:val="22"/>
              </w:rPr>
            </w:pPr>
            <w:r>
              <w:rPr>
                <w:b/>
                <w:bCs/>
                <w:sz w:val="20"/>
                <w:szCs w:val="22"/>
              </w:rPr>
              <w:t>Europos socialinio fondo + (toliau – ESF+) antrinių temų kodai</w:t>
            </w:r>
          </w:p>
        </w:tc>
        <w:tc>
          <w:tcPr>
            <w:tcW w:w="1134" w:type="dxa"/>
            <w:vAlign w:val="center"/>
          </w:tcPr>
          <w:p w14:paraId="4C49C297" w14:textId="77777777" w:rsidR="0092645B" w:rsidRDefault="00E93B47">
            <w:pPr>
              <w:jc w:val="center"/>
              <w:rPr>
                <w:b/>
                <w:bCs/>
                <w:sz w:val="20"/>
                <w:szCs w:val="22"/>
              </w:rPr>
            </w:pPr>
            <w:r>
              <w:rPr>
                <w:b/>
                <w:bCs/>
                <w:sz w:val="20"/>
                <w:szCs w:val="22"/>
              </w:rPr>
              <w:t>Lyčių lygybės matmens kodas</w:t>
            </w:r>
          </w:p>
        </w:tc>
        <w:tc>
          <w:tcPr>
            <w:tcW w:w="1276" w:type="dxa"/>
          </w:tcPr>
          <w:p w14:paraId="44BAE9FB" w14:textId="77777777" w:rsidR="0092645B" w:rsidRDefault="00E93B47">
            <w:pPr>
              <w:jc w:val="center"/>
              <w:rPr>
                <w:b/>
                <w:sz w:val="20"/>
              </w:rPr>
            </w:pPr>
            <w:r>
              <w:rPr>
                <w:b/>
                <w:sz w:val="20"/>
              </w:rPr>
              <w:t>Nepanau-dotos Ekonomi-kos gaivinimo ir atsparumo didinimo priemonės lėšos</w:t>
            </w:r>
          </w:p>
          <w:p w14:paraId="51AF14D4" w14:textId="77777777" w:rsidR="0092645B" w:rsidRDefault="00E93B47">
            <w:pPr>
              <w:jc w:val="center"/>
              <w:rPr>
                <w:b/>
                <w:bCs/>
                <w:sz w:val="20"/>
                <w:szCs w:val="22"/>
              </w:rPr>
            </w:pPr>
            <w:r>
              <w:rPr>
                <w:b/>
                <w:sz w:val="20"/>
              </w:rPr>
              <w:t>(Taip / Ne)</w:t>
            </w:r>
          </w:p>
        </w:tc>
      </w:tr>
      <w:tr w:rsidR="0092645B" w14:paraId="31404E2D" w14:textId="77777777">
        <w:trPr>
          <w:trHeight w:val="278"/>
        </w:trPr>
        <w:tc>
          <w:tcPr>
            <w:tcW w:w="1413" w:type="dxa"/>
            <w:tcMar>
              <w:left w:w="28" w:type="dxa"/>
              <w:right w:w="28" w:type="dxa"/>
            </w:tcMar>
          </w:tcPr>
          <w:p w14:paraId="6C144614" w14:textId="77777777" w:rsidR="0092645B" w:rsidRDefault="00E93B47">
            <w:pPr>
              <w:ind w:left="-57" w:right="-57"/>
              <w:jc w:val="center"/>
              <w:rPr>
                <w:sz w:val="20"/>
                <w:lang w:eastAsia="lt-LT"/>
              </w:rPr>
            </w:pPr>
            <w:r>
              <w:rPr>
                <w:sz w:val="20"/>
              </w:rPr>
              <w:t>1.3. </w:t>
            </w:r>
            <w:r>
              <w:rPr>
                <w:sz w:val="20"/>
                <w:lang w:eastAsia="lt-LT"/>
              </w:rPr>
              <w:t xml:space="preserve">Grynųjų elektromobilių arba vandeniliu varomų transporto priemonių įsigijimo viešajam </w:t>
            </w:r>
          </w:p>
          <w:p w14:paraId="60D16440" w14:textId="77777777" w:rsidR="0092645B" w:rsidRDefault="00E93B47">
            <w:pPr>
              <w:ind w:left="-57" w:right="-57"/>
              <w:jc w:val="center"/>
              <w:rPr>
                <w:i/>
                <w:sz w:val="20"/>
              </w:rPr>
            </w:pPr>
            <w:r>
              <w:rPr>
                <w:sz w:val="20"/>
                <w:lang w:eastAsia="lt-LT"/>
              </w:rPr>
              <w:t>sektoriui skatinimas</w:t>
            </w:r>
            <w:r>
              <w:rPr>
                <w:sz w:val="20"/>
              </w:rPr>
              <w:t xml:space="preserve"> </w:t>
            </w:r>
          </w:p>
        </w:tc>
        <w:tc>
          <w:tcPr>
            <w:tcW w:w="1417" w:type="dxa"/>
            <w:tcMar>
              <w:left w:w="28" w:type="dxa"/>
              <w:right w:w="28" w:type="dxa"/>
            </w:tcMar>
          </w:tcPr>
          <w:p w14:paraId="5BFFD62C" w14:textId="77777777" w:rsidR="0092645B" w:rsidRDefault="00E93B47">
            <w:pPr>
              <w:jc w:val="center"/>
              <w:rPr>
                <w:color w:val="242424"/>
                <w:sz w:val="20"/>
              </w:rPr>
            </w:pPr>
            <w:r>
              <w:rPr>
                <w:sz w:val="20"/>
              </w:rPr>
              <w:t xml:space="preserve">Ekonomikos gaivinimo ir atsparumo didinimo planas „Naujos kartos Lietuva“ (toliau – </w:t>
            </w:r>
            <w:r>
              <w:rPr>
                <w:color w:val="242424"/>
                <w:sz w:val="20"/>
              </w:rPr>
              <w:t>EGADP)</w:t>
            </w:r>
          </w:p>
          <w:p w14:paraId="00C8378C" w14:textId="77777777" w:rsidR="0092645B" w:rsidRDefault="0092645B">
            <w:pPr>
              <w:jc w:val="center"/>
              <w:rPr>
                <w:sz w:val="20"/>
              </w:rPr>
            </w:pPr>
          </w:p>
        </w:tc>
        <w:tc>
          <w:tcPr>
            <w:tcW w:w="1134" w:type="dxa"/>
            <w:tcMar>
              <w:left w:w="28" w:type="dxa"/>
              <w:right w:w="28" w:type="dxa"/>
            </w:tcMar>
          </w:tcPr>
          <w:p w14:paraId="1C079602" w14:textId="77777777" w:rsidR="0092645B" w:rsidRDefault="00E93B47">
            <w:pPr>
              <w:jc w:val="center"/>
              <w:rPr>
                <w:sz w:val="20"/>
              </w:rPr>
            </w:pPr>
            <w:r>
              <w:rPr>
                <w:sz w:val="20"/>
              </w:rPr>
              <w:t>B.2</w:t>
            </w:r>
          </w:p>
        </w:tc>
        <w:tc>
          <w:tcPr>
            <w:tcW w:w="1134" w:type="dxa"/>
            <w:tcMar>
              <w:left w:w="28" w:type="dxa"/>
              <w:right w:w="28" w:type="dxa"/>
            </w:tcMar>
          </w:tcPr>
          <w:p w14:paraId="6A127B47" w14:textId="77777777" w:rsidR="0092645B" w:rsidRDefault="00E93B47">
            <w:pPr>
              <w:jc w:val="center"/>
              <w:rPr>
                <w:iCs/>
                <w:sz w:val="20"/>
              </w:rPr>
            </w:pPr>
            <w:r>
              <w:rPr>
                <w:iCs/>
                <w:sz w:val="20"/>
              </w:rPr>
              <w:t>B.1.2</w:t>
            </w:r>
          </w:p>
          <w:p w14:paraId="6210531B" w14:textId="77777777" w:rsidR="0092645B" w:rsidRDefault="0092645B">
            <w:pPr>
              <w:jc w:val="center"/>
              <w:rPr>
                <w:iCs/>
                <w:sz w:val="20"/>
              </w:rPr>
            </w:pPr>
          </w:p>
        </w:tc>
        <w:tc>
          <w:tcPr>
            <w:tcW w:w="993" w:type="dxa"/>
            <w:tcMar>
              <w:left w:w="28" w:type="dxa"/>
              <w:right w:w="28" w:type="dxa"/>
            </w:tcMar>
          </w:tcPr>
          <w:p w14:paraId="27512227" w14:textId="77777777" w:rsidR="0092645B" w:rsidRDefault="00E93B47">
            <w:pPr>
              <w:jc w:val="center"/>
              <w:rPr>
                <w:i/>
                <w:iCs/>
                <w:sz w:val="18"/>
                <w:szCs w:val="22"/>
              </w:rPr>
            </w:pPr>
            <w:r>
              <w:rPr>
                <w:iCs/>
                <w:sz w:val="20"/>
              </w:rPr>
              <w:t>B.1.2.1</w:t>
            </w:r>
          </w:p>
        </w:tc>
        <w:tc>
          <w:tcPr>
            <w:tcW w:w="1134" w:type="dxa"/>
            <w:tcMar>
              <w:left w:w="28" w:type="dxa"/>
              <w:right w:w="28" w:type="dxa"/>
            </w:tcMar>
          </w:tcPr>
          <w:p w14:paraId="6E9808DC" w14:textId="77777777" w:rsidR="0092645B" w:rsidRDefault="00E93B47">
            <w:pPr>
              <w:jc w:val="center"/>
              <w:rPr>
                <w:sz w:val="20"/>
              </w:rPr>
            </w:pPr>
            <w:r>
              <w:rPr>
                <w:sz w:val="20"/>
              </w:rPr>
              <w:t>074</w:t>
            </w:r>
          </w:p>
        </w:tc>
        <w:tc>
          <w:tcPr>
            <w:tcW w:w="1134" w:type="dxa"/>
            <w:tcMar>
              <w:left w:w="28" w:type="dxa"/>
              <w:right w:w="28" w:type="dxa"/>
            </w:tcMar>
          </w:tcPr>
          <w:p w14:paraId="5998BFD4" w14:textId="77777777" w:rsidR="0092645B" w:rsidRDefault="00E93B47">
            <w:pPr>
              <w:jc w:val="center"/>
              <w:rPr>
                <w:i/>
                <w:sz w:val="18"/>
                <w:szCs w:val="18"/>
              </w:rPr>
            </w:pPr>
            <w:r>
              <w:rPr>
                <w:iCs/>
              </w:rPr>
              <w:t>–</w:t>
            </w:r>
          </w:p>
        </w:tc>
        <w:tc>
          <w:tcPr>
            <w:tcW w:w="992" w:type="dxa"/>
            <w:tcMar>
              <w:left w:w="28" w:type="dxa"/>
              <w:right w:w="28" w:type="dxa"/>
            </w:tcMar>
          </w:tcPr>
          <w:p w14:paraId="54041509" w14:textId="77777777" w:rsidR="0092645B" w:rsidRDefault="00E93B47">
            <w:pPr>
              <w:jc w:val="center"/>
              <w:rPr>
                <w:i/>
                <w:sz w:val="18"/>
                <w:szCs w:val="22"/>
              </w:rPr>
            </w:pPr>
            <w:r>
              <w:rPr>
                <w:iCs/>
              </w:rPr>
              <w:t>–</w:t>
            </w:r>
          </w:p>
        </w:tc>
        <w:tc>
          <w:tcPr>
            <w:tcW w:w="1134" w:type="dxa"/>
            <w:tcMar>
              <w:left w:w="28" w:type="dxa"/>
              <w:right w:w="28" w:type="dxa"/>
            </w:tcMar>
          </w:tcPr>
          <w:p w14:paraId="3BA7DF20" w14:textId="77777777" w:rsidR="0092645B" w:rsidRDefault="00E93B47">
            <w:pPr>
              <w:jc w:val="center"/>
              <w:rPr>
                <w:i/>
                <w:iCs/>
                <w:sz w:val="18"/>
                <w:szCs w:val="22"/>
              </w:rPr>
            </w:pPr>
            <w:r>
              <w:rPr>
                <w:iCs/>
              </w:rPr>
              <w:t>–</w:t>
            </w:r>
          </w:p>
        </w:tc>
        <w:tc>
          <w:tcPr>
            <w:tcW w:w="1134" w:type="dxa"/>
            <w:tcMar>
              <w:left w:w="28" w:type="dxa"/>
              <w:right w:w="28" w:type="dxa"/>
            </w:tcMar>
          </w:tcPr>
          <w:p w14:paraId="322794D5" w14:textId="77777777" w:rsidR="0092645B" w:rsidRDefault="00E93B47">
            <w:pPr>
              <w:jc w:val="center"/>
              <w:rPr>
                <w:i/>
                <w:iCs/>
                <w:sz w:val="18"/>
              </w:rPr>
            </w:pPr>
            <w:r>
              <w:rPr>
                <w:iCs/>
              </w:rPr>
              <w:t>–</w:t>
            </w:r>
          </w:p>
        </w:tc>
        <w:tc>
          <w:tcPr>
            <w:tcW w:w="1134" w:type="dxa"/>
            <w:tcMar>
              <w:left w:w="28" w:type="dxa"/>
              <w:right w:w="28" w:type="dxa"/>
            </w:tcMar>
          </w:tcPr>
          <w:p w14:paraId="338590C9" w14:textId="77777777" w:rsidR="0092645B" w:rsidRDefault="00E93B47">
            <w:pPr>
              <w:jc w:val="center"/>
              <w:rPr>
                <w:i/>
                <w:iCs/>
                <w:sz w:val="18"/>
              </w:rPr>
            </w:pPr>
            <w:r>
              <w:rPr>
                <w:iCs/>
              </w:rPr>
              <w:t>–</w:t>
            </w:r>
          </w:p>
        </w:tc>
        <w:tc>
          <w:tcPr>
            <w:tcW w:w="1134" w:type="dxa"/>
            <w:tcMar>
              <w:left w:w="28" w:type="dxa"/>
              <w:right w:w="28" w:type="dxa"/>
            </w:tcMar>
          </w:tcPr>
          <w:p w14:paraId="26104DF5" w14:textId="77777777" w:rsidR="0092645B" w:rsidRDefault="00E93B47">
            <w:pPr>
              <w:jc w:val="center"/>
              <w:rPr>
                <w:i/>
                <w:iCs/>
                <w:sz w:val="18"/>
              </w:rPr>
            </w:pPr>
            <w:r>
              <w:rPr>
                <w:iCs/>
              </w:rPr>
              <w:t>–</w:t>
            </w:r>
          </w:p>
        </w:tc>
        <w:tc>
          <w:tcPr>
            <w:tcW w:w="1276" w:type="dxa"/>
          </w:tcPr>
          <w:p w14:paraId="5A8B68CC" w14:textId="77777777" w:rsidR="0092645B" w:rsidRDefault="00E93B47">
            <w:pPr>
              <w:jc w:val="center"/>
              <w:rPr>
                <w:iCs/>
              </w:rPr>
            </w:pPr>
            <w:r>
              <w:rPr>
                <w:iCs/>
              </w:rPr>
              <w:t>Ne</w:t>
            </w:r>
          </w:p>
        </w:tc>
      </w:tr>
    </w:tbl>
    <w:p w14:paraId="0B03D5B0" w14:textId="77777777" w:rsidR="0092645B" w:rsidRDefault="0092645B">
      <w:pPr>
        <w:ind w:firstLine="567"/>
        <w:jc w:val="both"/>
        <w:rPr>
          <w:i/>
          <w:iCs/>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212"/>
      </w:tblGrid>
      <w:tr w:rsidR="0092645B" w14:paraId="0CEB410A" w14:textId="77777777">
        <w:trPr>
          <w:trHeight w:val="405"/>
        </w:trPr>
        <w:tc>
          <w:tcPr>
            <w:tcW w:w="3688" w:type="dxa"/>
            <w:shd w:val="clear" w:color="auto" w:fill="auto"/>
            <w:vAlign w:val="center"/>
          </w:tcPr>
          <w:p w14:paraId="2D298366" w14:textId="77777777" w:rsidR="0092645B" w:rsidRDefault="00E93B47">
            <w:pPr>
              <w:jc w:val="center"/>
              <w:rPr>
                <w:b/>
                <w:bCs/>
                <w:sz w:val="18"/>
                <w:szCs w:val="18"/>
              </w:rPr>
            </w:pPr>
            <w:r>
              <w:rPr>
                <w:b/>
                <w:bCs/>
                <w:sz w:val="22"/>
                <w:szCs w:val="22"/>
              </w:rPr>
              <w:t>Rodiklio pavadinimas</w:t>
            </w:r>
          </w:p>
        </w:tc>
        <w:tc>
          <w:tcPr>
            <w:tcW w:w="3688" w:type="dxa"/>
            <w:shd w:val="clear" w:color="auto" w:fill="auto"/>
            <w:vAlign w:val="center"/>
          </w:tcPr>
          <w:p w14:paraId="2CA2BE51" w14:textId="77777777" w:rsidR="0092645B" w:rsidRDefault="00E93B47">
            <w:pPr>
              <w:jc w:val="center"/>
              <w:rPr>
                <w:b/>
                <w:bCs/>
                <w:sz w:val="18"/>
                <w:szCs w:val="18"/>
              </w:rPr>
            </w:pPr>
            <w:r>
              <w:rPr>
                <w:b/>
                <w:bCs/>
                <w:sz w:val="22"/>
                <w:szCs w:val="22"/>
              </w:rPr>
              <w:t>Rodiklio kodas</w:t>
            </w:r>
          </w:p>
        </w:tc>
        <w:tc>
          <w:tcPr>
            <w:tcW w:w="3688" w:type="dxa"/>
            <w:shd w:val="clear" w:color="auto" w:fill="auto"/>
            <w:vAlign w:val="center"/>
          </w:tcPr>
          <w:p w14:paraId="7A6BF03B" w14:textId="77777777" w:rsidR="0092645B" w:rsidRDefault="00E93B47">
            <w:pPr>
              <w:jc w:val="center"/>
              <w:rPr>
                <w:b/>
                <w:bCs/>
                <w:sz w:val="18"/>
                <w:szCs w:val="18"/>
              </w:rPr>
            </w:pPr>
            <w:r>
              <w:rPr>
                <w:b/>
                <w:bCs/>
                <w:sz w:val="22"/>
                <w:szCs w:val="22"/>
              </w:rPr>
              <w:t>Matavimo vienetai</w:t>
            </w:r>
          </w:p>
        </w:tc>
        <w:tc>
          <w:tcPr>
            <w:tcW w:w="4212" w:type="dxa"/>
            <w:shd w:val="clear" w:color="auto" w:fill="auto"/>
            <w:vAlign w:val="center"/>
          </w:tcPr>
          <w:p w14:paraId="19EBFA3A" w14:textId="77777777" w:rsidR="0092645B" w:rsidRDefault="00E93B47">
            <w:pPr>
              <w:jc w:val="center"/>
              <w:rPr>
                <w:b/>
                <w:bCs/>
                <w:sz w:val="18"/>
                <w:szCs w:val="18"/>
              </w:rPr>
            </w:pPr>
            <w:r>
              <w:rPr>
                <w:b/>
                <w:bCs/>
                <w:sz w:val="22"/>
                <w:szCs w:val="22"/>
              </w:rPr>
              <w:t>Siektina reikšmė</w:t>
            </w:r>
          </w:p>
        </w:tc>
      </w:tr>
      <w:tr w:rsidR="0092645B" w14:paraId="0739944B" w14:textId="77777777">
        <w:trPr>
          <w:trHeight w:val="725"/>
        </w:trPr>
        <w:tc>
          <w:tcPr>
            <w:tcW w:w="3688" w:type="dxa"/>
            <w:vAlign w:val="center"/>
          </w:tcPr>
          <w:p w14:paraId="382AD86D" w14:textId="77777777" w:rsidR="0092645B" w:rsidRDefault="00E93B47">
            <w:pPr>
              <w:jc w:val="center"/>
              <w:rPr>
                <w:i/>
                <w:iCs/>
                <w:sz w:val="18"/>
                <w:szCs w:val="18"/>
              </w:rPr>
            </w:pPr>
            <w:r>
              <w:rPr>
                <w:szCs w:val="24"/>
              </w:rPr>
              <w:t>Įsigytų ir Lietuvoje registruotų netaršių transporto priemonių skaičius</w:t>
            </w:r>
          </w:p>
        </w:tc>
        <w:tc>
          <w:tcPr>
            <w:tcW w:w="3688" w:type="dxa"/>
            <w:vAlign w:val="center"/>
          </w:tcPr>
          <w:p w14:paraId="5EBDA57D" w14:textId="77777777" w:rsidR="0092645B" w:rsidRDefault="00E93B47">
            <w:pPr>
              <w:jc w:val="center"/>
              <w:rPr>
                <w:szCs w:val="24"/>
              </w:rPr>
            </w:pPr>
            <w:r>
              <w:t>P.S.1.1032</w:t>
            </w:r>
          </w:p>
          <w:p w14:paraId="2C8288B9" w14:textId="77777777" w:rsidR="0092645B" w:rsidRDefault="00E93B47">
            <w:pPr>
              <w:jc w:val="center"/>
              <w:rPr>
                <w:i/>
                <w:iCs/>
                <w:sz w:val="22"/>
                <w:szCs w:val="22"/>
              </w:rPr>
            </w:pPr>
            <w:r>
              <w:rPr>
                <w:szCs w:val="24"/>
              </w:rPr>
              <w:t>(P-10-001-06-01-01-03)</w:t>
            </w:r>
          </w:p>
        </w:tc>
        <w:tc>
          <w:tcPr>
            <w:tcW w:w="3688" w:type="dxa"/>
            <w:vAlign w:val="center"/>
          </w:tcPr>
          <w:p w14:paraId="26C3F2A8" w14:textId="77777777" w:rsidR="0092645B" w:rsidRDefault="00E93B47">
            <w:pPr>
              <w:jc w:val="center"/>
              <w:rPr>
                <w:i/>
                <w:iCs/>
                <w:sz w:val="22"/>
                <w:szCs w:val="22"/>
              </w:rPr>
            </w:pPr>
            <w:r>
              <w:rPr>
                <w:szCs w:val="24"/>
              </w:rPr>
              <w:t>Skaičius</w:t>
            </w:r>
          </w:p>
        </w:tc>
        <w:tc>
          <w:tcPr>
            <w:tcW w:w="4212" w:type="dxa"/>
            <w:vAlign w:val="center"/>
          </w:tcPr>
          <w:p w14:paraId="4640DB84" w14:textId="77777777" w:rsidR="0092645B" w:rsidRDefault="00E93B47">
            <w:pPr>
              <w:ind w:left="-57" w:right="-57"/>
              <w:jc w:val="center"/>
              <w:rPr>
                <w:szCs w:val="24"/>
              </w:rPr>
            </w:pPr>
            <w:r>
              <w:rPr>
                <w:szCs w:val="24"/>
              </w:rPr>
              <w:t>Tarpinės reikšmės</w:t>
            </w:r>
          </w:p>
          <w:p w14:paraId="4132318B" w14:textId="77777777" w:rsidR="0092645B" w:rsidRDefault="00E93B47">
            <w:pPr>
              <w:ind w:left="-57" w:right="-57"/>
              <w:jc w:val="center"/>
              <w:rPr>
                <w:szCs w:val="24"/>
                <w:lang w:val="nl-BE"/>
              </w:rPr>
            </w:pPr>
            <w:r>
              <w:rPr>
                <w:szCs w:val="24"/>
              </w:rPr>
              <w:t>1 919</w:t>
            </w:r>
          </w:p>
          <w:p w14:paraId="3DA36C20" w14:textId="77777777" w:rsidR="0092645B" w:rsidRDefault="00E93B47">
            <w:pPr>
              <w:ind w:left="-57" w:right="-57"/>
              <w:jc w:val="center"/>
              <w:rPr>
                <w:szCs w:val="24"/>
                <w:lang w:val="nl-BE"/>
              </w:rPr>
            </w:pPr>
            <w:r>
              <w:rPr>
                <w:szCs w:val="24"/>
                <w:lang w:val="nl-BE"/>
              </w:rPr>
              <w:t>(2024 m. II ketv.)</w:t>
            </w:r>
          </w:p>
          <w:p w14:paraId="4177DE2B" w14:textId="77777777" w:rsidR="0092645B" w:rsidRDefault="00E93B47">
            <w:pPr>
              <w:jc w:val="center"/>
              <w:rPr>
                <w:szCs w:val="24"/>
                <w:lang w:val="nl-BE"/>
              </w:rPr>
            </w:pPr>
            <w:r>
              <w:rPr>
                <w:szCs w:val="24"/>
                <w:lang w:val="nl-BE"/>
              </w:rPr>
              <w:t>6 125</w:t>
            </w:r>
          </w:p>
          <w:p w14:paraId="2E92E998" w14:textId="77777777" w:rsidR="0092645B" w:rsidRDefault="00E93B47">
            <w:pPr>
              <w:ind w:left="-57" w:right="-57"/>
              <w:jc w:val="center"/>
              <w:rPr>
                <w:szCs w:val="24"/>
              </w:rPr>
            </w:pPr>
            <w:r>
              <w:rPr>
                <w:szCs w:val="24"/>
                <w:lang w:val="nl-BE"/>
              </w:rPr>
              <w:t>(2025 m. II ketv.)</w:t>
            </w:r>
          </w:p>
          <w:p w14:paraId="55183B1E" w14:textId="77777777" w:rsidR="0092645B" w:rsidRDefault="00E93B47">
            <w:pPr>
              <w:ind w:left="-57" w:right="-57"/>
              <w:jc w:val="center"/>
              <w:rPr>
                <w:szCs w:val="24"/>
              </w:rPr>
            </w:pPr>
            <w:r>
              <w:rPr>
                <w:szCs w:val="24"/>
              </w:rPr>
              <w:t>Galutinė reikšmė</w:t>
            </w:r>
          </w:p>
          <w:p w14:paraId="1DA0D201" w14:textId="77777777" w:rsidR="0092645B" w:rsidRDefault="00E93B47">
            <w:pPr>
              <w:ind w:left="-57" w:right="-57"/>
              <w:jc w:val="center"/>
              <w:rPr>
                <w:szCs w:val="24"/>
              </w:rPr>
            </w:pPr>
            <w:r>
              <w:rPr>
                <w:szCs w:val="24"/>
              </w:rPr>
              <w:t>12 250</w:t>
            </w:r>
          </w:p>
          <w:p w14:paraId="3DA53D9D" w14:textId="77777777" w:rsidR="0092645B" w:rsidRDefault="00E93B47">
            <w:pPr>
              <w:jc w:val="center"/>
              <w:rPr>
                <w:sz w:val="22"/>
                <w:szCs w:val="22"/>
              </w:rPr>
            </w:pPr>
            <w:r>
              <w:rPr>
                <w:szCs w:val="24"/>
              </w:rPr>
              <w:t>(2026 m. II ketv.)</w:t>
            </w:r>
          </w:p>
        </w:tc>
      </w:tr>
    </w:tbl>
    <w:p w14:paraId="46FAB612" w14:textId="77777777" w:rsidR="0092645B" w:rsidRDefault="0092645B">
      <w:pPr>
        <w:jc w:val="both"/>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4"/>
      </w:tblGrid>
      <w:tr w:rsidR="0092645B" w14:paraId="5C137929" w14:textId="77777777">
        <w:trPr>
          <w:trHeight w:val="298"/>
        </w:trPr>
        <w:tc>
          <w:tcPr>
            <w:tcW w:w="15304" w:type="dxa"/>
            <w:tcBorders>
              <w:top w:val="single" w:sz="4" w:space="0" w:color="auto"/>
              <w:left w:val="single" w:sz="4" w:space="0" w:color="auto"/>
              <w:bottom w:val="single" w:sz="4" w:space="0" w:color="auto"/>
              <w:right w:val="single" w:sz="4" w:space="0" w:color="auto"/>
            </w:tcBorders>
            <w:hideMark/>
          </w:tcPr>
          <w:p w14:paraId="1B27AC8E" w14:textId="77777777" w:rsidR="0092645B" w:rsidRDefault="00E93B47">
            <w:pPr>
              <w:jc w:val="both"/>
              <w:rPr>
                <w:b/>
                <w:bCs/>
                <w:szCs w:val="24"/>
              </w:rPr>
            </w:pPr>
            <w:r>
              <w:rPr>
                <w:b/>
                <w:bCs/>
                <w:szCs w:val="24"/>
              </w:rPr>
              <w:t>Ministerijos stebėsenos rodiklių aprašymo kortelės</w:t>
            </w:r>
          </w:p>
        </w:tc>
      </w:tr>
      <w:tr w:rsidR="0092645B" w14:paraId="34A76D60" w14:textId="77777777">
        <w:trPr>
          <w:trHeight w:val="491"/>
        </w:trPr>
        <w:tc>
          <w:tcPr>
            <w:tcW w:w="15304" w:type="dxa"/>
            <w:tcBorders>
              <w:top w:val="single" w:sz="4" w:space="0" w:color="auto"/>
              <w:left w:val="single" w:sz="4" w:space="0" w:color="auto"/>
              <w:bottom w:val="single" w:sz="4" w:space="0" w:color="auto"/>
              <w:right w:val="single" w:sz="4" w:space="0" w:color="auto"/>
            </w:tcBorders>
            <w:hideMark/>
          </w:tcPr>
          <w:p w14:paraId="721BEEDC" w14:textId="77777777" w:rsidR="0092645B" w:rsidRDefault="00E93B47">
            <w:pPr>
              <w:jc w:val="both"/>
              <w:rPr>
                <w:i/>
                <w:szCs w:val="24"/>
              </w:rPr>
            </w:pPr>
            <w:r>
              <w:t>Pasiektos stebėsenos rodiklių reikšmės apskaičiuojamos pagal metodiką, nustatytą stebėsenos rodiklių aprašymo kortelėse, kurios skelbiamos Europos Sąjungos investicijų interneto svetainėje esinvesticijos.lt (https://2021.esinvesticijos.lt/dokumentai/stebesenos-rodikliu-suvestine) ir Lietuvos Respublikos susisiekimo ministerijos interneto svetainės www.sumin.lt skyriaus „Administracinė informacija“ srityje „Planavimo dokumentai“, „2022–2030 metų Susisiekimo plėtros programa“ prie pažangos priemonės</w:t>
            </w:r>
            <w:r>
              <w:rPr>
                <w:b/>
                <w:bCs/>
                <w:szCs w:val="24"/>
                <w:lang w:eastAsia="lt-LT"/>
              </w:rPr>
              <w:t xml:space="preserve"> </w:t>
            </w:r>
            <w:r>
              <w:rPr>
                <w:szCs w:val="24"/>
                <w:lang w:eastAsia="lt-LT"/>
              </w:rPr>
              <w:t>Nr. 10-001-06-01-01</w:t>
            </w:r>
            <w:r>
              <w:t xml:space="preserve"> „Skatinti alternatyviųjų degalų naudojimą transporto sektoriuje“ informacijos.</w:t>
            </w:r>
          </w:p>
        </w:tc>
      </w:tr>
    </w:tbl>
    <w:p w14:paraId="161BD4AB" w14:textId="77777777" w:rsidR="0092645B" w:rsidRDefault="0092645B">
      <w:pPr>
        <w:ind w:firstLine="567"/>
        <w:jc w:val="both"/>
        <w:rPr>
          <w:i/>
          <w:iCs/>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6"/>
      </w:tblGrid>
      <w:tr w:rsidR="0092645B" w14:paraId="3D26AA17" w14:textId="77777777">
        <w:tc>
          <w:tcPr>
            <w:tcW w:w="15276" w:type="dxa"/>
          </w:tcPr>
          <w:p w14:paraId="44BA60F7" w14:textId="77777777" w:rsidR="0092645B" w:rsidRDefault="00E93B47">
            <w:pPr>
              <w:rPr>
                <w:b/>
                <w:szCs w:val="24"/>
              </w:rPr>
            </w:pPr>
            <w:r>
              <w:rPr>
                <w:b/>
                <w:szCs w:val="24"/>
              </w:rPr>
              <w:t>SPECIALIEJI FINANSAVIMO REIKALAVIMAI</w:t>
            </w:r>
          </w:p>
        </w:tc>
      </w:tr>
      <w:tr w:rsidR="0092645B" w14:paraId="3D9EA2EF" w14:textId="77777777">
        <w:tc>
          <w:tcPr>
            <w:tcW w:w="15276" w:type="dxa"/>
          </w:tcPr>
          <w:p w14:paraId="0F57FD57" w14:textId="77777777" w:rsidR="0092645B" w:rsidRDefault="00E93B47">
            <w:pPr>
              <w:rPr>
                <w:b/>
                <w:bCs/>
                <w:szCs w:val="24"/>
              </w:rPr>
            </w:pPr>
            <w:r>
              <w:rPr>
                <w:b/>
                <w:bCs/>
                <w:szCs w:val="24"/>
              </w:rPr>
              <w:t>1. Taikomi teisės aktai</w:t>
            </w:r>
          </w:p>
        </w:tc>
      </w:tr>
      <w:tr w:rsidR="0092645B" w14:paraId="61E356CA" w14:textId="77777777">
        <w:tc>
          <w:tcPr>
            <w:tcW w:w="15276" w:type="dxa"/>
          </w:tcPr>
          <w:p w14:paraId="09DD8ABC" w14:textId="77777777" w:rsidR="0092645B" w:rsidRDefault="0092645B">
            <w:pPr>
              <w:rPr>
                <w:sz w:val="10"/>
                <w:szCs w:val="10"/>
              </w:rPr>
            </w:pPr>
          </w:p>
          <w:p w14:paraId="132014F5" w14:textId="77777777" w:rsidR="0092645B" w:rsidRDefault="00E93B47">
            <w:pPr>
              <w:jc w:val="both"/>
              <w:rPr>
                <w:szCs w:val="24"/>
              </w:rPr>
            </w:pPr>
            <w:r>
              <w:t>1.1. 2022–2030 metų plėtros programos valdytojos Lietuvos Respublikos susisiekimo ministerijos susisiekimo plėtros programos pažangos priemonės Nr. 10-001-06-01-01 „Skatinti alternatyviųjų degalų naudojimą transporto sektoriuje“ veiklos „</w:t>
            </w:r>
            <w:r>
              <w:rPr>
                <w:iCs/>
                <w:szCs w:val="24"/>
              </w:rPr>
              <w:t>Taršių lengvojo transporto priemonių (M1 ir N1 klasės) pakeitimo į visai netaršias (elektra arba vandeniliu varomas) skatinimas</w:t>
            </w:r>
            <w:r>
              <w:t xml:space="preserve">“ </w:t>
            </w:r>
            <w:r>
              <w:rPr>
                <w:szCs w:val="24"/>
              </w:rPr>
              <w:t>poveiklės „</w:t>
            </w:r>
            <w:r>
              <w:rPr>
                <w:szCs w:val="24"/>
                <w:lang w:eastAsia="lt-LT"/>
              </w:rPr>
              <w:t>Grynųjų elektromobilių arba vandeniliu varomų transporto priemonių įsigijimo viešajam sektoriui skatinimas</w:t>
            </w:r>
            <w:r>
              <w:t>“ projektų finansavimo sąlygų aprašas (toliau – Aprašas) yra parengtas atsižvelgiant į:</w:t>
            </w:r>
          </w:p>
          <w:p w14:paraId="50D0B97E" w14:textId="77777777" w:rsidR="0092645B" w:rsidRDefault="00E93B47">
            <w:pPr>
              <w:jc w:val="both"/>
              <w:rPr>
                <w:color w:val="000000"/>
                <w:szCs w:val="24"/>
                <w:lang w:eastAsia="lt-LT"/>
              </w:rPr>
            </w:pPr>
            <w:r>
              <w:rPr>
                <w:color w:val="000000"/>
                <w:szCs w:val="24"/>
                <w:lang w:eastAsia="lt-LT"/>
              </w:rPr>
              <w:t>1.1.1. 2021 m. vasario 12 d. Europos Parlamento ir Tarybos reglamentą (ES) 2021/241, kuriuo nustatoma ekonomikos gaivinimo ir atsparumo didinimo priemonė;</w:t>
            </w:r>
          </w:p>
          <w:p w14:paraId="72690357" w14:textId="77777777" w:rsidR="0092645B" w:rsidRDefault="00E93B47">
            <w:pPr>
              <w:jc w:val="both"/>
              <w:rPr>
                <w:color w:val="000000"/>
                <w:szCs w:val="24"/>
                <w:lang w:eastAsia="lt-LT"/>
              </w:rPr>
            </w:pPr>
            <w:r>
              <w:rPr>
                <w:szCs w:val="24"/>
                <w:lang w:eastAsia="lt-LT"/>
              </w:rPr>
              <w:t>1.1.2. 2</w:t>
            </w:r>
            <w:r>
              <w:rPr>
                <w:color w:val="000000"/>
              </w:rPr>
              <w:t>021 m. liepos 28 d. Europos Tarybos įgyvendinimo sprendimą dėl Lietuvos ekonomikos gaivinimo ir atsparumo didinimo plano „Naujos kartos Lietuva“ įvertinimo patvirtinimo</w:t>
            </w:r>
            <w:r>
              <w:rPr>
                <w:color w:val="000000"/>
                <w:szCs w:val="24"/>
                <w:lang w:eastAsia="lt-LT"/>
              </w:rPr>
              <w:t>;</w:t>
            </w:r>
          </w:p>
          <w:p w14:paraId="41B22860" w14:textId="77777777" w:rsidR="0092645B" w:rsidRDefault="00E93B47">
            <w:pPr>
              <w:jc w:val="both"/>
              <w:rPr>
                <w:color w:val="000000"/>
                <w:szCs w:val="24"/>
                <w:shd w:val="clear" w:color="auto" w:fill="FFFFFF"/>
              </w:rPr>
            </w:pPr>
            <w:r>
              <w:t>1.1.3. </w:t>
            </w:r>
            <w:r>
              <w:rPr>
                <w:lang w:eastAsia="lt-LT"/>
              </w:rPr>
              <w:t>2018 m. gegužės 30 d. Europos Parlamento ir Tarybos reglamentą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w:t>
            </w:r>
          </w:p>
          <w:p w14:paraId="6AC3C9CF" w14:textId="77777777" w:rsidR="0092645B" w:rsidRDefault="00E93B47">
            <w:pPr>
              <w:jc w:val="both"/>
              <w:rPr>
                <w:color w:val="000000"/>
                <w:szCs w:val="24"/>
                <w:shd w:val="clear" w:color="auto" w:fill="FFFFFF"/>
              </w:rPr>
            </w:pPr>
            <w:r>
              <w:t>1.1.4. </w:t>
            </w:r>
            <w:r>
              <w:rPr>
                <w:color w:val="000000"/>
                <w:szCs w:val="24"/>
                <w:shd w:val="clear" w:color="auto" w:fill="FFFFFF"/>
              </w:rPr>
              <w:t>2018 m. gruodžio 11 d. Europos Parlamento ir Tarybos direktyvą (ES) 2018/2001 dėl skatinimo naudoti atsinaujinančiųjų išteklių energiją;</w:t>
            </w:r>
          </w:p>
          <w:p w14:paraId="7421E95B" w14:textId="77777777" w:rsidR="0092645B" w:rsidRDefault="00E93B47">
            <w:pPr>
              <w:jc w:val="both"/>
              <w:rPr>
                <w:color w:val="000000"/>
                <w:lang w:eastAsia="lt-LT"/>
              </w:rPr>
            </w:pPr>
            <w:r>
              <w:rPr>
                <w:color w:val="000000"/>
                <w:szCs w:val="24"/>
                <w:lang w:eastAsia="lt-LT"/>
              </w:rPr>
              <w:t>1.1.5. </w:t>
            </w:r>
            <w:r>
              <w:t>Nacionalinę klimato kaitos valdymo darbotvarkę, patvirtintą Lietuvos Respublikos Seimo 2021 m. birželio 30 d. nutarimu Nr. XIV-490 „Dėl Nacionalinės klimato kaitos valdymo darbotvarkės patvirtinimo“;</w:t>
            </w:r>
          </w:p>
          <w:p w14:paraId="54023C1F" w14:textId="77777777" w:rsidR="0092645B" w:rsidRDefault="00E93B47">
            <w:pPr>
              <w:jc w:val="both"/>
              <w:rPr>
                <w:color w:val="000000"/>
                <w:szCs w:val="24"/>
                <w:lang w:eastAsia="lt-LT"/>
              </w:rPr>
            </w:pPr>
            <w:r>
              <w:rPr>
                <w:color w:val="000000"/>
                <w:szCs w:val="24"/>
                <w:lang w:eastAsia="lt-LT"/>
              </w:rPr>
              <w:lastRenderedPageBreak/>
              <w:t>1.1.6. 2021–2030 metų nacionalinį pažangos planą, patvirtintą Lietuvos Respublikos Vyriausybės 2020 m. rugsėjo 9 d. nutarimu Nr. 998 „Dėl</w:t>
            </w:r>
            <w:r>
              <w:rPr>
                <w:color w:val="000000"/>
                <w:szCs w:val="24"/>
                <w:lang w:eastAsia="lt-LT"/>
              </w:rPr>
              <w:br/>
              <w:t>2021–2030 metų nacionalinio pažangos plano patvirtinimo“;</w:t>
            </w:r>
          </w:p>
          <w:p w14:paraId="74C95909" w14:textId="77777777" w:rsidR="0092645B" w:rsidRDefault="00E93B47">
            <w:pPr>
              <w:jc w:val="both"/>
            </w:pPr>
            <w:r>
              <w:rPr>
                <w:color w:val="000000"/>
                <w:szCs w:val="24"/>
                <w:lang w:eastAsia="lt-LT"/>
              </w:rPr>
              <w:t>1.1.7. </w:t>
            </w:r>
            <w:r>
              <w:t>Lietuvos Respublikos teritorijos bendrąjį planą, patvirtintą Lietuvos Respublikos Vyriausybės 2021 m. rugsėjo 29 d. nutarimu Nr. 789 „Dėl Lietuvos Respublikos teritorijos bendrojo plano patvirtinimo“ (toliau – Teritorijos bendrasis planas);</w:t>
            </w:r>
          </w:p>
          <w:p w14:paraId="6B699E0F" w14:textId="77777777" w:rsidR="0092645B" w:rsidRDefault="00E93B47">
            <w:pPr>
              <w:jc w:val="both"/>
            </w:pPr>
            <w:r>
              <w:t>1.1.8. Nacionalinį oro taršos mažinimo planą, patvirtintą Lietuvos Respublikos Vyriausybės 2019 m. balandžio 17 d. nutarimu Nr. 371 „Dėl Nacionalinio oro taršos mažinimo plano patvirtinimo“;</w:t>
            </w:r>
          </w:p>
          <w:p w14:paraId="4DE1A5F3" w14:textId="77777777" w:rsidR="0092645B" w:rsidRDefault="00E93B47">
            <w:pPr>
              <w:jc w:val="both"/>
              <w:rPr>
                <w:szCs w:val="24"/>
                <w:lang w:eastAsia="lt-LT"/>
              </w:rPr>
            </w:pPr>
            <w:r>
              <w:t>1.1.9. Lietuvos Respublikos alternatyviųjų degalų įstatymą;</w:t>
            </w:r>
          </w:p>
          <w:p w14:paraId="64A848E5" w14:textId="77777777" w:rsidR="0092645B" w:rsidRDefault="00E93B47">
            <w:pPr>
              <w:jc w:val="both"/>
              <w:rPr>
                <w:szCs w:val="24"/>
                <w:lang w:eastAsia="lt-LT"/>
              </w:rPr>
            </w:pPr>
            <w:r>
              <w:rPr>
                <w:szCs w:val="24"/>
                <w:lang w:eastAsia="lt-LT"/>
              </w:rPr>
              <w:t>1.1.10. Lietuvos Respublikos atsinaujinančių išteklių energetikos įstatymą;</w:t>
            </w:r>
          </w:p>
          <w:p w14:paraId="27016F6E" w14:textId="77777777" w:rsidR="0092645B" w:rsidRDefault="00E93B47">
            <w:pPr>
              <w:jc w:val="both"/>
              <w:rPr>
                <w:szCs w:val="24"/>
              </w:rPr>
            </w:pPr>
            <w:r>
              <w:t xml:space="preserve">1.1.11. 2022–2030 metų plėtros programos valdytojos Lietuvos Respublikos susisiekimo ministerijos susisiekimo plėtros programą, patvirtintą Lietuvos Respublikos Vyriausybės 2022 m. kovo 16 d. nutarimu Nr. 245 „Dėl 2022–2030 metų plėtros programos valdytojos Lietuvos Respublikos susisiekimo </w:t>
            </w:r>
            <w:r>
              <w:rPr>
                <w:szCs w:val="24"/>
              </w:rPr>
              <w:t>ministerijos susisiekimo plėtros programos patvirtinimo“ (toliau – Susisiekimo plėtros programa);</w:t>
            </w:r>
          </w:p>
          <w:p w14:paraId="7D1C9A8F" w14:textId="77777777" w:rsidR="0092645B" w:rsidRDefault="00E93B47">
            <w:pPr>
              <w:jc w:val="both"/>
              <w:rPr>
                <w:color w:val="000000"/>
                <w:sz w:val="20"/>
                <w:lang w:eastAsia="lt-LT"/>
              </w:rPr>
            </w:pPr>
            <w:r>
              <w:rPr>
                <w:szCs w:val="24"/>
              </w:rPr>
              <w:t>1.1.12. Elektromobilių naudojimo ir elektromobilių įkrovimo infrastruktūros plėtros veiksmų planą, patvirtintą Lietuvos Respublikos energetikos ministro ir Lietuvos Respublikos susisiekimo ministro 2022 m. liepos 1 d. įsakymu Nr. 3-344 „Dėl Elektromobilių naudojimo ir elektromobilių įkrovimo infrastruktūros plėtros veiksmų plano patvirtinimo“;</w:t>
            </w:r>
          </w:p>
          <w:p w14:paraId="4D626AB7" w14:textId="77777777" w:rsidR="0092645B" w:rsidRDefault="00E93B47">
            <w:pPr>
              <w:jc w:val="both"/>
            </w:pPr>
            <w:r>
              <w:t>1.1.13. </w:t>
            </w:r>
            <w:r>
              <w:rPr>
                <w:szCs w:val="24"/>
              </w:rPr>
              <w:t>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53A4D79B" w14:textId="77777777" w:rsidR="0092645B" w:rsidRDefault="00E93B47">
            <w:pPr>
              <w:jc w:val="both"/>
            </w:pPr>
            <w:r>
              <w:t>1.1.14. Projektų administravimo ir finansavimo taisykles, patvirtintas Lietuvos Respublikos finansų ministro 2022 m. birželio 22 d. įsakymu</w:t>
            </w:r>
            <w:r>
              <w:br/>
              <w:t>Nr. 1K-237 „Dėl 2021–2027 metų Europos Sąjungos fondų investicijų programos ir Ekonomikos gaivinimo ir atsparumo didinimo plano „Naujos kartos Lietuva“ įgyvendinimo“</w:t>
            </w:r>
            <w:r>
              <w:rPr>
                <w:color w:val="000000"/>
                <w:shd w:val="clear" w:color="auto" w:fill="FFFFFF"/>
              </w:rPr>
              <w:t xml:space="preserve"> </w:t>
            </w:r>
            <w:r>
              <w:t>(toliau – Projektų taisyklės);</w:t>
            </w:r>
          </w:p>
          <w:p w14:paraId="75F02913" w14:textId="77777777" w:rsidR="0092645B" w:rsidRDefault="00E93B47">
            <w:pPr>
              <w:jc w:val="both"/>
            </w:pPr>
            <w:r>
              <w:t>1.1.15. Elektromobilių ir vandeniliu varomų transporto priemonių įsigijimo fiksuotųjų vieneto įkainių nustatymo tyrimą, skelbiamą Europos socialinio fondo agentūros interneto svetainėje (</w:t>
            </w:r>
            <w:r>
              <w:rPr>
                <w:rFonts w:ascii="Times" w:hAnsi="Times" w:cs="Times"/>
              </w:rPr>
              <w:t xml:space="preserve">https://www.esf.lt/data/public/uploads/2023/02/b-dalis_elektromobiliu-fi-tyrimas_02-15.pdf) </w:t>
            </w:r>
            <w:r>
              <w:t>(toliau – Tyrimas);</w:t>
            </w:r>
          </w:p>
          <w:p w14:paraId="1964C0F4" w14:textId="77777777" w:rsidR="0092645B" w:rsidRDefault="00E93B47">
            <w:pPr>
              <w:jc w:val="both"/>
              <w:rPr>
                <w:color w:val="000000"/>
                <w:szCs w:val="24"/>
                <w:lang w:eastAsia="lt-LT"/>
              </w:rPr>
            </w:pPr>
            <w:r>
              <w:rPr>
                <w:szCs w:val="24"/>
              </w:rPr>
              <w:t xml:space="preserve">1.1.16. </w:t>
            </w:r>
            <w:r>
              <w:rPr>
                <w:rFonts w:eastAsia="Calibri"/>
                <w:szCs w:val="24"/>
              </w:rPr>
              <w:t>Supaprastintai apmokamų išlaidų dydžių registrą (https://2021.esinvesticijos.lt/dokumentai/supaprastintai-apmokamu-islaidu-dydziu-registras).</w:t>
            </w:r>
          </w:p>
          <w:p w14:paraId="494B1EA4" w14:textId="77777777" w:rsidR="0092645B" w:rsidRDefault="00E93B47">
            <w:pPr>
              <w:jc w:val="both"/>
            </w:pPr>
            <w:r>
              <w:t xml:space="preserve">1.2. Apraše vartojamos sąvokos suprantamos taip, kaip jos apibrėžtos Aprašo 1.1 papunktyje nurodytuose teisės aktuose, </w:t>
            </w:r>
            <w:r>
              <w:rPr>
                <w:szCs w:val="24"/>
                <w:lang w:eastAsia="lt-LT"/>
              </w:rPr>
              <w:t>Lietuvos Respublikos</w:t>
            </w:r>
            <w:r>
              <w:rPr>
                <w:color w:val="000000"/>
                <w:szCs w:val="24"/>
                <w:lang w:eastAsia="lt-LT"/>
              </w:rPr>
              <w:t xml:space="preserve"> saugaus eismo automobilių keliais įstatyme</w:t>
            </w:r>
            <w:r>
              <w:t xml:space="preserve">, Lietuvos Respublikos strateginio valdymo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r>
              <w:rPr>
                <w:szCs w:val="24"/>
                <w:lang w:eastAsia="lt-LT"/>
              </w:rPr>
              <w:t>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Motorinių transporto priemonių ir jų priekabų registracijos liudijimo blanko aprašyme ir privalomojoje formoje, patvirtintoje Lietuvos Respublikos vidaus reikalų ministro 2005 m. birželio 28 d. įsakymu Nr. 1V-204 „Dėl Motorinių transporto priemonių ir jų priekabų registracijos liudijimo blanko aprašymo ir privalomosios formos patvirtinimo“,</w:t>
            </w:r>
            <w:r>
              <w:t xml:space="preserve"> ir </w:t>
            </w:r>
            <w:r>
              <w:rPr>
                <w:szCs w:val="24"/>
              </w:rPr>
              <w:t>Vadovaujančiosios, administruojančiosios ir audito institucijų funkcijų, įgyvendinant Ekonomikos gaivinimo ir atsparumo didinimo planą „Naujos kartos Lietuva“, paskirstymo taisyklėse, patvirtintose Lietuvos Respublikos Vyriausybės 2020 m. lapkričio 25 d. nutarimu Nr. 1322 „Dėl pasirengimo administruoti Europos Sąjungos fondų lėšas“</w:t>
            </w:r>
            <w:r>
              <w:t>.</w:t>
            </w:r>
          </w:p>
        </w:tc>
      </w:tr>
      <w:tr w:rsidR="0092645B" w14:paraId="3C1CA7F7" w14:textId="77777777">
        <w:tc>
          <w:tcPr>
            <w:tcW w:w="15276" w:type="dxa"/>
          </w:tcPr>
          <w:p w14:paraId="69855BB9" w14:textId="77777777" w:rsidR="0092645B" w:rsidRDefault="00E93B47">
            <w:pPr>
              <w:rPr>
                <w:b/>
                <w:szCs w:val="24"/>
              </w:rPr>
            </w:pPr>
            <w:r>
              <w:rPr>
                <w:b/>
                <w:szCs w:val="24"/>
              </w:rPr>
              <w:lastRenderedPageBreak/>
              <w:t>2. Reikalavimai projektams, pareiškėjams ir partneriams</w:t>
            </w:r>
          </w:p>
        </w:tc>
      </w:tr>
      <w:tr w:rsidR="0092645B" w14:paraId="0FAA319F" w14:textId="77777777">
        <w:tc>
          <w:tcPr>
            <w:tcW w:w="15276" w:type="dxa"/>
          </w:tcPr>
          <w:p w14:paraId="32648DD1" w14:textId="77777777" w:rsidR="0092645B" w:rsidRDefault="0092645B">
            <w:pPr>
              <w:rPr>
                <w:sz w:val="10"/>
                <w:szCs w:val="10"/>
              </w:rPr>
            </w:pPr>
          </w:p>
          <w:p w14:paraId="56A151A8" w14:textId="77777777" w:rsidR="0092645B" w:rsidRDefault="00E93B47">
            <w:r>
              <w:rPr>
                <w:szCs w:val="24"/>
                <w:lang w:eastAsia="lt-LT"/>
              </w:rPr>
              <w:lastRenderedPageBreak/>
              <w:t>2.1. </w:t>
            </w:r>
            <w:r>
              <w:t>Pagal Aprašą bus finansuojamas jungtinis projektas (toliau – JP).</w:t>
            </w:r>
          </w:p>
          <w:p w14:paraId="05C685DB" w14:textId="77777777" w:rsidR="0092645B" w:rsidRDefault="00E93B47">
            <w:pPr>
              <w:jc w:val="both"/>
            </w:pPr>
            <w:r>
              <w:t xml:space="preserve">2.2. Pagal Aprašą finansuojamas </w:t>
            </w:r>
            <w:r>
              <w:rPr>
                <w:iCs/>
                <w:szCs w:val="24"/>
              </w:rPr>
              <w:t>g</w:t>
            </w:r>
            <w:r>
              <w:rPr>
                <w:szCs w:val="24"/>
                <w:lang w:eastAsia="lt-LT"/>
              </w:rPr>
              <w:t xml:space="preserve">rynųjų elektromobilių arba vandeniliu varomų transporto priemonių įsigijimas, </w:t>
            </w:r>
            <w:r>
              <w:t xml:space="preserve">t. y. lengvųjų (M1 ir N1 klasės) grynųjų elektromobilių ir vandeniliu varomų transporto priemonių (toliau kartu – transporto priemonės) įsigijimo skatinimas, finansuojant JP vykdytojo atrinktus JP projektus.   </w:t>
            </w:r>
          </w:p>
          <w:p w14:paraId="2C09E4A6" w14:textId="77777777" w:rsidR="0092645B" w:rsidRDefault="00E93B47">
            <w:pPr>
              <w:jc w:val="both"/>
            </w:pPr>
            <w:r>
              <w:t>2.3. JP vykdytojo atranka atliekama planavimo būdu.</w:t>
            </w:r>
          </w:p>
          <w:p w14:paraId="12956FBA" w14:textId="77777777" w:rsidR="0092645B" w:rsidRDefault="00E93B47">
            <w:pPr>
              <w:jc w:val="both"/>
            </w:pPr>
            <w:r>
              <w:t>2.4. Galima JP vykdytoja – Lietuvos Respublikos aplinkos ministerijos Aplinkos projektų valdymo agentūra (toliau – JP vykdytojas).</w:t>
            </w:r>
          </w:p>
          <w:p w14:paraId="09EBE7A0" w14:textId="77777777" w:rsidR="0092645B" w:rsidRDefault="00E93B47">
            <w:pPr>
              <w:jc w:val="both"/>
            </w:pPr>
            <w:r>
              <w:t>2.5. Partneriai nėra galimi.</w:t>
            </w:r>
          </w:p>
          <w:p w14:paraId="3A218951" w14:textId="77777777" w:rsidR="0092645B" w:rsidRDefault="00E93B47">
            <w:pPr>
              <w:jc w:val="both"/>
            </w:pPr>
            <w:r>
              <w:t>2.6. JP veiklos įgyvendinimą administruoja viešoji įstaiga Centrinė projektų valdymo agentūra (toliau – Administruojančioji institucija).</w:t>
            </w:r>
          </w:p>
          <w:p w14:paraId="339DB800" w14:textId="77777777" w:rsidR="0092645B" w:rsidRDefault="00E93B47">
            <w:pPr>
              <w:rPr>
                <w:szCs w:val="24"/>
              </w:rPr>
            </w:pPr>
            <w:r>
              <w:t xml:space="preserve">2.7. JP turi atitikti </w:t>
            </w:r>
            <w:r>
              <w:rPr>
                <w:szCs w:val="24"/>
              </w:rPr>
              <w:t>bendruosius atrankos kriterijus, išdėstytus Projektų taisyklių 2 priede (įskaitant Apraše nurodytus reikalavimus).</w:t>
            </w:r>
          </w:p>
          <w:p w14:paraId="44A8AE18" w14:textId="77777777" w:rsidR="0092645B" w:rsidRDefault="00E93B47">
            <w:pPr>
              <w:jc w:val="both"/>
              <w:rPr>
                <w:rFonts w:ascii="Arial" w:hAnsi="Arial" w:cs="Arial"/>
                <w:sz w:val="20"/>
                <w:lang w:eastAsia="lt-LT"/>
              </w:rPr>
            </w:pPr>
            <w:r>
              <w:t xml:space="preserve">2.8. JP turi būti prisidedama prie </w:t>
            </w:r>
            <w:r>
              <w:rPr>
                <w:szCs w:val="24"/>
              </w:rPr>
              <w:t xml:space="preserve">Susisiekimo plėtros programos </w:t>
            </w:r>
            <w:r>
              <w:t>pažangos priemonės</w:t>
            </w:r>
            <w:r>
              <w:rPr>
                <w:color w:val="000000"/>
                <w:szCs w:val="24"/>
                <w:lang w:eastAsia="en-GB"/>
              </w:rPr>
              <w:t xml:space="preserve"> </w:t>
            </w:r>
            <w:r>
              <w:t>„Skatinti alternatyviųjų degalų naudojimą transporto sektoriuje“</w:t>
            </w:r>
            <w:r>
              <w:rPr>
                <w:color w:val="000000"/>
                <w:szCs w:val="24"/>
                <w:lang w:eastAsia="en-GB"/>
              </w:rPr>
              <w:t xml:space="preserve"> </w:t>
            </w:r>
            <w:r>
              <w:t>produkto rodiklio „</w:t>
            </w:r>
            <w:r>
              <w:rPr>
                <w:szCs w:val="24"/>
              </w:rPr>
              <w:t>Įsigytų ir Lietuvoje registruotų netaršių transporto priemonių skaičius</w:t>
            </w:r>
            <w:r>
              <w:t xml:space="preserve">“ pasiekimo. Rodiklis laikomas pasiektu, kai JP projekto pareiškėjas (toliau – pareiškėjas) pateikia JP vykdytojui transporto priemonės įsigijimą / įregistravimą VĮ „Regitra“ bei jos atitiktį Aprašo 13.2 papunktyje nustatytiems techniniams reikalavimams pagrindžiančius dokumentus (Tyrime nurodytus transporto priemonės </w:t>
            </w:r>
            <w:r>
              <w:rPr>
                <w:szCs w:val="24"/>
              </w:rPr>
              <w:t xml:space="preserve">įsigijimą pagrindžiančius dokumentus), </w:t>
            </w:r>
            <w:r>
              <w:rPr>
                <w:szCs w:val="24"/>
                <w:lang w:eastAsia="lt-LT"/>
              </w:rPr>
              <w:t>išrašą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šaltinis ir (ar) kiti techniniai parametrai.</w:t>
            </w:r>
          </w:p>
          <w:p w14:paraId="162B9D3F" w14:textId="77777777" w:rsidR="0092645B" w:rsidRDefault="00E93B47">
            <w:pPr>
              <w:jc w:val="both"/>
            </w:pPr>
            <w:r>
              <w:rPr>
                <w:szCs w:val="24"/>
              </w:rPr>
              <w:t>2.9. JP įgyvendinamas pagal projekto sutartyje, Apraše ir Projektų taisyklėse nustatytus reikalavimus.</w:t>
            </w:r>
          </w:p>
          <w:p w14:paraId="223C3B27" w14:textId="77777777" w:rsidR="0092645B" w:rsidRDefault="00E93B47">
            <w:pPr>
              <w:jc w:val="both"/>
            </w:pPr>
            <w:r>
              <w:t xml:space="preserve">2.10. JP veikla įgyvendinama ne ilgiau kaip iki 2026 m. balandžio 30 d. </w:t>
            </w:r>
          </w:p>
          <w:p w14:paraId="7BB602A8" w14:textId="77777777" w:rsidR="0092645B" w:rsidRDefault="00E93B47">
            <w:pPr>
              <w:jc w:val="both"/>
            </w:pPr>
            <w:r>
              <w:rPr>
                <w:szCs w:val="24"/>
              </w:rPr>
              <w:t xml:space="preserve">2.11. JP vykdytojas turi įgyvendinti privalomus matomumo ir informavimo reikalavimus, numatytus Projektų taisyklių VIII skyriaus pirmajame skirsnyje. </w:t>
            </w:r>
            <w:r>
              <w:t>Papildomai JP vykdytojas turi:</w:t>
            </w:r>
          </w:p>
          <w:p w14:paraId="1090EFC7" w14:textId="77777777" w:rsidR="0092645B" w:rsidRDefault="00E93B47">
            <w:pPr>
              <w:jc w:val="both"/>
            </w:pPr>
            <w:r>
              <w:t>2.11.1. suorganizuoti ne mažiau kaip vieną renginį ir ne mažiau kaip vieną socialinę kampaniją per metus, apimančius potencialių pareiškėjų ir kitų tikslinių grupių švietimą teikiant mokomąją medžiagą;</w:t>
            </w:r>
          </w:p>
          <w:p w14:paraId="234B6BCD" w14:textId="77777777" w:rsidR="0092645B" w:rsidRDefault="00E93B47">
            <w:pPr>
              <w:jc w:val="both"/>
            </w:pPr>
            <w:r>
              <w:t>2.11.2. užtikrinti potencialių pareiškėjų informavimą apie galimybę gauti finansavimą pagal JP ir finansavimo sąlygas, pasirenkant efektyvius informavimo kanalus (pvz., internetinė žiniasklaida, socialiniai tinklai, televizija, kita).</w:t>
            </w:r>
          </w:p>
          <w:p w14:paraId="1F736E64" w14:textId="77777777" w:rsidR="0092645B" w:rsidRDefault="00E93B47">
            <w:pPr>
              <w:jc w:val="both"/>
            </w:pPr>
            <w:r>
              <w:t>2.12. </w:t>
            </w:r>
            <w:r>
              <w:rPr>
                <w:color w:val="000000"/>
              </w:rPr>
              <w:t>Valstybės pagalba JP vykdytojui neteikiama.</w:t>
            </w:r>
          </w:p>
          <w:p w14:paraId="2A5EC0C8" w14:textId="77777777" w:rsidR="0092645B" w:rsidRDefault="00E93B47">
            <w:pPr>
              <w:jc w:val="both"/>
            </w:pPr>
            <w:r>
              <w:t>2.13. Taikomi JP parengtumo reikalavimai: JP vykdytojas, teikdamas projekto įgyvendinimo planą (toliau – PĮP), turi pateikti Lietuvos Respublikos susisiekimo ministerijai patvirtinto vidaus procedūrų aprašo, kuriame būtų numatyta Projektų taisyklėse JP vykdytojui numatytų funkcijų ir atsakomybių atlikimo tvarka, kopiją.</w:t>
            </w:r>
          </w:p>
          <w:p w14:paraId="101672F4" w14:textId="77777777" w:rsidR="0092645B" w:rsidRDefault="00E93B47">
            <w:pPr>
              <w:jc w:val="both"/>
            </w:pPr>
            <w:r>
              <w:t xml:space="preserve">2.14. </w:t>
            </w:r>
            <w:r>
              <w:rPr>
                <w:szCs w:val="24"/>
              </w:rPr>
              <w:t xml:space="preserve">Kartu su PĮP Administruojančiai institucijai JP vykdytojas turi pateikti </w:t>
            </w:r>
            <w:r>
              <w:t>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skyriaus „Viešųjų investicijų projektų rengimas“ srityje  „Rengimas ir vertinimas“.</w:t>
            </w:r>
          </w:p>
          <w:p w14:paraId="4844BA41" w14:textId="77777777" w:rsidR="0092645B" w:rsidRDefault="00E93B47">
            <w:pPr>
              <w:tabs>
                <w:tab w:val="left" w:pos="600"/>
              </w:tabs>
              <w:jc w:val="both"/>
              <w:rPr>
                <w:i/>
                <w:iCs/>
                <w:szCs w:val="24"/>
              </w:rPr>
            </w:pPr>
            <w:r>
              <w:t>2.15. JP finansavimo apimtis – 38 000 000,00 (trisdešimt aštuoni milijonai) eurų</w:t>
            </w:r>
            <w:r>
              <w:rPr>
                <w:szCs w:val="24"/>
              </w:rPr>
              <w:t xml:space="preserve"> EGADP lėšų</w:t>
            </w:r>
            <w:r>
              <w:t xml:space="preserve"> </w:t>
            </w:r>
            <w:r>
              <w:rPr>
                <w:szCs w:val="24"/>
              </w:rPr>
              <w:t>kartu su JP administravimo ir informavimo išlaidomis.</w:t>
            </w:r>
            <w:r>
              <w:t xml:space="preserve"> </w:t>
            </w:r>
          </w:p>
        </w:tc>
      </w:tr>
      <w:tr w:rsidR="0092645B" w14:paraId="6890D308" w14:textId="77777777">
        <w:tc>
          <w:tcPr>
            <w:tcW w:w="15276" w:type="dxa"/>
          </w:tcPr>
          <w:p w14:paraId="0F3E6AB8" w14:textId="77777777" w:rsidR="0092645B" w:rsidRDefault="00E93B47">
            <w:pPr>
              <w:jc w:val="both"/>
              <w:rPr>
                <w:iCs/>
                <w:szCs w:val="24"/>
              </w:rPr>
            </w:pPr>
            <w:r>
              <w:rPr>
                <w:b/>
                <w:szCs w:val="24"/>
              </w:rPr>
              <w:lastRenderedPageBreak/>
              <w:t>3.  Reikalavimai jungtinio projekto projektams ir jungtinio projekto projektų pareiškėjams</w:t>
            </w:r>
          </w:p>
        </w:tc>
      </w:tr>
      <w:tr w:rsidR="0092645B" w14:paraId="62D3C0AD" w14:textId="77777777">
        <w:trPr>
          <w:trHeight w:val="541"/>
        </w:trPr>
        <w:tc>
          <w:tcPr>
            <w:tcW w:w="15276" w:type="dxa"/>
          </w:tcPr>
          <w:p w14:paraId="16FCD0F8" w14:textId="77777777" w:rsidR="0092645B" w:rsidRDefault="0092645B">
            <w:pPr>
              <w:rPr>
                <w:sz w:val="10"/>
                <w:szCs w:val="10"/>
              </w:rPr>
            </w:pPr>
          </w:p>
          <w:p w14:paraId="7BE9859E" w14:textId="77777777" w:rsidR="0092645B" w:rsidRDefault="00E93B47">
            <w:pPr>
              <w:jc w:val="both"/>
            </w:pPr>
            <w:r>
              <w:rPr>
                <w:szCs w:val="24"/>
              </w:rPr>
              <w:t>3.1.  </w:t>
            </w:r>
            <w:r>
              <w:t>Pagal Aprašą finansuojama JP projektų veikla – t</w:t>
            </w:r>
            <w:r>
              <w:rPr>
                <w:szCs w:val="24"/>
                <w:lang w:eastAsia="lt-LT"/>
              </w:rPr>
              <w:t>ransporto priemonių įsigijimas</w:t>
            </w:r>
            <w:r>
              <w:t>, mokant vienkartines kompensacines išmokas, mažinančias kainų skirtumą tarp dyzelinu ar benzinu ir elektra ar vandeniliu varomų transporto priemonių.</w:t>
            </w:r>
            <w:r>
              <w:rPr>
                <w:color w:val="000000"/>
              </w:rPr>
              <w:t xml:space="preserve"> Įgyvendinant veiklą kompensacijos teikiamos pareiškėjams, kurie įsigijo naują ir (arba) naudotą transporto priemonę ir tapo transporto priemonės valdytoju. Transporto priemonės valdytojas pagal Aprašą suprantamas kaip juridinis asmuo, nurodytas transporto priemonės registracijos liudijime.</w:t>
            </w:r>
            <w:r>
              <w:t xml:space="preserve"> </w:t>
            </w:r>
          </w:p>
          <w:p w14:paraId="48B80232" w14:textId="77777777" w:rsidR="0092645B" w:rsidRDefault="00E93B47">
            <w:pPr>
              <w:jc w:val="both"/>
              <w:rPr>
                <w:szCs w:val="24"/>
              </w:rPr>
            </w:pPr>
            <w:r>
              <w:t xml:space="preserve">3.2. Pareiškėjai – viešieji juridiniai </w:t>
            </w:r>
            <w:r>
              <w:rPr>
                <w:szCs w:val="24"/>
              </w:rPr>
              <w:t>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 JP projekto</w:t>
            </w:r>
            <w:r>
              <w:rPr>
                <w:color w:val="C00000"/>
                <w:szCs w:val="24"/>
              </w:rPr>
              <w:t xml:space="preserve"> </w:t>
            </w:r>
            <w:r>
              <w:rPr>
                <w:szCs w:val="24"/>
              </w:rPr>
              <w:t>partneriai</w:t>
            </w:r>
            <w:r>
              <w:t xml:space="preserve"> nėra galimi.</w:t>
            </w:r>
          </w:p>
          <w:p w14:paraId="5639257C" w14:textId="77777777" w:rsidR="0092645B" w:rsidRDefault="00E93B47">
            <w:pPr>
              <w:jc w:val="both"/>
              <w:rPr>
                <w:color w:val="000000"/>
              </w:rPr>
            </w:pPr>
            <w:r>
              <w:t xml:space="preserve">3.3. </w:t>
            </w:r>
            <w:r>
              <w:rPr>
                <w:color w:val="000000"/>
              </w:rPr>
              <w:t>Kompensacijos dydis vienam pareiškėjui yra:</w:t>
            </w:r>
          </w:p>
          <w:p w14:paraId="695FE068" w14:textId="77777777" w:rsidR="0092645B" w:rsidRDefault="00E93B47">
            <w:pPr>
              <w:jc w:val="both"/>
            </w:pPr>
            <w:r>
              <w:rPr>
                <w:color w:val="000000"/>
              </w:rPr>
              <w:t>3.3.1. 5 000 (penki tūkstančiai) eurų (33,99 proc. Aprašo 14.1 papunktyje nurodyto FĮ-25-01 supaprastinto įkainio) už kiekvieną įsigytą naują t</w:t>
            </w:r>
            <w:r>
              <w:t>ransporto priemonę, kurios registracijos data ne ankstesnė kaip Aprašo 3.4.1.1 papunktyje nurodyta tinkamų išlaidų data;</w:t>
            </w:r>
          </w:p>
          <w:p w14:paraId="1E30F83C" w14:textId="77777777" w:rsidR="0092645B" w:rsidRDefault="00E93B47">
            <w:pPr>
              <w:jc w:val="both"/>
            </w:pPr>
            <w:r>
              <w:t xml:space="preserve">3.3.2. </w:t>
            </w:r>
            <w:r>
              <w:rPr>
                <w:color w:val="000000"/>
              </w:rPr>
              <w:t xml:space="preserve">2 500 (du tūkstančiai penki šimtai) eurų (18,96 proc. Aprašo 14.1 papunktyje nurodyto FĮ-25-03 supaprastinto įkainio) už kiekvieną įsigytą naudotą </w:t>
            </w:r>
            <w:r>
              <w:t>transporto priemonę, kurios registracijos data ne ankstesnė kaip Aprašo 3.4.1.2 papunktyje nurodyta tinkamų išlaidų data.</w:t>
            </w:r>
          </w:p>
          <w:p w14:paraId="57AFD256" w14:textId="77777777" w:rsidR="0092645B" w:rsidRDefault="00E93B47">
            <w:pPr>
              <w:spacing w:line="276" w:lineRule="atLeast"/>
              <w:jc w:val="both"/>
              <w:textAlignment w:val="baseline"/>
              <w:rPr>
                <w:color w:val="000000"/>
                <w:szCs w:val="24"/>
                <w:lang w:eastAsia="lt-LT"/>
              </w:rPr>
            </w:pPr>
            <w:r>
              <w:rPr>
                <w:color w:val="000000"/>
                <w:szCs w:val="24"/>
                <w:lang w:eastAsia="lt-LT"/>
              </w:rPr>
              <w:t>3.4. Sąlygos kompensacijai gauti:</w:t>
            </w:r>
          </w:p>
          <w:p w14:paraId="0F252475" w14:textId="77777777" w:rsidR="0092645B" w:rsidRDefault="00E93B47">
            <w:pPr>
              <w:spacing w:line="276" w:lineRule="atLeast"/>
              <w:jc w:val="both"/>
              <w:textAlignment w:val="baseline"/>
              <w:rPr>
                <w:color w:val="000000"/>
                <w:szCs w:val="24"/>
                <w:lang w:eastAsia="lt-LT"/>
              </w:rPr>
            </w:pPr>
            <w:r>
              <w:rPr>
                <w:color w:val="000000"/>
                <w:szCs w:val="24"/>
                <w:lang w:eastAsia="lt-LT"/>
              </w:rPr>
              <w:t>3.4.1. įsigyta (įsigijimas suprantamas taip, kaip nurodyta Aprašo 3.1 papunktyje) transporto priemonė:</w:t>
            </w:r>
          </w:p>
          <w:p w14:paraId="1EF44F9B" w14:textId="77777777" w:rsidR="0092645B" w:rsidRDefault="00E93B47">
            <w:pPr>
              <w:spacing w:line="276" w:lineRule="atLeast"/>
              <w:jc w:val="both"/>
              <w:textAlignment w:val="baseline"/>
              <w:rPr>
                <w:color w:val="000000"/>
              </w:rPr>
            </w:pPr>
            <w:r>
              <w:rPr>
                <w:color w:val="000000"/>
                <w:szCs w:val="24"/>
                <w:lang w:eastAsia="lt-LT"/>
              </w:rPr>
              <w:t xml:space="preserve">3.4.1.1. nauja transporto priemonė – </w:t>
            </w:r>
            <w:r>
              <w:rPr>
                <w:color w:val="000000"/>
              </w:rPr>
              <w:t>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2022 m. lapkričio 1 d.;</w:t>
            </w:r>
          </w:p>
          <w:p w14:paraId="1D9EC281" w14:textId="77777777" w:rsidR="0092645B" w:rsidRDefault="00E93B47">
            <w:pPr>
              <w:spacing w:line="276" w:lineRule="atLeast"/>
              <w:jc w:val="both"/>
              <w:textAlignment w:val="baseline"/>
              <w:rPr>
                <w:color w:val="000000"/>
                <w:szCs w:val="24"/>
                <w:lang w:eastAsia="lt-LT"/>
              </w:rPr>
            </w:pPr>
            <w:r>
              <w:rPr>
                <w:color w:val="000000"/>
              </w:rPr>
              <w:t>3.4.1.2. naudota transporto priemonė – transporto priemonė, nuo kurios pirmosios registracijos metų (registracijos liudijime nurodytas B kodas), o tais atvejais, kai pirmosios registracijos metai nenurodyti, nuo modelio metų (registracijos liudijime nurodytas B.2 kodas) iki pirmosios registracijos Lietuvos Respublikoje metų (registracijos liudijime nurodytas B.1 kodas) yra praėję ne daugiau kaip 4 (ketveri) metai. Visais atvejais pirmosios registracijos Lietuvos Respublikoje jos valdytojo vardu data (registracijos liudijime nurodytas I.1 kodas) turi būti ne ankstesnė kaip 2022 m. lapkričio 1 d.;</w:t>
            </w:r>
          </w:p>
          <w:p w14:paraId="6E98967E" w14:textId="77777777" w:rsidR="0092645B" w:rsidRDefault="00E93B47">
            <w:pPr>
              <w:spacing w:line="276" w:lineRule="atLeast"/>
              <w:jc w:val="both"/>
              <w:textAlignment w:val="baseline"/>
              <w:rPr>
                <w:color w:val="000000"/>
                <w:szCs w:val="24"/>
                <w:lang w:eastAsia="lt-LT"/>
              </w:rPr>
            </w:pPr>
            <w:r>
              <w:rPr>
                <w:color w:val="000000"/>
                <w:szCs w:val="24"/>
                <w:lang w:eastAsia="lt-LT"/>
              </w:rPr>
              <w:t>3.4.2. pareiškėjo transporto priemonės registracijos liudijime privalo būti nurodyta pirmosios registracijos data, pirmosios registracijos Lietuvos Respublikoje data arba, jeigu tai naudota transporto priemonė, modelio metai;</w:t>
            </w:r>
          </w:p>
          <w:p w14:paraId="6ED2527C" w14:textId="77777777" w:rsidR="0092645B" w:rsidRDefault="00E93B47">
            <w:pPr>
              <w:jc w:val="both"/>
              <w:rPr>
                <w:color w:val="000000"/>
              </w:rPr>
            </w:pPr>
            <w:r>
              <w:rPr>
                <w:color w:val="000000"/>
              </w:rPr>
              <w:t>3.4.3. pareiškėjas atsakingas, kad Aprašo 3.4.2 papunktyje nurodyta informacija bus pateikta valstybės įmonei „Regitra“ registruojant transporto priemonę.</w:t>
            </w:r>
          </w:p>
          <w:p w14:paraId="15B362D9" w14:textId="77777777" w:rsidR="0092645B" w:rsidRDefault="00E93B47">
            <w:pPr>
              <w:jc w:val="both"/>
              <w:rPr>
                <w:szCs w:val="24"/>
                <w:shd w:val="clear" w:color="auto" w:fill="FFFFFF"/>
              </w:rPr>
            </w:pPr>
            <w:r>
              <w:rPr>
                <w:color w:val="000000"/>
              </w:rPr>
              <w:t>3.5.</w:t>
            </w:r>
            <w:r>
              <w:rPr>
                <w:szCs w:val="24"/>
              </w:rPr>
              <w:t xml:space="preserve"> Kompensacija neteikiama transporto priemonėms, registruotoms ne Lietuvos Respublikoje. </w:t>
            </w:r>
          </w:p>
          <w:p w14:paraId="1DE3E5CB" w14:textId="77777777" w:rsidR="0092645B" w:rsidRDefault="00E93B47">
            <w:pPr>
              <w:jc w:val="both"/>
              <w:rPr>
                <w:szCs w:val="24"/>
              </w:rPr>
            </w:pPr>
            <w:r>
              <w:rPr>
                <w:szCs w:val="24"/>
                <w:lang w:eastAsia="lt-LT"/>
              </w:rPr>
              <w:t>3.6. Kompensacija už transporto priemonę, kurios identifikavimo numeris yra tas pats, gali būti skiriama tik vieną kartą</w:t>
            </w:r>
            <w:r>
              <w:rPr>
                <w:szCs w:val="24"/>
              </w:rPr>
              <w:t xml:space="preserve">. </w:t>
            </w:r>
            <w:r>
              <w:t xml:space="preserve">Tuo atveju, jei skirta kompensacija buvo sugrąžinta, laikoma, kad kompensacija už transporto priemonę nebuvo išmokėta. Pareiškėjas, įsigydamas transporto priemonę, turi įsitikinti, </w:t>
            </w:r>
            <w:r>
              <w:rPr>
                <w:szCs w:val="24"/>
              </w:rPr>
              <w:t>ar už</w:t>
            </w:r>
            <w:r>
              <w:rPr>
                <w:strike/>
                <w:szCs w:val="24"/>
              </w:rPr>
              <w:t xml:space="preserve"> </w:t>
            </w:r>
            <w:r>
              <w:rPr>
                <w:szCs w:val="24"/>
              </w:rPr>
              <w:t>t</w:t>
            </w:r>
            <w:r>
              <w:t>ransporto priemonę</w:t>
            </w:r>
            <w:r>
              <w:rPr>
                <w:szCs w:val="24"/>
              </w:rPr>
              <w:t xml:space="preserve"> nebuvo suteikta kompensacija</w:t>
            </w:r>
            <w:r>
              <w:rPr>
                <w:strike/>
                <w:szCs w:val="24"/>
              </w:rPr>
              <w:t>,</w:t>
            </w:r>
          </w:p>
          <w:p w14:paraId="4AF350BF" w14:textId="77777777" w:rsidR="0092645B" w:rsidRDefault="00E93B47">
            <w:pPr>
              <w:jc w:val="both"/>
              <w:rPr>
                <w:szCs w:val="24"/>
              </w:rPr>
            </w:pPr>
            <w:r>
              <w:rPr>
                <w:szCs w:val="24"/>
              </w:rPr>
              <w:t xml:space="preserve">3.7. </w:t>
            </w:r>
            <w:r>
              <w:rPr>
                <w:color w:val="000000"/>
              </w:rPr>
              <w:t>Pareiškėjas, teikdamas prašymą, užtikrina, kad kompensacija papildomai nebus finansuojama iš Lietuvos Respublikos valstybės ir savivaldybių biudžetų ar išteklių fondų, Europos Sąjungos arba ne Europos Sąjungos šalių valstybės institucijų lėšų, kitų nacionalinių programų.</w:t>
            </w:r>
          </w:p>
          <w:p w14:paraId="736D8B79" w14:textId="77777777" w:rsidR="0092645B" w:rsidRDefault="00E93B47">
            <w:pPr>
              <w:jc w:val="both"/>
              <w:rPr>
                <w:szCs w:val="24"/>
              </w:rPr>
            </w:pPr>
            <w:r>
              <w:rPr>
                <w:color w:val="000000"/>
              </w:rPr>
              <w:t>3.8. Kompensacija neteikiama pareiškėjams, įtrauktiems į Finansinių nusikaltimų tyrimo tarnybos prie Lietuvos Respublikos vidaus reikalų ministerijos interneto svetainėje skelbiamą fizinių ir (ar) juridinių asmenų, turinčių sąsajas su subjektais, kuriems taikomos tarptautinėms sankcijos, sąrašą.</w:t>
            </w:r>
          </w:p>
          <w:p w14:paraId="4C8C83DD" w14:textId="77777777" w:rsidR="0092645B" w:rsidRDefault="00E93B47">
            <w:pPr>
              <w:jc w:val="both"/>
              <w:rPr>
                <w:szCs w:val="24"/>
              </w:rPr>
            </w:pPr>
            <w:r>
              <w:rPr>
                <w:szCs w:val="24"/>
              </w:rPr>
              <w:t>3.9. JP projektų atranka vykdoma kaip tęstinė projektų atranka.</w:t>
            </w:r>
          </w:p>
          <w:p w14:paraId="45AB8622" w14:textId="77777777" w:rsidR="0092645B" w:rsidRDefault="00E93B47">
            <w:pPr>
              <w:jc w:val="both"/>
              <w:rPr>
                <w:b/>
                <w:bCs/>
              </w:rPr>
            </w:pPr>
            <w:r>
              <w:lastRenderedPageBreak/>
              <w:t>3.10. Kvietimus teikti JP projektų paraiškas rengia JP vykdytojas, kvietimai skelbiami interneto svetainėje esinvesticijos.lt ir JP vykdytojo interneto svetainėje (apva.lt).</w:t>
            </w:r>
          </w:p>
          <w:p w14:paraId="60459FD0" w14:textId="77777777" w:rsidR="0092645B" w:rsidRDefault="00E93B47">
            <w:pPr>
              <w:jc w:val="both"/>
              <w:rPr>
                <w:b/>
                <w:bCs/>
              </w:rPr>
            </w:pPr>
            <w:r>
              <w:t xml:space="preserve">3.11. Kvietimas teikti paraiškas baigiamas anksčiau, nei kvietime teikti paraiškas nustatytas terminas, jeigu pagal priimtus sprendimus dėl JP projektų finansavimo ir pateiktas JP projektų paraiškas galima paskirstyti visą kvietimui skirtą finansavimo lėšų sumą, arba kai dėl nepakankamo susidomėjimo kvietimu teikti paraiškas bei pateiktų JP projektų paraiškų kiekio kyla pagrįstų abejonių, kad bus nepanaudotos kvietimui numatytos lėšos. Bet kuriuo atveju paraiškų pateikimo terminas negali būti ilgesnis kaip 2026 m. kovo 30 d. </w:t>
            </w:r>
          </w:p>
          <w:p w14:paraId="6A10EA1E" w14:textId="77777777" w:rsidR="0092645B" w:rsidRDefault="00E93B47">
            <w:pPr>
              <w:jc w:val="both"/>
              <w:rPr>
                <w:color w:val="000000"/>
              </w:rPr>
            </w:pPr>
            <w:r>
              <w:rPr>
                <w:szCs w:val="24"/>
              </w:rPr>
              <w:t xml:space="preserve">3.12. JP projektų paraiškos teikiamos, vertinamos ir atrenkamos vadovaujantis Projektų taisyklių V skyriuje nustatyta tvarka ir JP vykdytojo patvirtintu vidaus procedūrų aprašu. </w:t>
            </w:r>
          </w:p>
          <w:p w14:paraId="25F26EE5" w14:textId="77777777" w:rsidR="0092645B" w:rsidRDefault="00E93B47">
            <w:pPr>
              <w:tabs>
                <w:tab w:val="left" w:pos="447"/>
                <w:tab w:val="left" w:pos="742"/>
                <w:tab w:val="left" w:pos="1025"/>
              </w:tabs>
              <w:spacing w:line="256" w:lineRule="auto"/>
              <w:jc w:val="both"/>
              <w:rPr>
                <w:szCs w:val="24"/>
                <w:lang w:eastAsia="lt-LT"/>
              </w:rPr>
            </w:pPr>
            <w:r>
              <w:rPr>
                <w:color w:val="000000"/>
              </w:rPr>
              <w:t>3.13. Vienoje JP projekto paraiškoje nėra ribojamas transporto priemonių skaičius.</w:t>
            </w:r>
          </w:p>
          <w:p w14:paraId="6095138B" w14:textId="77777777" w:rsidR="0092645B" w:rsidRDefault="00E93B47">
            <w:pPr>
              <w:jc w:val="both"/>
              <w:rPr>
                <w:szCs w:val="24"/>
              </w:rPr>
            </w:pPr>
            <w:r>
              <w:rPr>
                <w:szCs w:val="24"/>
              </w:rPr>
              <w:t>3.14. JP projektas turi atitikti:</w:t>
            </w:r>
          </w:p>
          <w:p w14:paraId="521B98DB" w14:textId="77777777" w:rsidR="0092645B" w:rsidRDefault="00E93B47">
            <w:pPr>
              <w:jc w:val="both"/>
              <w:rPr>
                <w:szCs w:val="24"/>
              </w:rPr>
            </w:pPr>
            <w:r>
              <w:rPr>
                <w:szCs w:val="24"/>
              </w:rPr>
              <w:t>3.14.1. Projektų taisyklių 2 priede nustatytus bendruosius projektų atrankos kriterijus (įskaitant Apraše nurodytus reikalavimus);</w:t>
            </w:r>
          </w:p>
          <w:p w14:paraId="07C3EFD7" w14:textId="77777777" w:rsidR="0092645B" w:rsidRDefault="00E93B47">
            <w:pPr>
              <w:jc w:val="both"/>
              <w:rPr>
                <w:szCs w:val="24"/>
                <w:lang w:eastAsia="lt-LT"/>
              </w:rPr>
            </w:pPr>
            <w:r>
              <w:rPr>
                <w:szCs w:val="24"/>
              </w:rPr>
              <w:t>3.14.2. EGADP</w:t>
            </w:r>
            <w:r>
              <w:rPr>
                <w:szCs w:val="24"/>
                <w:lang w:eastAsia="lt-LT"/>
              </w:rPr>
              <w:t xml:space="preserve"> reformos „</w:t>
            </w:r>
            <w:r>
              <w:rPr>
                <w:szCs w:val="24"/>
                <w:lang w:eastAsia="nl-BE"/>
              </w:rPr>
              <w:t>Judame neteršdami aplinkos“ investicijos tikslą „Parama viešajam sektoriui ir verslo įmonėms, skirta netaršioms transporto priemonėms įsigyti</w:t>
            </w:r>
            <w:r>
              <w:rPr>
                <w:rFonts w:eastAsia="Calibri"/>
                <w:szCs w:val="24"/>
              </w:rPr>
              <w:t>“ ir siekiamą rezultatą „</w:t>
            </w:r>
            <w:r>
              <w:rPr>
                <w:szCs w:val="24"/>
              </w:rPr>
              <w:t>Įsigytų ir Lietuvoje registruotų netaršių transporto priemonių skaičius</w:t>
            </w:r>
            <w:r>
              <w:t>“;</w:t>
            </w:r>
            <w:r>
              <w:rPr>
                <w:szCs w:val="24"/>
                <w:lang w:eastAsia="lt-LT"/>
              </w:rPr>
              <w:t xml:space="preserve"> laikoma, kad JP projektas atitinka šį kriterijų, jeigu JP projektas prisideda prie </w:t>
            </w:r>
            <w:r>
              <w:rPr>
                <w:szCs w:val="24"/>
              </w:rPr>
              <w:t>Nacionalinio pažangos plano</w:t>
            </w:r>
            <w:r>
              <w:rPr>
                <w:szCs w:val="24"/>
                <w:lang w:eastAsia="lt-LT"/>
              </w:rPr>
              <w:t xml:space="preserve"> 6 tikslo „</w:t>
            </w:r>
            <w:r>
              <w:rPr>
                <w:bCs/>
                <w:szCs w:val="24"/>
              </w:rPr>
              <w:t>Užtikrinti gerą aplinkos kokybę ir gamtos išteklių naudojimo darną, saugoti biologinę įvairovę, švelninti Lietuvos poveikį klimato kaitai ir didinti atsparumą jos poveikiui</w:t>
            </w:r>
            <w:r>
              <w:rPr>
                <w:szCs w:val="24"/>
              </w:rPr>
              <w:t xml:space="preserve">“ </w:t>
            </w:r>
            <w:r>
              <w:rPr>
                <w:iCs/>
                <w:szCs w:val="24"/>
              </w:rPr>
              <w:t>6.1 uždavinio „</w:t>
            </w:r>
            <w:r>
              <w:rPr>
                <w:szCs w:val="24"/>
              </w:rPr>
              <w:t>Didinti energijos iš atsinaujinančių energijos išteklių dalį ir alternatyvių degalų vartojimą transporto sektoriuje, skatinti darnų įvairiarūšį judumą ir mažinti transporto sukeliamą aplinkos taršą</w:t>
            </w:r>
            <w:r>
              <w:rPr>
                <w:iCs/>
                <w:szCs w:val="24"/>
              </w:rPr>
              <w:t>“ įgyvendinimo</w:t>
            </w:r>
            <w:r>
              <w:t>.</w:t>
            </w:r>
          </w:p>
          <w:p w14:paraId="02D4BC43" w14:textId="77777777" w:rsidR="0092645B" w:rsidRDefault="00E93B47">
            <w:pPr>
              <w:jc w:val="both"/>
              <w:rPr>
                <w:szCs w:val="24"/>
              </w:rPr>
            </w:pPr>
            <w:r>
              <w:rPr>
                <w:szCs w:val="24"/>
              </w:rPr>
              <w:t>3.15. JP p</w:t>
            </w:r>
            <w:r>
              <w:rPr>
                <w:szCs w:val="24"/>
                <w:lang w:eastAsia="lt-LT"/>
              </w:rPr>
              <w:t>rojekto veiklos turi šalinti Susisiekimo plėtros programoje nustatytą problemos „</w:t>
            </w:r>
            <w:r>
              <w:rPr>
                <w:szCs w:val="24"/>
              </w:rPr>
              <w:t>Transporto sektorius generuoja didžiausią šiltnamio efektą sukeliančių dujų (ŠESD) ir transportui būdingų oro teršalų dalį Lietuvoje“ priežastį – t</w:t>
            </w:r>
            <w:r>
              <w:rPr>
                <w:bCs/>
                <w:szCs w:val="24"/>
              </w:rPr>
              <w:t>rūksta valstybės paskatų naudotis netaršiomis transporto priemonėmis</w:t>
            </w:r>
            <w:r>
              <w:rPr>
                <w:szCs w:val="24"/>
              </w:rPr>
              <w:t>.</w:t>
            </w:r>
          </w:p>
          <w:p w14:paraId="36470FD0" w14:textId="77777777" w:rsidR="0092645B" w:rsidRDefault="00E93B47">
            <w:pPr>
              <w:jc w:val="both"/>
              <w:rPr>
                <w:szCs w:val="24"/>
              </w:rPr>
            </w:pPr>
            <w:r>
              <w:rPr>
                <w:szCs w:val="24"/>
                <w:lang w:eastAsia="lt-LT"/>
              </w:rPr>
              <w:t xml:space="preserve">3.16. JP projektu turi būti prisidedama prie Teritorijos bendrojo plano </w:t>
            </w:r>
            <w:r>
              <w:rPr>
                <w:szCs w:val="24"/>
              </w:rPr>
              <w:t>211 punkte nurodyto sprendinio „Siekiant spartesnio perėjimo prie darnaus judumo, visuotinio oro taršos mažinimo ir ekologinio sąmoningumo, didinti alternatyvių degalų ir elektros energijos naudojimą transporto sektoriuje, kad 2030 m. atsinaujinančių energijos išteklių dalis, palyginti su bendruoju energijos suvartojimu transporto sektoriuje, sudarytų ne mažiau kaip 15 procentų“.</w:t>
            </w:r>
          </w:p>
          <w:p w14:paraId="5F365E41" w14:textId="77777777" w:rsidR="0092645B" w:rsidRDefault="00E93B47">
            <w:pPr>
              <w:jc w:val="both"/>
              <w:rPr>
                <w:szCs w:val="24"/>
                <w:shd w:val="clear" w:color="auto" w:fill="FFFFFF"/>
              </w:rPr>
            </w:pPr>
            <w:r>
              <w:rPr>
                <w:szCs w:val="24"/>
              </w:rPr>
              <w:t xml:space="preserve">3.17. JP projektu turi būti siekiama Apraše nustatyto stebėsenos rodiklio, kurio skaičiavimo aprašas </w:t>
            </w:r>
            <w:r>
              <w:rPr>
                <w:szCs w:val="24"/>
                <w:shd w:val="clear" w:color="auto" w:fill="FFFFFF"/>
              </w:rPr>
              <w:t xml:space="preserve">skelbiamas </w:t>
            </w:r>
            <w:r>
              <w:rPr>
                <w:iCs/>
                <w:szCs w:val="24"/>
              </w:rPr>
              <w:t xml:space="preserve">Europos Sąjungos fondų investicijų interneto svetainėje </w:t>
            </w:r>
            <w:r>
              <w:rPr>
                <w:szCs w:val="24"/>
              </w:rPr>
              <w:t>esinvesticijos.lt</w:t>
            </w:r>
            <w:r>
              <w:rPr>
                <w:szCs w:val="24"/>
                <w:shd w:val="clear" w:color="auto" w:fill="FFFFFF"/>
              </w:rPr>
              <w:t>.</w:t>
            </w:r>
          </w:p>
          <w:p w14:paraId="43CABD3A" w14:textId="77777777" w:rsidR="0092645B" w:rsidRDefault="00E93B47">
            <w:pPr>
              <w:jc w:val="both"/>
              <w:rPr>
                <w:szCs w:val="24"/>
              </w:rPr>
            </w:pPr>
            <w:r>
              <w:rPr>
                <w:szCs w:val="24"/>
                <w:shd w:val="clear" w:color="auto" w:fill="FFFFFF"/>
              </w:rPr>
              <w:t>3.18. </w:t>
            </w:r>
            <w:r>
              <w:rPr>
                <w:szCs w:val="24"/>
              </w:rPr>
              <w:t>Kartu su paraiška JP vykdytojui turi būti pateikti dokumentai / informacija:</w:t>
            </w:r>
          </w:p>
          <w:p w14:paraId="53CA3D33" w14:textId="77777777" w:rsidR="0092645B" w:rsidRDefault="00E93B47">
            <w:pPr>
              <w:tabs>
                <w:tab w:val="left" w:pos="990"/>
              </w:tabs>
              <w:jc w:val="both"/>
            </w:pPr>
            <w:r>
              <w:rPr>
                <w:szCs w:val="24"/>
                <w:lang w:eastAsia="lt-LT"/>
              </w:rPr>
              <w:t>3.18.1.</w:t>
            </w:r>
            <w:r>
              <w:rPr>
                <w:rFonts w:eastAsia="Calibri"/>
                <w:sz w:val="20"/>
                <w:szCs w:val="24"/>
                <w:lang w:eastAsia="lt-LT"/>
              </w:rPr>
              <w:t xml:space="preserve"> </w:t>
            </w:r>
            <w:r>
              <w:rPr>
                <w:szCs w:val="24"/>
                <w:lang w:eastAsia="lt-LT"/>
              </w:rPr>
              <w:t xml:space="preserve">Aprašo 2.8 papunktyje nurodyti transporto priemonės įsigijimą patvirtinantys dokumentai;  </w:t>
            </w:r>
          </w:p>
          <w:p w14:paraId="109AB348" w14:textId="77777777" w:rsidR="0092645B" w:rsidRDefault="00E93B47">
            <w:pPr>
              <w:tabs>
                <w:tab w:val="left" w:pos="990"/>
              </w:tabs>
              <w:jc w:val="both"/>
              <w:rPr>
                <w:szCs w:val="24"/>
                <w:lang w:eastAsia="lt-LT"/>
              </w:rPr>
            </w:pPr>
            <w:r>
              <w:rPr>
                <w:szCs w:val="24"/>
                <w:lang w:eastAsia="lt-LT"/>
              </w:rPr>
              <w:t>3.18.2. </w:t>
            </w:r>
            <w:r>
              <w:rPr>
                <w:color w:val="242424"/>
                <w:szCs w:val="24"/>
                <w:lang w:eastAsia="lt-LT"/>
              </w:rPr>
              <w:t xml:space="preserve">patvirtinimas, kad </w:t>
            </w:r>
            <w:r>
              <w:rPr>
                <w:szCs w:val="24"/>
                <w:lang w:eastAsia="lt-LT"/>
              </w:rPr>
              <w:t>pareiškėjo (juridinio asmens) valdymo organas, turintis teisę priimti sprendimus, yra priėmęs sprendimą pritarti  pareiškėjo teikiamai JP projekto paraiškai;</w:t>
            </w:r>
          </w:p>
          <w:p w14:paraId="19DC9E43" w14:textId="77777777" w:rsidR="0092645B" w:rsidRDefault="00E93B47">
            <w:pPr>
              <w:tabs>
                <w:tab w:val="left" w:pos="990"/>
              </w:tabs>
              <w:jc w:val="both"/>
              <w:rPr>
                <w:szCs w:val="24"/>
                <w:lang w:eastAsia="lt-LT"/>
              </w:rPr>
            </w:pPr>
            <w:r>
              <w:rPr>
                <w:szCs w:val="24"/>
                <w:lang w:eastAsia="lt-LT"/>
              </w:rPr>
              <w:t xml:space="preserve">3.18.3. pareiškėjo </w:t>
            </w:r>
            <w:r>
              <w:rPr>
                <w:color w:val="000000"/>
                <w:szCs w:val="24"/>
                <w:lang w:eastAsia="lt-LT"/>
              </w:rPr>
              <w:t xml:space="preserve">įsipareigojimas nenaudoti įsigytos (-ų)  transporto priemonės (-ių) ūkinei veiklai vykdyti iki Aprašo 11.1 papunktyje nurodyto termino pabaigos. </w:t>
            </w:r>
          </w:p>
          <w:p w14:paraId="3FB0204B" w14:textId="77777777" w:rsidR="0092645B" w:rsidRDefault="00E93B47">
            <w:pPr>
              <w:jc w:val="both"/>
              <w:rPr>
                <w:szCs w:val="24"/>
              </w:rPr>
            </w:pPr>
            <w:r>
              <w:t>3.19. JP projekto paraiška atmetama, jei pateikta pasibaigus kvietime teikti paraiškas nustatytam terminui arba neatitinka bent vieno Projektų taisyklių 2 priede nustatyto bendrojo projektų atrankos kriterijaus, Apraše nustatytų reikalavimų ir (arba) kai, nepateikus su JP projekto paraiška visų Apraše reikalaujamų pateikti dokumentų, tokie dokumentai nėra pateikiami JP vykdytojui vieną kartą paprašius per JP vykdytojo nurodytą terminą.</w:t>
            </w:r>
            <w:r>
              <w:rPr>
                <w:szCs w:val="24"/>
              </w:rPr>
              <w:t xml:space="preserve"> </w:t>
            </w:r>
          </w:p>
        </w:tc>
      </w:tr>
      <w:tr w:rsidR="0092645B" w14:paraId="66D97D26" w14:textId="77777777">
        <w:trPr>
          <w:trHeight w:val="285"/>
        </w:trPr>
        <w:tc>
          <w:tcPr>
            <w:tcW w:w="15276" w:type="dxa"/>
          </w:tcPr>
          <w:p w14:paraId="7093881C" w14:textId="77777777" w:rsidR="0092645B" w:rsidRDefault="00E93B47">
            <w:pPr>
              <w:rPr>
                <w:b/>
                <w:szCs w:val="24"/>
              </w:rPr>
            </w:pPr>
            <w:r>
              <w:rPr>
                <w:b/>
                <w:szCs w:val="24"/>
              </w:rPr>
              <w:lastRenderedPageBreak/>
              <w:t>4. Projekto tikslinės grupės</w:t>
            </w:r>
          </w:p>
        </w:tc>
      </w:tr>
      <w:tr w:rsidR="0092645B" w14:paraId="7E2C7A49" w14:textId="77777777">
        <w:trPr>
          <w:trHeight w:val="285"/>
        </w:trPr>
        <w:tc>
          <w:tcPr>
            <w:tcW w:w="15276" w:type="dxa"/>
          </w:tcPr>
          <w:p w14:paraId="40A3190F" w14:textId="77777777" w:rsidR="0092645B" w:rsidRDefault="0092645B">
            <w:pPr>
              <w:rPr>
                <w:sz w:val="10"/>
                <w:szCs w:val="10"/>
              </w:rPr>
            </w:pPr>
          </w:p>
          <w:p w14:paraId="4C0530C3" w14:textId="77777777" w:rsidR="0092645B" w:rsidRDefault="00E93B47">
            <w:pPr>
              <w:jc w:val="both"/>
              <w:rPr>
                <w:b/>
                <w:szCs w:val="24"/>
              </w:rPr>
            </w:pPr>
            <w:r>
              <w:lastRenderedPageBreak/>
              <w:t xml:space="preserve">Taršias transporto priemones valdantys viešieji juridiniai </w:t>
            </w:r>
            <w:r>
              <w:rPr>
                <w:szCs w:val="24"/>
              </w:rPr>
              <w:t>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92645B" w14:paraId="6A4549E2" w14:textId="77777777">
        <w:trPr>
          <w:trHeight w:val="285"/>
        </w:trPr>
        <w:tc>
          <w:tcPr>
            <w:tcW w:w="15276" w:type="dxa"/>
          </w:tcPr>
          <w:p w14:paraId="0B5C2D5F" w14:textId="77777777" w:rsidR="0092645B" w:rsidRDefault="00E93B47">
            <w:pPr>
              <w:rPr>
                <w:sz w:val="22"/>
                <w:szCs w:val="22"/>
              </w:rPr>
            </w:pPr>
            <w:r>
              <w:rPr>
                <w:b/>
                <w:szCs w:val="24"/>
              </w:rPr>
              <w:lastRenderedPageBreak/>
              <w:t>5. Horizontaliųjų principų (toliau – HP) reikalavimai</w:t>
            </w:r>
          </w:p>
        </w:tc>
      </w:tr>
      <w:tr w:rsidR="0092645B" w14:paraId="5CB0C8FA" w14:textId="77777777">
        <w:tc>
          <w:tcPr>
            <w:tcW w:w="15276" w:type="dxa"/>
          </w:tcPr>
          <w:p w14:paraId="7F306207" w14:textId="77777777" w:rsidR="0092645B" w:rsidRDefault="0092645B">
            <w:pPr>
              <w:rPr>
                <w:sz w:val="10"/>
                <w:szCs w:val="10"/>
              </w:rPr>
            </w:pPr>
          </w:p>
          <w:p w14:paraId="7E2D9B34" w14:textId="77777777" w:rsidR="0092645B" w:rsidRDefault="00E93B47">
            <w:pPr>
              <w:jc w:val="both"/>
            </w:pPr>
            <w:r>
              <w:rPr>
                <w:szCs w:val="24"/>
              </w:rPr>
              <w:t xml:space="preserve">5.1. Pagal Aprašą finansuojama JP veikla ir JP projekto </w:t>
            </w:r>
            <w:r>
              <w:t>veikla:</w:t>
            </w:r>
          </w:p>
          <w:p w14:paraId="36A8130D" w14:textId="77777777" w:rsidR="0092645B" w:rsidRDefault="00E93B47">
            <w:pPr>
              <w:jc w:val="both"/>
            </w:pPr>
            <w:r>
              <w:t>5.1.1.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68EFA89F" w14:textId="77777777" w:rsidR="0092645B" w:rsidRDefault="00E93B47">
            <w:pPr>
              <w:jc w:val="both"/>
            </w:pPr>
            <w:r>
              <w:t>5.1.2.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w:t>
            </w:r>
          </w:p>
          <w:p w14:paraId="4D24BFDE" w14:textId="77777777" w:rsidR="0092645B" w:rsidRDefault="00E93B47">
            <w:pPr>
              <w:jc w:val="both"/>
            </w:pPr>
            <w:r>
              <w:t>5.1.3. tiesiogiai neturės poveikio lygių galimybių visiems HP, nes nėra susijusi su atskirų visuomenės grupių gyvenimo kokybės gerinimu.</w:t>
            </w:r>
          </w:p>
          <w:p w14:paraId="15E174E7" w14:textId="77777777" w:rsidR="0092645B" w:rsidRDefault="00E93B47">
            <w:pPr>
              <w:jc w:val="both"/>
              <w:rPr>
                <w:szCs w:val="24"/>
              </w:rPr>
            </w:pPr>
            <w:r>
              <w:rPr>
                <w:szCs w:val="24"/>
              </w:rPr>
              <w:t>5.2.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w:t>
            </w:r>
            <w:r>
              <w:rPr>
                <w:szCs w:val="24"/>
                <w:shd w:val="clear" w:color="auto" w:fill="FFFFFF"/>
                <w:lang w:eastAsia="lt-LT"/>
              </w:rPr>
              <w:t xml:space="preserve"> atsižvelgiama į Jungtinių Tautų neįgaliųjų teisių konvencijos nuostatas</w:t>
            </w:r>
            <w:r>
              <w:rPr>
                <w:szCs w:val="24"/>
              </w:rPr>
              <w:t>. Neturi būti numatyta projekto įgyvendinimo veiksmų, kurie turėtų neigiamą poveikį įgyvendinant HP.</w:t>
            </w:r>
          </w:p>
          <w:p w14:paraId="054E7FD0" w14:textId="77777777" w:rsidR="0092645B" w:rsidRDefault="00E93B47">
            <w:pPr>
              <w:jc w:val="both"/>
              <w:rPr>
                <w:rFonts w:eastAsia="Calibri"/>
                <w:bCs/>
                <w:szCs w:val="24"/>
              </w:rPr>
            </w:pPr>
            <w:r>
              <w:t>JP ir JP projekto įgyvendinimo metu turi būti laikomasi klimato ir aplinkos apsaugos standartų,</w:t>
            </w:r>
            <w:r>
              <w:rPr>
                <w:szCs w:val="24"/>
                <w:shd w:val="clear" w:color="auto" w:fill="FFFFFF"/>
                <w:lang w:eastAsia="lt-LT"/>
              </w:rPr>
              <w:t xml:space="preserve"> atsižvelgiant į Sutarties dėl Europos Sąjungos veikimo </w:t>
            </w:r>
            <w:r>
              <w:rPr>
                <w:szCs w:val="24"/>
                <w:shd w:val="clear" w:color="auto" w:fill="FFFFFF"/>
                <w:lang w:eastAsia="lt-LT"/>
              </w:rPr>
              <w:br/>
              <w:t xml:space="preserve">11 straipsnį, Jungtinių Tautų darnaus vystymosi tikslus, Jungtinių Tautų bendrosios klimato kaitos konvencijos Paryžiaus susitarimą. Jokia projekto veikla neturi būti daroma reikšmingos žalos </w:t>
            </w:r>
            <w:r>
              <w:rPr>
                <w:rFonts w:eastAsia="Calibri"/>
                <w:bCs/>
                <w:szCs w:val="24"/>
              </w:rPr>
              <w:t>6 aplinkos tikslams, nurodytiems 2020 m. birželio 18 d. Europos Parlamento ir Tarybos reglamento (ES) 2020/852 dėl sistemos tvariam investavimui palengvinti sukūrimo, kuriuo iš dalies keičiamas Reglamentas (ES) 2019/2088, 17 straipsnyje.</w:t>
            </w:r>
          </w:p>
          <w:p w14:paraId="2F8A0363" w14:textId="77777777" w:rsidR="0092645B" w:rsidRDefault="00E93B47">
            <w:pPr>
              <w:jc w:val="both"/>
              <w:rPr>
                <w:i/>
                <w:iCs/>
                <w:szCs w:val="24"/>
              </w:rPr>
            </w:pPr>
            <w:r>
              <w:rPr>
                <w:rFonts w:eastAsia="Calibri"/>
                <w:szCs w:val="24"/>
              </w:rPr>
              <w:t xml:space="preserve">5.3. </w:t>
            </w:r>
            <w:r>
              <w:t xml:space="preserve"> JP projektai turi atitikti reikšmingos žalos nedarymo horizontaliuosius principus, aprašytus Aprašo  priede.</w:t>
            </w:r>
          </w:p>
        </w:tc>
      </w:tr>
      <w:tr w:rsidR="0092645B" w14:paraId="7712B971" w14:textId="77777777">
        <w:tc>
          <w:tcPr>
            <w:tcW w:w="15276" w:type="dxa"/>
          </w:tcPr>
          <w:p w14:paraId="051AFAC3" w14:textId="77777777" w:rsidR="0092645B" w:rsidRDefault="00E93B47">
            <w:pPr>
              <w:spacing w:line="259" w:lineRule="auto"/>
              <w:jc w:val="both"/>
              <w:rPr>
                <w:b/>
                <w:iCs/>
                <w:szCs w:val="24"/>
              </w:rPr>
            </w:pPr>
            <w:r>
              <w:rPr>
                <w:b/>
                <w:iCs/>
                <w:szCs w:val="24"/>
              </w:rPr>
              <w:t>6.  Europos Sąjungos pagrindinių teisių chartijos (toliau – Chartija) reikalavimai</w:t>
            </w:r>
          </w:p>
        </w:tc>
      </w:tr>
      <w:tr w:rsidR="0092645B" w14:paraId="2B4400BC" w14:textId="77777777">
        <w:tc>
          <w:tcPr>
            <w:tcW w:w="15276" w:type="dxa"/>
          </w:tcPr>
          <w:p w14:paraId="24612381" w14:textId="77777777" w:rsidR="0092645B" w:rsidRDefault="0092645B">
            <w:pPr>
              <w:rPr>
                <w:sz w:val="10"/>
                <w:szCs w:val="10"/>
              </w:rPr>
            </w:pPr>
          </w:p>
          <w:p w14:paraId="3D9BE4A7" w14:textId="77777777" w:rsidR="0092645B" w:rsidRDefault="00E93B47">
            <w:pPr>
              <w:jc w:val="both"/>
              <w:rPr>
                <w:color w:val="000000"/>
                <w:szCs w:val="24"/>
              </w:rPr>
            </w:pPr>
            <w:r>
              <w:rPr>
                <w:color w:val="000000"/>
                <w:szCs w:val="24"/>
              </w:rPr>
              <w:t>Pagal Aprašą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209FBDE0" w14:textId="77777777" w:rsidR="0092645B" w:rsidRDefault="00E93B47">
            <w:pPr>
              <w:jc w:val="both"/>
              <w:rPr>
                <w:i/>
                <w:iCs/>
                <w:szCs w:val="24"/>
              </w:rPr>
            </w:pPr>
            <w:r>
              <w:rPr>
                <w:szCs w:val="24"/>
              </w:rPr>
              <w:t>Įgyvendinant veiklą negali būti pažeista</w:t>
            </w:r>
            <w:r>
              <w:rPr>
                <w:color w:val="000000"/>
                <w:szCs w:val="24"/>
                <w:shd w:val="clear" w:color="auto" w:fill="FFFFFF"/>
              </w:rPr>
              <w:t xml:space="preserve"> Chartijoje įtvirtinta teisė į nuosavybę.</w:t>
            </w:r>
          </w:p>
        </w:tc>
      </w:tr>
      <w:tr w:rsidR="0092645B" w14:paraId="39BA7B7C" w14:textId="77777777">
        <w:tc>
          <w:tcPr>
            <w:tcW w:w="15276" w:type="dxa"/>
          </w:tcPr>
          <w:p w14:paraId="6ADCF546" w14:textId="77777777" w:rsidR="0092645B" w:rsidRDefault="00E93B47">
            <w:pPr>
              <w:rPr>
                <w:b/>
                <w:szCs w:val="24"/>
              </w:rPr>
            </w:pPr>
            <w:r>
              <w:rPr>
                <w:b/>
                <w:szCs w:val="24"/>
              </w:rPr>
              <w:t>7. Apskritis, kurioje gali būti įgyvendinami projektai</w:t>
            </w:r>
          </w:p>
        </w:tc>
      </w:tr>
      <w:tr w:rsidR="0092645B" w14:paraId="05078625" w14:textId="77777777">
        <w:tc>
          <w:tcPr>
            <w:tcW w:w="15276" w:type="dxa"/>
          </w:tcPr>
          <w:p w14:paraId="42202408" w14:textId="77777777" w:rsidR="0092645B" w:rsidRDefault="0092645B">
            <w:pPr>
              <w:rPr>
                <w:sz w:val="10"/>
                <w:szCs w:val="10"/>
              </w:rPr>
            </w:pPr>
          </w:p>
          <w:p w14:paraId="66131488" w14:textId="77777777" w:rsidR="0092645B" w:rsidRDefault="00E93B47">
            <w:pPr>
              <w:jc w:val="both"/>
              <w:rPr>
                <w:i/>
                <w:szCs w:val="24"/>
              </w:rPr>
            </w:pPr>
            <w:r>
              <w:rPr>
                <w:szCs w:val="24"/>
              </w:rPr>
              <w:t>Netaikomas.</w:t>
            </w:r>
          </w:p>
        </w:tc>
      </w:tr>
    </w:tbl>
    <w:p w14:paraId="0CB1D9AA" w14:textId="77777777" w:rsidR="0092645B" w:rsidRDefault="00E93B47">
      <w:r>
        <w:br w:type="page"/>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6"/>
      </w:tblGrid>
      <w:tr w:rsidR="0092645B" w14:paraId="4F15C27C" w14:textId="77777777">
        <w:tc>
          <w:tcPr>
            <w:tcW w:w="15276" w:type="dxa"/>
          </w:tcPr>
          <w:p w14:paraId="1DF80648" w14:textId="77777777" w:rsidR="0092645B" w:rsidRDefault="00E93B47">
            <w:pPr>
              <w:jc w:val="both"/>
              <w:rPr>
                <w:b/>
                <w:szCs w:val="24"/>
              </w:rPr>
            </w:pPr>
            <w:r>
              <w:rPr>
                <w:b/>
                <w:szCs w:val="24"/>
              </w:rPr>
              <w:lastRenderedPageBreak/>
              <w:t xml:space="preserve">8. Reikalavimai valstybės pagalbai </w:t>
            </w:r>
          </w:p>
        </w:tc>
      </w:tr>
      <w:tr w:rsidR="0092645B" w14:paraId="4C21B39C" w14:textId="77777777">
        <w:tc>
          <w:tcPr>
            <w:tcW w:w="15276" w:type="dxa"/>
          </w:tcPr>
          <w:p w14:paraId="10D2F015" w14:textId="77777777" w:rsidR="0092645B" w:rsidRDefault="0092645B">
            <w:pPr>
              <w:rPr>
                <w:sz w:val="10"/>
                <w:szCs w:val="10"/>
              </w:rPr>
            </w:pPr>
          </w:p>
          <w:p w14:paraId="075111BA" w14:textId="77777777" w:rsidR="0092645B" w:rsidRDefault="00E93B47">
            <w:pPr>
              <w:jc w:val="both"/>
            </w:pPr>
            <w:r>
              <w:rPr>
                <w:szCs w:val="24"/>
                <w:lang w:eastAsia="lt-LT"/>
              </w:rPr>
              <w:t xml:space="preserve">Pagal Aprašą Aprašo 2.2 papunktyje nurodytai veiklai valstybės pagalba, kaip ji apibrėžta Sutarties dėl Europos Sąjungos veikimo 107 straipsnyje, ir </w:t>
            </w:r>
            <w:r>
              <w:rPr>
                <w:i/>
                <w:iCs/>
                <w:szCs w:val="24"/>
                <w:lang w:eastAsia="lt-LT"/>
              </w:rPr>
              <w:t>de minimis</w:t>
            </w:r>
            <w:r>
              <w:rPr>
                <w:szCs w:val="24"/>
                <w:lang w:eastAsia="lt-LT"/>
              </w:rPr>
              <w:t xml:space="preserve"> pagalba, kuri atitinka 2013 m. gruodžio 18 d. Komisijos reglamento (ES) Nr. 1407/2013 dėl Sutarties dėl Europos Sąjungos veikimo 107 ir 108 straipsnių taikymo </w:t>
            </w:r>
            <w:r>
              <w:rPr>
                <w:i/>
                <w:iCs/>
                <w:szCs w:val="24"/>
                <w:lang w:eastAsia="lt-LT"/>
              </w:rPr>
              <w:t>de minimis</w:t>
            </w:r>
            <w:r>
              <w:rPr>
                <w:szCs w:val="24"/>
                <w:lang w:eastAsia="lt-LT"/>
              </w:rPr>
              <w:t xml:space="preserve"> pagalbai su visais pakeitimais nuostatas, neteikiama.</w:t>
            </w:r>
          </w:p>
        </w:tc>
      </w:tr>
      <w:tr w:rsidR="0092645B" w14:paraId="0A688873" w14:textId="77777777">
        <w:tc>
          <w:tcPr>
            <w:tcW w:w="15276" w:type="dxa"/>
          </w:tcPr>
          <w:p w14:paraId="43F43380" w14:textId="77777777" w:rsidR="0092645B" w:rsidRDefault="00E93B47">
            <w:pPr>
              <w:ind w:left="426" w:hanging="426"/>
              <w:jc w:val="both"/>
              <w:rPr>
                <w:i/>
                <w:szCs w:val="24"/>
              </w:rPr>
            </w:pPr>
            <w:r>
              <w:rPr>
                <w:b/>
                <w:szCs w:val="24"/>
              </w:rPr>
              <w:t>9. Projektų atrankos kriterijai</w:t>
            </w:r>
          </w:p>
        </w:tc>
      </w:tr>
      <w:tr w:rsidR="0092645B" w14:paraId="437C2DA5" w14:textId="77777777">
        <w:trPr>
          <w:trHeight w:val="455"/>
        </w:trPr>
        <w:tc>
          <w:tcPr>
            <w:tcW w:w="15276" w:type="dxa"/>
          </w:tcPr>
          <w:p w14:paraId="67475A2C" w14:textId="77777777" w:rsidR="0092645B" w:rsidRDefault="0092645B">
            <w:pPr>
              <w:rPr>
                <w:sz w:val="10"/>
                <w:szCs w:val="10"/>
              </w:rPr>
            </w:pPr>
          </w:p>
          <w:p w14:paraId="375B453E" w14:textId="77777777" w:rsidR="0092645B" w:rsidRDefault="00E93B47">
            <w:pPr>
              <w:jc w:val="both"/>
              <w:rPr>
                <w:i/>
                <w:sz w:val="22"/>
                <w:szCs w:val="22"/>
              </w:rPr>
            </w:pPr>
            <w:r>
              <w:t>Projektų specialieji ir (arba) prioritetiniai atrankos kriterijai netaikomi.</w:t>
            </w:r>
          </w:p>
        </w:tc>
      </w:tr>
      <w:tr w:rsidR="0092645B" w14:paraId="48CE8128" w14:textId="77777777">
        <w:trPr>
          <w:trHeight w:val="309"/>
        </w:trPr>
        <w:tc>
          <w:tcPr>
            <w:tcW w:w="15276" w:type="dxa"/>
          </w:tcPr>
          <w:p w14:paraId="0DEFEFC8" w14:textId="77777777" w:rsidR="0092645B" w:rsidRDefault="00E93B47">
            <w:pPr>
              <w:jc w:val="both"/>
              <w:rPr>
                <w:i/>
                <w:sz w:val="22"/>
                <w:szCs w:val="22"/>
              </w:rPr>
            </w:pPr>
            <w:r>
              <w:rPr>
                <w:b/>
                <w:szCs w:val="22"/>
              </w:rPr>
              <w:t>10. Jungtinio projekto projektų atrankos kriterijai</w:t>
            </w:r>
          </w:p>
        </w:tc>
      </w:tr>
      <w:tr w:rsidR="0092645B" w14:paraId="4F9ABCBD" w14:textId="77777777">
        <w:trPr>
          <w:trHeight w:val="429"/>
        </w:trPr>
        <w:tc>
          <w:tcPr>
            <w:tcW w:w="15276" w:type="dxa"/>
          </w:tcPr>
          <w:p w14:paraId="353DA988" w14:textId="77777777" w:rsidR="0092645B" w:rsidRDefault="0092645B">
            <w:pPr>
              <w:rPr>
                <w:sz w:val="10"/>
                <w:szCs w:val="10"/>
              </w:rPr>
            </w:pPr>
          </w:p>
          <w:p w14:paraId="199DA39F" w14:textId="77777777" w:rsidR="0092645B" w:rsidRDefault="00E93B47">
            <w:pPr>
              <w:jc w:val="both"/>
              <w:rPr>
                <w:iCs/>
                <w:sz w:val="22"/>
                <w:szCs w:val="22"/>
              </w:rPr>
            </w:pPr>
            <w:r>
              <w:t>Projektų specialieji ir (arba) prioritetiniai atrankos kriterijai netaikomi.</w:t>
            </w:r>
          </w:p>
        </w:tc>
      </w:tr>
      <w:tr w:rsidR="0092645B" w14:paraId="17C9ADF5" w14:textId="77777777">
        <w:trPr>
          <w:trHeight w:val="275"/>
        </w:trPr>
        <w:tc>
          <w:tcPr>
            <w:tcW w:w="15276" w:type="dxa"/>
          </w:tcPr>
          <w:p w14:paraId="7E477E6A" w14:textId="77777777" w:rsidR="0092645B" w:rsidRDefault="00E93B47">
            <w:pPr>
              <w:rPr>
                <w:b/>
                <w:szCs w:val="24"/>
              </w:rPr>
            </w:pPr>
            <w:r>
              <w:rPr>
                <w:b/>
                <w:szCs w:val="24"/>
              </w:rPr>
              <w:t xml:space="preserve">11. Reikalavimai įgyvendinus projektų veiklas </w:t>
            </w:r>
          </w:p>
        </w:tc>
      </w:tr>
      <w:tr w:rsidR="0092645B" w14:paraId="2F40D030" w14:textId="77777777">
        <w:tc>
          <w:tcPr>
            <w:tcW w:w="15276" w:type="dxa"/>
          </w:tcPr>
          <w:p w14:paraId="2F2356D0" w14:textId="77777777" w:rsidR="0092645B" w:rsidRDefault="0092645B">
            <w:pPr>
              <w:rPr>
                <w:sz w:val="10"/>
                <w:szCs w:val="10"/>
              </w:rPr>
            </w:pPr>
          </w:p>
          <w:p w14:paraId="79C635FC" w14:textId="77777777" w:rsidR="0092645B" w:rsidRDefault="00E93B47">
            <w:pPr>
              <w:tabs>
                <w:tab w:val="left" w:pos="599"/>
              </w:tabs>
              <w:jc w:val="both"/>
              <w:rPr>
                <w:szCs w:val="24"/>
              </w:rPr>
            </w:pPr>
            <w:r>
              <w:rPr>
                <w:szCs w:val="24"/>
                <w:lang w:eastAsia="lt-LT"/>
              </w:rPr>
              <w:t>11.1. </w:t>
            </w:r>
            <w:r>
              <w:rPr>
                <w:color w:val="000000"/>
                <w:szCs w:val="24"/>
              </w:rPr>
              <w:t>Po JP projekto finansavimo pabaigos 5 (penkerius) metus turi būti užtikrintas investicijų tęstinumas Projektų taisyklių IV skyriaus dešimtajame skirsnyje nustatyta tvarka.</w:t>
            </w:r>
          </w:p>
          <w:p w14:paraId="44120F3D" w14:textId="77777777" w:rsidR="0092645B" w:rsidRDefault="00E93B47">
            <w:pPr>
              <w:jc w:val="both"/>
              <w:rPr>
                <w:color w:val="232323"/>
              </w:rPr>
            </w:pPr>
            <w:r>
              <w:rPr>
                <w:szCs w:val="24"/>
              </w:rPr>
              <w:t>11.2. </w:t>
            </w:r>
            <w:r>
              <w:t>Pareiškėjas</w:t>
            </w:r>
            <w:r>
              <w:rPr>
                <w:szCs w:val="24"/>
              </w:rPr>
              <w:t xml:space="preserve"> </w:t>
            </w:r>
            <w:r>
              <w:rPr>
                <w:color w:val="232323"/>
              </w:rPr>
              <w:t>turi užtikrinti,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03DF7965" w14:textId="77777777" w:rsidR="0092645B" w:rsidRDefault="00E93B47">
            <w:pPr>
              <w:jc w:val="both"/>
              <w:rPr>
                <w:i/>
                <w:szCs w:val="24"/>
              </w:rPr>
            </w:pPr>
            <w:r>
              <w:rPr>
                <w:color w:val="232323"/>
              </w:rPr>
              <w:t>11.3. P</w:t>
            </w:r>
            <w:r>
              <w:rPr>
                <w:szCs w:val="24"/>
              </w:rPr>
              <w:t>areiškėjas įsipareigoja be JP vykdytojo sutikimo neparduoti ar kitaip neperleisti kitam fiziniam ar juridiniam asmeniui transporto priemonės, už kurią skirta kompensacija, mažiausiai 5 (penkerius) metus nuo kompensacijos sumokėjimo datos.</w:t>
            </w:r>
            <w:r>
              <w:rPr>
                <w:color w:val="000000"/>
                <w:szCs w:val="24"/>
              </w:rPr>
              <w:t xml:space="preserve"> </w:t>
            </w:r>
          </w:p>
        </w:tc>
      </w:tr>
      <w:tr w:rsidR="0092645B" w14:paraId="0E358750" w14:textId="77777777">
        <w:tc>
          <w:tcPr>
            <w:tcW w:w="15276" w:type="dxa"/>
          </w:tcPr>
          <w:p w14:paraId="647F99A0" w14:textId="77777777" w:rsidR="0092645B" w:rsidRDefault="00E93B47">
            <w:pPr>
              <w:rPr>
                <w:szCs w:val="24"/>
              </w:rPr>
            </w:pPr>
            <w:r>
              <w:rPr>
                <w:b/>
                <w:szCs w:val="24"/>
              </w:rPr>
              <w:t>12. Kiti reikalavimai</w:t>
            </w:r>
          </w:p>
        </w:tc>
      </w:tr>
      <w:tr w:rsidR="0092645B" w14:paraId="2689228C" w14:textId="77777777">
        <w:tc>
          <w:tcPr>
            <w:tcW w:w="15276" w:type="dxa"/>
          </w:tcPr>
          <w:p w14:paraId="3694C907" w14:textId="77777777" w:rsidR="0092645B" w:rsidRDefault="00E93B47">
            <w:pPr>
              <w:tabs>
                <w:tab w:val="left" w:pos="1134"/>
              </w:tabs>
              <w:jc w:val="both"/>
              <w:rPr>
                <w:szCs w:val="24"/>
              </w:rPr>
            </w:pPr>
            <w:r>
              <w:rPr>
                <w:szCs w:val="24"/>
              </w:rPr>
              <w:t>12.1.</w:t>
            </w:r>
            <w:r>
              <w:t xml:space="preserve"> </w:t>
            </w:r>
            <w:r>
              <w:rPr>
                <w:szCs w:val="24"/>
              </w:rPr>
              <w:t>Įgyvendinant JP, kurio vertė viršija 10 000 000 (dešimt milijonų) eurų, papildomai JP vykdytojas turi surengti ne mažiau kaip vieną komunikacinį renginį ar įgyvendinti kitą komunikacinę veiklą, į kuriuos laiku (prieš 2, 3 mėn.) būtų pakviesti ar įtraukti Europos Komisijos ir vadovaujančiosios institucijos atstovai</w:t>
            </w:r>
            <w:r>
              <w:rPr>
                <w:rFonts w:ascii="Segoe UI" w:hAnsi="Segoe UI" w:cs="Segoe UI"/>
                <w:sz w:val="18"/>
                <w:szCs w:val="18"/>
              </w:rPr>
              <w:t>.</w:t>
            </w:r>
            <w:r>
              <w:rPr>
                <w:szCs w:val="24"/>
              </w:rPr>
              <w:t> </w:t>
            </w:r>
          </w:p>
          <w:p w14:paraId="04F0D788" w14:textId="77777777" w:rsidR="0092645B" w:rsidRDefault="00E93B47">
            <w:pPr>
              <w:tabs>
                <w:tab w:val="left" w:pos="1134"/>
              </w:tabs>
              <w:jc w:val="both"/>
              <w:rPr>
                <w:rFonts w:ascii="Arial" w:hAnsi="Arial" w:cs="Arial"/>
                <w:sz w:val="20"/>
              </w:rPr>
            </w:pPr>
            <w:r>
              <w:rPr>
                <w:szCs w:val="24"/>
              </w:rPr>
              <w:t xml:space="preserve">12.2. </w:t>
            </w:r>
            <w:r>
              <w:rPr>
                <w:color w:val="000000"/>
                <w:szCs w:val="24"/>
              </w:rPr>
              <w:t>Nustačius, kad pareiškėjas pateikė klaidingą ir (ar) melagingą informaciją ir (ar) nesilaikė Apraše nustatytų reikalavimų, išskyrus atvejus, kai transporto priemonė per eismo įvykį ar dėl nenumatytų aplinkybių ir (ar) nenugalimos jėgos buvo sugadinta nepataisomai, pareiškėjas JP vykdytojo nustatyta tvarka privalo grąžinti kompensaciją.</w:t>
            </w:r>
          </w:p>
        </w:tc>
      </w:tr>
      <w:tr w:rsidR="0092645B" w14:paraId="568D5EC8" w14:textId="77777777">
        <w:tc>
          <w:tcPr>
            <w:tcW w:w="15276" w:type="dxa"/>
          </w:tcPr>
          <w:p w14:paraId="75FF19CA" w14:textId="77777777" w:rsidR="0092645B" w:rsidRDefault="00E93B47">
            <w:pPr>
              <w:rPr>
                <w:b/>
                <w:szCs w:val="24"/>
              </w:rPr>
            </w:pPr>
            <w:r>
              <w:rPr>
                <w:b/>
                <w:szCs w:val="24"/>
              </w:rPr>
              <w:t>IŠLAIDŲ TINKAMUMO FINANSUOTI REIKALAVIMAI</w:t>
            </w:r>
          </w:p>
        </w:tc>
      </w:tr>
      <w:tr w:rsidR="0092645B" w14:paraId="4A057465" w14:textId="77777777">
        <w:tc>
          <w:tcPr>
            <w:tcW w:w="15276" w:type="dxa"/>
          </w:tcPr>
          <w:p w14:paraId="0879F700" w14:textId="77777777" w:rsidR="0092645B" w:rsidRDefault="00E93B47">
            <w:pPr>
              <w:jc w:val="both"/>
              <w:rPr>
                <w:b/>
                <w:szCs w:val="24"/>
              </w:rPr>
            </w:pPr>
            <w:r>
              <w:rPr>
                <w:b/>
                <w:szCs w:val="24"/>
              </w:rPr>
              <w:t>13. Išlaidų tinkamumo finansuoti reikalavimai</w:t>
            </w:r>
          </w:p>
        </w:tc>
      </w:tr>
      <w:tr w:rsidR="0092645B" w14:paraId="61EFCFCD" w14:textId="77777777">
        <w:tc>
          <w:tcPr>
            <w:tcW w:w="15276" w:type="dxa"/>
          </w:tcPr>
          <w:p w14:paraId="4E4F25C6" w14:textId="77777777" w:rsidR="0092645B" w:rsidRDefault="0092645B">
            <w:pPr>
              <w:rPr>
                <w:sz w:val="10"/>
                <w:szCs w:val="10"/>
              </w:rPr>
            </w:pPr>
          </w:p>
          <w:p w14:paraId="4D690A06" w14:textId="77777777" w:rsidR="0092645B" w:rsidRDefault="00E93B47">
            <w:pPr>
              <w:jc w:val="both"/>
            </w:pPr>
            <w:r>
              <w:t xml:space="preserve">13.1. Tinkamos finansuoti </w:t>
            </w:r>
            <w:r>
              <w:rPr>
                <w:color w:val="000000"/>
              </w:rPr>
              <w:t>JP vykdytojo išlaidos ir tinkamos finansuoti JP projekto išlaidos</w:t>
            </w:r>
            <w:r>
              <w:t xml:space="preserve"> turi atitikti Projektų taisyklių VII skyriuje išdėstytus projekto išlaidoms taikomus reikalavimus.</w:t>
            </w:r>
          </w:p>
          <w:p w14:paraId="51B27400" w14:textId="77777777" w:rsidR="0092645B" w:rsidRDefault="00E93B47">
            <w:pPr>
              <w:jc w:val="both"/>
            </w:pPr>
            <w:r>
              <w:rPr>
                <w:color w:val="000000"/>
                <w:spacing w:val="2"/>
                <w:szCs w:val="24"/>
                <w:shd w:val="clear" w:color="auto" w:fill="FFFFFF"/>
              </w:rPr>
              <w:t xml:space="preserve">13.2. Tinkama transporto priemonė kompensacijai gauti yra ta, kurios registracijos liudijimo laukelyje „P.3 Degalų tipas arba galios šaltinis“ nurodyta tik elektra arba elektra / vandenilis. </w:t>
            </w:r>
          </w:p>
          <w:p w14:paraId="46190C73" w14:textId="77777777" w:rsidR="0092645B" w:rsidRDefault="00E93B47">
            <w:pPr>
              <w:tabs>
                <w:tab w:val="left" w:pos="739"/>
              </w:tabs>
              <w:ind w:hanging="12"/>
              <w:jc w:val="both"/>
              <w:rPr>
                <w:szCs w:val="24"/>
              </w:rPr>
            </w:pPr>
            <w:r>
              <w:rPr>
                <w:szCs w:val="24"/>
              </w:rPr>
              <w:t>13.3. JP vykdytojo prašymu išankstiniai (avansiniai) mokėjimai gali būti atliekami Projektų taisyklėse numatyta tvarka.</w:t>
            </w:r>
          </w:p>
          <w:p w14:paraId="49FF798F" w14:textId="77777777" w:rsidR="0092645B" w:rsidRDefault="00E93B47">
            <w:pPr>
              <w:tabs>
                <w:tab w:val="left" w:pos="739"/>
              </w:tabs>
              <w:ind w:hanging="12"/>
              <w:jc w:val="both"/>
              <w:rPr>
                <w:color w:val="000000"/>
              </w:rPr>
            </w:pPr>
            <w:r>
              <w:rPr>
                <w:szCs w:val="24"/>
              </w:rPr>
              <w:t>13.5. </w:t>
            </w:r>
            <w:r>
              <w:rPr>
                <w:color w:val="000000"/>
              </w:rPr>
              <w:t>Tinkamos kompensuoti JP projekto išlaidos turi būti patirtos ir apmokėtos pareiškėjo ne vėliau kaip iki kvietimo termino pabaigos ir atitikti Tyrime nustatytas fiksuotuosius vieneto įkainius sudarančias išlaidų kategorijas.</w:t>
            </w:r>
          </w:p>
          <w:p w14:paraId="68E73E5C" w14:textId="77777777" w:rsidR="0092645B" w:rsidRDefault="00E93B47">
            <w:pPr>
              <w:jc w:val="both"/>
              <w:rPr>
                <w:color w:val="000000"/>
              </w:rPr>
            </w:pPr>
            <w:r>
              <w:rPr>
                <w:color w:val="000000"/>
              </w:rPr>
              <w:lastRenderedPageBreak/>
              <w:t>13.6. JP projekto finansavimo, mokėjimų prašymų teikimo, atsiskaitymo detalius reikalavimus, kurie nedetalizuoti Projektų taisyklėse, nustato JP vykdytojas kvietime teikti paraiškas.</w:t>
            </w:r>
          </w:p>
          <w:p w14:paraId="0A504058" w14:textId="77777777" w:rsidR="0092645B" w:rsidRDefault="00E93B47">
            <w:pPr>
              <w:jc w:val="both"/>
              <w:rPr>
                <w:color w:val="000000"/>
              </w:rPr>
            </w:pPr>
            <w:r>
              <w:rPr>
                <w:color w:val="000000"/>
              </w:rPr>
              <w:t xml:space="preserve">13.7. Pagal Aprašą pridėtinės vertės mokestis nefinansuojamas. </w:t>
            </w:r>
          </w:p>
          <w:p w14:paraId="43C1192E" w14:textId="77777777" w:rsidR="0092645B" w:rsidRDefault="00E93B47">
            <w:pPr>
              <w:jc w:val="both"/>
              <w:rPr>
                <w:b/>
                <w:color w:val="4472C4"/>
                <w:sz w:val="22"/>
                <w:szCs w:val="22"/>
              </w:rPr>
            </w:pPr>
            <w:r>
              <w:rPr>
                <w:szCs w:val="24"/>
              </w:rPr>
              <w:t>13.8. </w:t>
            </w:r>
            <w:r>
              <w:rPr>
                <w:szCs w:val="24"/>
                <w:lang w:eastAsia="lt-LT"/>
              </w:rPr>
              <w:t>Pagal Aprašą kryžminis finansavimas netaikomas.</w:t>
            </w:r>
          </w:p>
        </w:tc>
      </w:tr>
      <w:tr w:rsidR="0092645B" w14:paraId="57C3110C" w14:textId="77777777">
        <w:trPr>
          <w:trHeight w:val="349"/>
        </w:trPr>
        <w:tc>
          <w:tcPr>
            <w:tcW w:w="15276" w:type="dxa"/>
          </w:tcPr>
          <w:p w14:paraId="4803E05C" w14:textId="77777777" w:rsidR="0092645B" w:rsidRDefault="00E93B47">
            <w:pPr>
              <w:jc w:val="both"/>
              <w:rPr>
                <w:szCs w:val="24"/>
                <w:highlight w:val="green"/>
              </w:rPr>
            </w:pPr>
            <w:r>
              <w:rPr>
                <w:b/>
                <w:szCs w:val="24"/>
              </w:rPr>
              <w:lastRenderedPageBreak/>
              <w:t>14. Projektų veiklų ir jungtinio projekto projektų įgyvendinimui taikomi supaprastintai apmokamų išlaidų dydžiai</w:t>
            </w:r>
          </w:p>
        </w:tc>
      </w:tr>
      <w:tr w:rsidR="0092645B" w14:paraId="3FF46255" w14:textId="77777777">
        <w:tc>
          <w:tcPr>
            <w:tcW w:w="15276" w:type="dxa"/>
          </w:tcPr>
          <w:p w14:paraId="7171DB37" w14:textId="77777777" w:rsidR="0092645B" w:rsidRDefault="0092645B">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2"/>
              <w:gridCol w:w="1843"/>
              <w:gridCol w:w="1701"/>
              <w:gridCol w:w="3118"/>
              <w:gridCol w:w="2095"/>
            </w:tblGrid>
            <w:tr w:rsidR="0092645B" w14:paraId="5257992A" w14:textId="77777777">
              <w:tc>
                <w:tcPr>
                  <w:tcW w:w="14449" w:type="dxa"/>
                  <w:gridSpan w:val="5"/>
                  <w:tcBorders>
                    <w:top w:val="single" w:sz="8" w:space="0" w:color="auto"/>
                    <w:left w:val="single" w:sz="8" w:space="0" w:color="auto"/>
                    <w:bottom w:val="single" w:sz="8" w:space="0" w:color="auto"/>
                    <w:right w:val="single" w:sz="8" w:space="0" w:color="auto"/>
                  </w:tcBorders>
                </w:tcPr>
                <w:p w14:paraId="37F3AF5D" w14:textId="77777777" w:rsidR="0092645B" w:rsidRDefault="00E93B47">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A9B494C" w14:textId="77777777" w:rsidR="0092645B" w:rsidRDefault="00E93B47">
                  <w:pPr>
                    <w:jc w:val="both"/>
                    <w:rPr>
                      <w:b/>
                      <w:bCs/>
                      <w:sz w:val="22"/>
                      <w:szCs w:val="22"/>
                    </w:rPr>
                  </w:pPr>
                  <w:r>
                    <w:rPr>
                      <w:b/>
                      <w:bCs/>
                      <w:sz w:val="22"/>
                      <w:szCs w:val="22"/>
                    </w:rPr>
                    <w:t>X Neindeksuojama</w:t>
                  </w:r>
                </w:p>
              </w:tc>
            </w:tr>
            <w:tr w:rsidR="0092645B" w14:paraId="4477E05F" w14:textId="77777777">
              <w:tc>
                <w:tcPr>
                  <w:tcW w:w="5692" w:type="dxa"/>
                  <w:tcBorders>
                    <w:top w:val="single" w:sz="8" w:space="0" w:color="auto"/>
                    <w:left w:val="single" w:sz="8" w:space="0" w:color="auto"/>
                    <w:bottom w:val="single" w:sz="8" w:space="0" w:color="auto"/>
                    <w:right w:val="single" w:sz="8" w:space="0" w:color="auto"/>
                  </w:tcBorders>
                  <w:vAlign w:val="center"/>
                </w:tcPr>
                <w:p w14:paraId="059BAEB6" w14:textId="77777777" w:rsidR="0092645B" w:rsidRDefault="00E93B47">
                  <w:pPr>
                    <w:jc w:val="center"/>
                    <w:rPr>
                      <w:b/>
                      <w:bCs/>
                      <w:sz w:val="22"/>
                      <w:szCs w:val="22"/>
                    </w:rPr>
                  </w:pPr>
                  <w:r>
                    <w:rPr>
                      <w:b/>
                      <w:bCs/>
                      <w:sz w:val="22"/>
                      <w:szCs w:val="22"/>
                    </w:rPr>
                    <w:t>Veiklos ir (ar) išlaidos, kurioms taikomi supaprastintai apmokamų išlaidų dydžiai</w:t>
                  </w:r>
                </w:p>
              </w:tc>
              <w:tc>
                <w:tcPr>
                  <w:tcW w:w="1843" w:type="dxa"/>
                  <w:tcBorders>
                    <w:top w:val="single" w:sz="8" w:space="0" w:color="auto"/>
                    <w:left w:val="single" w:sz="8" w:space="0" w:color="auto"/>
                    <w:bottom w:val="single" w:sz="8" w:space="0" w:color="auto"/>
                    <w:right w:val="single" w:sz="8" w:space="0" w:color="auto"/>
                  </w:tcBorders>
                  <w:vAlign w:val="center"/>
                </w:tcPr>
                <w:p w14:paraId="408A3669" w14:textId="77777777" w:rsidR="0092645B" w:rsidRDefault="00E93B47">
                  <w:pPr>
                    <w:jc w:val="center"/>
                    <w:rPr>
                      <w:b/>
                      <w:bCs/>
                      <w:sz w:val="22"/>
                      <w:szCs w:val="22"/>
                    </w:rPr>
                  </w:pPr>
                  <w:r>
                    <w:rPr>
                      <w:b/>
                      <w:bCs/>
                      <w:sz w:val="22"/>
                      <w:szCs w:val="22"/>
                    </w:rPr>
                    <w:t>Supaprastintai apmokamų išlaidų dydžio kodas</w:t>
                  </w:r>
                </w:p>
              </w:tc>
              <w:tc>
                <w:tcPr>
                  <w:tcW w:w="1701" w:type="dxa"/>
                  <w:tcBorders>
                    <w:top w:val="single" w:sz="8" w:space="0" w:color="auto"/>
                    <w:left w:val="single" w:sz="8" w:space="0" w:color="auto"/>
                    <w:bottom w:val="single" w:sz="8" w:space="0" w:color="auto"/>
                    <w:right w:val="single" w:sz="8" w:space="0" w:color="auto"/>
                  </w:tcBorders>
                  <w:vAlign w:val="center"/>
                </w:tcPr>
                <w:p w14:paraId="11564020" w14:textId="77777777" w:rsidR="0092645B" w:rsidRDefault="00E93B47">
                  <w:pPr>
                    <w:jc w:val="center"/>
                    <w:rPr>
                      <w:b/>
                      <w:bCs/>
                      <w:i/>
                      <w:iCs/>
                      <w:color w:val="808080"/>
                      <w:sz w:val="22"/>
                      <w:szCs w:val="22"/>
                    </w:rPr>
                  </w:pPr>
                  <w:r>
                    <w:rPr>
                      <w:b/>
                      <w:bCs/>
                      <w:sz w:val="22"/>
                      <w:szCs w:val="22"/>
                    </w:rPr>
                    <w:t>Supaprastintai apmokamų išlaidų dydžio versija</w:t>
                  </w:r>
                </w:p>
              </w:tc>
              <w:tc>
                <w:tcPr>
                  <w:tcW w:w="3118" w:type="dxa"/>
                  <w:tcBorders>
                    <w:top w:val="single" w:sz="8" w:space="0" w:color="auto"/>
                    <w:left w:val="single" w:sz="8" w:space="0" w:color="auto"/>
                    <w:bottom w:val="single" w:sz="8" w:space="0" w:color="auto"/>
                    <w:right w:val="single" w:sz="8" w:space="0" w:color="auto"/>
                  </w:tcBorders>
                  <w:vAlign w:val="center"/>
                </w:tcPr>
                <w:p w14:paraId="34E6C745" w14:textId="77777777" w:rsidR="0092645B" w:rsidRDefault="00E93B47">
                  <w:pPr>
                    <w:jc w:val="center"/>
                    <w:rPr>
                      <w:b/>
                      <w:bCs/>
                      <w:sz w:val="22"/>
                      <w:szCs w:val="22"/>
                    </w:rPr>
                  </w:pPr>
                  <w:r>
                    <w:rPr>
                      <w:b/>
                      <w:bCs/>
                      <w:sz w:val="22"/>
                      <w:szCs w:val="22"/>
                    </w:rPr>
                    <w:t>Supaprastintai apmokamų išlaidų dydžio pavadinimas</w:t>
                  </w:r>
                </w:p>
              </w:tc>
              <w:tc>
                <w:tcPr>
                  <w:tcW w:w="2095" w:type="dxa"/>
                  <w:tcBorders>
                    <w:top w:val="single" w:sz="8" w:space="0" w:color="auto"/>
                    <w:left w:val="single" w:sz="8" w:space="0" w:color="auto"/>
                    <w:bottom w:val="single" w:sz="8" w:space="0" w:color="auto"/>
                    <w:right w:val="single" w:sz="8" w:space="0" w:color="auto"/>
                  </w:tcBorders>
                  <w:vAlign w:val="center"/>
                </w:tcPr>
                <w:p w14:paraId="14776C06" w14:textId="77777777" w:rsidR="0092645B" w:rsidRDefault="00E93B47">
                  <w:pPr>
                    <w:jc w:val="center"/>
                    <w:rPr>
                      <w:b/>
                      <w:bCs/>
                      <w:sz w:val="22"/>
                      <w:szCs w:val="22"/>
                    </w:rPr>
                  </w:pPr>
                  <w:r>
                    <w:rPr>
                      <w:b/>
                      <w:bCs/>
                      <w:sz w:val="22"/>
                      <w:szCs w:val="22"/>
                    </w:rPr>
                    <w:t>Papildoma informacija</w:t>
                  </w:r>
                </w:p>
              </w:tc>
            </w:tr>
            <w:tr w:rsidR="0092645B" w14:paraId="162249FD" w14:textId="77777777">
              <w:tc>
                <w:tcPr>
                  <w:tcW w:w="5692" w:type="dxa"/>
                  <w:tcBorders>
                    <w:top w:val="single" w:sz="8" w:space="0" w:color="auto"/>
                    <w:left w:val="single" w:sz="8" w:space="0" w:color="auto"/>
                    <w:bottom w:val="single" w:sz="8" w:space="0" w:color="auto"/>
                    <w:right w:val="single" w:sz="8" w:space="0" w:color="auto"/>
                  </w:tcBorders>
                </w:tcPr>
                <w:p w14:paraId="45E76D36" w14:textId="77777777" w:rsidR="0092645B" w:rsidRDefault="00E93B47">
                  <w:pPr>
                    <w:tabs>
                      <w:tab w:val="left" w:pos="795"/>
                    </w:tabs>
                    <w:jc w:val="both"/>
                    <w:rPr>
                      <w:i/>
                      <w:iCs/>
                      <w:szCs w:val="24"/>
                    </w:rPr>
                  </w:pPr>
                  <w:r>
                    <w:rPr>
                      <w:szCs w:val="24"/>
                    </w:rPr>
                    <w:t xml:space="preserve">14.1.  </w:t>
                  </w:r>
                  <w:r>
                    <w:rPr>
                      <w:szCs w:val="24"/>
                      <w:lang w:eastAsia="lt-LT"/>
                    </w:rPr>
                    <w:t>Transporto priemonių įsigijimo išlaidų fiksuotasis vieneto įkainis</w:t>
                  </w:r>
                </w:p>
                <w:p w14:paraId="5A557C25" w14:textId="77777777" w:rsidR="0092645B" w:rsidRDefault="0092645B">
                  <w:pPr>
                    <w:tabs>
                      <w:tab w:val="left" w:pos="795"/>
                    </w:tabs>
                    <w:jc w:val="both"/>
                  </w:pPr>
                </w:p>
              </w:tc>
              <w:tc>
                <w:tcPr>
                  <w:tcW w:w="1843" w:type="dxa"/>
                  <w:tcBorders>
                    <w:top w:val="single" w:sz="8" w:space="0" w:color="auto"/>
                    <w:left w:val="single" w:sz="8" w:space="0" w:color="auto"/>
                    <w:bottom w:val="single" w:sz="8" w:space="0" w:color="auto"/>
                    <w:right w:val="single" w:sz="8" w:space="0" w:color="auto"/>
                  </w:tcBorders>
                </w:tcPr>
                <w:p w14:paraId="1C8874E1" w14:textId="77777777" w:rsidR="0092645B" w:rsidRDefault="00E93B47">
                  <w:pPr>
                    <w:jc w:val="both"/>
                    <w:rPr>
                      <w:i/>
                      <w:iCs/>
                    </w:rPr>
                  </w:pPr>
                  <w:r>
                    <w:t xml:space="preserve">Išlaidų dydžių kodai iš Supaprastintai apmokamų išlaidų registro: </w:t>
                  </w:r>
                </w:p>
                <w:p w14:paraId="39F8A29F" w14:textId="77777777" w:rsidR="0092645B" w:rsidRDefault="00E93B47">
                  <w:pPr>
                    <w:jc w:val="both"/>
                    <w:rPr>
                      <w:i/>
                      <w:iCs/>
                    </w:rPr>
                  </w:pPr>
                  <w:r>
                    <w:t xml:space="preserve">1) FĮ-25-01, </w:t>
                  </w:r>
                </w:p>
                <w:p w14:paraId="12838129" w14:textId="77777777" w:rsidR="0092645B" w:rsidRDefault="00E93B47">
                  <w:pPr>
                    <w:jc w:val="both"/>
                    <w:rPr>
                      <w:i/>
                      <w:iCs/>
                    </w:rPr>
                  </w:pPr>
                  <w:r>
                    <w:t xml:space="preserve">2) FĮ-25-03. </w:t>
                  </w:r>
                </w:p>
                <w:p w14:paraId="59FEBBBD" w14:textId="77777777" w:rsidR="0092645B" w:rsidRDefault="0092645B">
                  <w:pPr>
                    <w:jc w:val="both"/>
                    <w:rPr>
                      <w:i/>
                      <w:iCs/>
                    </w:rPr>
                  </w:pPr>
                </w:p>
                <w:p w14:paraId="1C752431" w14:textId="77777777" w:rsidR="0092645B" w:rsidRDefault="0092645B">
                  <w:pPr>
                    <w:jc w:val="both"/>
                  </w:pPr>
                </w:p>
              </w:tc>
              <w:tc>
                <w:tcPr>
                  <w:tcW w:w="1701" w:type="dxa"/>
                  <w:tcBorders>
                    <w:top w:val="single" w:sz="8" w:space="0" w:color="auto"/>
                    <w:left w:val="single" w:sz="8" w:space="0" w:color="auto"/>
                    <w:bottom w:val="single" w:sz="8" w:space="0" w:color="auto"/>
                    <w:right w:val="single" w:sz="8" w:space="0" w:color="auto"/>
                  </w:tcBorders>
                </w:tcPr>
                <w:p w14:paraId="54FA402B" w14:textId="77777777" w:rsidR="0092645B" w:rsidRDefault="00E93B47">
                  <w:pPr>
                    <w:spacing w:line="259" w:lineRule="auto"/>
                    <w:ind w:left="28" w:hanging="28"/>
                    <w:jc w:val="center"/>
                    <w:rPr>
                      <w:sz w:val="22"/>
                      <w:szCs w:val="24"/>
                    </w:rPr>
                  </w:pPr>
                  <w:r>
                    <w:rPr>
                      <w:sz w:val="22"/>
                      <w:szCs w:val="24"/>
                    </w:rPr>
                    <w:t>01</w:t>
                  </w:r>
                </w:p>
              </w:tc>
              <w:tc>
                <w:tcPr>
                  <w:tcW w:w="3118" w:type="dxa"/>
                  <w:tcBorders>
                    <w:top w:val="single" w:sz="8" w:space="0" w:color="auto"/>
                    <w:left w:val="single" w:sz="8" w:space="0" w:color="auto"/>
                    <w:bottom w:val="single" w:sz="8" w:space="0" w:color="auto"/>
                    <w:right w:val="single" w:sz="8" w:space="0" w:color="auto"/>
                  </w:tcBorders>
                </w:tcPr>
                <w:p w14:paraId="1F7C9FB1" w14:textId="77777777" w:rsidR="0092645B" w:rsidRDefault="00E93B47">
                  <w:pPr>
                    <w:jc w:val="both"/>
                    <w:rPr>
                      <w:i/>
                      <w:iCs/>
                    </w:rPr>
                  </w:pPr>
                  <w:r>
                    <w:t>Išlaidų dydžių pavadinimai iš Supaprastintai apmokamų išlaidų registro:</w:t>
                  </w:r>
                </w:p>
                <w:p w14:paraId="0B071CA0" w14:textId="77777777" w:rsidR="0092645B" w:rsidRDefault="00E93B47">
                  <w:pPr>
                    <w:jc w:val="both"/>
                  </w:pPr>
                  <w:r>
                    <w:t>1) naujo  grynojo elektromobilio ar vandeniliu varomo M1 ir N1 klasės automobilio įsigijimo išlaidų fiksuotasis vieneto įkainis, be PVM;</w:t>
                  </w:r>
                </w:p>
                <w:p w14:paraId="2AE1D901" w14:textId="77777777" w:rsidR="0092645B" w:rsidRDefault="00E93B47">
                  <w:pPr>
                    <w:jc w:val="both"/>
                  </w:pPr>
                  <w:r>
                    <w:t>2) naudoto  grynojo elektromobilio ar vandeniliu varomo M1 ir N1 klasės automobilio įsigijimo išlaidų fiksuotasis vieneto įkainis, be PVM.</w:t>
                  </w:r>
                </w:p>
                <w:p w14:paraId="354EBBA7" w14:textId="77777777" w:rsidR="0092645B" w:rsidRDefault="0092645B">
                  <w:pPr>
                    <w:jc w:val="both"/>
                    <w:rPr>
                      <w:color w:val="000000"/>
                      <w:szCs w:val="24"/>
                      <w:lang w:eastAsia="lt-LT"/>
                    </w:rPr>
                  </w:pPr>
                </w:p>
              </w:tc>
              <w:tc>
                <w:tcPr>
                  <w:tcW w:w="2095" w:type="dxa"/>
                  <w:tcBorders>
                    <w:top w:val="single" w:sz="8" w:space="0" w:color="auto"/>
                    <w:left w:val="single" w:sz="8" w:space="0" w:color="auto"/>
                    <w:right w:val="single" w:sz="8" w:space="0" w:color="auto"/>
                  </w:tcBorders>
                </w:tcPr>
                <w:p w14:paraId="2881C9AA" w14:textId="77777777" w:rsidR="0092645B" w:rsidRDefault="00E93B47">
                  <w:pPr>
                    <w:jc w:val="both"/>
                    <w:rPr>
                      <w:sz w:val="20"/>
                    </w:rPr>
                  </w:pPr>
                  <w:r>
                    <w:rPr>
                      <w:color w:val="000000"/>
                      <w:szCs w:val="24"/>
                      <w:lang w:eastAsia="lt-LT"/>
                    </w:rPr>
                    <w:t xml:space="preserve">Fiksuotosios sumos skelbiamos interneto svetainėje </w:t>
                  </w:r>
                  <w:r>
                    <w:rPr>
                      <w:i/>
                      <w:iCs/>
                      <w:color w:val="000000"/>
                      <w:szCs w:val="24"/>
                      <w:lang w:eastAsia="lt-LT"/>
                    </w:rPr>
                    <w:t>esinvesticijos.lt</w:t>
                  </w:r>
                  <w:r>
                    <w:rPr>
                      <w:color w:val="000000"/>
                      <w:szCs w:val="24"/>
                      <w:lang w:eastAsia="lt-LT"/>
                    </w:rPr>
                    <w:t xml:space="preserve"> (https://2021.esinvesticijos.lt/dokumentai/supaprastintai-apmokamu-islaidu-dydziu-registras)</w:t>
                  </w:r>
                </w:p>
              </w:tc>
            </w:tr>
            <w:tr w:rsidR="0092645B" w14:paraId="6FD8A111" w14:textId="77777777">
              <w:tc>
                <w:tcPr>
                  <w:tcW w:w="5692" w:type="dxa"/>
                  <w:tcBorders>
                    <w:left w:val="single" w:sz="8" w:space="0" w:color="auto"/>
                    <w:bottom w:val="single" w:sz="8" w:space="0" w:color="auto"/>
                    <w:right w:val="single" w:sz="8" w:space="0" w:color="auto"/>
                  </w:tcBorders>
                </w:tcPr>
                <w:p w14:paraId="3C7D3079" w14:textId="77777777" w:rsidR="0092645B" w:rsidRDefault="00E93B47">
                  <w:pPr>
                    <w:rPr>
                      <w:i/>
                      <w:iCs/>
                      <w:sz w:val="20"/>
                    </w:rPr>
                  </w:pPr>
                  <w:r>
                    <w:rPr>
                      <w:color w:val="000000"/>
                    </w:rPr>
                    <w:t>14.2. Netiesioginės išlaidos</w:t>
                  </w:r>
                </w:p>
              </w:tc>
              <w:tc>
                <w:tcPr>
                  <w:tcW w:w="1843" w:type="dxa"/>
                  <w:tcBorders>
                    <w:top w:val="single" w:sz="8" w:space="0" w:color="auto"/>
                    <w:left w:val="single" w:sz="8" w:space="0" w:color="auto"/>
                    <w:bottom w:val="single" w:sz="8" w:space="0" w:color="auto"/>
                    <w:right w:val="single" w:sz="8" w:space="0" w:color="auto"/>
                  </w:tcBorders>
                </w:tcPr>
                <w:p w14:paraId="29B96953" w14:textId="77777777" w:rsidR="0092645B" w:rsidRDefault="00E93B47">
                  <w:pPr>
                    <w:rPr>
                      <w:color w:val="000000"/>
                      <w:szCs w:val="24"/>
                      <w:lang w:eastAsia="lt-LT"/>
                    </w:rPr>
                  </w:pPr>
                  <w:r>
                    <w:rPr>
                      <w:color w:val="000000"/>
                      <w:szCs w:val="24"/>
                      <w:lang w:eastAsia="lt-LT"/>
                    </w:rPr>
                    <w:t>FN-01</w:t>
                  </w:r>
                </w:p>
              </w:tc>
              <w:tc>
                <w:tcPr>
                  <w:tcW w:w="1701" w:type="dxa"/>
                  <w:tcBorders>
                    <w:top w:val="single" w:sz="8" w:space="0" w:color="auto"/>
                    <w:left w:val="single" w:sz="8" w:space="0" w:color="auto"/>
                    <w:bottom w:val="single" w:sz="8" w:space="0" w:color="auto"/>
                    <w:right w:val="single" w:sz="8" w:space="0" w:color="auto"/>
                  </w:tcBorders>
                </w:tcPr>
                <w:p w14:paraId="490A670C" w14:textId="77777777" w:rsidR="0092645B" w:rsidRDefault="0092645B">
                  <w:pPr>
                    <w:jc w:val="center"/>
                    <w:rPr>
                      <w:szCs w:val="24"/>
                    </w:rPr>
                  </w:pPr>
                </w:p>
              </w:tc>
              <w:tc>
                <w:tcPr>
                  <w:tcW w:w="3118" w:type="dxa"/>
                  <w:tcBorders>
                    <w:top w:val="single" w:sz="8" w:space="0" w:color="auto"/>
                    <w:left w:val="single" w:sz="8" w:space="0" w:color="auto"/>
                    <w:bottom w:val="single" w:sz="8" w:space="0" w:color="auto"/>
                    <w:right w:val="single" w:sz="8" w:space="0" w:color="auto"/>
                  </w:tcBorders>
                </w:tcPr>
                <w:p w14:paraId="2F2025A8" w14:textId="77777777" w:rsidR="0092645B" w:rsidRDefault="00E93B47">
                  <w:pPr>
                    <w:jc w:val="both"/>
                    <w:rPr>
                      <w:color w:val="000000"/>
                      <w:szCs w:val="24"/>
                      <w:lang w:eastAsia="lt-LT"/>
                    </w:rPr>
                  </w:pPr>
                  <w:r>
                    <w:t xml:space="preserve">1,5 </w:t>
                  </w:r>
                  <w:r>
                    <w:rPr>
                      <w:color w:val="000000"/>
                    </w:rPr>
                    <w:t>proc. netiesioginių išlaidų fiksuotoji norma</w:t>
                  </w:r>
                </w:p>
              </w:tc>
              <w:tc>
                <w:tcPr>
                  <w:tcW w:w="2095" w:type="dxa"/>
                  <w:tcBorders>
                    <w:left w:val="single" w:sz="8" w:space="0" w:color="auto"/>
                    <w:bottom w:val="single" w:sz="8" w:space="0" w:color="auto"/>
                    <w:right w:val="single" w:sz="8" w:space="0" w:color="auto"/>
                  </w:tcBorders>
                </w:tcPr>
                <w:p w14:paraId="7F515FE4" w14:textId="77777777" w:rsidR="0092645B" w:rsidRDefault="00E93B47">
                  <w:pPr>
                    <w:suppressAutoHyphens/>
                    <w:jc w:val="both"/>
                    <w:rPr>
                      <w:i/>
                      <w:iCs/>
                      <w:sz w:val="20"/>
                    </w:rPr>
                  </w:pPr>
                  <w:r>
                    <w:rPr>
                      <w:color w:val="000000"/>
                    </w:rPr>
                    <w:t xml:space="preserve">Iš fiksuotosios projekto išlaidų normos dengiamos JP vykdytojo netiesioginės ir viešinimo ir </w:t>
                  </w:r>
                  <w:r>
                    <w:rPr>
                      <w:color w:val="000000"/>
                    </w:rPr>
                    <w:lastRenderedPageBreak/>
                    <w:t>informavimo išlaidos</w:t>
                  </w:r>
                </w:p>
              </w:tc>
            </w:tr>
          </w:tbl>
          <w:p w14:paraId="64A7F119" w14:textId="77777777" w:rsidR="0092645B" w:rsidRDefault="0092645B">
            <w:pPr>
              <w:jc w:val="both"/>
              <w:rPr>
                <w:i/>
                <w:iCs/>
                <w:szCs w:val="24"/>
              </w:rPr>
            </w:pPr>
          </w:p>
          <w:p w14:paraId="19D949E4" w14:textId="77777777" w:rsidR="0092645B" w:rsidRDefault="0092645B">
            <w:pPr>
              <w:jc w:val="both"/>
              <w:rPr>
                <w:i/>
                <w:iCs/>
                <w:sz w:val="22"/>
                <w:szCs w:val="22"/>
              </w:rPr>
            </w:pPr>
          </w:p>
        </w:tc>
      </w:tr>
    </w:tbl>
    <w:p w14:paraId="1D6D1AB1" w14:textId="77777777" w:rsidR="0092645B" w:rsidRDefault="00E93B47">
      <w:pPr>
        <w:spacing w:line="276" w:lineRule="auto"/>
        <w:jc w:val="center"/>
        <w:rPr>
          <w:rFonts w:eastAsia="Calibri"/>
          <w:szCs w:val="24"/>
        </w:rPr>
      </w:pPr>
      <w:r>
        <w:rPr>
          <w:rFonts w:eastAsia="Calibri"/>
          <w:szCs w:val="24"/>
        </w:rPr>
        <w:lastRenderedPageBreak/>
        <w:t>________________</w:t>
      </w:r>
    </w:p>
    <w:p w14:paraId="7DA5BA89" w14:textId="77777777" w:rsidR="0092645B" w:rsidRDefault="0092645B">
      <w:pPr>
        <w:rPr>
          <w:szCs w:val="24"/>
        </w:rPr>
      </w:pPr>
    </w:p>
    <w:p w14:paraId="59F2097D" w14:textId="77777777" w:rsidR="0092645B" w:rsidRDefault="0092645B">
      <w:pPr>
        <w:rPr>
          <w:szCs w:val="24"/>
        </w:rPr>
      </w:pPr>
    </w:p>
    <w:p w14:paraId="3562D3A8" w14:textId="77777777" w:rsidR="0092645B" w:rsidRDefault="0092645B">
      <w:pPr>
        <w:rPr>
          <w:szCs w:val="24"/>
        </w:rPr>
      </w:pPr>
    </w:p>
    <w:p w14:paraId="2B5EA64E" w14:textId="77777777" w:rsidR="0092645B" w:rsidRDefault="0092645B">
      <w:pPr>
        <w:ind w:left="10206"/>
        <w:jc w:val="both"/>
        <w:sectPr w:rsidR="0092645B">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851" w:left="1134" w:header="567" w:footer="567" w:gutter="0"/>
          <w:pgNumType w:start="1"/>
          <w:cols w:space="1296"/>
          <w:titlePg/>
          <w:docGrid w:linePitch="360"/>
        </w:sectPr>
      </w:pPr>
    </w:p>
    <w:p w14:paraId="691EC2BE" w14:textId="77777777" w:rsidR="0092645B" w:rsidRDefault="0092645B">
      <w:pPr>
        <w:tabs>
          <w:tab w:val="center" w:pos="4819"/>
          <w:tab w:val="right" w:pos="9638"/>
        </w:tabs>
        <w:rPr>
          <w:sz w:val="22"/>
          <w:szCs w:val="22"/>
        </w:rPr>
      </w:pPr>
    </w:p>
    <w:p w14:paraId="5C21ED01" w14:textId="77777777" w:rsidR="0092645B" w:rsidRDefault="00E93B47">
      <w:pPr>
        <w:suppressAutoHyphens/>
        <w:spacing w:line="276" w:lineRule="atLeast"/>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szCs w:val="24"/>
          <w:lang w:eastAsia="en-GB"/>
        </w:rPr>
        <w:t>Nr. 10-001-06-01-01 „Skatinti alternatyviųjų degalų naudojimą transporto sektoriuje“ veiklos „</w:t>
      </w:r>
      <w:r>
        <w:rPr>
          <w:iCs/>
          <w:szCs w:val="24"/>
        </w:rPr>
        <w:t>Taršių lengvojo transporto priemonių (M1 ir N1 klasės) pakeitimo į visai netaršias (elektra arba vandeniliu varomas) skatinimas</w:t>
      </w:r>
      <w:r>
        <w:rPr>
          <w:szCs w:val="24"/>
        </w:rPr>
        <w:t>“ poveiklės „</w:t>
      </w:r>
      <w:r>
        <w:rPr>
          <w:szCs w:val="24"/>
          <w:lang w:eastAsia="lt-LT"/>
        </w:rPr>
        <w:t>Grynųjų elektromobilių arba vandeniliu varomų transporto priemonių įsigijimo viešajam sektoriui skatinimas</w:t>
      </w:r>
      <w:r>
        <w:rPr>
          <w:szCs w:val="24"/>
        </w:rPr>
        <w:t>“ projektų finansavimo sąlygų aprašo priedas</w:t>
      </w:r>
    </w:p>
    <w:p w14:paraId="1C8E347B" w14:textId="77777777" w:rsidR="0092645B" w:rsidRDefault="0092645B">
      <w:pPr>
        <w:jc w:val="center"/>
        <w:rPr>
          <w:rFonts w:eastAsia="Calibri"/>
          <w:b/>
          <w:bCs/>
          <w:szCs w:val="24"/>
        </w:rPr>
      </w:pPr>
    </w:p>
    <w:p w14:paraId="1680027E" w14:textId="77777777" w:rsidR="0092645B" w:rsidRDefault="00E93B47">
      <w:pPr>
        <w:jc w:val="center"/>
        <w:rPr>
          <w:rFonts w:eastAsia="Calibri"/>
          <w:b/>
          <w:bCs/>
          <w:szCs w:val="24"/>
        </w:rPr>
      </w:pPr>
      <w:r>
        <w:rPr>
          <w:rFonts w:eastAsia="Calibri"/>
          <w:b/>
          <w:bCs/>
          <w:szCs w:val="24"/>
        </w:rPr>
        <w:t xml:space="preserve">PROJEKTO </w:t>
      </w:r>
      <w:r>
        <w:rPr>
          <w:b/>
          <w:bCs/>
          <w:iCs/>
          <w:szCs w:val="24"/>
        </w:rPr>
        <w:t>(ĮSKAITANT JUNGTINĮ PROJEKTĄ)</w:t>
      </w:r>
      <w:r>
        <w:rPr>
          <w:iCs/>
          <w:szCs w:val="24"/>
        </w:rPr>
        <w:t xml:space="preserve"> </w:t>
      </w:r>
      <w:r>
        <w:rPr>
          <w:rFonts w:eastAsia="Calibri"/>
          <w:b/>
          <w:bCs/>
          <w:szCs w:val="24"/>
        </w:rPr>
        <w:t>ATITIKTIES REIKŠMINGOS ŽALOS NEDARYMO HORIZONTALIAJAM PRINCIPUI VERTINIMO REIKALAVIMŲ APRAŠAS</w:t>
      </w:r>
    </w:p>
    <w:p w14:paraId="47EC4AE7" w14:textId="77777777" w:rsidR="0092645B" w:rsidRDefault="0092645B">
      <w:pPr>
        <w:jc w:val="center"/>
        <w:rPr>
          <w:rFonts w:eastAsia="Calibri"/>
          <w:b/>
          <w:bCs/>
          <w:szCs w:val="24"/>
        </w:rPr>
      </w:pPr>
    </w:p>
    <w:p w14:paraId="4F02636C" w14:textId="77777777" w:rsidR="0092645B" w:rsidRDefault="00E93B47">
      <w:pPr>
        <w:spacing w:line="276" w:lineRule="auto"/>
        <w:jc w:val="both"/>
        <w:rPr>
          <w:rFonts w:eastAsia="Calibri"/>
          <w:bCs/>
          <w:szCs w:val="24"/>
        </w:rPr>
      </w:pPr>
      <w:r>
        <w:t xml:space="preserve">x </w:t>
      </w:r>
      <w:r>
        <w:rPr>
          <w:rFonts w:eastAsia="Calibri"/>
          <w:bCs/>
          <w:szCs w:val="24"/>
        </w:rPr>
        <w:t>Ekonomikos gaivinimo ir atsparumo didinimo priemonė</w:t>
      </w:r>
    </w:p>
    <w:p w14:paraId="29AD0878" w14:textId="77777777" w:rsidR="0092645B" w:rsidRDefault="00E93B47">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w:t>
      </w:r>
    </w:p>
    <w:p w14:paraId="6E2A9C16" w14:textId="77777777" w:rsidR="0092645B" w:rsidRDefault="0092645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5242"/>
        <w:gridCol w:w="5951"/>
      </w:tblGrid>
      <w:tr w:rsidR="0092645B" w14:paraId="67315BE0" w14:textId="77777777">
        <w:tc>
          <w:tcPr>
            <w:tcW w:w="4225" w:type="dxa"/>
          </w:tcPr>
          <w:p w14:paraId="73B2F68B" w14:textId="77777777" w:rsidR="0092645B" w:rsidRDefault="00E93B47">
            <w:pPr>
              <w:jc w:val="center"/>
              <w:rPr>
                <w:rFonts w:eastAsia="Calibri"/>
                <w:b/>
                <w:szCs w:val="24"/>
              </w:rPr>
            </w:pPr>
            <w:r>
              <w:rPr>
                <w:rFonts w:eastAsia="Calibri"/>
                <w:b/>
                <w:szCs w:val="24"/>
              </w:rPr>
              <w:t>Aplinkos tikslai</w:t>
            </w:r>
          </w:p>
          <w:p w14:paraId="33A92AC2" w14:textId="77777777" w:rsidR="0092645B" w:rsidRDefault="0092645B">
            <w:pPr>
              <w:jc w:val="both"/>
              <w:rPr>
                <w:rFonts w:eastAsia="Calibri"/>
                <w:b/>
                <w:szCs w:val="24"/>
              </w:rPr>
            </w:pPr>
          </w:p>
        </w:tc>
        <w:tc>
          <w:tcPr>
            <w:tcW w:w="5244" w:type="dxa"/>
          </w:tcPr>
          <w:p w14:paraId="7BDA1C7B" w14:textId="77777777" w:rsidR="0092645B" w:rsidRDefault="00E93B47">
            <w:pPr>
              <w:jc w:val="center"/>
              <w:rPr>
                <w:rFonts w:eastAsia="Calibri"/>
                <w:b/>
                <w:szCs w:val="24"/>
              </w:rPr>
            </w:pPr>
            <w:r>
              <w:rPr>
                <w:rFonts w:eastAsia="Calibri"/>
                <w:b/>
                <w:szCs w:val="24"/>
              </w:rPr>
              <w:t>Pagrindimas</w:t>
            </w:r>
          </w:p>
          <w:p w14:paraId="798389E0" w14:textId="77777777" w:rsidR="0092645B" w:rsidRDefault="0092645B">
            <w:pPr>
              <w:jc w:val="both"/>
              <w:rPr>
                <w:rFonts w:eastAsia="Calibri"/>
                <w:b/>
                <w:szCs w:val="24"/>
              </w:rPr>
            </w:pPr>
          </w:p>
        </w:tc>
        <w:tc>
          <w:tcPr>
            <w:tcW w:w="5954" w:type="dxa"/>
          </w:tcPr>
          <w:p w14:paraId="464D457E" w14:textId="77777777" w:rsidR="0092645B" w:rsidRDefault="00E93B47">
            <w:pPr>
              <w:jc w:val="center"/>
              <w:rPr>
                <w:rFonts w:eastAsia="Calibri"/>
                <w:i/>
                <w:sz w:val="20"/>
              </w:rPr>
            </w:pPr>
            <w:r>
              <w:rPr>
                <w:rFonts w:eastAsia="Calibri"/>
                <w:b/>
                <w:szCs w:val="24"/>
              </w:rPr>
              <w:t>Pagrindimo dokumentai</w:t>
            </w:r>
          </w:p>
          <w:p w14:paraId="1D6FDB00" w14:textId="77777777" w:rsidR="0092645B" w:rsidRDefault="0092645B">
            <w:pPr>
              <w:jc w:val="both"/>
              <w:rPr>
                <w:rFonts w:eastAsia="Calibri"/>
                <w:i/>
                <w:szCs w:val="24"/>
              </w:rPr>
            </w:pPr>
          </w:p>
        </w:tc>
      </w:tr>
      <w:tr w:rsidR="0092645B" w14:paraId="1B1EB13C" w14:textId="77777777">
        <w:tc>
          <w:tcPr>
            <w:tcW w:w="4225" w:type="dxa"/>
          </w:tcPr>
          <w:p w14:paraId="6B9E8826" w14:textId="77777777" w:rsidR="0092645B" w:rsidRDefault="00E93B4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244" w:type="dxa"/>
          </w:tcPr>
          <w:p w14:paraId="3BDA0999" w14:textId="77777777" w:rsidR="0092645B" w:rsidRDefault="00E93B47">
            <w:pPr>
              <w:jc w:val="both"/>
              <w:rPr>
                <w:szCs w:val="24"/>
              </w:rPr>
            </w:pPr>
            <w:r>
              <w:rPr>
                <w:szCs w:val="24"/>
              </w:rPr>
              <w:t>Vertinama, kad vykdant poveiklę „</w:t>
            </w:r>
            <w:r>
              <w:rPr>
                <w:szCs w:val="24"/>
                <w:lang w:eastAsia="lt-LT"/>
              </w:rPr>
              <w:t xml:space="preserve">Grynųjų elektromobilių arba vandeniliu varomų transporto priemonių įsigijimo viešajam sektoriui skatinimas“ </w:t>
            </w:r>
            <w:r>
              <w:rPr>
                <w:szCs w:val="24"/>
              </w:rPr>
              <w:t xml:space="preserve">(toliau </w:t>
            </w:r>
            <w:r>
              <w:t>–</w:t>
            </w:r>
            <w:r>
              <w:rPr>
                <w:szCs w:val="24"/>
              </w:rPr>
              <w:t xml:space="preserve"> visai netaršių lengvojo transporto priemonių įsigijimas) 100 procentų bus prisidedama prie klimato kaitos švelninimo.</w:t>
            </w:r>
          </w:p>
          <w:p w14:paraId="36AF0CB9" w14:textId="77777777" w:rsidR="0092645B" w:rsidRDefault="00E93B47">
            <w:pPr>
              <w:jc w:val="both"/>
              <w:rPr>
                <w:rFonts w:eastAsia="Calibri"/>
                <w:sz w:val="20"/>
              </w:rPr>
            </w:pPr>
            <w:r>
              <w:rPr>
                <w:szCs w:val="24"/>
              </w:rPr>
              <w:t xml:space="preserve">Vadovaujantis </w:t>
            </w:r>
            <w:r>
              <w:rPr>
                <w:color w:val="000000"/>
                <w:szCs w:val="24"/>
                <w:lang w:eastAsia="lt-LT"/>
              </w:rPr>
              <w:t xml:space="preserve">2021 m. vasario 12 d. Europos Parlamento ir Tarybos </w:t>
            </w:r>
            <w:r>
              <w:rPr>
                <w:color w:val="000000"/>
                <w:lang w:eastAsia="lt-LT"/>
              </w:rPr>
              <w:t>reglamento</w:t>
            </w:r>
            <w:r>
              <w:rPr>
                <w:szCs w:val="24"/>
              </w:rPr>
              <w:t xml:space="preserve"> (ES) 2021/241,</w:t>
            </w:r>
            <w:r>
              <w:rPr>
                <w:color w:val="000000"/>
                <w:szCs w:val="24"/>
                <w:lang w:eastAsia="lt-LT"/>
              </w:rPr>
              <w:t xml:space="preserve"> kuriuo nustatoma ekonomikos gaivinimo ir atsparumo didinimo priemonė,</w:t>
            </w:r>
            <w:r>
              <w:rPr>
                <w:szCs w:val="24"/>
              </w:rPr>
              <w:t xml:space="preserve"> VI priedo klasifikatoriumi, taikoma 100 proc. parama, siekiant </w:t>
            </w:r>
            <w:r>
              <w:rPr>
                <w:szCs w:val="24"/>
              </w:rPr>
              <w:lastRenderedPageBreak/>
              <w:t xml:space="preserve">su klimato kaita susijusių tikslų. </w:t>
            </w:r>
            <w:r>
              <w:rPr>
                <w:rFonts w:eastAsia="Calibri"/>
                <w:iCs/>
                <w:szCs w:val="24"/>
              </w:rPr>
              <w:t>Šia investicija svariai prisidedama prie šilumos efektą sukeliančių dujų (ŠESD) emisijų mažinimo, švaraus ar neutralaus poveikio klimatui judumo didinimo, nes skatinama t</w:t>
            </w:r>
            <w:r>
              <w:rPr>
                <w:iCs/>
                <w:szCs w:val="24"/>
              </w:rPr>
              <w:t>aršias lengvojo transporto priemones (M1 ir N1 klasės) pakeisti į visai netaršias (varomas elektra arba vandeniliu)</w:t>
            </w:r>
            <w:r>
              <w:rPr>
                <w:rFonts w:eastAsia="Calibri"/>
                <w:iCs/>
                <w:szCs w:val="24"/>
              </w:rPr>
              <w:t>.</w:t>
            </w:r>
          </w:p>
        </w:tc>
        <w:tc>
          <w:tcPr>
            <w:tcW w:w="5954" w:type="dxa"/>
          </w:tcPr>
          <w:p w14:paraId="7487DC63" w14:textId="77777777" w:rsidR="0092645B" w:rsidRDefault="00E93B47">
            <w:pPr>
              <w:tabs>
                <w:tab w:val="left" w:pos="589"/>
              </w:tabs>
              <w:ind w:firstLine="62"/>
              <w:jc w:val="both"/>
              <w:rPr>
                <w:rFonts w:eastAsia="Calibri"/>
                <w:i/>
                <w:sz w:val="20"/>
              </w:rPr>
            </w:pPr>
            <w:r>
              <w:rPr>
                <w:szCs w:val="24"/>
              </w:rPr>
              <w:lastRenderedPageBreak/>
              <w:t xml:space="preserve">Kartu su paraiška jungtinio projekto (toliau </w:t>
            </w:r>
            <w:r>
              <w:t xml:space="preserve">– JP) </w:t>
            </w:r>
            <w:r>
              <w:rPr>
                <w:szCs w:val="24"/>
              </w:rPr>
              <w:t xml:space="preserve">projekto pareiškėjas (toliau – pareiškėjas) teiks </w:t>
            </w:r>
            <w:r>
              <w:t>2022–2030 metų plėtros programos valdytojos Lietuvos Respublikos susisiekimo ministerijos susisiekimo plėtros programos pažangos priemonės Nr. 10-001-06-01-01 „Skatinti alternatyviųjų degalų naudojimą transporto sektoriuje“ veiklos „</w:t>
            </w:r>
            <w:r>
              <w:rPr>
                <w:iCs/>
                <w:szCs w:val="24"/>
              </w:rPr>
              <w:t>Taršių lengvojo transporto priemonių (M1 ir N1 klasės) pakeitimo į visai netaršias (elektra arba vandeniliu varomas) skatinimas</w:t>
            </w:r>
            <w:r>
              <w:t xml:space="preserve">“ </w:t>
            </w:r>
            <w:r>
              <w:rPr>
                <w:szCs w:val="24"/>
              </w:rPr>
              <w:t>poveiklės „</w:t>
            </w:r>
            <w:r>
              <w:rPr>
                <w:szCs w:val="24"/>
                <w:lang w:eastAsia="lt-LT"/>
              </w:rPr>
              <w:t>Grynųjų elektromobilių arba vandeniliu varomų transporto priemonių įsigijimo viešajam sektoriui skatinimas</w:t>
            </w:r>
            <w:r>
              <w:t xml:space="preserve">“ projektų finansavimo sąlygų </w:t>
            </w:r>
            <w:r>
              <w:lastRenderedPageBreak/>
              <w:t xml:space="preserve">apraše (toliau – Aprašas) </w:t>
            </w:r>
            <w:r>
              <w:rPr>
                <w:szCs w:val="24"/>
              </w:rPr>
              <w:t>ir  (ar) kvietime teikti paraiškas nurodytus visai netaršių</w:t>
            </w:r>
            <w:r>
              <w:rPr>
                <w:rFonts w:eastAsia="Calibri"/>
                <w:iCs/>
                <w:szCs w:val="24"/>
              </w:rPr>
              <w:t xml:space="preserve"> lengvojo transporto priemonių įsigijimą</w:t>
            </w:r>
            <w:r>
              <w:rPr>
                <w:szCs w:val="24"/>
              </w:rPr>
              <w:t xml:space="preserve"> įrodančius dokumentus.</w:t>
            </w:r>
          </w:p>
        </w:tc>
      </w:tr>
      <w:tr w:rsidR="0092645B" w14:paraId="14084E30" w14:textId="77777777">
        <w:tc>
          <w:tcPr>
            <w:tcW w:w="4225" w:type="dxa"/>
          </w:tcPr>
          <w:p w14:paraId="03821A99" w14:textId="77777777" w:rsidR="0092645B" w:rsidRDefault="00E93B47">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5244" w:type="dxa"/>
          </w:tcPr>
          <w:p w14:paraId="31432438" w14:textId="77777777" w:rsidR="0092645B" w:rsidRDefault="00E93B47">
            <w:pPr>
              <w:jc w:val="both"/>
              <w:rPr>
                <w:szCs w:val="24"/>
              </w:rPr>
            </w:pPr>
            <w:r>
              <w:rPr>
                <w:szCs w:val="24"/>
              </w:rPr>
              <w:t>Vertinama, kad pagal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77D13A81" w14:textId="77777777" w:rsidR="0092645B" w:rsidRDefault="00E93B47">
            <w:pPr>
              <w:jc w:val="both"/>
            </w:pPr>
            <w:r>
              <w:rPr>
                <w:szCs w:val="24"/>
              </w:rPr>
              <w:t>Planuojamos investicijos</w:t>
            </w:r>
            <w:r>
              <w:t xml:space="preserve"> į</w:t>
            </w:r>
            <w:r>
              <w:rPr>
                <w:szCs w:val="24"/>
              </w:rPr>
              <w:t xml:space="preserve">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w:t>
            </w:r>
          </w:p>
        </w:tc>
        <w:tc>
          <w:tcPr>
            <w:tcW w:w="5954" w:type="dxa"/>
          </w:tcPr>
          <w:p w14:paraId="30BE4F9D" w14:textId="77777777" w:rsidR="0092645B" w:rsidRDefault="00E93B47">
            <w:pPr>
              <w:tabs>
                <w:tab w:val="left" w:pos="589"/>
              </w:tabs>
              <w:jc w:val="both"/>
              <w:rPr>
                <w:iCs/>
                <w:szCs w:val="24"/>
              </w:rPr>
            </w:pPr>
            <w:r>
              <w:rPr>
                <w:szCs w:val="24"/>
              </w:rPr>
              <w:t xml:space="preserve">JP projekto finansuojama veikla ir rezultatas – įsigytos ir Lietuvoje registruotos visai netaršios lengvojo transporto priemonės – </w:t>
            </w:r>
            <w:r>
              <w:rPr>
                <w:iCs/>
                <w:szCs w:val="24"/>
              </w:rPr>
              <w:t>neturės tiesioginio ar netiesioginio neigiamo poveikio prisitaikymo prie klimato kaitos tikslui, nes nenumatomas neigiamas poveikis žmogui, gamtai ar turtui.</w:t>
            </w:r>
          </w:p>
          <w:p w14:paraId="1001117B" w14:textId="77777777" w:rsidR="0092645B" w:rsidRDefault="00E93B47">
            <w:pPr>
              <w:tabs>
                <w:tab w:val="left" w:pos="589"/>
              </w:tabs>
              <w:jc w:val="both"/>
              <w:rPr>
                <w:rFonts w:eastAsia="Calibri"/>
                <w:b/>
                <w:sz w:val="22"/>
                <w:szCs w:val="18"/>
              </w:rPr>
            </w:pPr>
            <w:r>
              <w:rPr>
                <w:szCs w:val="24"/>
              </w:rPr>
              <w:t xml:space="preserve">Kartu su paraiška pareiškėjas teiks Apraše ir (ar) kvietime teikti paraiškas nurodytus visai </w:t>
            </w:r>
            <w:r>
              <w:rPr>
                <w:rFonts w:eastAsia="Calibri"/>
                <w:iCs/>
                <w:szCs w:val="24"/>
              </w:rPr>
              <w:t>netaršių lengvojo transporto priemonių įsigijimą</w:t>
            </w:r>
            <w:r>
              <w:rPr>
                <w:szCs w:val="24"/>
              </w:rPr>
              <w:t xml:space="preserve"> įrodančius dokumentus.</w:t>
            </w:r>
          </w:p>
        </w:tc>
      </w:tr>
      <w:tr w:rsidR="0092645B" w14:paraId="0CDED40D" w14:textId="77777777">
        <w:tc>
          <w:tcPr>
            <w:tcW w:w="4225" w:type="dxa"/>
          </w:tcPr>
          <w:p w14:paraId="1DAC4B40" w14:textId="77777777" w:rsidR="0092645B" w:rsidRDefault="00E93B4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244" w:type="dxa"/>
          </w:tcPr>
          <w:p w14:paraId="75CF987C" w14:textId="77777777" w:rsidR="0092645B" w:rsidRDefault="00E93B47">
            <w:pPr>
              <w:jc w:val="both"/>
              <w:rPr>
                <w:bCs/>
                <w:szCs w:val="24"/>
              </w:rPr>
            </w:pPr>
            <w:r>
              <w:rPr>
                <w:szCs w:val="24"/>
              </w:rPr>
              <w:t xml:space="preserve">Vertinama, kad pagal Aprašą 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investicija atitinka tausaus vandens ir jūrų išteklių naudojimo ir apsaugos tikslą.</w:t>
            </w:r>
          </w:p>
          <w:p w14:paraId="3819BCC4" w14:textId="77777777" w:rsidR="0092645B" w:rsidRDefault="00E93B47">
            <w:pPr>
              <w:tabs>
                <w:tab w:val="left" w:pos="34"/>
              </w:tabs>
              <w:ind w:left="51"/>
              <w:jc w:val="both"/>
              <w:rPr>
                <w:szCs w:val="24"/>
              </w:rPr>
            </w:pPr>
            <w:r>
              <w:rPr>
                <w:szCs w:val="24"/>
              </w:rPr>
              <w:lastRenderedPageBreak/>
              <w:t>Planuojamos investicijos į visai netaršių lengvojo transporto priemonių įsigijimo</w:t>
            </w:r>
            <w:r>
              <w:rPr>
                <w:sz w:val="22"/>
                <w:szCs w:val="24"/>
              </w:rPr>
              <w:t xml:space="preserve"> </w:t>
            </w:r>
            <w:r>
              <w:rPr>
                <w:szCs w:val="24"/>
              </w:rPr>
              <w:t>skatinimą neturės jokio neigiamo tiesioginio ar netiesioginio poveikio tausaus vandens ir jūrų išteklių naudojimo ir apsaugos tikslui, nes neplanuojama statyti jokios infrastruktūros vandens telkinių apsaugos zonose ir neplanuojama kurti būsimos infrastruktūros arti vandens telkinių, kas galėtų turėti neigiamą poveikį tausaus vandens ir jūrų išteklių naudojimui.</w:t>
            </w:r>
          </w:p>
        </w:tc>
        <w:tc>
          <w:tcPr>
            <w:tcW w:w="5954" w:type="dxa"/>
          </w:tcPr>
          <w:p w14:paraId="4E6B7E73" w14:textId="77777777" w:rsidR="0092645B" w:rsidRDefault="00E93B47">
            <w:pPr>
              <w:tabs>
                <w:tab w:val="left" w:pos="556"/>
              </w:tabs>
              <w:jc w:val="both"/>
              <w:rPr>
                <w:rFonts w:eastAsia="Calibri"/>
                <w:bCs/>
                <w:szCs w:val="24"/>
              </w:rPr>
            </w:pPr>
            <w:r>
              <w:rPr>
                <w:szCs w:val="24"/>
              </w:rPr>
              <w:lastRenderedPageBreak/>
              <w:t>Netaikoma</w:t>
            </w:r>
            <w:r>
              <w:t xml:space="preserve">. </w:t>
            </w:r>
            <w:r>
              <w:rPr>
                <w:szCs w:val="24"/>
                <w:lang w:val="lt"/>
              </w:rPr>
              <w:t>Pagrindimo dokumentai neteikiami.</w:t>
            </w:r>
          </w:p>
        </w:tc>
      </w:tr>
      <w:tr w:rsidR="0092645B" w14:paraId="2DCEBA23" w14:textId="77777777">
        <w:tc>
          <w:tcPr>
            <w:tcW w:w="4225" w:type="dxa"/>
          </w:tcPr>
          <w:p w14:paraId="5B79BB21" w14:textId="77777777" w:rsidR="0092645B" w:rsidRDefault="00E93B4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244" w:type="dxa"/>
          </w:tcPr>
          <w:p w14:paraId="680CDAF8" w14:textId="77777777" w:rsidR="0092645B" w:rsidRDefault="00E93B47">
            <w:pPr>
              <w:tabs>
                <w:tab w:val="left" w:pos="1245"/>
              </w:tabs>
              <w:jc w:val="both"/>
              <w:rPr>
                <w:bCs/>
                <w:szCs w:val="24"/>
              </w:rPr>
            </w:pPr>
            <w:r>
              <w:rPr>
                <w:bCs/>
                <w:szCs w:val="24"/>
              </w:rPr>
              <w:t xml:space="preserve">Vertinama, kad </w:t>
            </w:r>
            <w:r>
              <w:rPr>
                <w:szCs w:val="24"/>
              </w:rPr>
              <w:t xml:space="preserve">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w:t>
            </w:r>
          </w:p>
          <w:p w14:paraId="50395135" w14:textId="77777777" w:rsidR="0092645B" w:rsidRDefault="00E93B47">
            <w:pPr>
              <w:jc w:val="both"/>
              <w:rPr>
                <w:szCs w:val="24"/>
              </w:rPr>
            </w:pPr>
            <w:r>
              <w:rPr>
                <w:szCs w:val="24"/>
              </w:rPr>
              <w:t>Planuojamos investicijos į visai netaršių lengvojo transporto priemonių įsigijimo skatinimą neturės jokio neigiamo tiesioginio ar netiesioginio poveikio žiedinės ekonomikos, įskaitant atliekų prevenciją ir perdirbimą, tikslui, nes:</w:t>
            </w:r>
          </w:p>
          <w:p w14:paraId="41ED346C" w14:textId="77777777" w:rsidR="0092645B" w:rsidRDefault="00E93B47">
            <w:pPr>
              <w:jc w:val="both"/>
            </w:pPr>
            <w:r>
              <w:rPr>
                <w:szCs w:val="24"/>
              </w:rPr>
              <w:t xml:space="preserve">- </w:t>
            </w:r>
            <w:r>
              <w:t>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w:t>
            </w:r>
          </w:p>
          <w:p w14:paraId="4400E8BA" w14:textId="77777777" w:rsidR="0092645B" w:rsidRDefault="00E93B47">
            <w:pPr>
              <w:jc w:val="both"/>
              <w:rPr>
                <w:szCs w:val="24"/>
              </w:rPr>
            </w:pPr>
            <w:r>
              <w:lastRenderedPageBreak/>
              <w:t>-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tc>
        <w:tc>
          <w:tcPr>
            <w:tcW w:w="5954" w:type="dxa"/>
          </w:tcPr>
          <w:p w14:paraId="71ED0B13" w14:textId="77777777" w:rsidR="0092645B" w:rsidRDefault="00E93B47">
            <w:pPr>
              <w:jc w:val="both"/>
              <w:rPr>
                <w:rFonts w:eastAsia="Calibri"/>
                <w:szCs w:val="24"/>
              </w:rPr>
            </w:pPr>
            <w:r>
              <w:rPr>
                <w:rFonts w:eastAsia="Calibri"/>
                <w:szCs w:val="24"/>
              </w:rPr>
              <w:lastRenderedPageBreak/>
              <w:t xml:space="preserve">Vadovaudamasis atliekų prevenciją ir tvarkymą reglamentuojančių teisės aktų nuostatomis, atliekų turėtojas privalo </w:t>
            </w:r>
            <w:r>
              <w:rPr>
                <w:szCs w:val="24"/>
              </w:rPr>
              <w:t xml:space="preserve">rūšiuoti atliekas jų susidarymo vietoje atsižvelgdamas į atliekų rūšį ir pobūdį, nemaišyti su kitomis atliekomis ar medžiagomis ir perduoti jas atliekų tvarkytojui. </w:t>
            </w:r>
            <w:r>
              <w:rPr>
                <w:szCs w:val="24"/>
                <w:lang w:val="lt"/>
              </w:rPr>
              <w:t>Pagrindimo dokumentai neteikiami.</w:t>
            </w:r>
          </w:p>
        </w:tc>
      </w:tr>
      <w:tr w:rsidR="0092645B" w14:paraId="79070C0C" w14:textId="77777777">
        <w:tc>
          <w:tcPr>
            <w:tcW w:w="4225" w:type="dxa"/>
          </w:tcPr>
          <w:p w14:paraId="6EC78948" w14:textId="77777777" w:rsidR="0092645B" w:rsidRDefault="00E93B4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244" w:type="dxa"/>
          </w:tcPr>
          <w:p w14:paraId="77EA94AD" w14:textId="77777777" w:rsidR="0092645B" w:rsidRDefault="00E93B47">
            <w:pPr>
              <w:jc w:val="both"/>
            </w:pPr>
            <w:r>
              <w:t xml:space="preserve">Vertinama, kad </w:t>
            </w:r>
            <w:r>
              <w:rPr>
                <w:szCs w:val="24"/>
              </w:rPr>
              <w:t xml:space="preserve">skatinamas visai netaršių lengvojo transporto priemonių įsigijimas </w:t>
            </w:r>
            <w:r>
              <w:t>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7D56A50F" w14:textId="77777777" w:rsidR="0092645B" w:rsidRDefault="00E93B47">
            <w:pPr>
              <w:jc w:val="both"/>
              <w:rPr>
                <w:szCs w:val="24"/>
              </w:rPr>
            </w:pPr>
            <w:r>
              <w:rPr>
                <w:szCs w:val="24"/>
              </w:rPr>
              <w:t>Planuojamos investicijos į visai netaršių lengvojo transporto priemonių įsigijimo skatinimą neturės jokio neigiamo tiesioginio ar netiesioginio poveikio šiam aplinkos tikslui, nes:</w:t>
            </w:r>
          </w:p>
          <w:p w14:paraId="0007262A" w14:textId="77777777" w:rsidR="0092645B" w:rsidRDefault="00E93B47">
            <w:pPr>
              <w:jc w:val="both"/>
              <w:rPr>
                <w:szCs w:val="24"/>
              </w:rPr>
            </w:pPr>
            <w:r>
              <w:rPr>
                <w:szCs w:val="24"/>
              </w:rPr>
              <w:t>- t</w:t>
            </w:r>
            <w:r>
              <w:t>ransporto priemonės atitinka 2009 m. balandžio 23 d. Europos Parlamento ir Tarybos direktyvos 2009/33/EB dėl skatinimo naudoti netaršias kelių transporto priemones ir taip remti mažataršį judumą priedo 2 lentelėje nustatytas netaršių lengvųjų transporto priemonių išmetamų teršalų kiekio ribines vertes;</w:t>
            </w:r>
          </w:p>
          <w:p w14:paraId="2D4FDA86" w14:textId="77777777" w:rsidR="0092645B" w:rsidRDefault="00E93B47">
            <w:pPr>
              <w:jc w:val="both"/>
              <w:rPr>
                <w:rFonts w:eastAsia="Calibri"/>
                <w:bCs/>
                <w:szCs w:val="24"/>
              </w:rPr>
            </w:pPr>
            <w:r>
              <w:t xml:space="preserve">- M ir N kategorijų kelių transporto priemonių atveju padangos atitinka aukščiausios klasės padangoms taikomus išorinio riedėjimo triukšmo reikalavimus ir dviejų aukščiausių klasių padangoms taikomą riedėjimo varžos koeficientą (darantį įtaką energijos vartojimo efektyvumui), nustatytą </w:t>
            </w:r>
            <w:r>
              <w:rPr>
                <w:szCs w:val="24"/>
              </w:rPr>
              <w:t xml:space="preserve">2020 m. gegužės 25 d. Europos Parlamento ir Tarybos reglamente </w:t>
            </w:r>
            <w:r>
              <w:rPr>
                <w:szCs w:val="24"/>
              </w:rPr>
              <w:lastRenderedPageBreak/>
              <w:t>(ES) 2020/740 dėl padangų ženklinimo pagal degalų naudojimo efektyvumą ir kitus parametrus, kuriuo iš dalies keičiamas Reglamentas (ES) 2017/1369 ir panaikinamas Reglamentas (EB) Nr. 1222/2009</w:t>
            </w:r>
            <w:r>
              <w:t>, kurį taip pat galima patikrinti Europos gaminių energijos vartojimo efektyvumo ženklinimo duomenų bazėje (EPREL)</w:t>
            </w:r>
            <w:r>
              <w:rPr>
                <w:szCs w:val="24"/>
              </w:rPr>
              <w:t>.</w:t>
            </w:r>
          </w:p>
        </w:tc>
        <w:tc>
          <w:tcPr>
            <w:tcW w:w="5954" w:type="dxa"/>
          </w:tcPr>
          <w:p w14:paraId="6B7F022C" w14:textId="77777777" w:rsidR="0092645B" w:rsidRDefault="00E93B47">
            <w:pPr>
              <w:tabs>
                <w:tab w:val="left" w:pos="556"/>
              </w:tabs>
              <w:jc w:val="both"/>
              <w:rPr>
                <w:szCs w:val="24"/>
              </w:rPr>
            </w:pPr>
            <w:r>
              <w:rPr>
                <w:szCs w:val="24"/>
              </w:rPr>
              <w:lastRenderedPageBreak/>
              <w:t>JP projekto finansuojama veikla ir rezultatas – įsigytos ir Lietuvoje registruotos visai netaršios lengvojo transporto priemonės</w:t>
            </w:r>
            <w:r>
              <w:rPr>
                <w:iCs/>
                <w:szCs w:val="24"/>
              </w:rPr>
              <w:t xml:space="preserve"> neturės</w:t>
            </w:r>
            <w:r>
              <w:rPr>
                <w:bCs/>
                <w:szCs w:val="24"/>
              </w:rPr>
              <w:t xml:space="preserve"> jokio neigiamo tiesioginio ar netiesioginio poveikio orui, vandeniui ar žemei</w:t>
            </w:r>
            <w:r>
              <w:rPr>
                <w:szCs w:val="24"/>
              </w:rPr>
              <w:t>.</w:t>
            </w:r>
          </w:p>
          <w:p w14:paraId="02834202" w14:textId="77777777" w:rsidR="0092645B" w:rsidRDefault="00E93B47">
            <w:pPr>
              <w:tabs>
                <w:tab w:val="left" w:pos="556"/>
              </w:tabs>
              <w:jc w:val="both"/>
              <w:rPr>
                <w:szCs w:val="24"/>
              </w:rPr>
            </w:pPr>
            <w:r>
              <w:rPr>
                <w:szCs w:val="24"/>
              </w:rPr>
              <w:t xml:space="preserve">Kartu su paraiška pareiškėjas teiks apraše ir (ar) kvietime teikti paraiškas nurodytus visai </w:t>
            </w:r>
            <w:r>
              <w:rPr>
                <w:rFonts w:eastAsia="Calibri"/>
                <w:iCs/>
                <w:szCs w:val="24"/>
              </w:rPr>
              <w:t>netaršių lengvojo transporto priemonių įsigijimą</w:t>
            </w:r>
            <w:r>
              <w:rPr>
                <w:szCs w:val="24"/>
              </w:rPr>
              <w:t xml:space="preserve"> įrodančius dokumentus.</w:t>
            </w:r>
          </w:p>
          <w:p w14:paraId="0087E91F" w14:textId="77777777" w:rsidR="0092645B" w:rsidRDefault="0092645B">
            <w:pPr>
              <w:tabs>
                <w:tab w:val="left" w:pos="556"/>
              </w:tabs>
              <w:jc w:val="both"/>
              <w:rPr>
                <w:rFonts w:eastAsia="Calibri"/>
                <w:szCs w:val="24"/>
              </w:rPr>
            </w:pPr>
          </w:p>
        </w:tc>
      </w:tr>
      <w:tr w:rsidR="0092645B" w14:paraId="1777DF13" w14:textId="77777777">
        <w:tc>
          <w:tcPr>
            <w:tcW w:w="4225" w:type="dxa"/>
          </w:tcPr>
          <w:p w14:paraId="1E662BA1" w14:textId="77777777" w:rsidR="0092645B" w:rsidRDefault="00E93B4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244" w:type="dxa"/>
          </w:tcPr>
          <w:p w14:paraId="50A48F49" w14:textId="77777777" w:rsidR="0092645B" w:rsidRDefault="00E93B47">
            <w:pPr>
              <w:jc w:val="both"/>
              <w:rPr>
                <w:bCs/>
                <w:szCs w:val="24"/>
              </w:rPr>
            </w:pPr>
            <w:r>
              <w:rPr>
                <w:bCs/>
                <w:szCs w:val="24"/>
              </w:rPr>
              <w:t xml:space="preserve">Vertinama, kad </w:t>
            </w:r>
            <w:r>
              <w:rPr>
                <w:szCs w:val="24"/>
              </w:rPr>
              <w:t xml:space="preserve">skatinamas visai netaršių lengvojo transporto priemonių įsigijimas </w:t>
            </w:r>
            <w:r>
              <w:rPr>
                <w:bCs/>
                <w:szCs w:val="24"/>
              </w:rPr>
              <w:t>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5419CE84" w14:textId="77777777" w:rsidR="0092645B" w:rsidRDefault="00E93B47">
            <w:pPr>
              <w:jc w:val="both"/>
              <w:rPr>
                <w:rFonts w:eastAsia="Calibri"/>
                <w:bCs/>
                <w:iCs/>
                <w:szCs w:val="24"/>
              </w:rPr>
            </w:pPr>
            <w:r>
              <w:rPr>
                <w:szCs w:val="24"/>
              </w:rPr>
              <w:t>Nenumatoma, kad investicijos į visai netaršių lengvojo transporto priemonių įsigijimo skatinimą turės neigiamą įtaką biologinės įvairovės ir ekosistemų apsaugos ir atkūrimo tikslui</w:t>
            </w:r>
            <w:r>
              <w:rPr>
                <w:i/>
                <w:szCs w:val="24"/>
              </w:rPr>
              <w:t>.</w:t>
            </w:r>
          </w:p>
        </w:tc>
        <w:tc>
          <w:tcPr>
            <w:tcW w:w="5954" w:type="dxa"/>
          </w:tcPr>
          <w:p w14:paraId="7D14867A" w14:textId="77777777" w:rsidR="0092645B" w:rsidRDefault="00E93B47">
            <w:pPr>
              <w:ind w:left="30"/>
              <w:jc w:val="both"/>
              <w:rPr>
                <w:szCs w:val="24"/>
              </w:rPr>
            </w:pPr>
            <w:r>
              <w:rPr>
                <w:rFonts w:eastAsia="Calibri"/>
              </w:rPr>
              <w:t>2021 m. birželio 4 d. Komisijos deleguotojo Reglamento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 ir II priedų  6.5 skirsnio „</w:t>
            </w:r>
            <w:r>
              <w:t>Vežimas motociklais, keleiviniais automobiliais ir lengvosiomis komercinėmis transporto priemonėmis“ reikšmingos žalos nedarymo kriterijus</w:t>
            </w:r>
            <w:r>
              <w:rPr>
                <w:color w:val="C00000"/>
                <w:szCs w:val="24"/>
              </w:rPr>
              <w:t xml:space="preserve"> </w:t>
            </w:r>
            <w:r>
              <w:rPr>
                <w:szCs w:val="24"/>
              </w:rPr>
              <w:t>„</w:t>
            </w:r>
            <w:r>
              <w:rPr>
                <w:rFonts w:eastAsia="Calibri"/>
                <w:szCs w:val="24"/>
              </w:rPr>
              <w:t>Biologinės įvairovės ir ekosistemų apsauga ir atkūrimas“</w:t>
            </w:r>
            <w:r>
              <w:rPr>
                <w:szCs w:val="24"/>
              </w:rPr>
              <w:t xml:space="preserve"> netaikomas</w:t>
            </w:r>
            <w:r>
              <w:t xml:space="preserve">. </w:t>
            </w:r>
            <w:r>
              <w:rPr>
                <w:szCs w:val="24"/>
                <w:lang w:val="lt"/>
              </w:rPr>
              <w:t>Pagrindimo dokumentai neteikiami.</w:t>
            </w:r>
          </w:p>
        </w:tc>
      </w:tr>
    </w:tbl>
    <w:p w14:paraId="6CB58CFA" w14:textId="77777777" w:rsidR="0092645B" w:rsidRDefault="00E93B47">
      <w:pPr>
        <w:tabs>
          <w:tab w:val="left" w:pos="4740"/>
        </w:tabs>
        <w:jc w:val="center"/>
        <w:rPr>
          <w:szCs w:val="24"/>
        </w:rPr>
      </w:pPr>
      <w:r>
        <w:rPr>
          <w:rFonts w:eastAsia="Calibri"/>
          <w:szCs w:val="24"/>
        </w:rPr>
        <w:t>______________________________</w:t>
      </w:r>
    </w:p>
    <w:sectPr w:rsidR="0092645B">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C7A3" w14:textId="77777777" w:rsidR="0092645B" w:rsidRDefault="00E93B47">
      <w:pPr>
        <w:rPr>
          <w:sz w:val="22"/>
          <w:szCs w:val="22"/>
        </w:rPr>
      </w:pPr>
      <w:r>
        <w:rPr>
          <w:sz w:val="22"/>
          <w:szCs w:val="22"/>
        </w:rPr>
        <w:separator/>
      </w:r>
    </w:p>
  </w:endnote>
  <w:endnote w:type="continuationSeparator" w:id="0">
    <w:p w14:paraId="7577B9AB" w14:textId="77777777" w:rsidR="0092645B" w:rsidRDefault="00E93B47">
      <w:pPr>
        <w:rPr>
          <w:sz w:val="22"/>
          <w:szCs w:val="22"/>
        </w:rPr>
      </w:pPr>
      <w:r>
        <w:rPr>
          <w:sz w:val="22"/>
          <w:szCs w:val="22"/>
        </w:rPr>
        <w:continuationSeparator/>
      </w:r>
    </w:p>
  </w:endnote>
  <w:endnote w:type="continuationNotice" w:id="1">
    <w:p w14:paraId="59DE1E3E" w14:textId="77777777" w:rsidR="0092645B" w:rsidRDefault="0092645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B303" w14:textId="77777777" w:rsidR="0092645B" w:rsidRDefault="009264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83FB" w14:textId="77777777" w:rsidR="0092645B" w:rsidRDefault="009264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0E1C" w14:textId="77777777" w:rsidR="0092645B" w:rsidRDefault="0092645B">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6A29" w14:textId="77777777" w:rsidR="0092645B" w:rsidRDefault="0092645B">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8E77" w14:textId="77777777" w:rsidR="0092645B" w:rsidRDefault="0092645B">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3123" w14:textId="77777777" w:rsidR="0092645B" w:rsidRDefault="0092645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520D" w14:textId="77777777" w:rsidR="0092645B" w:rsidRDefault="00E93B47">
      <w:pPr>
        <w:rPr>
          <w:sz w:val="22"/>
          <w:szCs w:val="22"/>
        </w:rPr>
      </w:pPr>
      <w:r>
        <w:rPr>
          <w:sz w:val="22"/>
          <w:szCs w:val="22"/>
        </w:rPr>
        <w:separator/>
      </w:r>
    </w:p>
  </w:footnote>
  <w:footnote w:type="continuationSeparator" w:id="0">
    <w:p w14:paraId="1D2B89C0" w14:textId="77777777" w:rsidR="0092645B" w:rsidRDefault="00E93B47">
      <w:pPr>
        <w:rPr>
          <w:sz w:val="22"/>
          <w:szCs w:val="22"/>
        </w:rPr>
      </w:pPr>
      <w:r>
        <w:rPr>
          <w:sz w:val="22"/>
          <w:szCs w:val="22"/>
        </w:rPr>
        <w:continuationSeparator/>
      </w:r>
    </w:p>
  </w:footnote>
  <w:footnote w:type="continuationNotice" w:id="1">
    <w:p w14:paraId="657B3134" w14:textId="77777777" w:rsidR="0092645B" w:rsidRDefault="0092645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EF6A" w14:textId="77777777" w:rsidR="0092645B" w:rsidRDefault="009264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A6D8" w14:textId="77777777" w:rsidR="0092645B" w:rsidRDefault="00E93B47">
    <w:pPr>
      <w:tabs>
        <w:tab w:val="center" w:pos="4819"/>
        <w:tab w:val="right" w:pos="9638"/>
      </w:tabs>
      <w:jc w:val="center"/>
    </w:pPr>
    <w:r>
      <w:fldChar w:fldCharType="begin"/>
    </w:r>
    <w:r>
      <w:instrText>PAGE   \* MERGEFORMAT</w:instrText>
    </w:r>
    <w:r>
      <w:fldChar w:fldCharType="separate"/>
    </w:r>
    <w:r>
      <w:rPr>
        <w:noProof/>
      </w:rPr>
      <w:t>2</w:t>
    </w:r>
    <w:r>
      <w:fldChar w:fldCharType="end"/>
    </w:r>
  </w:p>
  <w:p w14:paraId="503595D1" w14:textId="77777777" w:rsidR="0092645B" w:rsidRDefault="0092645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3BBF" w14:textId="77777777" w:rsidR="0092645B" w:rsidRDefault="0092645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EF76" w14:textId="77777777" w:rsidR="0092645B" w:rsidRDefault="0092645B">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F23" w14:textId="77777777" w:rsidR="0092645B" w:rsidRDefault="00E93B4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5</w:t>
    </w:r>
    <w:r>
      <w:rPr>
        <w:szCs w:val="22"/>
      </w:rPr>
      <w:fldChar w:fldCharType="end"/>
    </w:r>
  </w:p>
  <w:p w14:paraId="4A5B51E5" w14:textId="77777777" w:rsidR="0092645B" w:rsidRDefault="0092645B">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33C" w14:textId="77777777" w:rsidR="0092645B" w:rsidRDefault="0092645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785AAE"/>
    <w:rsid w:val="0092645B"/>
    <w:rsid w:val="00A361B0"/>
    <w:rsid w:val="00E9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4A31"/>
  <w15:docId w15:val="{EDD444DA-CA7A-4371-992D-68FD881B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49117931">
      <w:bodyDiv w:val="1"/>
      <w:marLeft w:val="0"/>
      <w:marRight w:val="0"/>
      <w:marTop w:val="0"/>
      <w:marBottom w:val="0"/>
      <w:divBdr>
        <w:top w:val="none" w:sz="0" w:space="0" w:color="auto"/>
        <w:left w:val="none" w:sz="0" w:space="0" w:color="auto"/>
        <w:bottom w:val="none" w:sz="0" w:space="0" w:color="auto"/>
        <w:right w:val="none" w:sz="0" w:space="0" w:color="auto"/>
      </w:divBdr>
    </w:div>
    <w:div w:id="277873872">
      <w:bodyDiv w:val="1"/>
      <w:marLeft w:val="0"/>
      <w:marRight w:val="0"/>
      <w:marTop w:val="0"/>
      <w:marBottom w:val="0"/>
      <w:divBdr>
        <w:top w:val="none" w:sz="0" w:space="0" w:color="auto"/>
        <w:left w:val="none" w:sz="0" w:space="0" w:color="auto"/>
        <w:bottom w:val="none" w:sz="0" w:space="0" w:color="auto"/>
        <w:right w:val="none" w:sz="0" w:space="0" w:color="auto"/>
      </w:divBdr>
    </w:div>
    <w:div w:id="73971460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3920261">
      <w:bodyDiv w:val="1"/>
      <w:marLeft w:val="0"/>
      <w:marRight w:val="0"/>
      <w:marTop w:val="0"/>
      <w:marBottom w:val="0"/>
      <w:divBdr>
        <w:top w:val="none" w:sz="0" w:space="0" w:color="auto"/>
        <w:left w:val="none" w:sz="0" w:space="0" w:color="auto"/>
        <w:bottom w:val="none" w:sz="0" w:space="0" w:color="auto"/>
        <w:right w:val="none" w:sz="0" w:space="0" w:color="auto"/>
      </w:divBdr>
    </w:div>
    <w:div w:id="1110586280">
      <w:bodyDiv w:val="1"/>
      <w:marLeft w:val="0"/>
      <w:marRight w:val="0"/>
      <w:marTop w:val="0"/>
      <w:marBottom w:val="0"/>
      <w:divBdr>
        <w:top w:val="none" w:sz="0" w:space="0" w:color="auto"/>
        <w:left w:val="none" w:sz="0" w:space="0" w:color="auto"/>
        <w:bottom w:val="none" w:sz="0" w:space="0" w:color="auto"/>
        <w:right w:val="none" w:sz="0" w:space="0" w:color="auto"/>
      </w:divBdr>
      <w:divsChild>
        <w:div w:id="1558979428">
          <w:marLeft w:val="0"/>
          <w:marRight w:val="0"/>
          <w:marTop w:val="0"/>
          <w:marBottom w:val="0"/>
          <w:divBdr>
            <w:top w:val="none" w:sz="0" w:space="0" w:color="auto"/>
            <w:left w:val="none" w:sz="0" w:space="0" w:color="auto"/>
            <w:bottom w:val="none" w:sz="0" w:space="0" w:color="auto"/>
            <w:right w:val="none" w:sz="0" w:space="0" w:color="auto"/>
          </w:divBdr>
        </w:div>
        <w:div w:id="1447314065">
          <w:marLeft w:val="0"/>
          <w:marRight w:val="0"/>
          <w:marTop w:val="0"/>
          <w:marBottom w:val="0"/>
          <w:divBdr>
            <w:top w:val="none" w:sz="0" w:space="0" w:color="auto"/>
            <w:left w:val="none" w:sz="0" w:space="0" w:color="auto"/>
            <w:bottom w:val="none" w:sz="0" w:space="0" w:color="auto"/>
            <w:right w:val="none" w:sz="0" w:space="0" w:color="auto"/>
          </w:divBdr>
        </w:div>
      </w:divsChild>
    </w:div>
    <w:div w:id="1113327663">
      <w:bodyDiv w:val="1"/>
      <w:marLeft w:val="0"/>
      <w:marRight w:val="0"/>
      <w:marTop w:val="0"/>
      <w:marBottom w:val="0"/>
      <w:divBdr>
        <w:top w:val="none" w:sz="0" w:space="0" w:color="auto"/>
        <w:left w:val="none" w:sz="0" w:space="0" w:color="auto"/>
        <w:bottom w:val="none" w:sz="0" w:space="0" w:color="auto"/>
        <w:right w:val="none" w:sz="0" w:space="0" w:color="auto"/>
      </w:divBdr>
    </w:div>
    <w:div w:id="1127507506">
      <w:bodyDiv w:val="1"/>
      <w:marLeft w:val="0"/>
      <w:marRight w:val="0"/>
      <w:marTop w:val="0"/>
      <w:marBottom w:val="0"/>
      <w:divBdr>
        <w:top w:val="none" w:sz="0" w:space="0" w:color="auto"/>
        <w:left w:val="none" w:sz="0" w:space="0" w:color="auto"/>
        <w:bottom w:val="none" w:sz="0" w:space="0" w:color="auto"/>
        <w:right w:val="none" w:sz="0" w:space="0" w:color="auto"/>
      </w:divBdr>
    </w:div>
    <w:div w:id="1554612137">
      <w:bodyDiv w:val="1"/>
      <w:marLeft w:val="0"/>
      <w:marRight w:val="0"/>
      <w:marTop w:val="0"/>
      <w:marBottom w:val="0"/>
      <w:divBdr>
        <w:top w:val="none" w:sz="0" w:space="0" w:color="auto"/>
        <w:left w:val="none" w:sz="0" w:space="0" w:color="auto"/>
        <w:bottom w:val="none" w:sz="0" w:space="0" w:color="auto"/>
        <w:right w:val="none" w:sz="0" w:space="0" w:color="auto"/>
      </w:divBdr>
    </w:div>
    <w:div w:id="1740865028">
      <w:bodyDiv w:val="1"/>
      <w:marLeft w:val="0"/>
      <w:marRight w:val="0"/>
      <w:marTop w:val="0"/>
      <w:marBottom w:val="0"/>
      <w:divBdr>
        <w:top w:val="none" w:sz="0" w:space="0" w:color="auto"/>
        <w:left w:val="none" w:sz="0" w:space="0" w:color="auto"/>
        <w:bottom w:val="none" w:sz="0" w:space="0" w:color="auto"/>
        <w:right w:val="none" w:sz="0" w:space="0" w:color="auto"/>
      </w:divBdr>
    </w:div>
    <w:div w:id="1770392552">
      <w:bodyDiv w:val="1"/>
      <w:marLeft w:val="0"/>
      <w:marRight w:val="0"/>
      <w:marTop w:val="0"/>
      <w:marBottom w:val="0"/>
      <w:divBdr>
        <w:top w:val="none" w:sz="0" w:space="0" w:color="auto"/>
        <w:left w:val="none" w:sz="0" w:space="0" w:color="auto"/>
        <w:bottom w:val="none" w:sz="0" w:space="0" w:color="auto"/>
        <w:right w:val="none" w:sz="0" w:space="0" w:color="auto"/>
      </w:divBdr>
    </w:div>
    <w:div w:id="17999076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82168064">
      <w:bodyDiv w:val="1"/>
      <w:marLeft w:val="0"/>
      <w:marRight w:val="0"/>
      <w:marTop w:val="0"/>
      <w:marBottom w:val="0"/>
      <w:divBdr>
        <w:top w:val="none" w:sz="0" w:space="0" w:color="auto"/>
        <w:left w:val="none" w:sz="0" w:space="0" w:color="auto"/>
        <w:bottom w:val="none" w:sz="0" w:space="0" w:color="auto"/>
        <w:right w:val="none" w:sz="0" w:space="0" w:color="auto"/>
      </w:divBdr>
    </w:div>
    <w:div w:id="2104721339">
      <w:bodyDiv w:val="1"/>
      <w:marLeft w:val="0"/>
      <w:marRight w:val="0"/>
      <w:marTop w:val="0"/>
      <w:marBottom w:val="0"/>
      <w:divBdr>
        <w:top w:val="none" w:sz="0" w:space="0" w:color="auto"/>
        <w:left w:val="none" w:sz="0" w:space="0" w:color="auto"/>
        <w:bottom w:val="none" w:sz="0" w:space="0" w:color="auto"/>
        <w:right w:val="none" w:sz="0" w:space="0" w:color="auto"/>
      </w:divBdr>
    </w:div>
    <w:div w:id="211427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EC0B-8251-42A8-9DFB-C99A29E07922}">
  <ds:schemaRefs>
    <ds:schemaRef ds:uri="http://schemas.openxmlformats.org/officeDocument/2006/bibliography"/>
  </ds:schemaRefs>
</ds:datastoreItem>
</file>

<file path=customXml/itemProps3.xml><?xml version="1.0" encoding="utf-8"?>
<ds:datastoreItem xmlns:ds="http://schemas.openxmlformats.org/officeDocument/2006/customXml" ds:itemID="{965F54CC-301E-409E-B65C-4B7306857BC1}">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24589</Words>
  <Characters>14016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Eglė Stančikaitė</cp:lastModifiedBy>
  <cp:revision>2</cp:revision>
  <dcterms:created xsi:type="dcterms:W3CDTF">2023-05-24T09:22:00Z</dcterms:created>
  <dcterms:modified xsi:type="dcterms:W3CDTF">2023-05-24T09:22:00Z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