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62" w14:textId="4AFA90BA" w:rsidR="000E1BDC" w:rsidRPr="008910FE" w:rsidRDefault="002F0078" w:rsidP="00E93301">
      <w:pPr>
        <w:jc w:val="center"/>
        <w:rPr>
          <w:rFonts w:ascii="Times New Roman" w:hAnsi="Times New Roman" w:cs="Times New Roman"/>
          <w:b/>
        </w:rPr>
      </w:pPr>
      <w:r>
        <w:rPr>
          <w:rFonts w:ascii="Times New Roman" w:hAnsi="Times New Roman" w:cs="Times New Roman"/>
          <w:b/>
        </w:rPr>
        <w:t>NAUDOS IR KOKYBĖS VERTINIMO</w:t>
      </w:r>
      <w:r w:rsidR="008910FE" w:rsidRPr="008910FE">
        <w:rPr>
          <w:rFonts w:ascii="Times New Roman" w:hAnsi="Times New Roman" w:cs="Times New Roman"/>
          <w:b/>
        </w:rPr>
        <w:t xml:space="preserve">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4596" w:type="dxa"/>
        <w:tblLook w:val="04A0" w:firstRow="1" w:lastRow="0" w:firstColumn="1" w:lastColumn="0" w:noHBand="0" w:noVBand="1"/>
      </w:tblPr>
      <w:tblGrid>
        <w:gridCol w:w="3539"/>
        <w:gridCol w:w="11057"/>
      </w:tblGrid>
      <w:tr w:rsidR="00B351D0" w:rsidRPr="007C7A59" w14:paraId="324F7CBB" w14:textId="77777777" w:rsidTr="003125E8">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11057" w:type="dxa"/>
          </w:tcPr>
          <w:p w14:paraId="09E85D49" w14:textId="6FD8BFE8" w:rsidR="00B351D0" w:rsidRPr="008D18C8" w:rsidRDefault="00B351D0" w:rsidP="00E93301">
            <w:pPr>
              <w:spacing w:after="120"/>
              <w:rPr>
                <w:rFonts w:ascii="Times New Roman" w:hAnsi="Times New Roman" w:cs="Times New Roman"/>
              </w:rPr>
            </w:pPr>
          </w:p>
        </w:tc>
      </w:tr>
      <w:tr w:rsidR="00B351D0" w:rsidRPr="007C7A59" w14:paraId="69A47D95" w14:textId="77777777" w:rsidTr="003125E8">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11057" w:type="dxa"/>
          </w:tcPr>
          <w:p w14:paraId="7D24036E" w14:textId="694715F3" w:rsidR="00B351D0" w:rsidRPr="008D18C8" w:rsidRDefault="00B351D0" w:rsidP="00E93301">
            <w:pPr>
              <w:spacing w:after="120"/>
              <w:rPr>
                <w:rFonts w:ascii="Times New Roman" w:hAnsi="Times New Roman" w:cs="Times New Roman"/>
              </w:rPr>
            </w:pPr>
          </w:p>
        </w:tc>
      </w:tr>
      <w:tr w:rsidR="001D355E" w:rsidRPr="007C7A59" w14:paraId="72579DC4" w14:textId="77777777" w:rsidTr="003125E8">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11057" w:type="dxa"/>
          </w:tcPr>
          <w:p w14:paraId="4AEC9D33" w14:textId="6721F00E" w:rsidR="001D355E" w:rsidRPr="008D18C8" w:rsidRDefault="001D355E" w:rsidP="00E93301">
            <w:pPr>
              <w:spacing w:after="120"/>
              <w:rPr>
                <w:rFonts w:ascii="Times New Roman" w:hAnsi="Times New Roman" w:cs="Times New Roman"/>
              </w:rPr>
            </w:pPr>
          </w:p>
        </w:tc>
      </w:tr>
    </w:tbl>
    <w:p w14:paraId="027A7495" w14:textId="761852F1" w:rsidR="0079046B" w:rsidRDefault="001D355E" w:rsidP="00047D1C">
      <w:pPr>
        <w:pStyle w:val="Heading1"/>
        <w:numPr>
          <w:ilvl w:val="0"/>
          <w:numId w:val="2"/>
        </w:numPr>
      </w:pPr>
      <w:r w:rsidRPr="007C7A59">
        <w:t>PATIKROS KLAUSIMAI</w:t>
      </w:r>
    </w:p>
    <w:tbl>
      <w:tblPr>
        <w:tblW w:w="5000" w:type="pct"/>
        <w:tblLayout w:type="fixed"/>
        <w:tblCellMar>
          <w:top w:w="15" w:type="dxa"/>
          <w:bottom w:w="15" w:type="dxa"/>
        </w:tblCellMar>
        <w:tblLook w:val="04A0" w:firstRow="1" w:lastRow="0" w:firstColumn="1" w:lastColumn="0" w:noHBand="0" w:noVBand="1"/>
      </w:tblPr>
      <w:tblGrid>
        <w:gridCol w:w="422"/>
        <w:gridCol w:w="1698"/>
        <w:gridCol w:w="6668"/>
        <w:gridCol w:w="990"/>
        <w:gridCol w:w="850"/>
        <w:gridCol w:w="993"/>
        <w:gridCol w:w="990"/>
        <w:gridCol w:w="993"/>
        <w:gridCol w:w="955"/>
      </w:tblGrid>
      <w:tr w:rsidR="00E12105" w:rsidRPr="002F0078" w14:paraId="056CAE02" w14:textId="77777777" w:rsidTr="00A10522">
        <w:trPr>
          <w:trHeight w:val="915"/>
        </w:trPr>
        <w:tc>
          <w:tcPr>
            <w:tcW w:w="145" w:type="pct"/>
            <w:tcBorders>
              <w:top w:val="single" w:sz="4" w:space="0" w:color="auto"/>
              <w:left w:val="single" w:sz="4" w:space="0" w:color="auto"/>
              <w:bottom w:val="nil"/>
              <w:right w:val="single" w:sz="4" w:space="0" w:color="auto"/>
            </w:tcBorders>
            <w:shd w:val="clear" w:color="000000" w:fill="D9D9D9"/>
            <w:hideMark/>
          </w:tcPr>
          <w:p w14:paraId="7A53C4C0" w14:textId="77777777" w:rsidR="002F0078" w:rsidRPr="002F0078" w:rsidRDefault="002F0078" w:rsidP="002F0078">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Eil. Nr.</w:t>
            </w:r>
          </w:p>
        </w:tc>
        <w:tc>
          <w:tcPr>
            <w:tcW w:w="583" w:type="pct"/>
            <w:tcBorders>
              <w:top w:val="single" w:sz="4" w:space="0" w:color="auto"/>
              <w:left w:val="single" w:sz="4" w:space="0" w:color="auto"/>
              <w:bottom w:val="single" w:sz="4" w:space="0" w:color="auto"/>
              <w:right w:val="single" w:sz="4" w:space="0" w:color="auto"/>
            </w:tcBorders>
            <w:shd w:val="clear" w:color="000000" w:fill="D9D9D9"/>
            <w:hideMark/>
          </w:tcPr>
          <w:p w14:paraId="7AB00590" w14:textId="4543C8FD"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Kriterijus</w:t>
            </w:r>
          </w:p>
        </w:tc>
        <w:tc>
          <w:tcPr>
            <w:tcW w:w="2290" w:type="pct"/>
            <w:tcBorders>
              <w:top w:val="single" w:sz="4" w:space="0" w:color="auto"/>
              <w:left w:val="single" w:sz="4" w:space="0" w:color="auto"/>
              <w:bottom w:val="single" w:sz="4" w:space="0" w:color="auto"/>
              <w:right w:val="single" w:sz="4" w:space="0" w:color="auto"/>
            </w:tcBorders>
            <w:shd w:val="clear" w:color="000000" w:fill="D9D9D9"/>
            <w:hideMark/>
          </w:tcPr>
          <w:p w14:paraId="4DD26ECE" w14:textId="6CF15351"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Kriterijaus vertinimo</w:t>
            </w:r>
            <w:r w:rsidR="001A6072" w:rsidRPr="00EA4E9A">
              <w:rPr>
                <w:rFonts w:ascii="Times New Roman" w:eastAsia="Times New Roman" w:hAnsi="Times New Roman" w:cs="Times New Roman"/>
                <w:b/>
                <w:bCs/>
                <w:color w:val="000000"/>
                <w:lang w:eastAsia="lt-LT"/>
              </w:rPr>
              <w:t xml:space="preserve"> metodas</w:t>
            </w:r>
          </w:p>
        </w:tc>
        <w:tc>
          <w:tcPr>
            <w:tcW w:w="340" w:type="pct"/>
            <w:tcBorders>
              <w:top w:val="single" w:sz="4" w:space="0" w:color="auto"/>
              <w:left w:val="single" w:sz="4" w:space="0" w:color="auto"/>
              <w:bottom w:val="single" w:sz="4" w:space="0" w:color="auto"/>
              <w:right w:val="single" w:sz="4" w:space="0" w:color="auto"/>
            </w:tcBorders>
            <w:shd w:val="clear" w:color="000000" w:fill="D9D9D9"/>
            <w:hideMark/>
          </w:tcPr>
          <w:p w14:paraId="1CF1BAAA" w14:textId="77777777"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Didžiausias galimas kriterijaus balas</w:t>
            </w:r>
          </w:p>
        </w:tc>
        <w:tc>
          <w:tcPr>
            <w:tcW w:w="292" w:type="pct"/>
            <w:tcBorders>
              <w:top w:val="single" w:sz="4" w:space="0" w:color="auto"/>
              <w:left w:val="single" w:sz="4" w:space="0" w:color="auto"/>
              <w:bottom w:val="nil"/>
              <w:right w:val="single" w:sz="4" w:space="0" w:color="auto"/>
            </w:tcBorders>
            <w:shd w:val="clear" w:color="000000" w:fill="D9D9D9"/>
            <w:hideMark/>
          </w:tcPr>
          <w:p w14:paraId="0092DFD5" w14:textId="77777777"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Kriterijaus įvertinimas</w:t>
            </w:r>
          </w:p>
        </w:tc>
        <w:tc>
          <w:tcPr>
            <w:tcW w:w="341" w:type="pct"/>
            <w:tcBorders>
              <w:top w:val="single" w:sz="4" w:space="0" w:color="auto"/>
              <w:left w:val="single" w:sz="4" w:space="0" w:color="auto"/>
              <w:bottom w:val="nil"/>
              <w:right w:val="single" w:sz="4" w:space="0" w:color="auto"/>
            </w:tcBorders>
            <w:shd w:val="clear" w:color="000000" w:fill="D9D9D9"/>
            <w:hideMark/>
          </w:tcPr>
          <w:p w14:paraId="1DA19A37" w14:textId="412D0708" w:rsidR="002F0078" w:rsidRPr="00EA4E9A" w:rsidRDefault="001A6072"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Kriterijaus s</w:t>
            </w:r>
            <w:r w:rsidR="002F0078" w:rsidRPr="00EA4E9A">
              <w:rPr>
                <w:rFonts w:ascii="Times New Roman" w:eastAsia="Times New Roman" w:hAnsi="Times New Roman" w:cs="Times New Roman"/>
                <w:b/>
                <w:bCs/>
                <w:color w:val="000000"/>
                <w:lang w:eastAsia="lt-LT"/>
              </w:rPr>
              <w:t xml:space="preserve">vorio koeficientas </w:t>
            </w:r>
            <w:r w:rsidR="002F0078" w:rsidRPr="00EA4E9A">
              <w:rPr>
                <w:rFonts w:ascii="Times New Roman" w:eastAsia="Times New Roman" w:hAnsi="Times New Roman" w:cs="Times New Roman"/>
                <w:i/>
                <w:iCs/>
                <w:color w:val="000000"/>
                <w:lang w:eastAsia="lt-LT"/>
              </w:rPr>
              <w:t>(jei taikoma)</w:t>
            </w:r>
          </w:p>
        </w:tc>
        <w:tc>
          <w:tcPr>
            <w:tcW w:w="340" w:type="pct"/>
            <w:tcBorders>
              <w:top w:val="single" w:sz="4" w:space="0" w:color="auto"/>
              <w:left w:val="single" w:sz="4" w:space="0" w:color="auto"/>
              <w:bottom w:val="nil"/>
              <w:right w:val="single" w:sz="4" w:space="0" w:color="auto"/>
            </w:tcBorders>
            <w:shd w:val="clear" w:color="000000" w:fill="D9D9D9"/>
            <w:hideMark/>
          </w:tcPr>
          <w:p w14:paraId="5BA5ED6C" w14:textId="77777777"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Suteiktų balų skaičius</w:t>
            </w:r>
          </w:p>
        </w:tc>
        <w:tc>
          <w:tcPr>
            <w:tcW w:w="341" w:type="pct"/>
            <w:tcBorders>
              <w:top w:val="single" w:sz="4" w:space="0" w:color="auto"/>
              <w:left w:val="single" w:sz="4" w:space="0" w:color="auto"/>
              <w:bottom w:val="nil"/>
              <w:right w:val="single" w:sz="4" w:space="0" w:color="auto"/>
            </w:tcBorders>
            <w:shd w:val="clear" w:color="000000" w:fill="D9D9D9"/>
            <w:hideMark/>
          </w:tcPr>
          <w:p w14:paraId="07922B7B" w14:textId="77777777" w:rsidR="002F0078" w:rsidRPr="002F0078" w:rsidRDefault="002F0078" w:rsidP="002F0078">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Minimalus privalomas surinkti balų skaičius</w:t>
            </w:r>
          </w:p>
        </w:tc>
        <w:tc>
          <w:tcPr>
            <w:tcW w:w="328" w:type="pct"/>
            <w:tcBorders>
              <w:top w:val="single" w:sz="4" w:space="0" w:color="auto"/>
              <w:left w:val="single" w:sz="4" w:space="0" w:color="auto"/>
              <w:bottom w:val="nil"/>
              <w:right w:val="single" w:sz="4" w:space="0" w:color="auto"/>
            </w:tcBorders>
            <w:shd w:val="clear" w:color="000000" w:fill="D9D9D9"/>
            <w:hideMark/>
          </w:tcPr>
          <w:p w14:paraId="0D9AC462" w14:textId="77777777" w:rsidR="002F0078" w:rsidRPr="002F0078" w:rsidRDefault="002F0078" w:rsidP="002F0078">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Komentarai</w:t>
            </w:r>
          </w:p>
        </w:tc>
      </w:tr>
      <w:tr w:rsidR="000333E0" w:rsidRPr="002F0078" w14:paraId="76685C02" w14:textId="77777777" w:rsidTr="00A10522">
        <w:trPr>
          <w:trHeight w:val="1388"/>
        </w:trPr>
        <w:tc>
          <w:tcPr>
            <w:tcW w:w="145" w:type="pct"/>
            <w:tcBorders>
              <w:top w:val="single" w:sz="4" w:space="0" w:color="auto"/>
              <w:left w:val="single" w:sz="4" w:space="0" w:color="auto"/>
              <w:bottom w:val="nil"/>
              <w:right w:val="single" w:sz="4" w:space="0" w:color="auto"/>
            </w:tcBorders>
            <w:noWrap/>
            <w:hideMark/>
          </w:tcPr>
          <w:p w14:paraId="355C445D" w14:textId="20207D55" w:rsidR="000333E0" w:rsidRPr="002F0078" w:rsidRDefault="000333E0" w:rsidP="000333E0">
            <w:pPr>
              <w:spacing w:after="0" w:line="240" w:lineRule="auto"/>
              <w:ind w:left="-57" w:right="-57"/>
              <w:rPr>
                <w:rFonts w:ascii="Times New Roman" w:eastAsia="Times New Roman" w:hAnsi="Times New Roman" w:cs="Times New Roman"/>
                <w:color w:val="000000"/>
                <w:lang w:eastAsia="lt-LT"/>
              </w:rPr>
            </w:pPr>
            <w:r w:rsidRPr="002F0078">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B7821F" w14:textId="32EABA2A" w:rsidR="000333E0" w:rsidRPr="00EA4E9A" w:rsidRDefault="00B95301" w:rsidP="000333E0">
            <w:pPr>
              <w:spacing w:after="0" w:line="240" w:lineRule="auto"/>
              <w:ind w:left="-57" w:right="-57"/>
              <w:rPr>
                <w:rFonts w:ascii="Times New Roman" w:eastAsia="Times New Roman" w:hAnsi="Times New Roman" w:cs="Times New Roman"/>
                <w:i/>
                <w:iCs/>
                <w:color w:val="000000"/>
                <w:lang w:eastAsia="lt-LT"/>
              </w:rPr>
            </w:pPr>
            <w:r w:rsidRPr="00B95301">
              <w:rPr>
                <w:szCs w:val="24"/>
              </w:rPr>
              <w:t>Pareiškėjas yra sudaręs viešųjų paslaugų teikimo sutartį (-</w:t>
            </w:r>
            <w:proofErr w:type="spellStart"/>
            <w:r w:rsidRPr="00B95301">
              <w:rPr>
                <w:szCs w:val="24"/>
              </w:rPr>
              <w:t>is</w:t>
            </w:r>
            <w:proofErr w:type="spellEnd"/>
            <w:r w:rsidRPr="00B95301">
              <w:rPr>
                <w:szCs w:val="24"/>
              </w:rPr>
              <w:t>)</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07AD0A" w14:textId="60990387" w:rsidR="000333E0" w:rsidRPr="00E7587F" w:rsidRDefault="00B95301" w:rsidP="000333E0">
            <w:pPr>
              <w:spacing w:after="0" w:line="240" w:lineRule="auto"/>
              <w:ind w:left="-57" w:right="-57"/>
              <w:rPr>
                <w:rFonts w:ascii="Times New Roman" w:hAnsi="Times New Roman" w:cs="Times New Roman"/>
                <w:color w:val="000000"/>
                <w:shd w:val="clear" w:color="auto" w:fill="FFFFFF"/>
              </w:rPr>
            </w:pPr>
            <w:r w:rsidRPr="00B95301">
              <w:rPr>
                <w:szCs w:val="24"/>
              </w:rPr>
              <w:t>Vertinama, ar pareiškėjas yra sudaręs viešųjų paslaugų teikimo sutartį (-</w:t>
            </w:r>
            <w:proofErr w:type="spellStart"/>
            <w:r w:rsidRPr="00B95301">
              <w:rPr>
                <w:szCs w:val="24"/>
              </w:rPr>
              <w:t>is</w:t>
            </w:r>
            <w:proofErr w:type="spellEnd"/>
            <w:r w:rsidRPr="00B95301">
              <w:rPr>
                <w:szCs w:val="24"/>
              </w:rPr>
              <w:t>) vykdyti keleivių vežimo veiklą savivaldybių, kurios 2014–2020 m. Europos Sąjungos investicijų veiksmų programos lėšomis nerengė ir neįgyvendino darnaus judumo mieste planų: Akmenės, Alytaus, Anykščių, Biržų, Ignalinos, Joniškio, Jurbarko, Kaišiadorių, Kauno, Kelmės, Klaipėdos, Kretingos, Kupiškio, Lazdijų, Molėtų, Pakruojo, Panevėžio, Pasvalio, Plungės, Prienų, Radviliškio, Raseinių, Rokiškio, Skuodo, Šakių, Šalčininkų, Šiaulių, Šilalės, Šilutės, Širvintų, Švenčionių, Trakų, Ukmergės, Varėnos, Vilkaviškio, Vilniaus ir Zarasų rajonų bei Elektrėnų, Kalvarijos, Kazlų Rūdos, Pagėgių ir Rietavo, teritorijose.</w:t>
            </w:r>
          </w:p>
        </w:tc>
        <w:tc>
          <w:tcPr>
            <w:tcW w:w="340" w:type="pct"/>
            <w:tcBorders>
              <w:top w:val="single" w:sz="4" w:space="0" w:color="auto"/>
              <w:left w:val="single" w:sz="4" w:space="0" w:color="auto"/>
              <w:bottom w:val="single" w:sz="4" w:space="0" w:color="auto"/>
              <w:right w:val="single" w:sz="4" w:space="0" w:color="auto"/>
            </w:tcBorders>
            <w:hideMark/>
          </w:tcPr>
          <w:p w14:paraId="778620F0" w14:textId="1F0C6775" w:rsidR="000333E0" w:rsidRPr="00486E60" w:rsidRDefault="00B95301" w:rsidP="000333E0">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292" w:type="pct"/>
            <w:tcBorders>
              <w:top w:val="single" w:sz="4" w:space="0" w:color="auto"/>
              <w:left w:val="single" w:sz="4" w:space="0" w:color="auto"/>
              <w:bottom w:val="single" w:sz="4" w:space="0" w:color="auto"/>
              <w:right w:val="single" w:sz="4" w:space="0" w:color="auto"/>
            </w:tcBorders>
          </w:tcPr>
          <w:p w14:paraId="6FAA7BE3" w14:textId="1EAE3484" w:rsidR="000333E0" w:rsidRPr="00486E60" w:rsidRDefault="00B95301" w:rsidP="000333E0">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341" w:type="pct"/>
            <w:tcBorders>
              <w:top w:val="single" w:sz="4" w:space="0" w:color="auto"/>
              <w:left w:val="single" w:sz="4" w:space="0" w:color="auto"/>
              <w:bottom w:val="single" w:sz="4" w:space="0" w:color="auto"/>
              <w:right w:val="single" w:sz="4" w:space="0" w:color="auto"/>
            </w:tcBorders>
            <w:hideMark/>
          </w:tcPr>
          <w:p w14:paraId="7A5FB876" w14:textId="09AE9362" w:rsidR="000333E0" w:rsidRPr="00486E60" w:rsidRDefault="00486E60" w:rsidP="000333E0">
            <w:pPr>
              <w:spacing w:after="0" w:line="240" w:lineRule="auto"/>
              <w:ind w:left="-57" w:right="-57"/>
              <w:rPr>
                <w:rFonts w:ascii="Times New Roman" w:eastAsia="Times New Roman" w:hAnsi="Times New Roman" w:cs="Times New Roman"/>
                <w:lang w:eastAsia="lt-LT"/>
              </w:rPr>
            </w:pPr>
            <w:r w:rsidRPr="00486E60">
              <w:rPr>
                <w:rFonts w:ascii="Times New Roman" w:eastAsia="Times New Roman" w:hAnsi="Times New Roman" w:cs="Times New Roman"/>
                <w:lang w:eastAsia="lt-LT"/>
              </w:rPr>
              <w:t>-</w:t>
            </w:r>
          </w:p>
        </w:tc>
        <w:tc>
          <w:tcPr>
            <w:tcW w:w="340" w:type="pct"/>
            <w:tcBorders>
              <w:top w:val="single" w:sz="4" w:space="0" w:color="auto"/>
              <w:left w:val="single" w:sz="4" w:space="0" w:color="auto"/>
              <w:bottom w:val="single" w:sz="4" w:space="0" w:color="auto"/>
              <w:right w:val="single" w:sz="4" w:space="0" w:color="auto"/>
            </w:tcBorders>
            <w:hideMark/>
          </w:tcPr>
          <w:p w14:paraId="45347097" w14:textId="1C216055" w:rsidR="000333E0" w:rsidRPr="00B95301" w:rsidRDefault="00B95301" w:rsidP="000333E0">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341" w:type="pct"/>
            <w:tcBorders>
              <w:top w:val="single" w:sz="4" w:space="0" w:color="auto"/>
              <w:left w:val="single" w:sz="4" w:space="0" w:color="auto"/>
              <w:bottom w:val="single" w:sz="4" w:space="0" w:color="auto"/>
              <w:right w:val="single" w:sz="4" w:space="0" w:color="auto"/>
            </w:tcBorders>
          </w:tcPr>
          <w:p w14:paraId="07D03616" w14:textId="015DCA34" w:rsidR="000333E0" w:rsidRPr="00486E60" w:rsidRDefault="00B95301" w:rsidP="000333E0">
            <w:pPr>
              <w:spacing w:after="0" w:line="240" w:lineRule="auto"/>
              <w:ind w:left="-57" w:right="-57"/>
              <w:rPr>
                <w:rFonts w:ascii="Times New Roman" w:eastAsia="Times New Roman" w:hAnsi="Times New Roman" w:cs="Times New Roman"/>
                <w:iCs/>
                <w:lang w:eastAsia="lt-LT"/>
              </w:rPr>
            </w:pPr>
            <w:r>
              <w:rPr>
                <w:rFonts w:ascii="Times New Roman" w:eastAsia="Times New Roman" w:hAnsi="Times New Roman" w:cs="Times New Roman"/>
                <w:iCs/>
                <w:lang w:eastAsia="lt-LT"/>
              </w:rPr>
              <w:t>-</w:t>
            </w:r>
          </w:p>
        </w:tc>
        <w:tc>
          <w:tcPr>
            <w:tcW w:w="328" w:type="pct"/>
            <w:tcBorders>
              <w:top w:val="single" w:sz="4" w:space="0" w:color="auto"/>
              <w:left w:val="single" w:sz="4" w:space="0" w:color="auto"/>
              <w:bottom w:val="single" w:sz="4" w:space="0" w:color="auto"/>
              <w:right w:val="single" w:sz="4" w:space="0" w:color="auto"/>
            </w:tcBorders>
            <w:hideMark/>
          </w:tcPr>
          <w:p w14:paraId="59B7ACAD" w14:textId="47794F15" w:rsidR="000333E0" w:rsidRPr="00B95301" w:rsidRDefault="00B95301" w:rsidP="000333E0">
            <w:pPr>
              <w:spacing w:after="0" w:line="240" w:lineRule="auto"/>
              <w:ind w:left="-57" w:right="-57"/>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p>
        </w:tc>
      </w:tr>
      <w:tr w:rsidR="00486E60" w:rsidRPr="002F0078" w14:paraId="0EFF391A" w14:textId="77777777" w:rsidTr="00A10522">
        <w:trPr>
          <w:trHeight w:val="300"/>
        </w:trPr>
        <w:tc>
          <w:tcPr>
            <w:tcW w:w="145" w:type="pct"/>
            <w:tcBorders>
              <w:top w:val="single" w:sz="4" w:space="0" w:color="auto"/>
              <w:left w:val="single" w:sz="4" w:space="0" w:color="auto"/>
              <w:bottom w:val="single" w:sz="4" w:space="0" w:color="auto"/>
              <w:right w:val="single" w:sz="4" w:space="0" w:color="auto"/>
            </w:tcBorders>
            <w:noWrap/>
            <w:hideMark/>
          </w:tcPr>
          <w:p w14:paraId="1C9EBFE6" w14:textId="1C84AB5B" w:rsidR="00486E60" w:rsidRPr="002F0078" w:rsidRDefault="00486E60" w:rsidP="00486E60">
            <w:pPr>
              <w:spacing w:after="0" w:line="240" w:lineRule="auto"/>
              <w:ind w:left="-57" w:right="-57"/>
              <w:rPr>
                <w:rFonts w:ascii="Times New Roman" w:eastAsia="Times New Roman" w:hAnsi="Times New Roman" w:cs="Times New Roman"/>
                <w:color w:val="000000"/>
                <w:lang w:eastAsia="lt-LT"/>
              </w:rPr>
            </w:pPr>
            <w:r w:rsidRPr="002F0078">
              <w:rPr>
                <w:rFonts w:ascii="Times New Roman" w:eastAsia="Times New Roman" w:hAnsi="Times New Roman" w:cs="Times New Roman"/>
                <w:color w:val="000000"/>
                <w:lang w:eastAsia="lt-LT"/>
              </w:rPr>
              <w:t>2</w:t>
            </w:r>
            <w:r>
              <w:rPr>
                <w:rFonts w:ascii="Times New Roman" w:eastAsia="Times New Roman" w:hAnsi="Times New Roman" w:cs="Times New Roman"/>
                <w:color w:val="000000"/>
                <w:lang w:eastAsia="lt-LT"/>
              </w:rPr>
              <w:t>.</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1134A81C" w14:textId="19E538CC" w:rsidR="00486E60" w:rsidRPr="00EA4E9A" w:rsidRDefault="00B95301" w:rsidP="00486E60">
            <w:pPr>
              <w:spacing w:after="0" w:line="240" w:lineRule="auto"/>
              <w:ind w:left="-57" w:right="-57"/>
              <w:rPr>
                <w:rFonts w:ascii="Times New Roman" w:eastAsia="Times New Roman" w:hAnsi="Times New Roman" w:cs="Times New Roman"/>
                <w:color w:val="000000"/>
                <w:lang w:eastAsia="lt-LT"/>
              </w:rPr>
            </w:pPr>
            <w:r w:rsidRPr="00B95301">
              <w:rPr>
                <w:bCs/>
                <w:iCs/>
              </w:rPr>
              <w:t>B</w:t>
            </w:r>
            <w:r w:rsidRPr="00B95301">
              <w:t>endras išmetamų šiltnamio efektą sukeliančių dujų (ŠESD) kiekio sumažinimas</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251136B6" w14:textId="77777777" w:rsidR="00B95301" w:rsidRPr="00B95301" w:rsidRDefault="00B95301" w:rsidP="00B95301">
            <w:pPr>
              <w:tabs>
                <w:tab w:val="left" w:pos="271"/>
                <w:tab w:val="left" w:pos="993"/>
                <w:tab w:val="left" w:pos="1134"/>
              </w:tabs>
              <w:spacing w:after="0" w:line="240" w:lineRule="auto"/>
              <w:rPr>
                <w:szCs w:val="24"/>
              </w:rPr>
            </w:pPr>
            <w:r w:rsidRPr="00B95301">
              <w:rPr>
                <w:szCs w:val="24"/>
              </w:rPr>
              <w:t>Bendras išmetamų ŠESD kiekio sumažinimas per projekto vertinamąjį laikotarpį (5 metus) apskaičiuojamas lyginant iškastiniu kuru (dyzelinu) varomų viešojo transporto priemonių (bazinis scenarijus) išmetamų ŠESD kiekį su analogiškų techninių parametrų elektra ir (arba) vandeniliu varomų viešojo transporto priemonių išmetamų ŠESD kiekiu (projektinis scenarijus). Išmetamų ŠESD kiekio sumažinimas yra išmetamų ŠESD kiekio pagal bazinį scenarijų ir pagal projektinį scenarijų skirtumas. Išmetamų ŠESD kiekis ir bazinio scenarijaus, ir projektinio scenarijaus atveju apskaičiuojamas pagal formulę:</w:t>
            </w:r>
          </w:p>
          <w:p w14:paraId="206CBC76" w14:textId="77777777" w:rsidR="00B95301" w:rsidRPr="00B95301" w:rsidRDefault="00B95301" w:rsidP="00B95301">
            <w:pPr>
              <w:tabs>
                <w:tab w:val="left" w:pos="271"/>
                <w:tab w:val="left" w:pos="993"/>
                <w:tab w:val="left" w:pos="1134"/>
              </w:tabs>
              <w:spacing w:after="0" w:line="240" w:lineRule="auto"/>
              <w:rPr>
                <w:szCs w:val="24"/>
              </w:rPr>
            </w:pPr>
            <w:r w:rsidRPr="00B95301">
              <w:rPr>
                <w:szCs w:val="24"/>
              </w:rPr>
              <w:t>Išmetamų ŠESD kiekis (CO2ekv. t/metus) = degalų sąnaudos (MWh/metus) x taršos faktorius (tCO2/MWh).</w:t>
            </w:r>
          </w:p>
          <w:p w14:paraId="0686BFC5" w14:textId="77777777" w:rsidR="00B95301" w:rsidRPr="00B95301" w:rsidRDefault="00B95301" w:rsidP="00B95301">
            <w:pPr>
              <w:tabs>
                <w:tab w:val="left" w:pos="271"/>
                <w:tab w:val="left" w:pos="993"/>
                <w:tab w:val="left" w:pos="1134"/>
              </w:tabs>
              <w:spacing w:after="0" w:line="240" w:lineRule="auto"/>
              <w:rPr>
                <w:szCs w:val="24"/>
              </w:rPr>
            </w:pPr>
            <w:r w:rsidRPr="00B95301">
              <w:rPr>
                <w:szCs w:val="24"/>
              </w:rPr>
              <w:t>Degalų sąnaudos apskaičiuojamos kaip viešojo transporto priemonės (-</w:t>
            </w:r>
            <w:proofErr w:type="spellStart"/>
            <w:r w:rsidRPr="00B95301">
              <w:rPr>
                <w:szCs w:val="24"/>
              </w:rPr>
              <w:t>ių</w:t>
            </w:r>
            <w:proofErr w:type="spellEnd"/>
            <w:r w:rsidRPr="00B95301">
              <w:rPr>
                <w:szCs w:val="24"/>
              </w:rPr>
              <w:t>) ridos per metus (km), viešojo transporto priemonei (-</w:t>
            </w:r>
            <w:proofErr w:type="spellStart"/>
            <w:r w:rsidRPr="00B95301">
              <w:rPr>
                <w:szCs w:val="24"/>
              </w:rPr>
              <w:t>ėms</w:t>
            </w:r>
            <w:proofErr w:type="spellEnd"/>
            <w:r w:rsidRPr="00B95301">
              <w:rPr>
                <w:szCs w:val="24"/>
              </w:rPr>
              <w:t>) nustatytos degalų normos (l/100 km) ir dyzelinių degalų sąnaudų perskaičiavimo į MWH koeficiento 10,01 MWh/1000 l sandauga.</w:t>
            </w:r>
          </w:p>
          <w:p w14:paraId="7A778992" w14:textId="77777777" w:rsidR="00B95301" w:rsidRPr="00B95301" w:rsidRDefault="00B95301" w:rsidP="00B95301">
            <w:pPr>
              <w:tabs>
                <w:tab w:val="left" w:pos="271"/>
                <w:tab w:val="left" w:pos="993"/>
                <w:tab w:val="left" w:pos="1134"/>
              </w:tabs>
              <w:spacing w:after="0" w:line="240" w:lineRule="auto"/>
              <w:rPr>
                <w:szCs w:val="24"/>
              </w:rPr>
            </w:pPr>
            <w:r w:rsidRPr="00B95301">
              <w:rPr>
                <w:szCs w:val="24"/>
              </w:rPr>
              <w:t>Taršos faktorius:</w:t>
            </w:r>
          </w:p>
          <w:p w14:paraId="56E5938C" w14:textId="77777777" w:rsidR="00B95301" w:rsidRPr="00B95301" w:rsidRDefault="00B95301" w:rsidP="00B95301">
            <w:pPr>
              <w:tabs>
                <w:tab w:val="left" w:pos="271"/>
                <w:tab w:val="left" w:pos="993"/>
                <w:tab w:val="left" w:pos="1134"/>
              </w:tabs>
              <w:spacing w:after="0" w:line="240" w:lineRule="auto"/>
              <w:rPr>
                <w:szCs w:val="24"/>
              </w:rPr>
            </w:pPr>
            <w:r w:rsidRPr="00B95301">
              <w:rPr>
                <w:szCs w:val="24"/>
              </w:rPr>
              <w:t>-</w:t>
            </w:r>
            <w:r w:rsidRPr="00B95301">
              <w:rPr>
                <w:szCs w:val="24"/>
              </w:rPr>
              <w:tab/>
              <w:t>dyzelinui 0,29;</w:t>
            </w:r>
          </w:p>
          <w:p w14:paraId="405A3A80" w14:textId="77777777" w:rsidR="00B95301" w:rsidRPr="00B95301" w:rsidRDefault="00B95301" w:rsidP="00B95301">
            <w:pPr>
              <w:tabs>
                <w:tab w:val="left" w:pos="271"/>
                <w:tab w:val="left" w:pos="993"/>
                <w:tab w:val="left" w:pos="1134"/>
              </w:tabs>
              <w:spacing w:after="0" w:line="240" w:lineRule="auto"/>
              <w:rPr>
                <w:szCs w:val="24"/>
              </w:rPr>
            </w:pPr>
            <w:r w:rsidRPr="00B95301">
              <w:rPr>
                <w:szCs w:val="24"/>
              </w:rPr>
              <w:t>-</w:t>
            </w:r>
            <w:r w:rsidRPr="00B95301">
              <w:rPr>
                <w:szCs w:val="24"/>
              </w:rPr>
              <w:tab/>
              <w:t>elektros energijai iš atsinaujinančių energijos išteklių 0,00;</w:t>
            </w:r>
          </w:p>
          <w:p w14:paraId="608315C4" w14:textId="77777777" w:rsidR="00B95301" w:rsidRPr="00B95301" w:rsidRDefault="00B95301" w:rsidP="00B95301">
            <w:pPr>
              <w:tabs>
                <w:tab w:val="left" w:pos="271"/>
                <w:tab w:val="left" w:pos="993"/>
                <w:tab w:val="left" w:pos="1134"/>
              </w:tabs>
              <w:spacing w:after="0" w:line="240" w:lineRule="auto"/>
              <w:rPr>
                <w:szCs w:val="24"/>
              </w:rPr>
            </w:pPr>
            <w:r w:rsidRPr="00B95301">
              <w:rPr>
                <w:szCs w:val="24"/>
              </w:rPr>
              <w:t>-</w:t>
            </w:r>
            <w:r w:rsidRPr="00B95301">
              <w:rPr>
                <w:szCs w:val="24"/>
              </w:rPr>
              <w:tab/>
              <w:t>elektros energijai iš tinklo 0,42;</w:t>
            </w:r>
          </w:p>
          <w:p w14:paraId="1FE6F52B" w14:textId="77777777" w:rsidR="00B95301" w:rsidRPr="00B95301" w:rsidRDefault="00B95301" w:rsidP="00B95301">
            <w:pPr>
              <w:tabs>
                <w:tab w:val="left" w:pos="271"/>
                <w:tab w:val="left" w:pos="993"/>
                <w:tab w:val="left" w:pos="1134"/>
              </w:tabs>
              <w:spacing w:after="0" w:line="240" w:lineRule="auto"/>
              <w:rPr>
                <w:szCs w:val="24"/>
              </w:rPr>
            </w:pPr>
            <w:r w:rsidRPr="00B95301">
              <w:rPr>
                <w:szCs w:val="24"/>
              </w:rPr>
              <w:t>-</w:t>
            </w:r>
            <w:r w:rsidRPr="00B95301">
              <w:rPr>
                <w:szCs w:val="24"/>
              </w:rPr>
              <w:tab/>
              <w:t>vandeniliui iš atsinaujinančių energijos išteklių 0,00;</w:t>
            </w:r>
          </w:p>
          <w:p w14:paraId="7A583AD9" w14:textId="77777777" w:rsidR="00B95301" w:rsidRPr="00B95301" w:rsidRDefault="00B95301" w:rsidP="00B95301">
            <w:pPr>
              <w:tabs>
                <w:tab w:val="left" w:pos="271"/>
                <w:tab w:val="left" w:pos="993"/>
                <w:tab w:val="left" w:pos="1134"/>
              </w:tabs>
              <w:spacing w:after="0" w:line="240" w:lineRule="auto"/>
              <w:rPr>
                <w:szCs w:val="24"/>
              </w:rPr>
            </w:pPr>
            <w:r w:rsidRPr="00B95301">
              <w:rPr>
                <w:szCs w:val="24"/>
              </w:rPr>
              <w:t>-</w:t>
            </w:r>
            <w:r w:rsidRPr="00B95301">
              <w:rPr>
                <w:szCs w:val="24"/>
              </w:rPr>
              <w:tab/>
              <w:t>vandeniliui iš kitų išteklių 0,42.</w:t>
            </w:r>
          </w:p>
          <w:p w14:paraId="46982BB1" w14:textId="25D69AEF" w:rsidR="00486E60" w:rsidRDefault="00B95301" w:rsidP="00B95301">
            <w:pPr>
              <w:tabs>
                <w:tab w:val="left" w:pos="271"/>
                <w:tab w:val="left" w:pos="993"/>
                <w:tab w:val="left" w:pos="1134"/>
              </w:tabs>
              <w:spacing w:after="0" w:line="240" w:lineRule="auto"/>
              <w:rPr>
                <w:szCs w:val="24"/>
              </w:rPr>
            </w:pPr>
            <w:r w:rsidRPr="00B95301">
              <w:rPr>
                <w:szCs w:val="24"/>
              </w:rPr>
              <w:t>Balai projektams suteikiami pagal bendro išmetamo ŠESD kiekio sumažinimo per projekto vertinamąjį laikotarpį dydį. Projekto balai (B) apskaičiuojami jo bendro išmetamų ŠESD kiekio sumažinimo (D) ir didžiausio konkursui pateikto projekto bendro išmetamų ŠESD kiekio sumažinimo (</w:t>
            </w:r>
            <w:proofErr w:type="spellStart"/>
            <w:r w:rsidRPr="00B95301">
              <w:rPr>
                <w:szCs w:val="24"/>
              </w:rPr>
              <w:t>Dmax</w:t>
            </w:r>
            <w:proofErr w:type="spellEnd"/>
            <w:r w:rsidRPr="00B95301">
              <w:rPr>
                <w:szCs w:val="24"/>
              </w:rPr>
              <w:t>) santykį padauginant iš kriterijaus lyginamojo svorio (80): B = (D /</w:t>
            </w:r>
            <w:proofErr w:type="spellStart"/>
            <w:r w:rsidRPr="00B95301">
              <w:rPr>
                <w:szCs w:val="24"/>
              </w:rPr>
              <w:t>Dmax</w:t>
            </w:r>
            <w:proofErr w:type="spellEnd"/>
            <w:r w:rsidRPr="00B95301">
              <w:rPr>
                <w:szCs w:val="24"/>
              </w:rPr>
              <w:t>) x 80.</w:t>
            </w:r>
          </w:p>
          <w:p w14:paraId="2C21ED93" w14:textId="67EB3D36" w:rsidR="003545CF" w:rsidRPr="00EA4E9A" w:rsidRDefault="003545CF" w:rsidP="00A10522">
            <w:pPr>
              <w:tabs>
                <w:tab w:val="left" w:pos="271"/>
                <w:tab w:val="left" w:pos="993"/>
                <w:tab w:val="left" w:pos="1134"/>
              </w:tabs>
              <w:spacing w:after="0" w:line="240" w:lineRule="auto"/>
              <w:rPr>
                <w:rFonts w:ascii="Times New Roman" w:hAnsi="Times New Roman" w:cs="Times New Roman"/>
                <w:lang w:val="lt"/>
              </w:rPr>
            </w:pPr>
          </w:p>
        </w:tc>
        <w:tc>
          <w:tcPr>
            <w:tcW w:w="340" w:type="pct"/>
            <w:tcBorders>
              <w:top w:val="single" w:sz="4" w:space="0" w:color="auto"/>
              <w:left w:val="single" w:sz="4" w:space="0" w:color="auto"/>
              <w:bottom w:val="single" w:sz="4" w:space="0" w:color="auto"/>
              <w:right w:val="single" w:sz="4" w:space="0" w:color="auto"/>
            </w:tcBorders>
            <w:hideMark/>
          </w:tcPr>
          <w:p w14:paraId="2CA3EB1B" w14:textId="719B3C83" w:rsidR="00486E60" w:rsidRPr="00EA4E9A" w:rsidRDefault="00B95301" w:rsidP="00486E60">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80</w:t>
            </w:r>
          </w:p>
        </w:tc>
        <w:tc>
          <w:tcPr>
            <w:tcW w:w="292" w:type="pct"/>
            <w:tcBorders>
              <w:top w:val="single" w:sz="4" w:space="0" w:color="auto"/>
              <w:left w:val="single" w:sz="4" w:space="0" w:color="auto"/>
              <w:bottom w:val="nil"/>
              <w:right w:val="single" w:sz="4" w:space="0" w:color="auto"/>
            </w:tcBorders>
            <w:hideMark/>
          </w:tcPr>
          <w:p w14:paraId="277F4852" w14:textId="6B6D5EF4" w:rsidR="00486E60" w:rsidRPr="00EA4E9A" w:rsidRDefault="00B95301" w:rsidP="00486E60">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341" w:type="pct"/>
            <w:tcBorders>
              <w:top w:val="single" w:sz="4" w:space="0" w:color="auto"/>
              <w:left w:val="single" w:sz="4" w:space="0" w:color="auto"/>
              <w:bottom w:val="nil"/>
              <w:right w:val="single" w:sz="4" w:space="0" w:color="auto"/>
            </w:tcBorders>
            <w:hideMark/>
          </w:tcPr>
          <w:p w14:paraId="59063FA3" w14:textId="50AB3A2E" w:rsidR="00486E60" w:rsidRPr="00EA4E9A" w:rsidRDefault="00B95301" w:rsidP="00486E60">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80</w:t>
            </w:r>
          </w:p>
        </w:tc>
        <w:tc>
          <w:tcPr>
            <w:tcW w:w="340" w:type="pct"/>
            <w:tcBorders>
              <w:top w:val="single" w:sz="4" w:space="0" w:color="auto"/>
              <w:left w:val="single" w:sz="4" w:space="0" w:color="auto"/>
              <w:bottom w:val="nil"/>
              <w:right w:val="single" w:sz="4" w:space="0" w:color="auto"/>
            </w:tcBorders>
            <w:hideMark/>
          </w:tcPr>
          <w:p w14:paraId="5FC445DA" w14:textId="0CA71859" w:rsidR="00486E60" w:rsidRPr="00EA4E9A" w:rsidRDefault="00B95301" w:rsidP="00486E60">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341" w:type="pct"/>
            <w:tcBorders>
              <w:top w:val="single" w:sz="4" w:space="0" w:color="auto"/>
              <w:left w:val="single" w:sz="4" w:space="0" w:color="auto"/>
              <w:bottom w:val="nil"/>
              <w:right w:val="single" w:sz="4" w:space="0" w:color="auto"/>
            </w:tcBorders>
            <w:hideMark/>
          </w:tcPr>
          <w:p w14:paraId="07B89CC8" w14:textId="7E292CC2" w:rsidR="00486E60" w:rsidRPr="002F0078" w:rsidRDefault="00B95301" w:rsidP="00486E60">
            <w:pPr>
              <w:spacing w:after="0" w:line="240" w:lineRule="auto"/>
              <w:ind w:left="-57" w:right="-57"/>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w:t>
            </w:r>
          </w:p>
        </w:tc>
        <w:tc>
          <w:tcPr>
            <w:tcW w:w="328" w:type="pct"/>
            <w:tcBorders>
              <w:top w:val="single" w:sz="4" w:space="0" w:color="auto"/>
              <w:left w:val="single" w:sz="4" w:space="0" w:color="auto"/>
              <w:bottom w:val="nil"/>
              <w:right w:val="single" w:sz="4" w:space="0" w:color="auto"/>
            </w:tcBorders>
            <w:noWrap/>
            <w:hideMark/>
          </w:tcPr>
          <w:p w14:paraId="50635D4D" w14:textId="0622E564" w:rsidR="00486E60" w:rsidRPr="002F0078" w:rsidRDefault="00B95301" w:rsidP="00486E60">
            <w:pPr>
              <w:spacing w:after="0" w:line="240" w:lineRule="auto"/>
              <w:ind w:left="-57" w:right="-57"/>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w:t>
            </w:r>
          </w:p>
        </w:tc>
      </w:tr>
      <w:tr w:rsidR="00B95301" w:rsidRPr="002F0078" w14:paraId="22052B6E" w14:textId="77777777" w:rsidTr="00A10522">
        <w:trPr>
          <w:trHeight w:val="300"/>
        </w:trPr>
        <w:tc>
          <w:tcPr>
            <w:tcW w:w="145" w:type="pct"/>
            <w:tcBorders>
              <w:top w:val="single" w:sz="4" w:space="0" w:color="auto"/>
              <w:left w:val="single" w:sz="4" w:space="0" w:color="auto"/>
              <w:bottom w:val="single" w:sz="4" w:space="0" w:color="auto"/>
              <w:right w:val="single" w:sz="4" w:space="0" w:color="auto"/>
            </w:tcBorders>
            <w:noWrap/>
          </w:tcPr>
          <w:p w14:paraId="1A0CFE4A" w14:textId="6A8CF629" w:rsidR="00B95301" w:rsidRPr="002F0078" w:rsidRDefault="00B95301" w:rsidP="00486E60">
            <w:pPr>
              <w:spacing w:after="0" w:line="240" w:lineRule="auto"/>
              <w:ind w:left="-57" w:right="-57"/>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7F84263C" w14:textId="0AC8BF09" w:rsidR="00B95301" w:rsidRPr="00B95301" w:rsidRDefault="00B95301" w:rsidP="00486E60">
            <w:pPr>
              <w:spacing w:after="0" w:line="240" w:lineRule="auto"/>
              <w:ind w:left="-57" w:right="-57"/>
              <w:rPr>
                <w:bCs/>
                <w:iCs/>
              </w:rPr>
            </w:pPr>
            <w:r w:rsidRPr="00B95301">
              <w:rPr>
                <w:bCs/>
                <w:iCs/>
              </w:rPr>
              <w:t>Įsigyjamų elektra varomų ir (arba) vandeniliu pildomų viešojo transporto priemonių (autobusų) skaičius</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0BBBC556" w14:textId="66A8083B" w:rsidR="00B95301" w:rsidRPr="00B95301" w:rsidRDefault="00B95301" w:rsidP="00B95301">
            <w:pPr>
              <w:tabs>
                <w:tab w:val="left" w:pos="271"/>
                <w:tab w:val="left" w:pos="993"/>
                <w:tab w:val="left" w:pos="1134"/>
              </w:tabs>
              <w:spacing w:after="0" w:line="240" w:lineRule="auto"/>
              <w:rPr>
                <w:szCs w:val="24"/>
              </w:rPr>
            </w:pPr>
            <w:r w:rsidRPr="00B95301">
              <w:rPr>
                <w:szCs w:val="24"/>
              </w:rPr>
              <w:t xml:space="preserve">Balai suteikiami projektams už įgyvendinimo metu planuojamų įsigyti </w:t>
            </w:r>
            <w:r w:rsidRPr="00B95301">
              <w:rPr>
                <w:bCs/>
                <w:iCs/>
                <w:szCs w:val="24"/>
              </w:rPr>
              <w:t>elektra varomų ir (arba) vandeniliu pildomų</w:t>
            </w:r>
            <w:r w:rsidRPr="00B95301">
              <w:rPr>
                <w:szCs w:val="24"/>
              </w:rPr>
              <w:t xml:space="preserve"> transporto priemonių skaičių. Projekto balai (T) apskaičiuojami planuojamų įsigyti transporto priemonių skaičių (S) ir didžiausio konkursui pateikto planuojamų įsigyti viešojo transporto priemonių skaičiaus (</w:t>
            </w:r>
            <w:proofErr w:type="spellStart"/>
            <w:r w:rsidRPr="00B95301">
              <w:rPr>
                <w:szCs w:val="24"/>
              </w:rPr>
              <w:t>S</w:t>
            </w:r>
            <w:r w:rsidRPr="00B95301">
              <w:rPr>
                <w:szCs w:val="24"/>
                <w:vertAlign w:val="subscript"/>
              </w:rPr>
              <w:t>max</w:t>
            </w:r>
            <w:proofErr w:type="spellEnd"/>
            <w:r w:rsidRPr="00B95301">
              <w:rPr>
                <w:szCs w:val="24"/>
              </w:rPr>
              <w:t>) santykį padauginant iš kriterijaus lyginamojo svorio (20): T = (S/</w:t>
            </w:r>
            <w:proofErr w:type="spellStart"/>
            <w:r w:rsidRPr="00B95301">
              <w:rPr>
                <w:szCs w:val="24"/>
              </w:rPr>
              <w:t>S</w:t>
            </w:r>
            <w:r w:rsidRPr="00B95301">
              <w:rPr>
                <w:szCs w:val="24"/>
                <w:vertAlign w:val="subscript"/>
              </w:rPr>
              <w:t>max</w:t>
            </w:r>
            <w:proofErr w:type="spellEnd"/>
            <w:r w:rsidRPr="00B95301">
              <w:rPr>
                <w:szCs w:val="24"/>
              </w:rPr>
              <w:t>) x 20.</w:t>
            </w:r>
          </w:p>
        </w:tc>
        <w:tc>
          <w:tcPr>
            <w:tcW w:w="340" w:type="pct"/>
            <w:tcBorders>
              <w:top w:val="single" w:sz="4" w:space="0" w:color="auto"/>
              <w:left w:val="single" w:sz="4" w:space="0" w:color="auto"/>
              <w:bottom w:val="single" w:sz="4" w:space="0" w:color="auto"/>
              <w:right w:val="single" w:sz="4" w:space="0" w:color="auto"/>
            </w:tcBorders>
          </w:tcPr>
          <w:p w14:paraId="3D8E1955" w14:textId="193045A1" w:rsidR="00B95301" w:rsidRDefault="00B95301" w:rsidP="00486E60">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20</w:t>
            </w:r>
          </w:p>
        </w:tc>
        <w:tc>
          <w:tcPr>
            <w:tcW w:w="292" w:type="pct"/>
            <w:tcBorders>
              <w:top w:val="single" w:sz="4" w:space="0" w:color="auto"/>
              <w:left w:val="single" w:sz="4" w:space="0" w:color="auto"/>
              <w:bottom w:val="nil"/>
              <w:right w:val="single" w:sz="4" w:space="0" w:color="auto"/>
            </w:tcBorders>
          </w:tcPr>
          <w:p w14:paraId="0F6EA859" w14:textId="6BEBF5D2" w:rsidR="00B95301" w:rsidRDefault="00B95301" w:rsidP="00486E60">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341" w:type="pct"/>
            <w:tcBorders>
              <w:top w:val="single" w:sz="4" w:space="0" w:color="auto"/>
              <w:left w:val="single" w:sz="4" w:space="0" w:color="auto"/>
              <w:bottom w:val="nil"/>
              <w:right w:val="single" w:sz="4" w:space="0" w:color="auto"/>
            </w:tcBorders>
          </w:tcPr>
          <w:p w14:paraId="233D2956" w14:textId="4D41BF48" w:rsidR="00B95301" w:rsidRDefault="00B95301" w:rsidP="00486E60">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20</w:t>
            </w:r>
          </w:p>
        </w:tc>
        <w:tc>
          <w:tcPr>
            <w:tcW w:w="340" w:type="pct"/>
            <w:tcBorders>
              <w:top w:val="single" w:sz="4" w:space="0" w:color="auto"/>
              <w:left w:val="single" w:sz="4" w:space="0" w:color="auto"/>
              <w:bottom w:val="nil"/>
              <w:right w:val="single" w:sz="4" w:space="0" w:color="auto"/>
            </w:tcBorders>
          </w:tcPr>
          <w:p w14:paraId="7C679B42" w14:textId="6E5409EA" w:rsidR="00B95301" w:rsidRDefault="00B95301" w:rsidP="00486E60">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341" w:type="pct"/>
            <w:tcBorders>
              <w:top w:val="single" w:sz="4" w:space="0" w:color="auto"/>
              <w:left w:val="single" w:sz="4" w:space="0" w:color="auto"/>
              <w:bottom w:val="nil"/>
              <w:right w:val="single" w:sz="4" w:space="0" w:color="auto"/>
            </w:tcBorders>
          </w:tcPr>
          <w:p w14:paraId="2DBC3D12" w14:textId="290D5144" w:rsidR="00B95301" w:rsidRDefault="00B95301" w:rsidP="00486E60">
            <w:pPr>
              <w:spacing w:after="0" w:line="240" w:lineRule="auto"/>
              <w:ind w:left="-57" w:right="-57"/>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w:t>
            </w:r>
          </w:p>
        </w:tc>
        <w:tc>
          <w:tcPr>
            <w:tcW w:w="328" w:type="pct"/>
            <w:tcBorders>
              <w:top w:val="single" w:sz="4" w:space="0" w:color="auto"/>
              <w:left w:val="single" w:sz="4" w:space="0" w:color="auto"/>
              <w:bottom w:val="nil"/>
              <w:right w:val="single" w:sz="4" w:space="0" w:color="auto"/>
            </w:tcBorders>
            <w:noWrap/>
          </w:tcPr>
          <w:p w14:paraId="297FAC63" w14:textId="7EF36FE5" w:rsidR="00B95301" w:rsidRDefault="00B95301" w:rsidP="00486E60">
            <w:pPr>
              <w:spacing w:after="0" w:line="240" w:lineRule="auto"/>
              <w:ind w:left="-57" w:right="-57"/>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w:t>
            </w:r>
          </w:p>
        </w:tc>
      </w:tr>
      <w:tr w:rsidR="00A10522" w:rsidRPr="002F0078" w14:paraId="6CE49BF1" w14:textId="77777777" w:rsidTr="00A10522">
        <w:trPr>
          <w:trHeight w:val="1250"/>
        </w:trPr>
        <w:tc>
          <w:tcPr>
            <w:tcW w:w="3358" w:type="pct"/>
            <w:gridSpan w:val="4"/>
            <w:tcBorders>
              <w:top w:val="single" w:sz="4" w:space="0" w:color="auto"/>
              <w:left w:val="single" w:sz="4" w:space="0" w:color="auto"/>
              <w:bottom w:val="single" w:sz="4" w:space="0" w:color="auto"/>
              <w:right w:val="nil"/>
            </w:tcBorders>
            <w:noWrap/>
            <w:vAlign w:val="bottom"/>
            <w:hideMark/>
          </w:tcPr>
          <w:p w14:paraId="4D43DCB8" w14:textId="77777777" w:rsidR="00A10522" w:rsidRPr="00A10522" w:rsidRDefault="00A10522" w:rsidP="00A10522">
            <w:pPr>
              <w:rPr>
                <w:rFonts w:ascii="Times New Roman" w:eastAsia="Times New Roman" w:hAnsi="Times New Roman" w:cs="Times New Roman"/>
                <w:sz w:val="20"/>
                <w:szCs w:val="20"/>
                <w:lang w:eastAsia="lt-LT"/>
              </w:rPr>
            </w:pPr>
            <w:bookmarkStart w:id="0" w:name="NK_vertinimas_(1.2.4)!C48"/>
            <w:bookmarkEnd w:id="0"/>
            <w:r w:rsidRPr="00A10522">
              <w:rPr>
                <w:rFonts w:ascii="Times New Roman" w:eastAsia="Times New Roman" w:hAnsi="Times New Roman" w:cs="Times New Roman"/>
                <w:sz w:val="20"/>
                <w:szCs w:val="20"/>
                <w:lang w:eastAsia="lt-LT"/>
              </w:rPr>
              <w:t xml:space="preserve">* TEN-T pagrindinis tinklas – tinklas, apibrėžtas 2013 m. gruodžio 11 d. Europos Parlamento ir Tarybos reglamento (ES) Nr. 1315/2013 dėl Sąjungos </w:t>
            </w:r>
            <w:proofErr w:type="spellStart"/>
            <w:r w:rsidRPr="00A10522">
              <w:rPr>
                <w:rFonts w:ascii="Times New Roman" w:eastAsia="Times New Roman" w:hAnsi="Times New Roman" w:cs="Times New Roman"/>
                <w:sz w:val="20"/>
                <w:szCs w:val="20"/>
                <w:lang w:eastAsia="lt-LT"/>
              </w:rPr>
              <w:t>transeuropinio</w:t>
            </w:r>
            <w:proofErr w:type="spellEnd"/>
            <w:r w:rsidRPr="00A10522">
              <w:rPr>
                <w:rFonts w:ascii="Times New Roman" w:eastAsia="Times New Roman" w:hAnsi="Times New Roman" w:cs="Times New Roman"/>
                <w:sz w:val="20"/>
                <w:szCs w:val="20"/>
                <w:lang w:eastAsia="lt-LT"/>
              </w:rPr>
              <w:t xml:space="preserve"> transporto tinklo plėtros gairių, kuriuo panaikinamas Sprendimas Nr. 661/2010/ES, 38 straipsnyje.</w:t>
            </w:r>
          </w:p>
          <w:p w14:paraId="3F776246" w14:textId="77777777" w:rsidR="00A10522" w:rsidRPr="00A10522" w:rsidRDefault="00A10522" w:rsidP="00A10522">
            <w:pPr>
              <w:rPr>
                <w:rFonts w:ascii="Times New Roman" w:eastAsia="Times New Roman" w:hAnsi="Times New Roman" w:cs="Times New Roman"/>
                <w:sz w:val="20"/>
                <w:szCs w:val="20"/>
                <w:lang w:eastAsia="lt-LT"/>
              </w:rPr>
            </w:pPr>
            <w:r w:rsidRPr="00A10522">
              <w:rPr>
                <w:rFonts w:ascii="Times New Roman" w:eastAsia="Times New Roman" w:hAnsi="Times New Roman" w:cs="Times New Roman"/>
                <w:sz w:val="20"/>
                <w:szCs w:val="20"/>
                <w:lang w:eastAsia="lt-LT"/>
              </w:rPr>
              <w:t xml:space="preserve">** Miestų transporto mazgas – miesto zona, kurioje </w:t>
            </w:r>
            <w:proofErr w:type="spellStart"/>
            <w:r w:rsidRPr="00A10522">
              <w:rPr>
                <w:rFonts w:ascii="Times New Roman" w:eastAsia="Times New Roman" w:hAnsi="Times New Roman" w:cs="Times New Roman"/>
                <w:sz w:val="20"/>
                <w:szCs w:val="20"/>
                <w:lang w:eastAsia="lt-LT"/>
              </w:rPr>
              <w:t>transeuropinio</w:t>
            </w:r>
            <w:proofErr w:type="spellEnd"/>
            <w:r w:rsidRPr="00A10522">
              <w:rPr>
                <w:rFonts w:ascii="Times New Roman" w:eastAsia="Times New Roman" w:hAnsi="Times New Roman" w:cs="Times New Roman"/>
                <w:sz w:val="20"/>
                <w:szCs w:val="20"/>
                <w:lang w:eastAsia="lt-LT"/>
              </w:rPr>
              <w:t xml:space="preserve"> transporto tinklo transporto infrastruktūros elementai, pavyzdžiui, uostai, įskaitant keleivių terminalus, oro uostai, geležinkelio stotys, autobusų terminalai, logistikos centrai ir įrenginiai bei krovinių terminalai, esantys miestų zonose arba aplink jas, yra sujungti su kitais tos infrastruktūros elementais ir su regioninio ir vietos eismo infrastruktūra, įskaitant susijusią su aktyviuoju judumu, kaip apibrėžta Pasiūlyme dėl Europos Parlamento ir Tarybos reglamento dėl Sąjungos </w:t>
            </w:r>
            <w:proofErr w:type="spellStart"/>
            <w:r w:rsidRPr="00A10522">
              <w:rPr>
                <w:rFonts w:ascii="Times New Roman" w:eastAsia="Times New Roman" w:hAnsi="Times New Roman" w:cs="Times New Roman"/>
                <w:sz w:val="20"/>
                <w:szCs w:val="20"/>
                <w:lang w:eastAsia="lt-LT"/>
              </w:rPr>
              <w:t>transeuropinio</w:t>
            </w:r>
            <w:proofErr w:type="spellEnd"/>
            <w:r w:rsidRPr="00A10522">
              <w:rPr>
                <w:rFonts w:ascii="Times New Roman" w:eastAsia="Times New Roman" w:hAnsi="Times New Roman" w:cs="Times New Roman"/>
                <w:sz w:val="20"/>
                <w:szCs w:val="20"/>
                <w:lang w:eastAsia="lt-LT"/>
              </w:rPr>
              <w:t xml:space="preserve"> tinklo plėtros gairių, kuriuo iš dalies keičiamas Reglamentas (ES) 2021/1153 bei Reglamentas (ES) Nr. 913/2010 ir panaikinamas Reglamentas (ES) Nr. 1315/2013. Minėto dokumento II priede pateikiami 5 Lietuvos miestai, priskiriami miestų transporto mazgams: Vilnius, Kaunas, Klaipėda, Šiauliai, Panevėžys.</w:t>
            </w:r>
          </w:p>
          <w:p w14:paraId="5CDFE9DD" w14:textId="50D72D09" w:rsidR="00A10522" w:rsidRPr="002F0078" w:rsidRDefault="00A10522" w:rsidP="00A10522">
            <w:pPr>
              <w:spacing w:after="0" w:line="240" w:lineRule="auto"/>
              <w:ind w:left="-57" w:right="-57"/>
              <w:rPr>
                <w:rFonts w:ascii="Times New Roman" w:eastAsia="Times New Roman" w:hAnsi="Times New Roman" w:cs="Times New Roman"/>
                <w:sz w:val="20"/>
                <w:szCs w:val="20"/>
                <w:lang w:eastAsia="lt-LT"/>
              </w:rPr>
            </w:pPr>
            <w:r w:rsidRPr="00A10522">
              <w:rPr>
                <w:rFonts w:ascii="Times New Roman" w:eastAsia="Times New Roman" w:hAnsi="Times New Roman" w:cs="Times New Roman"/>
                <w:sz w:val="20"/>
                <w:szCs w:val="20"/>
                <w:lang w:eastAsia="lt-LT"/>
              </w:rPr>
              <w:t>*** TEN-T visuotinis tinklas – tinklas, apibrėžtas Reglamento (ES) Nr. 1315/2013 9 straipsnyje.</w:t>
            </w:r>
          </w:p>
        </w:tc>
        <w:tc>
          <w:tcPr>
            <w:tcW w:w="633" w:type="pct"/>
            <w:gridSpan w:val="2"/>
            <w:tcBorders>
              <w:top w:val="single" w:sz="4" w:space="0" w:color="auto"/>
              <w:left w:val="single" w:sz="4" w:space="0" w:color="auto"/>
              <w:bottom w:val="single" w:sz="4" w:space="0" w:color="auto"/>
              <w:right w:val="single" w:sz="4" w:space="0" w:color="auto"/>
            </w:tcBorders>
            <w:shd w:val="clear" w:color="000000" w:fill="D0CECE"/>
            <w:hideMark/>
          </w:tcPr>
          <w:p w14:paraId="151BBACC" w14:textId="77777777" w:rsidR="00A10522" w:rsidRPr="002F0078" w:rsidRDefault="00A10522" w:rsidP="002F0078">
            <w:pPr>
              <w:spacing w:after="0" w:line="240" w:lineRule="auto"/>
              <w:ind w:left="-57" w:right="-57"/>
              <w:jc w:val="right"/>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SUMA:</w:t>
            </w:r>
          </w:p>
        </w:tc>
        <w:tc>
          <w:tcPr>
            <w:tcW w:w="340" w:type="pct"/>
            <w:tcBorders>
              <w:top w:val="single" w:sz="4" w:space="0" w:color="auto"/>
              <w:left w:val="single" w:sz="4" w:space="0" w:color="auto"/>
              <w:bottom w:val="single" w:sz="4" w:space="0" w:color="auto"/>
              <w:right w:val="single" w:sz="4" w:space="0" w:color="auto"/>
            </w:tcBorders>
            <w:hideMark/>
          </w:tcPr>
          <w:p w14:paraId="63D9F315" w14:textId="1A6C7A87" w:rsidR="00A10522" w:rsidRPr="002F0078" w:rsidRDefault="00A10522" w:rsidP="002F0078">
            <w:pPr>
              <w:spacing w:after="0" w:line="240" w:lineRule="auto"/>
              <w:ind w:left="-57" w:right="-57"/>
              <w:rPr>
                <w:rFonts w:ascii="Times New Roman" w:eastAsia="Times New Roman" w:hAnsi="Times New Roman" w:cs="Times New Roman"/>
                <w:i/>
                <w:iCs/>
                <w:sz w:val="20"/>
                <w:szCs w:val="20"/>
                <w:lang w:eastAsia="lt-LT"/>
              </w:rPr>
            </w:pPr>
          </w:p>
        </w:tc>
        <w:tc>
          <w:tcPr>
            <w:tcW w:w="341" w:type="pct"/>
            <w:tcBorders>
              <w:top w:val="single" w:sz="4" w:space="0" w:color="auto"/>
              <w:left w:val="single" w:sz="4" w:space="0" w:color="auto"/>
              <w:bottom w:val="single" w:sz="4" w:space="0" w:color="auto"/>
              <w:right w:val="single" w:sz="4" w:space="0" w:color="auto"/>
            </w:tcBorders>
            <w:hideMark/>
          </w:tcPr>
          <w:p w14:paraId="3B4F57B4" w14:textId="38A6E764" w:rsidR="00A10522" w:rsidRPr="00AE36DB" w:rsidRDefault="00A10522" w:rsidP="002F0078">
            <w:pPr>
              <w:spacing w:after="0" w:line="240" w:lineRule="auto"/>
              <w:ind w:left="-57" w:right="-57"/>
              <w:rPr>
                <w:rFonts w:ascii="Times New Roman" w:eastAsia="Times New Roman" w:hAnsi="Times New Roman" w:cs="Times New Roman"/>
                <w:b/>
                <w:bCs/>
                <w:i/>
                <w:iCs/>
                <w:sz w:val="20"/>
                <w:szCs w:val="20"/>
                <w:lang w:eastAsia="lt-LT"/>
              </w:rPr>
            </w:pPr>
          </w:p>
        </w:tc>
        <w:tc>
          <w:tcPr>
            <w:tcW w:w="328" w:type="pct"/>
            <w:tcBorders>
              <w:top w:val="single" w:sz="4" w:space="0" w:color="auto"/>
              <w:left w:val="single" w:sz="4" w:space="0" w:color="auto"/>
              <w:bottom w:val="single" w:sz="4" w:space="0" w:color="auto"/>
              <w:right w:val="single" w:sz="4" w:space="0" w:color="auto"/>
            </w:tcBorders>
            <w:shd w:val="clear" w:color="000000" w:fill="D0CECE"/>
            <w:noWrap/>
            <w:hideMark/>
          </w:tcPr>
          <w:p w14:paraId="6DE45D85" w14:textId="77777777" w:rsidR="00A10522" w:rsidRPr="002F0078" w:rsidRDefault="00A10522" w:rsidP="002F0078">
            <w:pPr>
              <w:spacing w:after="0" w:line="240" w:lineRule="auto"/>
              <w:ind w:left="-57" w:right="-57"/>
              <w:rPr>
                <w:rFonts w:ascii="Times New Roman" w:eastAsia="Times New Roman" w:hAnsi="Times New Roman" w:cs="Times New Roman"/>
                <w:i/>
                <w:iCs/>
                <w:sz w:val="20"/>
                <w:szCs w:val="20"/>
                <w:lang w:eastAsia="lt-LT"/>
              </w:rPr>
            </w:pPr>
          </w:p>
        </w:tc>
      </w:tr>
    </w:tbl>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5024AE22" w14:textId="2756BBD8" w:rsidR="00AB1327" w:rsidRDefault="005808BF" w:rsidP="00047D1C">
      <w:pPr>
        <w:pStyle w:val="Heading1"/>
        <w:numPr>
          <w:ilvl w:val="0"/>
          <w:numId w:val="2"/>
        </w:numPr>
      </w:pPr>
      <w:r>
        <w:t>S</w:t>
      </w:r>
      <w:r w:rsidR="00EC0E11" w:rsidRPr="00EC0E11">
        <w:t>PRENDIMAS</w:t>
      </w:r>
    </w:p>
    <w:tbl>
      <w:tblPr>
        <w:tblStyle w:val="TableGrid"/>
        <w:tblW w:w="14596" w:type="dxa"/>
        <w:tblLook w:val="04A0" w:firstRow="1" w:lastRow="0" w:firstColumn="1" w:lastColumn="0" w:noHBand="0" w:noVBand="1"/>
      </w:tblPr>
      <w:tblGrid>
        <w:gridCol w:w="14596"/>
      </w:tblGrid>
      <w:tr w:rsidR="002F4D33" w14:paraId="29B50397" w14:textId="77777777" w:rsidTr="00EA4E9A">
        <w:tc>
          <w:tcPr>
            <w:tcW w:w="14596" w:type="dxa"/>
          </w:tcPr>
          <w:p w14:paraId="5348C4DC" w14:textId="65EF45D4" w:rsidR="002F4D33" w:rsidRDefault="002F4D33" w:rsidP="008864ED">
            <w:pPr>
              <w:pStyle w:val="Heading2"/>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4596" w:type="dxa"/>
        <w:tblLook w:val="04A0" w:firstRow="1" w:lastRow="0" w:firstColumn="1" w:lastColumn="0" w:noHBand="0" w:noVBand="1"/>
      </w:tblPr>
      <w:tblGrid>
        <w:gridCol w:w="14596"/>
      </w:tblGrid>
      <w:tr w:rsidR="001259C3" w14:paraId="570E1E21" w14:textId="77777777" w:rsidTr="00EA4E9A">
        <w:trPr>
          <w:trHeight w:val="481"/>
        </w:trPr>
        <w:tc>
          <w:tcPr>
            <w:tcW w:w="14596" w:type="dxa"/>
          </w:tcPr>
          <w:p w14:paraId="3EB5947C" w14:textId="4571218A" w:rsidR="001259C3" w:rsidRDefault="001259C3" w:rsidP="00E93301">
            <w:pPr>
              <w:rPr>
                <w:rFonts w:ascii="Times New Roman" w:hAnsi="Times New Roman" w:cs="Times New Roman"/>
                <w:b/>
              </w:rPr>
            </w:pPr>
          </w:p>
        </w:tc>
      </w:tr>
    </w:tbl>
    <w:p w14:paraId="3C5F87EA" w14:textId="2043DFA9" w:rsidR="002D7EEE" w:rsidRDefault="002D7EEE" w:rsidP="00047D1C">
      <w:pPr>
        <w:pStyle w:val="Heading1"/>
        <w:numPr>
          <w:ilvl w:val="0"/>
          <w:numId w:val="2"/>
        </w:numPr>
        <w:rPr>
          <w:b w:val="0"/>
          <w:bCs/>
        </w:rPr>
      </w:pPr>
      <w:r w:rsidRPr="70CCFC48">
        <w:rPr>
          <w:bCs/>
        </w:rPr>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4596" w:type="dxa"/>
        <w:tblLook w:val="04A0" w:firstRow="1" w:lastRow="0" w:firstColumn="1" w:lastColumn="0" w:noHBand="0" w:noVBand="1"/>
      </w:tblPr>
      <w:tblGrid>
        <w:gridCol w:w="14596"/>
      </w:tblGrid>
      <w:tr w:rsidR="002D7EEE" w14:paraId="1FA5FB0B" w14:textId="77777777" w:rsidTr="00EA4E9A">
        <w:trPr>
          <w:trHeight w:val="1137"/>
        </w:trPr>
        <w:tc>
          <w:tcPr>
            <w:tcW w:w="14596" w:type="dxa"/>
          </w:tcPr>
          <w:p w14:paraId="2D22806F" w14:textId="219CEEE9" w:rsidR="002D7EEE" w:rsidRDefault="002D7EEE" w:rsidP="005808BF">
            <w:pPr>
              <w:rPr>
                <w:rFonts w:ascii="Times New Roman" w:hAnsi="Times New Roman" w:cs="Times New Roman"/>
                <w:b/>
              </w:rPr>
            </w:pPr>
          </w:p>
        </w:tc>
      </w:tr>
    </w:tbl>
    <w:p w14:paraId="6D6B894E" w14:textId="77777777" w:rsidR="002D7EEE" w:rsidRPr="002D7EEE" w:rsidRDefault="002D7EEE" w:rsidP="00E93301">
      <w:pPr>
        <w:rPr>
          <w:rFonts w:ascii="Times New Roman" w:hAnsi="Times New Roman" w:cs="Times New Roman"/>
          <w:b/>
        </w:rPr>
      </w:pPr>
    </w:p>
    <w:sectPr w:rsidR="002D7EEE" w:rsidRPr="002D7EEE" w:rsidSect="003125E8">
      <w:pgSz w:w="16838" w:h="11906" w:orient="landscape"/>
      <w:pgMar w:top="566" w:right="1134" w:bottom="424" w:left="1135" w:header="34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B32" w14:textId="77777777" w:rsidR="000333E0" w:rsidRDefault="000333E0" w:rsidP="00B351D0">
      <w:pPr>
        <w:spacing w:after="0" w:line="240" w:lineRule="auto"/>
      </w:pPr>
      <w:r>
        <w:separator/>
      </w:r>
    </w:p>
  </w:endnote>
  <w:endnote w:type="continuationSeparator" w:id="0">
    <w:p w14:paraId="39705558" w14:textId="77777777" w:rsidR="000333E0" w:rsidRDefault="000333E0" w:rsidP="00B351D0">
      <w:pPr>
        <w:spacing w:after="0" w:line="240" w:lineRule="auto"/>
      </w:pPr>
      <w:r>
        <w:continuationSeparator/>
      </w:r>
    </w:p>
  </w:endnote>
  <w:endnote w:type="continuationNotice" w:id="1">
    <w:p w14:paraId="42A05EBF" w14:textId="77777777" w:rsidR="000333E0" w:rsidRDefault="00033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ED9DD" w14:textId="77777777" w:rsidR="000333E0" w:rsidRDefault="000333E0" w:rsidP="00B351D0">
      <w:pPr>
        <w:spacing w:after="0" w:line="240" w:lineRule="auto"/>
      </w:pPr>
      <w:r>
        <w:separator/>
      </w:r>
    </w:p>
  </w:footnote>
  <w:footnote w:type="continuationSeparator" w:id="0">
    <w:p w14:paraId="03EC60F6" w14:textId="77777777" w:rsidR="000333E0" w:rsidRDefault="000333E0" w:rsidP="00B351D0">
      <w:pPr>
        <w:spacing w:after="0" w:line="240" w:lineRule="auto"/>
      </w:pPr>
      <w:r>
        <w:continuationSeparator/>
      </w:r>
    </w:p>
  </w:footnote>
  <w:footnote w:type="continuationNotice" w:id="1">
    <w:p w14:paraId="1089EEAF" w14:textId="77777777" w:rsidR="000333E0" w:rsidRDefault="000333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5906879">
    <w:abstractNumId w:val="0"/>
  </w:num>
  <w:num w:numId="2" w16cid:durableId="247271649">
    <w:abstractNumId w:val="7"/>
  </w:num>
  <w:num w:numId="3" w16cid:durableId="1354183820">
    <w:abstractNumId w:val="6"/>
  </w:num>
  <w:num w:numId="4" w16cid:durableId="2068064349">
    <w:abstractNumId w:val="10"/>
  </w:num>
  <w:num w:numId="5" w16cid:durableId="1105613985">
    <w:abstractNumId w:val="1"/>
  </w:num>
  <w:num w:numId="6" w16cid:durableId="1761366391">
    <w:abstractNumId w:val="2"/>
  </w:num>
  <w:num w:numId="7" w16cid:durableId="1921405082">
    <w:abstractNumId w:val="4"/>
  </w:num>
  <w:num w:numId="8" w16cid:durableId="1794712426">
    <w:abstractNumId w:val="8"/>
  </w:num>
  <w:num w:numId="9" w16cid:durableId="1986083974">
    <w:abstractNumId w:val="7"/>
  </w:num>
  <w:num w:numId="10" w16cid:durableId="164757566">
    <w:abstractNumId w:val="7"/>
  </w:num>
  <w:num w:numId="11" w16cid:durableId="14619067">
    <w:abstractNumId w:val="7"/>
  </w:num>
  <w:num w:numId="12" w16cid:durableId="1377316882">
    <w:abstractNumId w:val="7"/>
  </w:num>
  <w:num w:numId="13" w16cid:durableId="1670328175">
    <w:abstractNumId w:val="5"/>
  </w:num>
  <w:num w:numId="14" w16cid:durableId="405154627">
    <w:abstractNumId w:val="3"/>
  </w:num>
  <w:num w:numId="15" w16cid:durableId="411971185">
    <w:abstractNumId w:val="9"/>
  </w:num>
  <w:num w:numId="16" w16cid:durableId="719598604">
    <w:abstractNumId w:val="7"/>
  </w:num>
  <w:num w:numId="17" w16cid:durableId="732048509">
    <w:abstractNumId w:val="7"/>
  </w:num>
  <w:num w:numId="18" w16cid:durableId="819812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333E0"/>
    <w:rsid w:val="00043533"/>
    <w:rsid w:val="00047D1C"/>
    <w:rsid w:val="0005060E"/>
    <w:rsid w:val="00057242"/>
    <w:rsid w:val="000572E0"/>
    <w:rsid w:val="0006111F"/>
    <w:rsid w:val="00076E44"/>
    <w:rsid w:val="00084997"/>
    <w:rsid w:val="000D677C"/>
    <w:rsid w:val="000E1BDC"/>
    <w:rsid w:val="000E64C3"/>
    <w:rsid w:val="000F0C95"/>
    <w:rsid w:val="00104DAE"/>
    <w:rsid w:val="00114817"/>
    <w:rsid w:val="0012151E"/>
    <w:rsid w:val="001259C3"/>
    <w:rsid w:val="00137468"/>
    <w:rsid w:val="00150A02"/>
    <w:rsid w:val="00161FFE"/>
    <w:rsid w:val="001A6072"/>
    <w:rsid w:val="001B1711"/>
    <w:rsid w:val="001D355E"/>
    <w:rsid w:val="001F6B02"/>
    <w:rsid w:val="00203EAE"/>
    <w:rsid w:val="00207A46"/>
    <w:rsid w:val="0023763D"/>
    <w:rsid w:val="0024066B"/>
    <w:rsid w:val="002514A2"/>
    <w:rsid w:val="002537E4"/>
    <w:rsid w:val="00277CDC"/>
    <w:rsid w:val="002B3590"/>
    <w:rsid w:val="002B6055"/>
    <w:rsid w:val="002C7C44"/>
    <w:rsid w:val="002D7EEE"/>
    <w:rsid w:val="002F0078"/>
    <w:rsid w:val="002F4D33"/>
    <w:rsid w:val="003013EE"/>
    <w:rsid w:val="003125E8"/>
    <w:rsid w:val="003545CF"/>
    <w:rsid w:val="00360A4B"/>
    <w:rsid w:val="003714BD"/>
    <w:rsid w:val="00383707"/>
    <w:rsid w:val="00387BA3"/>
    <w:rsid w:val="003A0CE3"/>
    <w:rsid w:val="003B42F4"/>
    <w:rsid w:val="003B55C8"/>
    <w:rsid w:val="003C4819"/>
    <w:rsid w:val="003E60ED"/>
    <w:rsid w:val="003F2286"/>
    <w:rsid w:val="003F3E1B"/>
    <w:rsid w:val="0042288E"/>
    <w:rsid w:val="00435582"/>
    <w:rsid w:val="00443102"/>
    <w:rsid w:val="00474602"/>
    <w:rsid w:val="00486E60"/>
    <w:rsid w:val="00487D77"/>
    <w:rsid w:val="00490E38"/>
    <w:rsid w:val="004F39F2"/>
    <w:rsid w:val="00524BAD"/>
    <w:rsid w:val="00526A14"/>
    <w:rsid w:val="005421A3"/>
    <w:rsid w:val="005437BC"/>
    <w:rsid w:val="00575564"/>
    <w:rsid w:val="005808BF"/>
    <w:rsid w:val="00590917"/>
    <w:rsid w:val="005A780B"/>
    <w:rsid w:val="005F3E2C"/>
    <w:rsid w:val="00603120"/>
    <w:rsid w:val="00604CC3"/>
    <w:rsid w:val="00624ECB"/>
    <w:rsid w:val="00652A5C"/>
    <w:rsid w:val="006A41F7"/>
    <w:rsid w:val="006A5A06"/>
    <w:rsid w:val="006D1747"/>
    <w:rsid w:val="006D27F0"/>
    <w:rsid w:val="006E129C"/>
    <w:rsid w:val="006F1E26"/>
    <w:rsid w:val="00700D50"/>
    <w:rsid w:val="007033FE"/>
    <w:rsid w:val="00710DF4"/>
    <w:rsid w:val="00724F66"/>
    <w:rsid w:val="007304E8"/>
    <w:rsid w:val="00737DCF"/>
    <w:rsid w:val="007427BA"/>
    <w:rsid w:val="00786A9F"/>
    <w:rsid w:val="0079046B"/>
    <w:rsid w:val="00796CB1"/>
    <w:rsid w:val="007A07D5"/>
    <w:rsid w:val="007B7EB2"/>
    <w:rsid w:val="007C49AD"/>
    <w:rsid w:val="007C4F58"/>
    <w:rsid w:val="007C7A59"/>
    <w:rsid w:val="007D3408"/>
    <w:rsid w:val="007D5464"/>
    <w:rsid w:val="007E5232"/>
    <w:rsid w:val="00820E9C"/>
    <w:rsid w:val="00841EF0"/>
    <w:rsid w:val="008711CE"/>
    <w:rsid w:val="008864ED"/>
    <w:rsid w:val="008910FE"/>
    <w:rsid w:val="008D18C8"/>
    <w:rsid w:val="008D238F"/>
    <w:rsid w:val="009137FF"/>
    <w:rsid w:val="009727F0"/>
    <w:rsid w:val="0097282F"/>
    <w:rsid w:val="0099583A"/>
    <w:rsid w:val="009B2AA4"/>
    <w:rsid w:val="009B7414"/>
    <w:rsid w:val="009D017F"/>
    <w:rsid w:val="009D1156"/>
    <w:rsid w:val="009F0AA0"/>
    <w:rsid w:val="009F786E"/>
    <w:rsid w:val="00A033E1"/>
    <w:rsid w:val="00A043DF"/>
    <w:rsid w:val="00A10522"/>
    <w:rsid w:val="00A14DA4"/>
    <w:rsid w:val="00A60CFF"/>
    <w:rsid w:val="00A6297D"/>
    <w:rsid w:val="00A81016"/>
    <w:rsid w:val="00AA44E2"/>
    <w:rsid w:val="00AA698F"/>
    <w:rsid w:val="00AA7138"/>
    <w:rsid w:val="00AB1327"/>
    <w:rsid w:val="00AE1D79"/>
    <w:rsid w:val="00AE36DB"/>
    <w:rsid w:val="00B351D0"/>
    <w:rsid w:val="00B56BF0"/>
    <w:rsid w:val="00B75FCE"/>
    <w:rsid w:val="00B95301"/>
    <w:rsid w:val="00BA2878"/>
    <w:rsid w:val="00BF5217"/>
    <w:rsid w:val="00C10C82"/>
    <w:rsid w:val="00C1181F"/>
    <w:rsid w:val="00C87EAD"/>
    <w:rsid w:val="00CA709E"/>
    <w:rsid w:val="00CD1E52"/>
    <w:rsid w:val="00CD5BE7"/>
    <w:rsid w:val="00CE4CB2"/>
    <w:rsid w:val="00D13C72"/>
    <w:rsid w:val="00D3720E"/>
    <w:rsid w:val="00D400C1"/>
    <w:rsid w:val="00D93284"/>
    <w:rsid w:val="00D95176"/>
    <w:rsid w:val="00D95B46"/>
    <w:rsid w:val="00DB30E3"/>
    <w:rsid w:val="00DD76D5"/>
    <w:rsid w:val="00DE25D9"/>
    <w:rsid w:val="00E01DE9"/>
    <w:rsid w:val="00E06CD0"/>
    <w:rsid w:val="00E12105"/>
    <w:rsid w:val="00E3045E"/>
    <w:rsid w:val="00E7587F"/>
    <w:rsid w:val="00E93301"/>
    <w:rsid w:val="00EA4E9A"/>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 w:type="character" w:customStyle="1" w:styleId="font241">
    <w:name w:val="font241"/>
    <w:basedOn w:val="DefaultParagraphFont"/>
    <w:rsid w:val="002F0078"/>
    <w:rPr>
      <w:rFonts w:ascii="Times New Roman" w:hAnsi="Times New Roman" w:cs="Times New Roman" w:hint="default"/>
      <w:b w:val="0"/>
      <w:bCs w:val="0"/>
      <w:i/>
      <w:iCs/>
      <w:strike w:val="0"/>
      <w:dstrike w:val="0"/>
      <w:color w:val="auto"/>
      <w:sz w:val="20"/>
      <w:szCs w:val="20"/>
      <w:u w:val="none"/>
      <w:effect w:val="none"/>
    </w:rPr>
  </w:style>
  <w:style w:type="character" w:customStyle="1" w:styleId="font221">
    <w:name w:val="font221"/>
    <w:basedOn w:val="DefaultParagraphFont"/>
    <w:rsid w:val="002F0078"/>
    <w:rPr>
      <w:rFonts w:ascii="Times New Roman" w:hAnsi="Times New Roman" w:cs="Times New Roman" w:hint="default"/>
      <w:b w:val="0"/>
      <w:bCs w:val="0"/>
      <w:i/>
      <w:iCs/>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1011759689">
      <w:bodyDiv w:val="1"/>
      <w:marLeft w:val="0"/>
      <w:marRight w:val="0"/>
      <w:marTop w:val="0"/>
      <w:marBottom w:val="0"/>
      <w:divBdr>
        <w:top w:val="none" w:sz="0" w:space="0" w:color="auto"/>
        <w:left w:val="none" w:sz="0" w:space="0" w:color="auto"/>
        <w:bottom w:val="none" w:sz="0" w:space="0" w:color="auto"/>
        <w:right w:val="none" w:sz="0" w:space="0" w:color="auto"/>
      </w:divBdr>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 w:id="14591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B4400-B305-432B-8F1D-7F681CAD2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B08E6-4F96-4FF1-9FFD-EA9E150A8226}">
  <ds:schemaRefs>
    <ds:schemaRef ds:uri="http://schemas.microsoft.com/office/2006/metadata/properties"/>
    <ds:schemaRef ds:uri="http://purl.org/dc/elements/1.1/"/>
    <ds:schemaRef ds:uri="http://www.w3.org/XML/1998/namespace"/>
    <ds:schemaRef ds:uri="f5ebda27-b626-448f-a7d1-d1cf5ad133fa"/>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850472A-31E1-4886-A6CF-55D983A47804}">
  <ds:schemaRefs>
    <ds:schemaRef ds:uri="http://schemas.openxmlformats.org/officeDocument/2006/bibliography"/>
  </ds:schemaRefs>
</ds:datastoreItem>
</file>

<file path=customXml/itemProps4.xml><?xml version="1.0" encoding="utf-8"?>
<ds:datastoreItem xmlns:ds="http://schemas.openxmlformats.org/officeDocument/2006/customXml" ds:itemID="{FFA04220-C06E-4ADD-B6BB-1ABCD37A4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2973</Words>
  <Characters>1695</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Naudos ir kokybės vertinimo  PL</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Naudos ir kokybės vertinimo  PL</dc:title>
  <dc:subject/>
  <dc:creator>Zita  Markevičienė</dc:creator>
  <cp:keywords/>
  <dc:description/>
  <cp:lastModifiedBy>Ieva Baltaduonytė</cp:lastModifiedBy>
  <cp:revision>2</cp:revision>
  <dcterms:created xsi:type="dcterms:W3CDTF">2023-05-19T12:57:00Z</dcterms:created>
  <dcterms:modified xsi:type="dcterms:W3CDTF">2023-05-19T12:57:00Z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3169;#Darnaus transporto projektų skyrius|ac541b4c-a511-49a1-b192-8ec1ac837a74</vt:lpwstr>
  </property>
  <property fmtid="{D5CDD505-2E9C-101B-9397-08002B2CF9AE}" pid="7" name="DmsPermissionsUsers">
    <vt:lpwstr>149;#Tautvydas Umbražūnas;#145;#Audrius Tamkus</vt:lpwstr>
  </property>
  <property fmtid="{D5CDD505-2E9C-101B-9397-08002B2CF9AE}" pid="8" name="DmsDocPrepDocSendRegReal">
    <vt:bool>false</vt:bool>
  </property>
  <property fmtid="{D5CDD505-2E9C-101B-9397-08002B2CF9AE}" pid="9" name="DmsWaitingForSign">
    <vt:bool>false</vt:bool>
  </property>
</Properties>
</file>