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6DCF" w14:textId="77777777" w:rsidR="00CB0605" w:rsidRPr="007D1276" w:rsidRDefault="00CB0605" w:rsidP="00D355B7">
      <w:pPr>
        <w:jc w:val="center"/>
        <w:rPr>
          <w:b/>
          <w:bCs/>
          <w:szCs w:val="24"/>
        </w:rPr>
      </w:pPr>
      <w:r w:rsidRPr="007D1276">
        <w:rPr>
          <w:b/>
          <w:bCs/>
          <w:szCs w:val="24"/>
        </w:rPr>
        <w:t>LIETUVOS RESPUBLIKOS EKONOMIKOS IR INOVACIJŲ MINISTERIJA</w:t>
      </w:r>
    </w:p>
    <w:p w14:paraId="67E08466" w14:textId="77777777" w:rsidR="00CB0605" w:rsidRPr="007D1276" w:rsidRDefault="00CB0605" w:rsidP="00D355B7">
      <w:pPr>
        <w:jc w:val="center"/>
        <w:rPr>
          <w:b/>
          <w:bCs/>
          <w:szCs w:val="24"/>
        </w:rPr>
      </w:pPr>
    </w:p>
    <w:p w14:paraId="728A6EAF" w14:textId="65919C40" w:rsidR="00CB0605" w:rsidRPr="007D1276" w:rsidRDefault="00CB0605" w:rsidP="00470B39">
      <w:pPr>
        <w:jc w:val="both"/>
        <w:rPr>
          <w:b/>
          <w:bCs/>
          <w:caps/>
          <w:szCs w:val="24"/>
        </w:rPr>
      </w:pPr>
      <w:r w:rsidRPr="007D1276">
        <w:rPr>
          <w:b/>
          <w:bCs/>
          <w:szCs w:val="24"/>
        </w:rPr>
        <w:t xml:space="preserve">SOCIALINIŲ IR EKONOMINIŲ </w:t>
      </w:r>
      <w:r w:rsidRPr="007D1276">
        <w:rPr>
          <w:b/>
          <w:bCs/>
          <w:caps/>
          <w:szCs w:val="24"/>
        </w:rPr>
        <w:t xml:space="preserve">PARTNERIŲ PATEIKTŲ PASTABŲ IR PASIŪLYMŲ DĖL </w:t>
      </w:r>
      <w:r w:rsidR="009830F4" w:rsidRPr="007D1276">
        <w:rPr>
          <w:b/>
          <w:bCs/>
          <w:caps/>
          <w:szCs w:val="24"/>
        </w:rPr>
        <w:t xml:space="preserve">Ekonomikos transformacijos ir konkurencingumo plėtros programos pažangos priemonės </w:t>
      </w:r>
      <w:r w:rsidR="00DE132A" w:rsidRPr="007D1276">
        <w:rPr>
          <w:b/>
          <w:bCs/>
          <w:caps/>
          <w:szCs w:val="24"/>
        </w:rPr>
        <w:t xml:space="preserve">05-001-01-05-05 „Skatinti įmones skaitmenizuotis“ </w:t>
      </w:r>
      <w:r w:rsidR="00307804" w:rsidRPr="007D1276">
        <w:rPr>
          <w:b/>
          <w:bCs/>
          <w:caps/>
          <w:szCs w:val="24"/>
        </w:rPr>
        <w:t xml:space="preserve"> veiklos</w:t>
      </w:r>
      <w:r w:rsidR="00BC6BF2" w:rsidRPr="007D1276">
        <w:rPr>
          <w:b/>
          <w:bCs/>
          <w:caps/>
          <w:szCs w:val="24"/>
        </w:rPr>
        <w:t xml:space="preserve"> </w:t>
      </w:r>
      <w:r w:rsidR="00857B0E" w:rsidRPr="007D1276">
        <w:rPr>
          <w:b/>
          <w:bCs/>
          <w:iCs/>
          <w:szCs w:val="24"/>
        </w:rPr>
        <w:t>„</w:t>
      </w:r>
      <w:r w:rsidR="00857B0E" w:rsidRPr="007D1276">
        <w:rPr>
          <w:b/>
          <w:bCs/>
          <w:szCs w:val="24"/>
        </w:rPr>
        <w:t>FINANSINĖS PASKATOS STARTUOLIAMS IR ATŽALINĖMS ĮMONĖMS KURTI DI, BLOKŲ GRANDINĖS TECHNOLOGIJŲ, ROBOTIKOS PROCESŲ AUTOMATIZAVIMO PRODUKTUS IR SPRENDIMUS“</w:t>
      </w:r>
      <w:r w:rsidR="00857B0E" w:rsidRPr="007D1276">
        <w:rPr>
          <w:b/>
          <w:bCs/>
          <w:iCs/>
          <w:szCs w:val="24"/>
        </w:rPr>
        <w:t xml:space="preserve"> </w:t>
      </w:r>
      <w:r w:rsidR="00857B0E" w:rsidRPr="007D1276">
        <w:rPr>
          <w:b/>
          <w:bCs/>
          <w:szCs w:val="24"/>
        </w:rPr>
        <w:t xml:space="preserve"> </w:t>
      </w:r>
      <w:r w:rsidR="00470B39" w:rsidRPr="007D1276">
        <w:rPr>
          <w:b/>
          <w:bCs/>
          <w:caps/>
          <w:szCs w:val="24"/>
        </w:rPr>
        <w:t>finansavimo sąlygų aprašo</w:t>
      </w:r>
    </w:p>
    <w:p w14:paraId="69573A06" w14:textId="77777777" w:rsidR="00B13D2E" w:rsidRPr="007D1276" w:rsidRDefault="00B13D2E" w:rsidP="00470B39">
      <w:pPr>
        <w:jc w:val="both"/>
        <w:rPr>
          <w:b/>
          <w:bCs/>
          <w:szCs w:val="24"/>
        </w:rPr>
      </w:pPr>
    </w:p>
    <w:tbl>
      <w:tblPr>
        <w:tblStyle w:val="Lentelstinklelis"/>
        <w:tblW w:w="14742" w:type="dxa"/>
        <w:tblInd w:w="108" w:type="dxa"/>
        <w:tblLook w:val="04A0" w:firstRow="1" w:lastRow="0" w:firstColumn="1" w:lastColumn="0" w:noHBand="0" w:noVBand="1"/>
      </w:tblPr>
      <w:tblGrid>
        <w:gridCol w:w="6804"/>
        <w:gridCol w:w="7938"/>
      </w:tblGrid>
      <w:tr w:rsidR="00FD6CB6" w:rsidRPr="007D1276" w14:paraId="2B0A6DB3" w14:textId="77777777" w:rsidTr="00185ACE">
        <w:tc>
          <w:tcPr>
            <w:tcW w:w="6804" w:type="dxa"/>
          </w:tcPr>
          <w:p w14:paraId="43C51541" w14:textId="1ACDE4AE" w:rsidR="00CB0605" w:rsidRPr="007D1276" w:rsidRDefault="00CB0605" w:rsidP="00D355B7">
            <w:pPr>
              <w:rPr>
                <w:b/>
                <w:szCs w:val="24"/>
              </w:rPr>
            </w:pPr>
            <w:r w:rsidRPr="007D1276">
              <w:rPr>
                <w:b/>
                <w:szCs w:val="24"/>
              </w:rPr>
              <w:t xml:space="preserve">Paskelbimo </w:t>
            </w:r>
            <w:hyperlink r:id="rId7" w:history="1">
              <w:r w:rsidR="004F017B" w:rsidRPr="007D1276">
                <w:rPr>
                  <w:rStyle w:val="Hipersaitas"/>
                  <w:color w:val="auto"/>
                  <w:szCs w:val="24"/>
                </w:rPr>
                <w:t>www.esinvesticijos.lt</w:t>
              </w:r>
            </w:hyperlink>
            <w:r w:rsidR="004F017B" w:rsidRPr="007D1276">
              <w:rPr>
                <w:szCs w:val="24"/>
              </w:rPr>
              <w:t xml:space="preserve">, </w:t>
            </w:r>
            <w:hyperlink r:id="rId8" w:history="1">
              <w:r w:rsidR="00F851DD" w:rsidRPr="007D1276">
                <w:rPr>
                  <w:rStyle w:val="Hipersaitas"/>
                  <w:color w:val="auto"/>
                  <w:szCs w:val="24"/>
                </w:rPr>
                <w:t>https://eimin.lrv.lt/</w:t>
              </w:r>
            </w:hyperlink>
            <w:r w:rsidR="00F851DD" w:rsidRPr="007D1276">
              <w:rPr>
                <w:szCs w:val="24"/>
              </w:rPr>
              <w:t xml:space="preserve"> </w:t>
            </w:r>
            <w:r w:rsidRPr="007D1276">
              <w:rPr>
                <w:b/>
                <w:szCs w:val="24"/>
              </w:rPr>
              <w:t xml:space="preserve"> data</w:t>
            </w:r>
          </w:p>
        </w:tc>
        <w:tc>
          <w:tcPr>
            <w:tcW w:w="7938" w:type="dxa"/>
          </w:tcPr>
          <w:p w14:paraId="7ACD24D1" w14:textId="054C1553" w:rsidR="00CB0605" w:rsidRPr="007D1276" w:rsidRDefault="00CB0605" w:rsidP="00D355B7">
            <w:pPr>
              <w:rPr>
                <w:szCs w:val="24"/>
              </w:rPr>
            </w:pPr>
            <w:r w:rsidRPr="007D1276">
              <w:rPr>
                <w:szCs w:val="24"/>
              </w:rPr>
              <w:t>202</w:t>
            </w:r>
            <w:r w:rsidR="00E4254D" w:rsidRPr="007D1276">
              <w:rPr>
                <w:szCs w:val="24"/>
              </w:rPr>
              <w:t>3</w:t>
            </w:r>
            <w:r w:rsidRPr="007D1276">
              <w:rPr>
                <w:szCs w:val="24"/>
              </w:rPr>
              <w:t>-</w:t>
            </w:r>
            <w:r w:rsidR="00E4254D" w:rsidRPr="007D1276">
              <w:rPr>
                <w:szCs w:val="24"/>
              </w:rPr>
              <w:t>0</w:t>
            </w:r>
            <w:r w:rsidR="00A91F34" w:rsidRPr="007D1276">
              <w:rPr>
                <w:szCs w:val="24"/>
              </w:rPr>
              <w:t>5</w:t>
            </w:r>
            <w:r w:rsidR="00806F2A" w:rsidRPr="007D1276">
              <w:rPr>
                <w:szCs w:val="24"/>
              </w:rPr>
              <w:t>-</w:t>
            </w:r>
            <w:r w:rsidR="00A91F34" w:rsidRPr="007D1276">
              <w:rPr>
                <w:szCs w:val="24"/>
              </w:rPr>
              <w:t>11</w:t>
            </w:r>
          </w:p>
        </w:tc>
      </w:tr>
      <w:tr w:rsidR="00FD6CB6" w:rsidRPr="007D1276" w14:paraId="7CFDEEE8" w14:textId="77777777" w:rsidTr="00185ACE">
        <w:tc>
          <w:tcPr>
            <w:tcW w:w="6804" w:type="dxa"/>
          </w:tcPr>
          <w:p w14:paraId="4A1F2499" w14:textId="77777777" w:rsidR="00CB0605" w:rsidRPr="007D1276" w:rsidRDefault="00CB0605" w:rsidP="00D355B7">
            <w:pPr>
              <w:rPr>
                <w:b/>
                <w:szCs w:val="24"/>
              </w:rPr>
            </w:pPr>
            <w:r w:rsidRPr="007D1276">
              <w:rPr>
                <w:b/>
                <w:szCs w:val="24"/>
              </w:rPr>
              <w:t>Ar gauta pastabų ir (ar) pasiūlymų?</w:t>
            </w:r>
          </w:p>
          <w:p w14:paraId="27CBE0BE" w14:textId="77777777" w:rsidR="00CB0605" w:rsidRPr="007D1276" w:rsidRDefault="00CB0605" w:rsidP="00D355B7">
            <w:pPr>
              <w:rPr>
                <w:szCs w:val="24"/>
              </w:rPr>
            </w:pPr>
            <w:r w:rsidRPr="007D1276">
              <w:rPr>
                <w:szCs w:val="24"/>
              </w:rPr>
              <w:t>Jei pastabų ir pasiūlymų nebuvo gauta, į kitą klausimą neatsakoma ir žemiau esanti lentelė nepildoma</w:t>
            </w:r>
          </w:p>
        </w:tc>
        <w:tc>
          <w:tcPr>
            <w:tcW w:w="7938" w:type="dxa"/>
          </w:tcPr>
          <w:p w14:paraId="5379A6B9" w14:textId="322B913E" w:rsidR="00CB0605" w:rsidRPr="007D1276" w:rsidRDefault="00000000" w:rsidP="00D355B7">
            <w:pPr>
              <w:rPr>
                <w:szCs w:val="24"/>
              </w:rPr>
            </w:pPr>
            <w:sdt>
              <w:sdtPr>
                <w:rPr>
                  <w:szCs w:val="24"/>
                </w:rPr>
                <w:id w:val="1312749902"/>
              </w:sdtPr>
              <w:sdtContent>
                <w:bookmarkStart w:id="0" w:name="Check1"/>
                <w:r w:rsidR="00CB0605" w:rsidRPr="007D1276">
                  <w:rPr>
                    <w:szCs w:val="24"/>
                  </w:rPr>
                  <w:fldChar w:fldCharType="begin">
                    <w:ffData>
                      <w:name w:val="Check1"/>
                      <w:enabled/>
                      <w:calcOnExit w:val="0"/>
                      <w:checkBox>
                        <w:sizeAuto/>
                        <w:default w:val="1"/>
                      </w:checkBox>
                    </w:ffData>
                  </w:fldChar>
                </w:r>
                <w:r w:rsidR="00CB0605" w:rsidRPr="007D1276">
                  <w:rPr>
                    <w:szCs w:val="24"/>
                  </w:rPr>
                  <w:instrText xml:space="preserve"> FORMCHECKBOX </w:instrText>
                </w:r>
                <w:r>
                  <w:rPr>
                    <w:szCs w:val="24"/>
                  </w:rPr>
                </w:r>
                <w:r>
                  <w:rPr>
                    <w:szCs w:val="24"/>
                  </w:rPr>
                  <w:fldChar w:fldCharType="separate"/>
                </w:r>
                <w:r w:rsidR="00CB0605" w:rsidRPr="007D1276">
                  <w:rPr>
                    <w:szCs w:val="24"/>
                  </w:rPr>
                  <w:fldChar w:fldCharType="end"/>
                </w:r>
                <w:bookmarkEnd w:id="0"/>
                <w:r w:rsidR="00CB0605" w:rsidRPr="007D1276">
                  <w:rPr>
                    <w:szCs w:val="24"/>
                  </w:rPr>
                  <w:t xml:space="preserve"> </w:t>
                </w:r>
              </w:sdtContent>
            </w:sdt>
            <w:r w:rsidR="00CB0605" w:rsidRPr="007D1276">
              <w:rPr>
                <w:szCs w:val="24"/>
              </w:rPr>
              <w:t xml:space="preserve">Taip </w:t>
            </w:r>
            <w:sdt>
              <w:sdtPr>
                <w:rPr>
                  <w:szCs w:val="24"/>
                </w:rPr>
                <w:id w:val="164368749"/>
              </w:sdtPr>
              <w:sdtContent>
                <w:r w:rsidR="00CB0605" w:rsidRPr="007D1276">
                  <w:rPr>
                    <w:szCs w:val="24"/>
                  </w:rPr>
                  <w:fldChar w:fldCharType="begin">
                    <w:ffData>
                      <w:name w:val="Check1"/>
                      <w:enabled/>
                      <w:calcOnExit w:val="0"/>
                      <w:checkBox>
                        <w:sizeAuto/>
                        <w:default w:val="0"/>
                      </w:checkBox>
                    </w:ffData>
                  </w:fldChar>
                </w:r>
                <w:r w:rsidR="00CB0605" w:rsidRPr="007D1276">
                  <w:rPr>
                    <w:szCs w:val="24"/>
                  </w:rPr>
                  <w:instrText xml:space="preserve"> FORMCHECKBOX </w:instrText>
                </w:r>
                <w:r>
                  <w:rPr>
                    <w:szCs w:val="24"/>
                  </w:rPr>
                </w:r>
                <w:r>
                  <w:rPr>
                    <w:szCs w:val="24"/>
                  </w:rPr>
                  <w:fldChar w:fldCharType="separate"/>
                </w:r>
                <w:r w:rsidR="00CB0605" w:rsidRPr="007D1276">
                  <w:rPr>
                    <w:szCs w:val="24"/>
                  </w:rPr>
                  <w:fldChar w:fldCharType="end"/>
                </w:r>
                <w:r w:rsidR="00CB0605" w:rsidRPr="007D1276">
                  <w:rPr>
                    <w:szCs w:val="24"/>
                  </w:rPr>
                  <w:t xml:space="preserve"> </w:t>
                </w:r>
              </w:sdtContent>
            </w:sdt>
            <w:r w:rsidR="00CB0605" w:rsidRPr="007D1276">
              <w:rPr>
                <w:szCs w:val="24"/>
              </w:rPr>
              <w:t>Ne</w:t>
            </w:r>
            <w:r w:rsidR="00CB0605" w:rsidRPr="007D1276">
              <w:rPr>
                <w:szCs w:val="24"/>
              </w:rPr>
              <w:fldChar w:fldCharType="begin"/>
            </w:r>
            <w:r w:rsidR="00CB0605" w:rsidRPr="007D1276">
              <w:rPr>
                <w:szCs w:val="24"/>
              </w:rPr>
              <w:instrText xml:space="preserve"> FILLIN   \* MERGEFORMAT </w:instrText>
            </w:r>
            <w:r w:rsidR="00CB0605" w:rsidRPr="007D1276">
              <w:rPr>
                <w:szCs w:val="24"/>
              </w:rPr>
              <w:fldChar w:fldCharType="end"/>
            </w:r>
          </w:p>
        </w:tc>
      </w:tr>
      <w:tr w:rsidR="00CB0605" w:rsidRPr="007D1276" w14:paraId="5126EAA6" w14:textId="77777777" w:rsidTr="00185ACE">
        <w:tc>
          <w:tcPr>
            <w:tcW w:w="6804" w:type="dxa"/>
          </w:tcPr>
          <w:p w14:paraId="34C3231B" w14:textId="77777777" w:rsidR="00CB0605" w:rsidRPr="007D1276" w:rsidRDefault="00CB0605" w:rsidP="00D355B7">
            <w:pPr>
              <w:rPr>
                <w:b/>
                <w:szCs w:val="24"/>
              </w:rPr>
            </w:pPr>
            <w:r w:rsidRPr="007D1276">
              <w:rPr>
                <w:b/>
                <w:szCs w:val="24"/>
              </w:rPr>
              <w:t>Ar į visas pastabas ir (ar) pasiūlymus atsižvelgta?</w:t>
            </w:r>
          </w:p>
          <w:p w14:paraId="3D26A125" w14:textId="77777777" w:rsidR="00CB0605" w:rsidRPr="007D1276" w:rsidRDefault="00CB0605" w:rsidP="00D355B7">
            <w:pPr>
              <w:rPr>
                <w:szCs w:val="24"/>
              </w:rPr>
            </w:pPr>
            <w:r w:rsidRPr="007D1276">
              <w:rPr>
                <w:szCs w:val="24"/>
              </w:rPr>
              <w:t>Jei atsižvelgta į visas pastabas ir (ar) pasiūlymus, žemiau esanti lentelė nepildoma</w:t>
            </w:r>
          </w:p>
        </w:tc>
        <w:tc>
          <w:tcPr>
            <w:tcW w:w="7938" w:type="dxa"/>
          </w:tcPr>
          <w:p w14:paraId="0E00D638" w14:textId="6C940F11" w:rsidR="00CB0605" w:rsidRPr="007D1276" w:rsidRDefault="00000000" w:rsidP="00D355B7">
            <w:pPr>
              <w:rPr>
                <w:szCs w:val="24"/>
              </w:rPr>
            </w:pPr>
            <w:sdt>
              <w:sdtPr>
                <w:rPr>
                  <w:szCs w:val="24"/>
                </w:rPr>
                <w:id w:val="-1548671976"/>
              </w:sdtPr>
              <w:sdtContent>
                <w:r w:rsidR="00CB0605" w:rsidRPr="007D1276">
                  <w:rPr>
                    <w:szCs w:val="24"/>
                  </w:rPr>
                  <w:fldChar w:fldCharType="begin">
                    <w:ffData>
                      <w:name w:val="Check1"/>
                      <w:enabled/>
                      <w:calcOnExit w:val="0"/>
                      <w:checkBox>
                        <w:sizeAuto/>
                        <w:default w:val="0"/>
                      </w:checkBox>
                    </w:ffData>
                  </w:fldChar>
                </w:r>
                <w:r w:rsidR="00CB0605" w:rsidRPr="007D1276">
                  <w:rPr>
                    <w:szCs w:val="24"/>
                  </w:rPr>
                  <w:instrText xml:space="preserve"> FORMCHECKBOX </w:instrText>
                </w:r>
                <w:r>
                  <w:rPr>
                    <w:szCs w:val="24"/>
                  </w:rPr>
                </w:r>
                <w:r>
                  <w:rPr>
                    <w:szCs w:val="24"/>
                  </w:rPr>
                  <w:fldChar w:fldCharType="separate"/>
                </w:r>
                <w:r w:rsidR="00CB0605" w:rsidRPr="007D1276">
                  <w:rPr>
                    <w:szCs w:val="24"/>
                  </w:rPr>
                  <w:fldChar w:fldCharType="end"/>
                </w:r>
              </w:sdtContent>
            </w:sdt>
            <w:r w:rsidR="00CB0605" w:rsidRPr="007D1276">
              <w:rPr>
                <w:szCs w:val="24"/>
              </w:rPr>
              <w:t xml:space="preserve"> Taip </w:t>
            </w:r>
            <w:sdt>
              <w:sdtPr>
                <w:rPr>
                  <w:szCs w:val="24"/>
                </w:rPr>
                <w:id w:val="-338542889"/>
              </w:sdtPr>
              <w:sdtContent>
                <w:r w:rsidR="005C162B" w:rsidRPr="007D1276">
                  <w:rPr>
                    <w:szCs w:val="24"/>
                  </w:rPr>
                  <w:fldChar w:fldCharType="begin">
                    <w:ffData>
                      <w:name w:val=""/>
                      <w:enabled/>
                      <w:calcOnExit w:val="0"/>
                      <w:checkBox>
                        <w:sizeAuto/>
                        <w:default w:val="1"/>
                      </w:checkBox>
                    </w:ffData>
                  </w:fldChar>
                </w:r>
                <w:r w:rsidR="005C162B" w:rsidRPr="007D1276">
                  <w:rPr>
                    <w:szCs w:val="24"/>
                  </w:rPr>
                  <w:instrText xml:space="preserve"> FORMCHECKBOX </w:instrText>
                </w:r>
                <w:r>
                  <w:rPr>
                    <w:szCs w:val="24"/>
                  </w:rPr>
                </w:r>
                <w:r>
                  <w:rPr>
                    <w:szCs w:val="24"/>
                  </w:rPr>
                  <w:fldChar w:fldCharType="separate"/>
                </w:r>
                <w:r w:rsidR="005C162B" w:rsidRPr="007D1276">
                  <w:rPr>
                    <w:szCs w:val="24"/>
                  </w:rPr>
                  <w:fldChar w:fldCharType="end"/>
                </w:r>
              </w:sdtContent>
            </w:sdt>
            <w:r w:rsidR="00CB0605" w:rsidRPr="007D1276">
              <w:rPr>
                <w:szCs w:val="24"/>
              </w:rPr>
              <w:t xml:space="preserve"> Ne </w:t>
            </w:r>
          </w:p>
        </w:tc>
      </w:tr>
    </w:tbl>
    <w:p w14:paraId="5D04C702" w14:textId="1069CB97" w:rsidR="00CB0605" w:rsidRPr="007D1276" w:rsidRDefault="00CB0605" w:rsidP="00D355B7">
      <w:pPr>
        <w:rPr>
          <w:szCs w:val="24"/>
        </w:rPr>
      </w:pPr>
    </w:p>
    <w:tbl>
      <w:tblPr>
        <w:tblStyle w:val="Lentelstinklelis"/>
        <w:tblW w:w="14913" w:type="dxa"/>
        <w:tblInd w:w="108" w:type="dxa"/>
        <w:tblLayout w:type="fixed"/>
        <w:tblLook w:val="04A0" w:firstRow="1" w:lastRow="0" w:firstColumn="1" w:lastColumn="0" w:noHBand="0" w:noVBand="1"/>
      </w:tblPr>
      <w:tblGrid>
        <w:gridCol w:w="567"/>
        <w:gridCol w:w="1985"/>
        <w:gridCol w:w="7541"/>
        <w:gridCol w:w="4820"/>
      </w:tblGrid>
      <w:tr w:rsidR="00FD6CB6" w:rsidRPr="007D1276" w14:paraId="02BCD99E" w14:textId="77777777" w:rsidTr="4C59D0D2">
        <w:tc>
          <w:tcPr>
            <w:tcW w:w="567" w:type="dxa"/>
          </w:tcPr>
          <w:p w14:paraId="034FF55E" w14:textId="77777777" w:rsidR="0008750B" w:rsidRPr="007D1276" w:rsidRDefault="0008750B">
            <w:pPr>
              <w:jc w:val="center"/>
              <w:rPr>
                <w:b/>
                <w:szCs w:val="24"/>
              </w:rPr>
            </w:pPr>
            <w:r w:rsidRPr="007D1276">
              <w:rPr>
                <w:b/>
                <w:szCs w:val="24"/>
              </w:rPr>
              <w:t>Nr.</w:t>
            </w:r>
          </w:p>
        </w:tc>
        <w:tc>
          <w:tcPr>
            <w:tcW w:w="1985" w:type="dxa"/>
          </w:tcPr>
          <w:p w14:paraId="2D84C4EE" w14:textId="77777777" w:rsidR="0008750B" w:rsidRPr="007D1276" w:rsidRDefault="0008750B">
            <w:pPr>
              <w:jc w:val="center"/>
              <w:rPr>
                <w:b/>
                <w:szCs w:val="24"/>
              </w:rPr>
            </w:pPr>
            <w:r w:rsidRPr="007D1276">
              <w:rPr>
                <w:b/>
                <w:szCs w:val="24"/>
              </w:rPr>
              <w:t>Institucija</w:t>
            </w:r>
          </w:p>
        </w:tc>
        <w:tc>
          <w:tcPr>
            <w:tcW w:w="7541" w:type="dxa"/>
          </w:tcPr>
          <w:p w14:paraId="5983B7A0" w14:textId="77777777" w:rsidR="0008750B" w:rsidRPr="007D1276" w:rsidRDefault="0008750B">
            <w:pPr>
              <w:jc w:val="center"/>
              <w:rPr>
                <w:b/>
                <w:szCs w:val="24"/>
              </w:rPr>
            </w:pPr>
            <w:r w:rsidRPr="007D1276">
              <w:rPr>
                <w:b/>
                <w:bCs/>
                <w:szCs w:val="24"/>
              </w:rPr>
              <w:t>Pastabos ir pasiūlymai</w:t>
            </w:r>
          </w:p>
        </w:tc>
        <w:tc>
          <w:tcPr>
            <w:tcW w:w="4820" w:type="dxa"/>
          </w:tcPr>
          <w:p w14:paraId="2D286BD0" w14:textId="77777777" w:rsidR="0008750B" w:rsidRPr="007D1276" w:rsidRDefault="0008750B">
            <w:pPr>
              <w:jc w:val="center"/>
              <w:rPr>
                <w:b/>
                <w:szCs w:val="24"/>
              </w:rPr>
            </w:pPr>
            <w:r w:rsidRPr="007D1276">
              <w:rPr>
                <w:b/>
                <w:bCs/>
                <w:szCs w:val="24"/>
              </w:rPr>
              <w:t>Pastabų ir pasiūlymų vertinimas ir (jei taikoma) argumentai, kodėl neatsižvelgta į pastabas ar pasiūlymus</w:t>
            </w:r>
          </w:p>
        </w:tc>
      </w:tr>
      <w:tr w:rsidR="00D6518C" w:rsidRPr="007D1276" w14:paraId="789771CE" w14:textId="77777777" w:rsidTr="4C59D0D2">
        <w:tc>
          <w:tcPr>
            <w:tcW w:w="567" w:type="dxa"/>
            <w:vMerge w:val="restart"/>
          </w:tcPr>
          <w:p w14:paraId="6EDBA06A" w14:textId="679707BD" w:rsidR="00D6518C" w:rsidRPr="007D1276" w:rsidRDefault="00D6518C">
            <w:pPr>
              <w:jc w:val="center"/>
              <w:rPr>
                <w:b/>
                <w:szCs w:val="24"/>
              </w:rPr>
            </w:pPr>
            <w:r w:rsidRPr="007D1276">
              <w:rPr>
                <w:b/>
                <w:szCs w:val="24"/>
              </w:rPr>
              <w:t>1.</w:t>
            </w:r>
          </w:p>
        </w:tc>
        <w:tc>
          <w:tcPr>
            <w:tcW w:w="1985" w:type="dxa"/>
            <w:vMerge w:val="restart"/>
          </w:tcPr>
          <w:p w14:paraId="7AA5E4BC" w14:textId="2DF34278" w:rsidR="00D6518C" w:rsidRPr="007D1276" w:rsidRDefault="000A34A9">
            <w:pPr>
              <w:jc w:val="center"/>
              <w:rPr>
                <w:b/>
                <w:szCs w:val="24"/>
              </w:rPr>
            </w:pPr>
            <w:r w:rsidRPr="007D1276">
              <w:rPr>
                <w:b/>
                <w:szCs w:val="24"/>
              </w:rPr>
              <w:t>UAB "Sėkmės sprendimai"</w:t>
            </w:r>
          </w:p>
        </w:tc>
        <w:tc>
          <w:tcPr>
            <w:tcW w:w="7541" w:type="dxa"/>
          </w:tcPr>
          <w:p w14:paraId="49450598" w14:textId="3ADEF9D0" w:rsidR="00D6518C" w:rsidRPr="007D1276" w:rsidRDefault="00E6467A" w:rsidP="0091403D">
            <w:pPr>
              <w:rPr>
                <w:szCs w:val="24"/>
              </w:rPr>
            </w:pPr>
            <w:r w:rsidRPr="007D1276">
              <w:rPr>
                <w:szCs w:val="24"/>
              </w:rPr>
              <w:t>2.8 punkte nurodoma, kad Pareiškėjas savo pasirinkimu gali teikti paraišką atskirai į pirmą, antrą, trečią  arba į pirmą bei antrą stadiją kartu. Siūlome leisti Pareiškėjams teikti Paraišką taip pat į antrą ir trečią stadiją kartu ir projektą atitinkamai įgyvendinti per 12 mėn., kadangi dažnu atveju startuoliai jau yra pradinę – pirmą stadiją įgyvendinę ir reikia dviejų sekančių stadijų, siekiant pilnai įgyvendinti tolesnes projekto stadijas bei galutinai paleisti produktą/sprendimą į rinką.</w:t>
            </w:r>
          </w:p>
        </w:tc>
        <w:tc>
          <w:tcPr>
            <w:tcW w:w="4820" w:type="dxa"/>
          </w:tcPr>
          <w:p w14:paraId="7500DD91" w14:textId="77777777" w:rsidR="00D6518C" w:rsidRPr="007D1276" w:rsidRDefault="00016134">
            <w:pPr>
              <w:jc w:val="center"/>
              <w:rPr>
                <w:b/>
                <w:bCs/>
                <w:szCs w:val="24"/>
              </w:rPr>
            </w:pPr>
            <w:r w:rsidRPr="007D1276">
              <w:rPr>
                <w:b/>
                <w:bCs/>
                <w:szCs w:val="24"/>
              </w:rPr>
              <w:t>NEATSIŽVELGTA</w:t>
            </w:r>
          </w:p>
          <w:p w14:paraId="77F47773" w14:textId="67DE5604" w:rsidR="001E50F7" w:rsidRPr="007D1276" w:rsidRDefault="001E50F7" w:rsidP="001E50F7">
            <w:pPr>
              <w:rPr>
                <w:szCs w:val="24"/>
              </w:rPr>
            </w:pPr>
            <w:r w:rsidRPr="007D1276">
              <w:rPr>
                <w:szCs w:val="24"/>
              </w:rPr>
              <w:t>Pažymime, kad įgyvendinant „Naujos kartos Lietuva“ planą, Lietuva yra įsipareigojusi pasiekti veiklos rodiklius ir už juos atsiskaityti Europos Komisijai. Nepasiekus veiklos rodiklio finansavimas nėra skiriamas.</w:t>
            </w:r>
            <w:r w:rsidR="000E515F" w:rsidRPr="007D1276">
              <w:rPr>
                <w:szCs w:val="24"/>
              </w:rPr>
              <w:t xml:space="preserve"> S</w:t>
            </w:r>
            <w:r w:rsidR="00E97CA7" w:rsidRPr="007D1276">
              <w:rPr>
                <w:szCs w:val="24"/>
              </w:rPr>
              <w:t>kiriant finansavimą</w:t>
            </w:r>
            <w:r w:rsidR="00F9362F" w:rsidRPr="007D1276">
              <w:rPr>
                <w:szCs w:val="24"/>
              </w:rPr>
              <w:t xml:space="preserve"> antrai ir trečiai</w:t>
            </w:r>
            <w:r w:rsidR="009D713E" w:rsidRPr="007D1276">
              <w:rPr>
                <w:szCs w:val="24"/>
              </w:rPr>
              <w:t xml:space="preserve"> </w:t>
            </w:r>
            <w:r w:rsidR="00F9362F" w:rsidRPr="007D1276">
              <w:rPr>
                <w:szCs w:val="24"/>
              </w:rPr>
              <w:t xml:space="preserve"> stadijai</w:t>
            </w:r>
            <w:r w:rsidR="00DE0413" w:rsidRPr="007D1276">
              <w:rPr>
                <w:szCs w:val="24"/>
              </w:rPr>
              <w:t xml:space="preserve"> </w:t>
            </w:r>
            <w:r w:rsidR="00EE4E0F" w:rsidRPr="007D1276">
              <w:rPr>
                <w:szCs w:val="24"/>
              </w:rPr>
              <w:t xml:space="preserve"> (bendra </w:t>
            </w:r>
            <w:r w:rsidR="00EA34FB" w:rsidRPr="007D1276">
              <w:rPr>
                <w:szCs w:val="24"/>
              </w:rPr>
              <w:t xml:space="preserve">suma </w:t>
            </w:r>
            <w:r w:rsidR="00EE4E0F" w:rsidRPr="007D1276">
              <w:rPr>
                <w:szCs w:val="24"/>
              </w:rPr>
              <w:t>168 000 Eur)</w:t>
            </w:r>
            <w:r w:rsidR="00F9362F" w:rsidRPr="007D1276">
              <w:rPr>
                <w:szCs w:val="24"/>
              </w:rPr>
              <w:t xml:space="preserve"> vienos sutarties pagrindu</w:t>
            </w:r>
            <w:r w:rsidR="00EA34FB" w:rsidRPr="007D1276">
              <w:rPr>
                <w:szCs w:val="24"/>
              </w:rPr>
              <w:t xml:space="preserve"> </w:t>
            </w:r>
            <w:r w:rsidR="00FA5CA4" w:rsidRPr="007D1276">
              <w:rPr>
                <w:szCs w:val="24"/>
              </w:rPr>
              <w:t>kyla rizika nepasiekti rodiklio</w:t>
            </w:r>
            <w:r w:rsidR="00EA3605" w:rsidRPr="007D1276">
              <w:rPr>
                <w:szCs w:val="24"/>
              </w:rPr>
              <w:t xml:space="preserve">, </w:t>
            </w:r>
            <w:r w:rsidR="006F239A" w:rsidRPr="007D1276">
              <w:rPr>
                <w:szCs w:val="24"/>
              </w:rPr>
              <w:t>kadangi veik</w:t>
            </w:r>
            <w:r w:rsidR="00197444" w:rsidRPr="007D1276">
              <w:rPr>
                <w:szCs w:val="24"/>
              </w:rPr>
              <w:t>lai yra skirta 15 mln. Eur.</w:t>
            </w:r>
            <w:r w:rsidR="00210375" w:rsidRPr="007D1276">
              <w:rPr>
                <w:szCs w:val="24"/>
              </w:rPr>
              <w:t>, o rodiklis yra 170</w:t>
            </w:r>
            <w:r w:rsidR="007D1276" w:rsidRPr="007D1276">
              <w:rPr>
                <w:szCs w:val="24"/>
              </w:rPr>
              <w:t xml:space="preserve"> pasirašytų sutarčių</w:t>
            </w:r>
            <w:r w:rsidR="0066795D">
              <w:rPr>
                <w:szCs w:val="24"/>
              </w:rPr>
              <w:t>.</w:t>
            </w:r>
          </w:p>
        </w:tc>
      </w:tr>
      <w:tr w:rsidR="00D6518C" w:rsidRPr="007D1276" w14:paraId="0C4CD0F4" w14:textId="77777777" w:rsidTr="4C59D0D2">
        <w:tc>
          <w:tcPr>
            <w:tcW w:w="567" w:type="dxa"/>
            <w:vMerge/>
          </w:tcPr>
          <w:p w14:paraId="638D65C5" w14:textId="77777777" w:rsidR="00D6518C" w:rsidRPr="007D1276" w:rsidRDefault="00D6518C">
            <w:pPr>
              <w:jc w:val="center"/>
              <w:rPr>
                <w:b/>
                <w:szCs w:val="24"/>
              </w:rPr>
            </w:pPr>
          </w:p>
        </w:tc>
        <w:tc>
          <w:tcPr>
            <w:tcW w:w="1985" w:type="dxa"/>
            <w:vMerge/>
          </w:tcPr>
          <w:p w14:paraId="42862948" w14:textId="77777777" w:rsidR="00D6518C" w:rsidRPr="007D1276" w:rsidRDefault="00D6518C">
            <w:pPr>
              <w:jc w:val="center"/>
              <w:rPr>
                <w:b/>
                <w:szCs w:val="24"/>
              </w:rPr>
            </w:pPr>
          </w:p>
        </w:tc>
        <w:tc>
          <w:tcPr>
            <w:tcW w:w="7541" w:type="dxa"/>
          </w:tcPr>
          <w:p w14:paraId="77B0914B" w14:textId="77777777" w:rsidR="00E6467A" w:rsidRPr="007D1276" w:rsidRDefault="00E6467A" w:rsidP="0091403D">
            <w:pPr>
              <w:pStyle w:val="gmail-msolistparagraph"/>
              <w:spacing w:before="0" w:beforeAutospacing="0" w:after="0" w:afterAutospacing="0" w:line="254" w:lineRule="auto"/>
              <w:rPr>
                <w:rFonts w:ascii="Times New Roman" w:hAnsi="Times New Roman" w:cs="Times New Roman"/>
                <w:sz w:val="24"/>
                <w:szCs w:val="24"/>
              </w:rPr>
            </w:pPr>
            <w:r w:rsidRPr="007D1276">
              <w:rPr>
                <w:rFonts w:ascii="Times New Roman" w:hAnsi="Times New Roman" w:cs="Times New Roman"/>
                <w:sz w:val="24"/>
                <w:szCs w:val="24"/>
              </w:rPr>
              <w:t xml:space="preserve">Apraše 2.9.1-2.9.4 ir kituose punktuose nurodyta, kad siekiant nustatyti projekto etapą tam tikroje stadijoje, reikia remtis Klasifikacijos aprašu. Remiantis 2.3 punktu, projektų pobūdis priskiriamas MTEPI projektams. Norime pažymėti, jog Mokslinių tyrimų ir eksperimentinės plėtros etapų </w:t>
            </w:r>
            <w:r w:rsidRPr="007D1276">
              <w:rPr>
                <w:rFonts w:ascii="Times New Roman" w:hAnsi="Times New Roman" w:cs="Times New Roman"/>
                <w:sz w:val="24"/>
                <w:szCs w:val="24"/>
              </w:rPr>
              <w:lastRenderedPageBreak/>
              <w:t>klasifikacijos aprašo 1 punkte nurodytas šio teisės akto tikslas „</w:t>
            </w:r>
            <w:r w:rsidRPr="007D1276">
              <w:rPr>
                <w:rFonts w:ascii="Times New Roman" w:hAnsi="Times New Roman" w:cs="Times New Roman"/>
                <w:i/>
                <w:iCs/>
                <w:sz w:val="24"/>
                <w:szCs w:val="24"/>
              </w:rPr>
              <w:t xml:space="preserve">Rekomenduojamos </w:t>
            </w:r>
            <w:r w:rsidRPr="007D1276">
              <w:rPr>
                <w:rFonts w:ascii="Times New Roman" w:hAnsi="Times New Roman" w:cs="Times New Roman"/>
                <w:sz w:val="24"/>
                <w:szCs w:val="24"/>
              </w:rPr>
              <w:t>mokslinių tyrimų ir eksperimentinės plėtros</w:t>
            </w:r>
            <w:r w:rsidRPr="007D1276">
              <w:rPr>
                <w:rFonts w:ascii="Times New Roman" w:hAnsi="Times New Roman" w:cs="Times New Roman"/>
                <w:i/>
                <w:iCs/>
                <w:sz w:val="24"/>
                <w:szCs w:val="24"/>
              </w:rPr>
              <w:t xml:space="preserve"> etapų klasifikacijos aprašas (toliau – Aprašas) nustato mokslinių tyrimų ir eksperimentinės plėtros etapus nuo žinių įgijimo iki produkto sukūrimo pagal juos atitinkančios veiklos aprašymus ir numatomus veiklos rezultatus</w:t>
            </w:r>
            <w:r w:rsidRPr="007D1276">
              <w:rPr>
                <w:rFonts w:ascii="Times New Roman" w:hAnsi="Times New Roman" w:cs="Times New Roman"/>
                <w:sz w:val="24"/>
                <w:szCs w:val="24"/>
              </w:rPr>
              <w:t xml:space="preserve">.“, t.y. skiriamas MTEP veikloms, bet ne MTEPI. MTEPI sąvoka – Moksliniai tyrimai, eksperimentinė veikla ir </w:t>
            </w:r>
            <w:r w:rsidRPr="007D1276">
              <w:rPr>
                <w:rFonts w:ascii="Times New Roman" w:hAnsi="Times New Roman" w:cs="Times New Roman"/>
                <w:i/>
                <w:iCs/>
                <w:sz w:val="24"/>
                <w:szCs w:val="24"/>
              </w:rPr>
              <w:t>inovacijos</w:t>
            </w:r>
            <w:r w:rsidRPr="007D1276">
              <w:rPr>
                <w:rFonts w:ascii="Times New Roman" w:hAnsi="Times New Roman" w:cs="Times New Roman"/>
                <w:sz w:val="24"/>
                <w:szCs w:val="24"/>
              </w:rPr>
              <w:t>. Inovacija pagal LR technologijų ir inovacijų įstatymą „</w:t>
            </w:r>
            <w:r w:rsidRPr="007D1276">
              <w:rPr>
                <w:rFonts w:ascii="Times New Roman" w:hAnsi="Times New Roman" w:cs="Times New Roman"/>
                <w:i/>
                <w:iCs/>
                <w:sz w:val="24"/>
                <w:szCs w:val="24"/>
              </w:rPr>
              <w:t>naujas arba patobulintas produktas ar procesas (arba jų derinys), kuris reikšmingai skiriasi nuo ankstesnių subjekto produktų ar procesų ir kuris (produktas) yra pateiktas potencialiems naudotojams arba kuris (procesas) subjekto yra naudojamas, tai yra įdiegtas į rinką, viešojo valdymo, socialinę, kultūros sritį</w:t>
            </w:r>
            <w:r w:rsidRPr="007D1276">
              <w:rPr>
                <w:rFonts w:ascii="Times New Roman" w:hAnsi="Times New Roman" w:cs="Times New Roman"/>
                <w:sz w:val="24"/>
                <w:szCs w:val="24"/>
              </w:rPr>
              <w:t>”. Projekto finansavimo sąlygų aprašo projekto 2.1 punkte nurodoma, kad finansuojama veikla „</w:t>
            </w:r>
            <w:r w:rsidRPr="007D1276">
              <w:rPr>
                <w:rFonts w:ascii="Times New Roman" w:hAnsi="Times New Roman" w:cs="Times New Roman"/>
                <w:i/>
                <w:iCs/>
                <w:sz w:val="24"/>
                <w:szCs w:val="24"/>
              </w:rPr>
              <w:t>Finansinės paskatos startuoliams ir atžalinėms įmonėms kurti DI, blokų grandinės technologijų, robotikos procesų automatizavimo produktus ir sprendimus</w:t>
            </w:r>
            <w:r w:rsidRPr="007D1276">
              <w:rPr>
                <w:rFonts w:ascii="Times New Roman" w:hAnsi="Times New Roman" w:cs="Times New Roman"/>
                <w:sz w:val="24"/>
                <w:szCs w:val="24"/>
              </w:rPr>
              <w:t>“. T.y. kūrimas, be ne MTEP veikla.</w:t>
            </w:r>
          </w:p>
          <w:p w14:paraId="2FEA8C85" w14:textId="4E3AF24C" w:rsidR="00D6518C" w:rsidRPr="007D1276" w:rsidRDefault="00E6467A" w:rsidP="0091403D">
            <w:pPr>
              <w:pStyle w:val="gmail-msolistparagraph"/>
              <w:spacing w:before="0" w:beforeAutospacing="0" w:after="0" w:afterAutospacing="0" w:line="254" w:lineRule="auto"/>
              <w:rPr>
                <w:rFonts w:ascii="Times New Roman" w:hAnsi="Times New Roman" w:cs="Times New Roman"/>
                <w:sz w:val="24"/>
                <w:szCs w:val="24"/>
              </w:rPr>
            </w:pPr>
            <w:r w:rsidRPr="007D1276">
              <w:rPr>
                <w:rFonts w:ascii="Times New Roman" w:hAnsi="Times New Roman" w:cs="Times New Roman"/>
                <w:sz w:val="24"/>
                <w:szCs w:val="24"/>
              </w:rPr>
              <w:t>Kaip matoma, ši priemonė nėra MTEP, o MTEP</w:t>
            </w:r>
            <w:r w:rsidR="53729E96" w:rsidRPr="007D1276">
              <w:rPr>
                <w:rFonts w:ascii="Times New Roman" w:hAnsi="Times New Roman" w:cs="Times New Roman"/>
                <w:sz w:val="24"/>
                <w:szCs w:val="24"/>
              </w:rPr>
              <w:t>I</w:t>
            </w:r>
            <w:r w:rsidRPr="007D1276">
              <w:rPr>
                <w:rFonts w:ascii="Times New Roman" w:hAnsi="Times New Roman" w:cs="Times New Roman"/>
                <w:sz w:val="24"/>
                <w:szCs w:val="24"/>
              </w:rPr>
              <w:t>, todėl minėto teisės akto naudojimas yra nepagrįstas ir neturėtų būti taikomas. Siūlome palikti prieš tai buvusio Aprašo aprašymus dėl siekiamų rezultatų.</w:t>
            </w:r>
          </w:p>
        </w:tc>
        <w:tc>
          <w:tcPr>
            <w:tcW w:w="4820" w:type="dxa"/>
          </w:tcPr>
          <w:p w14:paraId="12163CBE" w14:textId="77777777" w:rsidR="00E26951" w:rsidRPr="007D1276" w:rsidRDefault="00E26951" w:rsidP="00E26951">
            <w:pPr>
              <w:jc w:val="center"/>
              <w:rPr>
                <w:b/>
                <w:bCs/>
                <w:szCs w:val="24"/>
              </w:rPr>
            </w:pPr>
            <w:r w:rsidRPr="007D1276">
              <w:rPr>
                <w:b/>
                <w:bCs/>
                <w:szCs w:val="24"/>
              </w:rPr>
              <w:lastRenderedPageBreak/>
              <w:t>NEATSIŽVELGTA</w:t>
            </w:r>
          </w:p>
          <w:p w14:paraId="541D8A3B" w14:textId="6138D3AC" w:rsidR="00D6518C" w:rsidRPr="007D1276" w:rsidRDefault="00E26951" w:rsidP="00E26951">
            <w:pPr>
              <w:rPr>
                <w:b/>
                <w:bCs/>
                <w:szCs w:val="24"/>
              </w:rPr>
            </w:pPr>
            <w:r w:rsidRPr="007D1276">
              <w:rPr>
                <w:szCs w:val="24"/>
              </w:rPr>
              <w:t xml:space="preserve">Pažymime, MTEPI yra MTEP sudedamoji dalis ir „Rekomenduojamos mokslinių tyrimų ir eksperimentinės plėtros etapų klasifikacijos </w:t>
            </w:r>
            <w:r w:rsidRPr="007D1276">
              <w:rPr>
                <w:szCs w:val="24"/>
              </w:rPr>
              <w:lastRenderedPageBreak/>
              <w:t>aprašas“ gali būti naudojamas MTEPI veiklos rezultatams įvertinti.</w:t>
            </w:r>
          </w:p>
        </w:tc>
      </w:tr>
      <w:tr w:rsidR="00D6518C" w:rsidRPr="007D1276" w14:paraId="0A23AB4D" w14:textId="77777777" w:rsidTr="4C59D0D2">
        <w:tc>
          <w:tcPr>
            <w:tcW w:w="567" w:type="dxa"/>
            <w:vMerge/>
          </w:tcPr>
          <w:p w14:paraId="2361AE7E" w14:textId="77777777" w:rsidR="00D6518C" w:rsidRPr="007D1276" w:rsidRDefault="00D6518C">
            <w:pPr>
              <w:jc w:val="center"/>
              <w:rPr>
                <w:b/>
                <w:szCs w:val="24"/>
              </w:rPr>
            </w:pPr>
          </w:p>
        </w:tc>
        <w:tc>
          <w:tcPr>
            <w:tcW w:w="1985" w:type="dxa"/>
            <w:vMerge/>
          </w:tcPr>
          <w:p w14:paraId="756FE5B2" w14:textId="77777777" w:rsidR="00D6518C" w:rsidRPr="007D1276" w:rsidRDefault="00D6518C">
            <w:pPr>
              <w:jc w:val="center"/>
              <w:rPr>
                <w:b/>
                <w:szCs w:val="24"/>
              </w:rPr>
            </w:pPr>
          </w:p>
        </w:tc>
        <w:tc>
          <w:tcPr>
            <w:tcW w:w="7541" w:type="dxa"/>
          </w:tcPr>
          <w:p w14:paraId="11ECB7F3" w14:textId="46E32895" w:rsidR="00371925" w:rsidRPr="007D1276" w:rsidRDefault="00371925" w:rsidP="0091403D">
            <w:pPr>
              <w:pStyle w:val="gmail-msolistparagraph"/>
              <w:spacing w:before="0" w:beforeAutospacing="0" w:after="0" w:afterAutospacing="0" w:line="254" w:lineRule="auto"/>
              <w:rPr>
                <w:rFonts w:ascii="Times New Roman" w:hAnsi="Times New Roman" w:cs="Times New Roman"/>
                <w:sz w:val="24"/>
                <w:szCs w:val="24"/>
              </w:rPr>
            </w:pPr>
            <w:r w:rsidRPr="007D1276">
              <w:rPr>
                <w:rFonts w:ascii="Times New Roman" w:hAnsi="Times New Roman" w:cs="Times New Roman"/>
                <w:sz w:val="24"/>
                <w:szCs w:val="24"/>
              </w:rPr>
              <w:t xml:space="preserve">Projektų atrankos kriterijų lentelėje, prie prioritetinio kriterijaus Nr. 3 nurodyta, kad balai skiriami MTEPI patirtį.  </w:t>
            </w:r>
            <w:r w:rsidR="009F308B" w:rsidRPr="009F308B">
              <w:rPr>
                <w:rFonts w:ascii="Times New Roman" w:hAnsi="Times New Roman" w:cs="Times New Roman"/>
                <w:b/>
                <w:bCs/>
                <w:sz w:val="24"/>
                <w:szCs w:val="24"/>
              </w:rPr>
              <w:t>1.</w:t>
            </w:r>
            <w:r w:rsidR="009F308B">
              <w:rPr>
                <w:rFonts w:ascii="Times New Roman" w:hAnsi="Times New Roman" w:cs="Times New Roman"/>
                <w:sz w:val="24"/>
                <w:szCs w:val="24"/>
              </w:rPr>
              <w:t xml:space="preserve"> </w:t>
            </w:r>
            <w:r w:rsidRPr="007D1276">
              <w:rPr>
                <w:rFonts w:ascii="Times New Roman" w:hAnsi="Times New Roman" w:cs="Times New Roman"/>
                <w:b/>
                <w:bCs/>
                <w:sz w:val="24"/>
                <w:szCs w:val="24"/>
              </w:rPr>
              <w:t>Prašome patikslinti, ar bus skiriami tarpiniai balai</w:t>
            </w:r>
            <w:r w:rsidRPr="007D1276">
              <w:rPr>
                <w:rFonts w:ascii="Times New Roman" w:hAnsi="Times New Roman" w:cs="Times New Roman"/>
                <w:sz w:val="24"/>
                <w:szCs w:val="24"/>
              </w:rPr>
              <w:t>, pvz. 1,2? Jei taip, prašome pateikti detalesnę balų skyrimo tvarką ir papildyti šį aprašymą. Dabartinėje aprašo versijoje balai skiriami už tai, kad Pareiškėjo darbuotojas dalyvavo tarptautiniuose arba nacionaliniuose MTEPI projektuose. Tačiau į šią sąvoką turėtų įeiti ir inovacinė veikla – dažnu atveju darbuotojai turi patirtį inovatyviuose projektuose, tačiau ne visais atvejais įmonės prašo paramos šiems projektams ir vykdo tokius projektus savo lėšomis. Taip pat kyla papildomų klausimų:</w:t>
            </w:r>
          </w:p>
          <w:p w14:paraId="4159AFE8" w14:textId="2F9480DE" w:rsidR="00371925" w:rsidRPr="007D1276" w:rsidRDefault="009F308B" w:rsidP="0091403D">
            <w:pPr>
              <w:pStyle w:val="gmail-msolistparagraph"/>
              <w:spacing w:before="0" w:beforeAutospacing="0" w:after="0" w:afterAutospacing="0" w:line="254" w:lineRule="auto"/>
              <w:ind w:left="1440"/>
              <w:rPr>
                <w:rFonts w:ascii="Times New Roman" w:hAnsi="Times New Roman" w:cs="Times New Roman"/>
                <w:sz w:val="24"/>
                <w:szCs w:val="24"/>
              </w:rPr>
            </w:pPr>
            <w:r w:rsidRPr="009F308B">
              <w:rPr>
                <w:rFonts w:ascii="Times New Roman" w:hAnsi="Times New Roman" w:cs="Times New Roman"/>
                <w:b/>
                <w:bCs/>
                <w:sz w:val="24"/>
                <w:szCs w:val="24"/>
              </w:rPr>
              <w:t>2.</w:t>
            </w:r>
            <w:r>
              <w:rPr>
                <w:rFonts w:ascii="Times New Roman" w:hAnsi="Times New Roman" w:cs="Times New Roman"/>
                <w:sz w:val="24"/>
                <w:szCs w:val="24"/>
              </w:rPr>
              <w:t xml:space="preserve"> </w:t>
            </w:r>
            <w:r w:rsidR="00371925" w:rsidRPr="004220AA">
              <w:rPr>
                <w:rFonts w:ascii="Times New Roman" w:hAnsi="Times New Roman" w:cs="Times New Roman"/>
                <w:b/>
                <w:bCs/>
                <w:sz w:val="24"/>
                <w:szCs w:val="24"/>
              </w:rPr>
              <w:t>Prašome pateikti sąrašą projektų, kurie atitinka sąvoką MTEPI.</w:t>
            </w:r>
            <w:r w:rsidR="00371925" w:rsidRPr="007D1276">
              <w:rPr>
                <w:rFonts w:ascii="Times New Roman" w:hAnsi="Times New Roman" w:cs="Times New Roman"/>
                <w:sz w:val="24"/>
                <w:szCs w:val="24"/>
              </w:rPr>
              <w:t xml:space="preserve"> </w:t>
            </w:r>
          </w:p>
          <w:p w14:paraId="28BE2DD3" w14:textId="3EAC14B6" w:rsidR="00371925" w:rsidRPr="00C61118" w:rsidRDefault="009F308B" w:rsidP="0091403D">
            <w:pPr>
              <w:pStyle w:val="gmail-msolistparagraph"/>
              <w:spacing w:before="0" w:beforeAutospacing="0" w:after="0" w:afterAutospacing="0" w:line="254" w:lineRule="auto"/>
              <w:ind w:left="1440"/>
              <w:rPr>
                <w:rFonts w:ascii="Times New Roman" w:hAnsi="Times New Roman" w:cs="Times New Roman"/>
                <w:b/>
                <w:bCs/>
                <w:sz w:val="24"/>
                <w:szCs w:val="24"/>
              </w:rPr>
            </w:pPr>
            <w:r w:rsidRPr="009F308B">
              <w:rPr>
                <w:rFonts w:ascii="Times New Roman" w:hAnsi="Times New Roman" w:cs="Times New Roman"/>
                <w:b/>
                <w:bCs/>
                <w:sz w:val="24"/>
                <w:szCs w:val="24"/>
              </w:rPr>
              <w:t>3.</w:t>
            </w:r>
            <w:r>
              <w:rPr>
                <w:rFonts w:ascii="Times New Roman" w:hAnsi="Times New Roman" w:cs="Times New Roman"/>
                <w:sz w:val="24"/>
                <w:szCs w:val="24"/>
              </w:rPr>
              <w:t xml:space="preserve"> </w:t>
            </w:r>
            <w:r w:rsidR="00371925" w:rsidRPr="00C61118">
              <w:rPr>
                <w:rFonts w:ascii="Times New Roman" w:hAnsi="Times New Roman" w:cs="Times New Roman"/>
                <w:b/>
                <w:bCs/>
                <w:sz w:val="24"/>
                <w:szCs w:val="24"/>
              </w:rPr>
              <w:t xml:space="preserve">Ką reiškia „dalyvavo“/dalyvauja įgyvendinant projektą? Ar tai reiškia, kad darbuotojas turėjo būti </w:t>
            </w:r>
            <w:r w:rsidR="00371925" w:rsidRPr="00C61118">
              <w:rPr>
                <w:rFonts w:ascii="Times New Roman" w:hAnsi="Times New Roman" w:cs="Times New Roman"/>
                <w:b/>
                <w:bCs/>
                <w:sz w:val="24"/>
                <w:szCs w:val="24"/>
              </w:rPr>
              <w:lastRenderedPageBreak/>
              <w:t xml:space="preserve">įdarbintas prie projekto? Juk dažnu atveju darbuotojai dalyvauja prie projekto, tačiau ne visuomet mokamas projektinis darbo užmokestis. </w:t>
            </w:r>
          </w:p>
          <w:p w14:paraId="22F0C9A0" w14:textId="4B9622FE" w:rsidR="00371925" w:rsidRPr="007D1276" w:rsidRDefault="009F308B" w:rsidP="0091403D">
            <w:pPr>
              <w:pStyle w:val="gmail-msolistparagraph"/>
              <w:spacing w:before="0" w:beforeAutospacing="0" w:after="0" w:afterAutospacing="0" w:line="254" w:lineRule="auto"/>
              <w:ind w:left="1440"/>
              <w:rPr>
                <w:rFonts w:ascii="Times New Roman" w:hAnsi="Times New Roman" w:cs="Times New Roman"/>
                <w:sz w:val="24"/>
                <w:szCs w:val="24"/>
              </w:rPr>
            </w:pPr>
            <w:r>
              <w:rPr>
                <w:rFonts w:ascii="Times New Roman" w:hAnsi="Times New Roman" w:cs="Times New Roman"/>
                <w:sz w:val="24"/>
                <w:szCs w:val="24"/>
              </w:rPr>
              <w:t xml:space="preserve">4. </w:t>
            </w:r>
            <w:r w:rsidR="00371925" w:rsidRPr="007D1276">
              <w:rPr>
                <w:rFonts w:ascii="Times New Roman" w:hAnsi="Times New Roman" w:cs="Times New Roman"/>
                <w:sz w:val="24"/>
                <w:szCs w:val="24"/>
              </w:rPr>
              <w:t xml:space="preserve">Nurodyta, kad patirtį įrodo pateikta projekto finansavimo sutarties kopija. Tačiau kokiu pagrindu buvę (ir net esami) įmonių darbuotojai gali prašyti šio dokumento, juolab jei kuris laikas jau nebedirba įmonėje, kurioje dirbo prie MTEP (nes prašoma MTEP patirties). Egzistuoja duomenų apsauga, ne visos įmonės geranoriškai juos siųs, tad šis reikalavimas perteklinis. Todėl manome jog užtektų nurodyti projekto numerį. </w:t>
            </w:r>
          </w:p>
          <w:p w14:paraId="60CBDA45" w14:textId="76ADF42A" w:rsidR="00D6518C" w:rsidRPr="007D1276" w:rsidRDefault="00AD08E8" w:rsidP="0091403D">
            <w:pPr>
              <w:pStyle w:val="gmail-msolistparagraph"/>
              <w:spacing w:before="0" w:beforeAutospacing="0" w:after="0" w:afterAutospacing="0" w:line="254" w:lineRule="auto"/>
              <w:rPr>
                <w:rFonts w:ascii="Times New Roman" w:hAnsi="Times New Roman" w:cs="Times New Roman"/>
                <w:sz w:val="24"/>
                <w:szCs w:val="24"/>
              </w:rPr>
            </w:pPr>
            <w:r>
              <w:rPr>
                <w:rFonts w:ascii="Times New Roman" w:hAnsi="Times New Roman" w:cs="Times New Roman"/>
                <w:sz w:val="24"/>
                <w:szCs w:val="24"/>
                <w:lang w:val="en-US"/>
              </w:rPr>
              <w:t xml:space="preserve">5. </w:t>
            </w:r>
            <w:r w:rsidR="00371925" w:rsidRPr="007D1276">
              <w:rPr>
                <w:rFonts w:ascii="Times New Roman" w:hAnsi="Times New Roman" w:cs="Times New Roman"/>
                <w:sz w:val="24"/>
                <w:szCs w:val="24"/>
              </w:rPr>
              <w:t>Tačiau, kadangi remiami startuoliai (Naujos įmonės) ir tai nėra MTEP priemonė, siūlome šį kriterijų išbraukti ir palikti ankstesnė Aprašo projekto versijos formuluotes (Pareiškėjo turimos kompetencijos).</w:t>
            </w:r>
          </w:p>
        </w:tc>
        <w:tc>
          <w:tcPr>
            <w:tcW w:w="4820" w:type="dxa"/>
          </w:tcPr>
          <w:p w14:paraId="115D1308" w14:textId="23ED2363" w:rsidR="00D6780B" w:rsidRPr="007D1276" w:rsidRDefault="001B0EBA" w:rsidP="00D6780B">
            <w:pPr>
              <w:jc w:val="center"/>
              <w:rPr>
                <w:b/>
                <w:bCs/>
                <w:szCs w:val="24"/>
              </w:rPr>
            </w:pPr>
            <w:r w:rsidRPr="007D1276">
              <w:rPr>
                <w:b/>
                <w:bCs/>
                <w:szCs w:val="24"/>
              </w:rPr>
              <w:lastRenderedPageBreak/>
              <w:t xml:space="preserve">PAAIŠKINTA </w:t>
            </w:r>
          </w:p>
          <w:p w14:paraId="68F833DF" w14:textId="4E154CF6" w:rsidR="001B0EBA" w:rsidRDefault="004C378A" w:rsidP="004C378A">
            <w:pPr>
              <w:rPr>
                <w:szCs w:val="24"/>
              </w:rPr>
            </w:pPr>
            <w:r>
              <w:rPr>
                <w:szCs w:val="24"/>
                <w:lang w:val="en-US"/>
              </w:rPr>
              <w:t xml:space="preserve">1. </w:t>
            </w:r>
            <w:r w:rsidR="001B0EBA" w:rsidRPr="004C378A">
              <w:rPr>
                <w:szCs w:val="24"/>
              </w:rPr>
              <w:t xml:space="preserve">Tarpiniai balai nebus </w:t>
            </w:r>
            <w:r w:rsidRPr="004C378A">
              <w:rPr>
                <w:szCs w:val="24"/>
              </w:rPr>
              <w:t>skiriami</w:t>
            </w:r>
            <w:r w:rsidR="00940844">
              <w:rPr>
                <w:szCs w:val="24"/>
              </w:rPr>
              <w:t>.</w:t>
            </w:r>
          </w:p>
          <w:p w14:paraId="44E091EF" w14:textId="45493117" w:rsidR="00793EE3" w:rsidRDefault="00793EE3" w:rsidP="00793EE3">
            <w:pPr>
              <w:jc w:val="center"/>
              <w:rPr>
                <w:szCs w:val="24"/>
              </w:rPr>
            </w:pPr>
            <w:r w:rsidRPr="007D1276">
              <w:rPr>
                <w:b/>
                <w:bCs/>
                <w:szCs w:val="24"/>
              </w:rPr>
              <w:t>NEATSIŽVELGTA</w:t>
            </w:r>
          </w:p>
          <w:p w14:paraId="51BF3C37" w14:textId="548E5FF3" w:rsidR="004C378A" w:rsidRDefault="004C378A" w:rsidP="004C378A">
            <w:pPr>
              <w:rPr>
                <w:szCs w:val="24"/>
              </w:rPr>
            </w:pPr>
            <w:r>
              <w:rPr>
                <w:szCs w:val="24"/>
              </w:rPr>
              <w:t xml:space="preserve">2. </w:t>
            </w:r>
            <w:r w:rsidR="00011F69">
              <w:rPr>
                <w:szCs w:val="24"/>
              </w:rPr>
              <w:t xml:space="preserve">MTEPI projektų </w:t>
            </w:r>
            <w:r w:rsidR="00202333">
              <w:rPr>
                <w:szCs w:val="24"/>
              </w:rPr>
              <w:t>baigtin</w:t>
            </w:r>
            <w:r w:rsidR="00D24048">
              <w:rPr>
                <w:szCs w:val="24"/>
              </w:rPr>
              <w:t xml:space="preserve">io </w:t>
            </w:r>
            <w:r w:rsidR="00011F69">
              <w:rPr>
                <w:szCs w:val="24"/>
              </w:rPr>
              <w:t>sąraš</w:t>
            </w:r>
            <w:r w:rsidR="007E2D6F">
              <w:rPr>
                <w:szCs w:val="24"/>
              </w:rPr>
              <w:t>o pateikti</w:t>
            </w:r>
            <w:r w:rsidR="00DF09AF">
              <w:rPr>
                <w:szCs w:val="24"/>
              </w:rPr>
              <w:t xml:space="preserve"> negalime</w:t>
            </w:r>
            <w:r w:rsidR="005B2C26">
              <w:rPr>
                <w:szCs w:val="24"/>
              </w:rPr>
              <w:t>, kada</w:t>
            </w:r>
            <w:r w:rsidR="00544438">
              <w:rPr>
                <w:szCs w:val="24"/>
              </w:rPr>
              <w:t xml:space="preserve">ngi </w:t>
            </w:r>
            <w:r w:rsidR="00947BE2">
              <w:rPr>
                <w:szCs w:val="24"/>
              </w:rPr>
              <w:t>sąrašas nėra oficialiai patvirtintas.</w:t>
            </w:r>
          </w:p>
          <w:p w14:paraId="7236DEAA" w14:textId="3E090B0E" w:rsidR="00F42CA3" w:rsidRDefault="00F42CA3" w:rsidP="00F42CA3">
            <w:pPr>
              <w:jc w:val="center"/>
              <w:rPr>
                <w:szCs w:val="24"/>
              </w:rPr>
            </w:pPr>
            <w:r w:rsidRPr="007D1276">
              <w:rPr>
                <w:b/>
                <w:bCs/>
                <w:szCs w:val="24"/>
              </w:rPr>
              <w:t>PAAIŠKINTA</w:t>
            </w:r>
          </w:p>
          <w:p w14:paraId="482A868D" w14:textId="77777777" w:rsidR="00135C10" w:rsidRDefault="00135C10" w:rsidP="004C378A">
            <w:pPr>
              <w:rPr>
                <w:szCs w:val="24"/>
                <w:lang w:val="en-US"/>
              </w:rPr>
            </w:pPr>
            <w:r>
              <w:rPr>
                <w:szCs w:val="24"/>
                <w:lang w:val="en-US"/>
              </w:rPr>
              <w:t>3.</w:t>
            </w:r>
            <w:r w:rsidR="00BA1467">
              <w:rPr>
                <w:szCs w:val="24"/>
                <w:lang w:val="en-US"/>
              </w:rPr>
              <w:t xml:space="preserve"> </w:t>
            </w:r>
            <w:r w:rsidR="00A11865">
              <w:rPr>
                <w:szCs w:val="24"/>
                <w:lang w:val="en-US"/>
              </w:rPr>
              <w:t>Darbuotojas turi</w:t>
            </w:r>
            <w:r w:rsidR="00792410">
              <w:rPr>
                <w:szCs w:val="24"/>
                <w:lang w:val="en-US"/>
              </w:rPr>
              <w:t>/turėjo būti įdarbintas</w:t>
            </w:r>
            <w:r w:rsidR="00D06C87">
              <w:rPr>
                <w:szCs w:val="24"/>
                <w:lang w:val="en-US"/>
              </w:rPr>
              <w:t xml:space="preserve"> kaip vykdantis projektą</w:t>
            </w:r>
            <w:r w:rsidR="00597F82">
              <w:rPr>
                <w:szCs w:val="24"/>
                <w:lang w:val="en-US"/>
              </w:rPr>
              <w:t>.</w:t>
            </w:r>
          </w:p>
          <w:p w14:paraId="3F63DB87" w14:textId="2A157BD6" w:rsidR="00F42CA3" w:rsidRPr="00F42CA3" w:rsidRDefault="00F42CA3" w:rsidP="00F42CA3">
            <w:pPr>
              <w:jc w:val="center"/>
              <w:rPr>
                <w:b/>
                <w:bCs/>
                <w:szCs w:val="24"/>
                <w:lang w:val="en-US"/>
              </w:rPr>
            </w:pPr>
            <w:r w:rsidRPr="00F42CA3">
              <w:rPr>
                <w:b/>
                <w:bCs/>
                <w:szCs w:val="24"/>
                <w:lang w:val="en-US"/>
              </w:rPr>
              <w:t>ATSIŽVELGTA</w:t>
            </w:r>
          </w:p>
          <w:p w14:paraId="36A39F41" w14:textId="43B1B225" w:rsidR="00E4385B" w:rsidRPr="00507D88" w:rsidRDefault="00597F82" w:rsidP="00E4385B">
            <w:pPr>
              <w:rPr>
                <w:color w:val="000000" w:themeColor="text1"/>
              </w:rPr>
            </w:pPr>
            <w:r>
              <w:rPr>
                <w:szCs w:val="24"/>
                <w:lang w:val="en-US"/>
              </w:rPr>
              <w:t>4.</w:t>
            </w:r>
            <w:r w:rsidR="00E4385B">
              <w:rPr>
                <w:szCs w:val="24"/>
                <w:lang w:val="en-US"/>
              </w:rPr>
              <w:t xml:space="preserve"> Patikslint</w:t>
            </w:r>
            <w:r w:rsidR="00527886">
              <w:rPr>
                <w:szCs w:val="24"/>
                <w:lang w:val="en-US"/>
              </w:rPr>
              <w:t xml:space="preserve">as </w:t>
            </w:r>
            <w:r w:rsidR="00BF364C">
              <w:rPr>
                <w:szCs w:val="24"/>
                <w:lang w:val="en-US"/>
              </w:rPr>
              <w:t xml:space="preserve">4 </w:t>
            </w:r>
            <w:r w:rsidR="00527886">
              <w:rPr>
                <w:szCs w:val="24"/>
                <w:lang w:val="en-US"/>
              </w:rPr>
              <w:t>priedas</w:t>
            </w:r>
            <w:r w:rsidR="00E4385B">
              <w:rPr>
                <w:szCs w:val="24"/>
                <w:lang w:val="en-US"/>
              </w:rPr>
              <w:t xml:space="preserve"> “</w:t>
            </w:r>
            <w:r w:rsidR="00E4385B" w:rsidRPr="00507D88">
              <w:rPr>
                <w:color w:val="000000" w:themeColor="text1"/>
              </w:rPr>
              <w:t>Patei</w:t>
            </w:r>
            <w:r w:rsidR="00E4385B">
              <w:rPr>
                <w:color w:val="000000" w:themeColor="text1"/>
              </w:rPr>
              <w:t>kiam</w:t>
            </w:r>
            <w:r w:rsidR="00BF364C">
              <w:rPr>
                <w:color w:val="000000" w:themeColor="text1"/>
              </w:rPr>
              <w:t>i</w:t>
            </w:r>
            <w:r w:rsidR="00E4385B">
              <w:rPr>
                <w:color w:val="000000" w:themeColor="text1"/>
              </w:rPr>
              <w:t xml:space="preserve"> dokumentais įrodantys apie dalyvavimą projekte</w:t>
            </w:r>
            <w:r w:rsidR="009F308B">
              <w:rPr>
                <w:color w:val="000000" w:themeColor="text1"/>
              </w:rPr>
              <w:t>.</w:t>
            </w:r>
            <w:r w:rsidR="00940844">
              <w:rPr>
                <w:color w:val="000000" w:themeColor="text1"/>
              </w:rPr>
              <w:t>“</w:t>
            </w:r>
          </w:p>
          <w:p w14:paraId="431EBE31" w14:textId="77777777" w:rsidR="00FD0A32" w:rsidRDefault="00FD0A32" w:rsidP="00FD0A32">
            <w:pPr>
              <w:jc w:val="center"/>
              <w:rPr>
                <w:szCs w:val="24"/>
              </w:rPr>
            </w:pPr>
            <w:r w:rsidRPr="007D1276">
              <w:rPr>
                <w:b/>
                <w:bCs/>
                <w:szCs w:val="24"/>
              </w:rPr>
              <w:t>NEATSIŽVELGTA</w:t>
            </w:r>
          </w:p>
          <w:p w14:paraId="0781659B" w14:textId="683288EF" w:rsidR="00597F82" w:rsidRPr="00AD08E8" w:rsidRDefault="00AD08E8" w:rsidP="004C378A">
            <w:pPr>
              <w:rPr>
                <w:szCs w:val="24"/>
              </w:rPr>
            </w:pPr>
            <w:r>
              <w:rPr>
                <w:szCs w:val="24"/>
                <w:lang w:val="en-US"/>
              </w:rPr>
              <w:lastRenderedPageBreak/>
              <w:t xml:space="preserve">Šios priemonės veikla MTEPI, todėl </w:t>
            </w:r>
            <w:r>
              <w:rPr>
                <w:szCs w:val="24"/>
              </w:rPr>
              <w:t>šis krietrijus gali būti taikomas.</w:t>
            </w:r>
          </w:p>
        </w:tc>
      </w:tr>
      <w:tr w:rsidR="00D6518C" w:rsidRPr="007D1276" w14:paraId="1EF5DB1F" w14:textId="77777777" w:rsidTr="4C59D0D2">
        <w:tc>
          <w:tcPr>
            <w:tcW w:w="567" w:type="dxa"/>
            <w:vMerge/>
          </w:tcPr>
          <w:p w14:paraId="19481656" w14:textId="77777777" w:rsidR="00D6518C" w:rsidRPr="007D1276" w:rsidRDefault="00D6518C">
            <w:pPr>
              <w:jc w:val="center"/>
              <w:rPr>
                <w:b/>
                <w:szCs w:val="24"/>
              </w:rPr>
            </w:pPr>
          </w:p>
        </w:tc>
        <w:tc>
          <w:tcPr>
            <w:tcW w:w="1985" w:type="dxa"/>
            <w:vMerge/>
          </w:tcPr>
          <w:p w14:paraId="7D8D9D8E" w14:textId="77777777" w:rsidR="00D6518C" w:rsidRPr="007D1276" w:rsidRDefault="00D6518C">
            <w:pPr>
              <w:jc w:val="center"/>
              <w:rPr>
                <w:b/>
                <w:szCs w:val="24"/>
              </w:rPr>
            </w:pPr>
          </w:p>
        </w:tc>
        <w:tc>
          <w:tcPr>
            <w:tcW w:w="7541" w:type="dxa"/>
          </w:tcPr>
          <w:p w14:paraId="3CE25941" w14:textId="1594498B" w:rsidR="00D6518C" w:rsidRPr="007D1276" w:rsidRDefault="00371925" w:rsidP="0091403D">
            <w:pPr>
              <w:rPr>
                <w:szCs w:val="24"/>
              </w:rPr>
            </w:pPr>
            <w:r w:rsidRPr="007D1276">
              <w:rPr>
                <w:szCs w:val="24"/>
              </w:rPr>
              <w:t>Projektų atrankos kriterijų lentelėje, prie prioritetinio kriterijaus Nr. 4 nurodyta, kad balai skiriami už deklaruotas mokslinių tyrimų ir eksperimentinės plėtros veiklai skirtas lėšas. Šios priemonės tikslas remti startuolius, tad abejotinai skamba reikalavimas dėl MTEP išlaidų priskyrimo. Naujai įsisteigusi ar neseniai veikianti įmonė verslo pradžioje ne visada turi galimybių skirti išlaidas MTEP veikloms, juolab, Finansinės paskatos startuoliams net nėra MTEP projektas. Šis reikalavimas panašus į Inostarto ar Inopažangos ir kitų priemonių, kuriose finansuojamos MTEP veiklos. Iš naujų įmonių nedera reikalauti šių išlaidų deklaravimo. Prašome panaikinti ši atrankos kriterijų.</w:t>
            </w:r>
          </w:p>
        </w:tc>
        <w:tc>
          <w:tcPr>
            <w:tcW w:w="4820" w:type="dxa"/>
          </w:tcPr>
          <w:p w14:paraId="757151EE" w14:textId="77777777" w:rsidR="00D6518C" w:rsidRPr="007D1276" w:rsidRDefault="00DB6362">
            <w:pPr>
              <w:jc w:val="center"/>
              <w:rPr>
                <w:b/>
                <w:bCs/>
                <w:szCs w:val="24"/>
              </w:rPr>
            </w:pPr>
            <w:r w:rsidRPr="007D1276">
              <w:rPr>
                <w:b/>
                <w:bCs/>
                <w:szCs w:val="24"/>
              </w:rPr>
              <w:t>NEATSIŽVELGTA</w:t>
            </w:r>
          </w:p>
          <w:p w14:paraId="5286F871" w14:textId="388D620D" w:rsidR="00E7591D" w:rsidRPr="007D1276" w:rsidRDefault="00405F8D" w:rsidP="00E7591D">
            <w:pPr>
              <w:rPr>
                <w:szCs w:val="24"/>
              </w:rPr>
            </w:pPr>
            <w:r w:rsidRPr="007D1276">
              <w:rPr>
                <w:szCs w:val="24"/>
              </w:rPr>
              <w:t>Kaip minėjome anksčiau MTEPI  yra MTEP dalis, todėl pareiškėjas vykdydamas MTEPI veiklą gali deklaruoti pajamas kaip MTEP. Taip pat pažymime, kad startuolis ar atžalinė įmonė yra nebūtinai nauja įmonė, o gali jau būti veikianti rinkoje ir ketinanti kurti naują kitą produktą ar sprendimą.</w:t>
            </w:r>
          </w:p>
        </w:tc>
      </w:tr>
      <w:tr w:rsidR="00D6518C" w:rsidRPr="007D1276" w14:paraId="1966E345" w14:textId="77777777" w:rsidTr="4C59D0D2">
        <w:tc>
          <w:tcPr>
            <w:tcW w:w="567" w:type="dxa"/>
            <w:vMerge/>
          </w:tcPr>
          <w:p w14:paraId="105A784A" w14:textId="77777777" w:rsidR="00D6518C" w:rsidRPr="007D1276" w:rsidRDefault="00D6518C">
            <w:pPr>
              <w:jc w:val="center"/>
              <w:rPr>
                <w:b/>
                <w:szCs w:val="24"/>
              </w:rPr>
            </w:pPr>
          </w:p>
        </w:tc>
        <w:tc>
          <w:tcPr>
            <w:tcW w:w="1985" w:type="dxa"/>
            <w:vMerge/>
          </w:tcPr>
          <w:p w14:paraId="79C5729D" w14:textId="77777777" w:rsidR="00D6518C" w:rsidRPr="007D1276" w:rsidRDefault="00D6518C">
            <w:pPr>
              <w:jc w:val="center"/>
              <w:rPr>
                <w:b/>
                <w:szCs w:val="24"/>
              </w:rPr>
            </w:pPr>
          </w:p>
        </w:tc>
        <w:tc>
          <w:tcPr>
            <w:tcW w:w="7541" w:type="dxa"/>
          </w:tcPr>
          <w:p w14:paraId="26CAF908" w14:textId="42E637D3" w:rsidR="00D6518C" w:rsidRPr="007D1276" w:rsidRDefault="00C82CB4" w:rsidP="0091403D">
            <w:r>
              <w:t>Išlaidų kategorijoje Nr. 4 nurodoma, kad paslaugų išlaidos negali sudaryti daugiau nei 10 proc. visų projekto tinkamų finansuoti išlaidų sumos. Siūlome šį dydį padidinti iki 25 proc. Taip pat atkreip</w:t>
            </w:r>
            <w:r w:rsidR="5839B735">
              <w:t xml:space="preserve">iamas </w:t>
            </w:r>
            <w:r>
              <w:t xml:space="preserve">dėmesys, kad tai kategorija, kai įgyvendinant projektą perkamos išlaidos turėtų būti buhalteriškai įtraukiamos į ilgalaikį turtą. Tačiau faktiškai tokios išlaidos, kurios numatytos lentelėje (pvz. programinės įrangos nuoma, serverių nuoma, licencijos) dažniausiai nurašomos į sąnaudas. Tad protinga būtų šias išlaidas priskirti prie projekto vykdymo, t.y. 5 išlaidų kategorijos. Juolab, jokia įranga pagal šią priemonę negali būti finansuojama, prie kurio galima </w:t>
            </w:r>
            <w:r>
              <w:lastRenderedPageBreak/>
              <w:t>būtų priskirti papildomas aukščiau minėtas išlaidas. Taigi, toks reikalavimas vėliau gavus finansavimą apsunkins administravimą tiek projektų vykdytojams, tiek agentūrai, kadangi reikės teikti dokumentus, kuria patvirtina šių paslaugų įtraukimą į ilgalaikį turtą.</w:t>
            </w:r>
          </w:p>
        </w:tc>
        <w:tc>
          <w:tcPr>
            <w:tcW w:w="4820" w:type="dxa"/>
          </w:tcPr>
          <w:p w14:paraId="7F90F014" w14:textId="77777777" w:rsidR="00D6518C" w:rsidRPr="007D1276" w:rsidRDefault="009830A1">
            <w:pPr>
              <w:jc w:val="center"/>
              <w:rPr>
                <w:b/>
                <w:bCs/>
                <w:szCs w:val="24"/>
              </w:rPr>
            </w:pPr>
            <w:r w:rsidRPr="007D1276">
              <w:rPr>
                <w:b/>
                <w:bCs/>
                <w:szCs w:val="24"/>
              </w:rPr>
              <w:lastRenderedPageBreak/>
              <w:t>NEATSIŽVELGTA</w:t>
            </w:r>
          </w:p>
          <w:p w14:paraId="646666A2" w14:textId="77777777" w:rsidR="003C64B5" w:rsidRPr="007D1276" w:rsidRDefault="003C64B5" w:rsidP="003C64B5">
            <w:pPr>
              <w:rPr>
                <w:szCs w:val="24"/>
              </w:rPr>
            </w:pPr>
            <w:r w:rsidRPr="007D1276">
              <w:rPr>
                <w:szCs w:val="24"/>
              </w:rPr>
              <w:t xml:space="preserve">Pažymime, kad šios priemonės tikslas yra </w:t>
            </w:r>
            <w:r w:rsidR="008B7076" w:rsidRPr="007D1276">
              <w:rPr>
                <w:szCs w:val="24"/>
              </w:rPr>
              <w:t>naujų produktų ar sprendimų kūrimas</w:t>
            </w:r>
            <w:r w:rsidR="005E2ACF" w:rsidRPr="007D1276">
              <w:rPr>
                <w:szCs w:val="24"/>
              </w:rPr>
              <w:t xml:space="preserve">, todėl </w:t>
            </w:r>
            <w:r w:rsidR="00A8496D" w:rsidRPr="007D1276">
              <w:rPr>
                <w:szCs w:val="24"/>
              </w:rPr>
              <w:t>tinkamomis finansuoti</w:t>
            </w:r>
            <w:r w:rsidR="00D554B2" w:rsidRPr="007D1276">
              <w:rPr>
                <w:szCs w:val="24"/>
              </w:rPr>
              <w:t xml:space="preserve"> nurodytos išlaidos negali sudaryti daugiau nei 10 </w:t>
            </w:r>
            <w:r w:rsidR="00B37FCB" w:rsidRPr="007D1276">
              <w:rPr>
                <w:szCs w:val="24"/>
              </w:rPr>
              <w:t>% visų projekto tinkamų finansuoti išlaidų sumos</w:t>
            </w:r>
            <w:r w:rsidR="00BB7DA9" w:rsidRPr="007D1276">
              <w:rPr>
                <w:szCs w:val="24"/>
              </w:rPr>
              <w:t xml:space="preserve">. </w:t>
            </w:r>
          </w:p>
          <w:p w14:paraId="53C07575" w14:textId="722CD94D" w:rsidR="0056282A" w:rsidRPr="007D1276" w:rsidRDefault="0056282A" w:rsidP="003C64B5">
            <w:pPr>
              <w:rPr>
                <w:szCs w:val="24"/>
              </w:rPr>
            </w:pPr>
            <w:r w:rsidRPr="007D1276">
              <w:rPr>
                <w:szCs w:val="24"/>
              </w:rPr>
              <w:t xml:space="preserve">Taip pat, pagal </w:t>
            </w:r>
            <w:r w:rsidR="008D1D6F" w:rsidRPr="007D1276">
              <w:rPr>
                <w:szCs w:val="24"/>
              </w:rPr>
              <w:t>„</w:t>
            </w:r>
            <w:hyperlink r:id="rId9" w:history="1">
              <w:r w:rsidR="008D1D6F" w:rsidRPr="007D1276">
                <w:rPr>
                  <w:rStyle w:val="Hipersaitas"/>
                  <w:szCs w:val="24"/>
                </w:rPr>
                <w:t>13 verslo apskaitos standart</w:t>
              </w:r>
              <w:r w:rsidR="00BC6037" w:rsidRPr="007D1276">
                <w:rPr>
                  <w:rStyle w:val="Hipersaitas"/>
                  <w:szCs w:val="24"/>
                </w:rPr>
                <w:t>ą</w:t>
              </w:r>
              <w:r w:rsidR="008D1D6F" w:rsidRPr="007D1276">
                <w:rPr>
                  <w:rStyle w:val="Hipersaitas"/>
                  <w:szCs w:val="24"/>
                </w:rPr>
                <w:t xml:space="preserve"> „nematerialusis turtas“</w:t>
              </w:r>
            </w:hyperlink>
            <w:r w:rsidR="004D428F" w:rsidRPr="007D1276">
              <w:rPr>
                <w:szCs w:val="24"/>
              </w:rPr>
              <w:t xml:space="preserve"> šios išlaidos yra priskiriamos prie nematerialaus</w:t>
            </w:r>
            <w:r w:rsidR="00372FB3" w:rsidRPr="007D1276">
              <w:rPr>
                <w:szCs w:val="24"/>
              </w:rPr>
              <w:t xml:space="preserve"> turto, todėl </w:t>
            </w:r>
            <w:r w:rsidR="00372FB3" w:rsidRPr="007D1276">
              <w:rPr>
                <w:szCs w:val="24"/>
              </w:rPr>
              <w:lastRenderedPageBreak/>
              <w:t>Projektų finansavim</w:t>
            </w:r>
            <w:r w:rsidR="005B6EEB" w:rsidRPr="007D1276">
              <w:rPr>
                <w:szCs w:val="24"/>
              </w:rPr>
              <w:t>o</w:t>
            </w:r>
            <w:r w:rsidR="00372FB3" w:rsidRPr="007D1276">
              <w:rPr>
                <w:szCs w:val="24"/>
              </w:rPr>
              <w:t xml:space="preserve"> s</w:t>
            </w:r>
            <w:r w:rsidR="005B6EEB" w:rsidRPr="007D1276">
              <w:rPr>
                <w:szCs w:val="24"/>
              </w:rPr>
              <w:t>ąlygų apraše patikslinta „</w:t>
            </w:r>
            <w:r w:rsidR="009B685A" w:rsidRPr="007D1276">
              <w:rPr>
                <w:szCs w:val="24"/>
              </w:rPr>
              <w:t>Įranga, įrenginiai ir kitas nematerialus turtas“.</w:t>
            </w:r>
            <w:r w:rsidR="004D428F" w:rsidRPr="007D1276">
              <w:rPr>
                <w:szCs w:val="24"/>
              </w:rPr>
              <w:t xml:space="preserve"> </w:t>
            </w:r>
          </w:p>
        </w:tc>
      </w:tr>
      <w:tr w:rsidR="00D6518C" w:rsidRPr="007D1276" w14:paraId="6743D5AB" w14:textId="77777777" w:rsidTr="4C59D0D2">
        <w:tc>
          <w:tcPr>
            <w:tcW w:w="567" w:type="dxa"/>
            <w:vMerge/>
          </w:tcPr>
          <w:p w14:paraId="05FACA92" w14:textId="77777777" w:rsidR="00D6518C" w:rsidRPr="007D1276" w:rsidRDefault="00D6518C">
            <w:pPr>
              <w:jc w:val="center"/>
              <w:rPr>
                <w:b/>
                <w:szCs w:val="24"/>
              </w:rPr>
            </w:pPr>
          </w:p>
        </w:tc>
        <w:tc>
          <w:tcPr>
            <w:tcW w:w="1985" w:type="dxa"/>
            <w:vMerge/>
          </w:tcPr>
          <w:p w14:paraId="0139FBB0" w14:textId="77777777" w:rsidR="00D6518C" w:rsidRPr="007D1276" w:rsidRDefault="00D6518C">
            <w:pPr>
              <w:jc w:val="center"/>
              <w:rPr>
                <w:b/>
                <w:szCs w:val="24"/>
              </w:rPr>
            </w:pPr>
          </w:p>
        </w:tc>
        <w:tc>
          <w:tcPr>
            <w:tcW w:w="7541" w:type="dxa"/>
          </w:tcPr>
          <w:p w14:paraId="28794EB4" w14:textId="323896FC" w:rsidR="00D6518C" w:rsidRPr="007D1276" w:rsidRDefault="00C82CB4" w:rsidP="0091403D">
            <w:pPr>
              <w:pStyle w:val="gmail-msolistparagraph"/>
              <w:spacing w:before="0" w:beforeAutospacing="0" w:after="0" w:afterAutospacing="0" w:line="254" w:lineRule="auto"/>
              <w:rPr>
                <w:rFonts w:ascii="Times New Roman" w:hAnsi="Times New Roman" w:cs="Times New Roman"/>
                <w:sz w:val="24"/>
                <w:szCs w:val="24"/>
              </w:rPr>
            </w:pPr>
            <w:r w:rsidRPr="007D1276">
              <w:rPr>
                <w:rFonts w:ascii="Times New Roman" w:hAnsi="Times New Roman" w:cs="Times New Roman"/>
                <w:sz w:val="24"/>
                <w:szCs w:val="24"/>
              </w:rPr>
              <w:t xml:space="preserve">Išlaidų kategorijoje Nr. 5 nurodoma, kad finansuojamos ir paslaugos, tačiau apribojamas dydis iki 15  proc. Atsižvelgiant į priemonės tikslą, startuolių rėmimą, ne visuomet yra galimybė įdarbinti programuotojus, nes dažnu atveju dirba pagal individualią veiklą. Taip pat nėra tikslinga  bei įmanoma įdarbinti visų reikalingų kompetencijų IT specialistus, todėl dažnu atveju sudėtinga apsieiti be paslaugų. Taip pat inovacijos ne visada yra paremtos tik techninėmis žiniomis, bet dažnai rinkos žiniomis – mokėjimu atliepti rinkos poreikius (pavyzdžiui nei Bolt‘as nei Wolt‘as neturėjo jokių technologiškai sudėtingų sprendimų, tačiau tapo sėkmės pavyzdžiais). Įmonės išsiskiriančios rinkos žiniomis dažnai perka programavimo paslaugas išorėje. Esant dabartiniam apribojimui jos tiesiogiai negali pretenduoti į paramą. Todėl prašome patikslinti šį reikalavimą bei padidinti šį dydį iki 50 proc. visų tinkamų pajamų dydį. Arba siūlome įtraukti galimybę įsigyti paslaugas 100 proc., tačiau įtraukiant reikalavimą, kad tiekėjas būtų IT įmonė veikianti šioje srityje tam tikrą laikotarpį bei turinti tam tikras pajamas per tam tikrą laikotarpį.  </w:t>
            </w:r>
          </w:p>
        </w:tc>
        <w:tc>
          <w:tcPr>
            <w:tcW w:w="4820" w:type="dxa"/>
          </w:tcPr>
          <w:p w14:paraId="2670CC3B" w14:textId="77777777" w:rsidR="00D6518C" w:rsidRPr="007D1276" w:rsidRDefault="00B5793E">
            <w:pPr>
              <w:jc w:val="center"/>
              <w:rPr>
                <w:b/>
                <w:bCs/>
                <w:szCs w:val="24"/>
              </w:rPr>
            </w:pPr>
            <w:r w:rsidRPr="007D1276">
              <w:rPr>
                <w:b/>
                <w:bCs/>
                <w:szCs w:val="24"/>
              </w:rPr>
              <w:t>IŠ DALIES ATSIŽVELGTA</w:t>
            </w:r>
          </w:p>
          <w:p w14:paraId="50CD18F8" w14:textId="0757CF56" w:rsidR="005A3BD5" w:rsidRPr="007D1276" w:rsidRDefault="005A3BD5" w:rsidP="005A3BD5">
            <w:pPr>
              <w:rPr>
                <w:szCs w:val="24"/>
              </w:rPr>
            </w:pPr>
            <w:r w:rsidRPr="007D1276">
              <w:rPr>
                <w:szCs w:val="24"/>
              </w:rPr>
              <w:t xml:space="preserve">Priemonės tikslas yra, kad pareiškėjai kurtų naujus sprendimus ar produktus pagal šią finansinę paramą. </w:t>
            </w:r>
            <w:r w:rsidR="00446591" w:rsidRPr="007D1276">
              <w:rPr>
                <w:szCs w:val="24"/>
              </w:rPr>
              <w:t xml:space="preserve">Todėl </w:t>
            </w:r>
            <w:r w:rsidR="00782921" w:rsidRPr="007D1276">
              <w:rPr>
                <w:szCs w:val="24"/>
              </w:rPr>
              <w:t>įtraukus galimybę įsigyti paslaugas 100 proc., pareiškėjai galėtų įsigyti jau sukurtą sprendimą ar produktą</w:t>
            </w:r>
            <w:r w:rsidR="00395C94" w:rsidRPr="007D1276">
              <w:rPr>
                <w:szCs w:val="24"/>
              </w:rPr>
              <w:t xml:space="preserve">. </w:t>
            </w:r>
            <w:r w:rsidR="00AF0CB1" w:rsidRPr="007D1276">
              <w:rPr>
                <w:b/>
                <w:bCs/>
                <w:szCs w:val="24"/>
              </w:rPr>
              <w:t xml:space="preserve">Tačiau </w:t>
            </w:r>
            <w:r w:rsidR="00973063" w:rsidRPr="007D1276">
              <w:rPr>
                <w:b/>
                <w:bCs/>
                <w:szCs w:val="24"/>
              </w:rPr>
              <w:t>didinamas</w:t>
            </w:r>
            <w:r w:rsidR="00AF0CB1" w:rsidRPr="007D1276">
              <w:rPr>
                <w:b/>
                <w:bCs/>
                <w:szCs w:val="24"/>
              </w:rPr>
              <w:t xml:space="preserve"> procentas skirtas </w:t>
            </w:r>
            <w:r w:rsidR="00AF0CB1" w:rsidRPr="007D1276">
              <w:rPr>
                <w:b/>
                <w:bCs/>
                <w:color w:val="000000"/>
                <w:shd w:val="clear" w:color="auto" w:fill="FFFFFF"/>
              </w:rPr>
              <w:t>išlaidoms, susijusioms su konsultavimo ir lygiaverčių paslaugų, skirtų</w:t>
            </w:r>
            <w:r w:rsidR="00AF0CB1" w:rsidRPr="007D1276">
              <w:rPr>
                <w:b/>
                <w:bCs/>
              </w:rPr>
              <w:t xml:space="preserve"> </w:t>
            </w:r>
            <w:r w:rsidR="00AF0CB1" w:rsidRPr="007D1276">
              <w:rPr>
                <w:b/>
                <w:bCs/>
                <w:color w:val="000000"/>
                <w:shd w:val="clear" w:color="auto" w:fill="FFFFFF"/>
              </w:rPr>
              <w:t xml:space="preserve">produkto ir (ar) sprendimo sukūrimui </w:t>
            </w:r>
            <w:r w:rsidR="00973063" w:rsidRPr="007D1276">
              <w:rPr>
                <w:b/>
                <w:bCs/>
                <w:color w:val="000000"/>
                <w:shd w:val="clear" w:color="auto" w:fill="FFFFFF"/>
              </w:rPr>
              <w:t>iki 25 %.</w:t>
            </w:r>
          </w:p>
        </w:tc>
      </w:tr>
      <w:tr w:rsidR="00D6518C" w:rsidRPr="007D1276" w14:paraId="78E75093" w14:textId="77777777" w:rsidTr="4C59D0D2">
        <w:tc>
          <w:tcPr>
            <w:tcW w:w="567" w:type="dxa"/>
            <w:vMerge/>
          </w:tcPr>
          <w:p w14:paraId="490DA750" w14:textId="77777777" w:rsidR="00D6518C" w:rsidRPr="007D1276" w:rsidRDefault="00D6518C">
            <w:pPr>
              <w:jc w:val="center"/>
              <w:rPr>
                <w:b/>
                <w:szCs w:val="24"/>
              </w:rPr>
            </w:pPr>
          </w:p>
        </w:tc>
        <w:tc>
          <w:tcPr>
            <w:tcW w:w="1985" w:type="dxa"/>
            <w:vMerge/>
          </w:tcPr>
          <w:p w14:paraId="2BD88919" w14:textId="77777777" w:rsidR="00D6518C" w:rsidRPr="007D1276" w:rsidRDefault="00D6518C">
            <w:pPr>
              <w:jc w:val="center"/>
              <w:rPr>
                <w:b/>
                <w:szCs w:val="24"/>
              </w:rPr>
            </w:pPr>
          </w:p>
        </w:tc>
        <w:tc>
          <w:tcPr>
            <w:tcW w:w="7541" w:type="dxa"/>
          </w:tcPr>
          <w:p w14:paraId="2D10402D" w14:textId="0F220845" w:rsidR="00D6518C" w:rsidRPr="007D1276" w:rsidRDefault="0091403D" w:rsidP="0091403D">
            <w:pPr>
              <w:pStyle w:val="gmail-msolistparagraph"/>
              <w:spacing w:before="0" w:beforeAutospacing="0" w:after="0" w:afterAutospacing="0" w:line="254" w:lineRule="auto"/>
              <w:rPr>
                <w:rFonts w:ascii="Times New Roman" w:hAnsi="Times New Roman" w:cs="Times New Roman"/>
                <w:sz w:val="24"/>
                <w:szCs w:val="24"/>
              </w:rPr>
            </w:pPr>
            <w:r w:rsidRPr="007D1276">
              <w:rPr>
                <w:rFonts w:ascii="Times New Roman" w:hAnsi="Times New Roman" w:cs="Times New Roman"/>
                <w:sz w:val="24"/>
                <w:szCs w:val="24"/>
              </w:rPr>
              <w:t>Tinkami pareiškėjai – labai mažos, mažos įmonės bei atžalinės įmonės iki 5 metų. Norime pažymėti, kad startuoliai dažnu atveju yra vidutinių įmonių dukterinės įmonės arba per susijusias įmones/akcininkus tampa vidutinėmis. Siūlome įtraukti galimybę pretenduoti pagal šią priemonę ir vidutines įmonės, o atsižvelgiant į tai, kad tikslas remti labai mažas ir mažas įmones, nustatyti prioritetus pagal balus labai mažoms ir mažoms įmonėms arba nustatyti mažesnį projekto intensyvumą vidutinėms įmonėms.</w:t>
            </w:r>
          </w:p>
        </w:tc>
        <w:tc>
          <w:tcPr>
            <w:tcW w:w="4820" w:type="dxa"/>
          </w:tcPr>
          <w:p w14:paraId="4154CB90" w14:textId="77777777" w:rsidR="00D6518C" w:rsidRPr="007D1276" w:rsidRDefault="00E26F45">
            <w:pPr>
              <w:jc w:val="center"/>
              <w:rPr>
                <w:b/>
                <w:bCs/>
                <w:szCs w:val="24"/>
              </w:rPr>
            </w:pPr>
            <w:r w:rsidRPr="007D1276">
              <w:rPr>
                <w:b/>
                <w:bCs/>
                <w:szCs w:val="24"/>
              </w:rPr>
              <w:t>NEATSIŽVELGTA</w:t>
            </w:r>
          </w:p>
          <w:p w14:paraId="44F9C2F3" w14:textId="7A8076DA" w:rsidR="00B950D5" w:rsidRPr="007D1276" w:rsidRDefault="00D01962" w:rsidP="00D01962">
            <w:pPr>
              <w:rPr>
                <w:rFonts w:eastAsia="Calibri"/>
                <w:color w:val="000000" w:themeColor="text1"/>
              </w:rPr>
            </w:pPr>
            <w:r w:rsidRPr="007D1276">
              <w:rPr>
                <w:szCs w:val="24"/>
              </w:rPr>
              <w:t>Pažymime, kad</w:t>
            </w:r>
            <w:r w:rsidR="004C5CB0" w:rsidRPr="007D1276">
              <w:rPr>
                <w:szCs w:val="24"/>
              </w:rPr>
              <w:t xml:space="preserve"> </w:t>
            </w:r>
            <w:r w:rsidR="00A16488" w:rsidRPr="007D1276">
              <w:rPr>
                <w:szCs w:val="24"/>
              </w:rPr>
              <w:t>P</w:t>
            </w:r>
            <w:r w:rsidR="004C5CB0" w:rsidRPr="007D1276">
              <w:rPr>
                <w:szCs w:val="24"/>
              </w:rPr>
              <w:t>rojektų finansavimų są</w:t>
            </w:r>
            <w:r w:rsidR="00A16488" w:rsidRPr="007D1276">
              <w:rPr>
                <w:szCs w:val="24"/>
              </w:rPr>
              <w:t>lygų apraše</w:t>
            </w:r>
            <w:r w:rsidRPr="007D1276">
              <w:rPr>
                <w:szCs w:val="24"/>
              </w:rPr>
              <w:t xml:space="preserve"> </w:t>
            </w:r>
            <w:r w:rsidR="004C5CB0" w:rsidRPr="007D1276">
              <w:rPr>
                <w:lang w:eastAsia="ar-SA"/>
              </w:rPr>
              <w:t>Startuolis</w:t>
            </w:r>
            <w:r w:rsidR="00A16488" w:rsidRPr="007D1276">
              <w:rPr>
                <w:b/>
                <w:lang w:eastAsia="ar-SA"/>
              </w:rPr>
              <w:t xml:space="preserve"> </w:t>
            </w:r>
            <w:r w:rsidR="004C5CB0" w:rsidRPr="007D1276">
              <w:rPr>
                <w:rFonts w:eastAsia="Calibri"/>
                <w:color w:val="000000" w:themeColor="text1"/>
              </w:rPr>
              <w:t>apibrėž</w:t>
            </w:r>
            <w:r w:rsidR="00A16488" w:rsidRPr="007D1276">
              <w:rPr>
                <w:rFonts w:eastAsia="Calibri"/>
                <w:color w:val="000000" w:themeColor="text1"/>
              </w:rPr>
              <w:t>iamas kaip nurodyta</w:t>
            </w:r>
            <w:r w:rsidR="004C5CB0" w:rsidRPr="007D1276">
              <w:rPr>
                <w:rFonts w:eastAsia="Calibri"/>
                <w:color w:val="000000" w:themeColor="text1"/>
              </w:rPr>
              <w:t xml:space="preserve"> Lietuvos Respublikos smulkiojo ir vidutinio verslo plėtros įstatyme</w:t>
            </w:r>
            <w:r w:rsidR="00A16488" w:rsidRPr="007D1276">
              <w:rPr>
                <w:rFonts w:eastAsia="Calibri"/>
                <w:color w:val="000000" w:themeColor="text1"/>
              </w:rPr>
              <w:t xml:space="preserve"> t.y. </w:t>
            </w:r>
            <w:r w:rsidR="007A5B07" w:rsidRPr="007D1276">
              <w:rPr>
                <w:rFonts w:eastAsia="Calibri"/>
                <w:color w:val="000000" w:themeColor="text1"/>
              </w:rPr>
              <w:t>„</w:t>
            </w:r>
            <w:r w:rsidR="0037695D" w:rsidRPr="007D1276">
              <w:rPr>
                <w:rFonts w:eastAsia="Calibri"/>
                <w:color w:val="000000" w:themeColor="text1"/>
              </w:rPr>
              <w:t xml:space="preserve">Startuolis – didelį ir inovacijomis grindžiamą verslo plėtros potencialą turinti </w:t>
            </w:r>
            <w:r w:rsidR="0037695D" w:rsidRPr="007D1276">
              <w:rPr>
                <w:rFonts w:eastAsia="Calibri"/>
                <w:b/>
                <w:bCs/>
                <w:color w:val="000000" w:themeColor="text1"/>
              </w:rPr>
              <w:t>labai maža ar maža įmonė</w:t>
            </w:r>
            <w:r w:rsidR="0037695D" w:rsidRPr="007D1276">
              <w:rPr>
                <w:rFonts w:eastAsia="Calibri"/>
                <w:color w:val="000000" w:themeColor="text1"/>
              </w:rPr>
              <w:t>, Juridinių asmenų registre registruota ne ilgiau kaip 5 metus</w:t>
            </w:r>
            <w:r w:rsidR="007A5B07" w:rsidRPr="007D1276">
              <w:rPr>
                <w:rFonts w:eastAsia="Calibri"/>
                <w:color w:val="000000" w:themeColor="text1"/>
              </w:rPr>
              <w:t>“</w:t>
            </w:r>
            <w:r w:rsidR="0037695D" w:rsidRPr="007D1276">
              <w:rPr>
                <w:rFonts w:eastAsia="Calibri"/>
                <w:color w:val="000000" w:themeColor="text1"/>
              </w:rPr>
              <w:t xml:space="preserve">. Todėl remiantis įstatymu startuolis negali būti </w:t>
            </w:r>
            <w:r w:rsidR="00E950F9" w:rsidRPr="007D1276">
              <w:rPr>
                <w:rFonts w:eastAsia="Calibri"/>
                <w:color w:val="000000" w:themeColor="text1"/>
              </w:rPr>
              <w:t xml:space="preserve">vidutinė įmonė. </w:t>
            </w:r>
          </w:p>
          <w:p w14:paraId="637ACBBF" w14:textId="3E8EA644" w:rsidR="00E950F9" w:rsidRPr="007D1276" w:rsidRDefault="00D85244" w:rsidP="00D01962">
            <w:pPr>
              <w:rPr>
                <w:b/>
                <w:bCs/>
                <w:szCs w:val="24"/>
              </w:rPr>
            </w:pPr>
            <w:r w:rsidRPr="007D1276">
              <w:rPr>
                <w:rFonts w:eastAsia="Calibri"/>
                <w:color w:val="000000" w:themeColor="text1"/>
              </w:rPr>
              <w:t>Papildomai pažymime, kad pareiškėjas</w:t>
            </w:r>
            <w:r w:rsidR="00E374AF" w:rsidRPr="007D1276">
              <w:rPr>
                <w:rFonts w:eastAsia="Calibri"/>
                <w:color w:val="000000" w:themeColor="text1"/>
              </w:rPr>
              <w:t xml:space="preserve"> gali būti atžalinė įmone, kuri atitinka vidutinės įmonės apibrėžimą.</w:t>
            </w:r>
          </w:p>
        </w:tc>
      </w:tr>
      <w:tr w:rsidR="00D6518C" w:rsidRPr="007D1276" w14:paraId="3FC5E652" w14:textId="77777777" w:rsidTr="4C59D0D2">
        <w:tc>
          <w:tcPr>
            <w:tcW w:w="567" w:type="dxa"/>
            <w:vMerge/>
          </w:tcPr>
          <w:p w14:paraId="7740DB7E" w14:textId="77777777" w:rsidR="00D6518C" w:rsidRPr="007D1276" w:rsidRDefault="00D6518C">
            <w:pPr>
              <w:jc w:val="center"/>
              <w:rPr>
                <w:b/>
                <w:szCs w:val="24"/>
              </w:rPr>
            </w:pPr>
          </w:p>
        </w:tc>
        <w:tc>
          <w:tcPr>
            <w:tcW w:w="1985" w:type="dxa"/>
            <w:vMerge/>
          </w:tcPr>
          <w:p w14:paraId="0E316F7B" w14:textId="77777777" w:rsidR="00D6518C" w:rsidRPr="007D1276" w:rsidRDefault="00D6518C">
            <w:pPr>
              <w:jc w:val="center"/>
              <w:rPr>
                <w:b/>
                <w:szCs w:val="24"/>
              </w:rPr>
            </w:pPr>
          </w:p>
        </w:tc>
        <w:tc>
          <w:tcPr>
            <w:tcW w:w="7541" w:type="dxa"/>
          </w:tcPr>
          <w:p w14:paraId="198E7B28" w14:textId="22570097" w:rsidR="00D6518C" w:rsidRPr="007D1276" w:rsidRDefault="0091403D" w:rsidP="0091403D">
            <w:pPr>
              <w:rPr>
                <w:szCs w:val="24"/>
              </w:rPr>
            </w:pPr>
            <w:r w:rsidRPr="007D1276">
              <w:rPr>
                <w:szCs w:val="24"/>
              </w:rPr>
              <w:t>Ši priemonė, kurios tikslas buvo remti startuolius inovatyviuose projektuose, pagal naują aprašą įgavo daug panašumų su MTEP priemonėmis – pvz. Inostartu. Tad siūlome atsisakyti MTEP pobūdžio reikalavimų ir netraukti papildomų.</w:t>
            </w:r>
          </w:p>
        </w:tc>
        <w:tc>
          <w:tcPr>
            <w:tcW w:w="4820" w:type="dxa"/>
          </w:tcPr>
          <w:p w14:paraId="39FBDAF3" w14:textId="77777777" w:rsidR="00392ECD" w:rsidRPr="007D1276" w:rsidRDefault="00B55FEC" w:rsidP="00392ECD">
            <w:pPr>
              <w:jc w:val="center"/>
              <w:rPr>
                <w:b/>
                <w:bCs/>
                <w:szCs w:val="24"/>
              </w:rPr>
            </w:pPr>
            <w:r w:rsidRPr="007D1276">
              <w:rPr>
                <w:b/>
                <w:bCs/>
                <w:szCs w:val="24"/>
              </w:rPr>
              <w:t>NEATSIŽVELGTA</w:t>
            </w:r>
          </w:p>
          <w:p w14:paraId="0A176D39" w14:textId="3671EF6F" w:rsidR="007A5B07" w:rsidRPr="007D1276" w:rsidRDefault="00392ECD" w:rsidP="00392ECD">
            <w:pPr>
              <w:rPr>
                <w:szCs w:val="24"/>
              </w:rPr>
            </w:pPr>
            <w:r w:rsidRPr="007D1276">
              <w:rPr>
                <w:szCs w:val="24"/>
              </w:rPr>
              <w:t>Pažymime, kad MTEPI veikla yra MTEP veiklų sudedamoji dalis, todėl gali būti taikomi MTEP pobūdžio reikalavimai.</w:t>
            </w:r>
          </w:p>
        </w:tc>
      </w:tr>
      <w:tr w:rsidR="00D6518C" w:rsidRPr="007D1276" w14:paraId="426FA4C5" w14:textId="77777777" w:rsidTr="4C59D0D2">
        <w:tc>
          <w:tcPr>
            <w:tcW w:w="567" w:type="dxa"/>
            <w:vMerge/>
          </w:tcPr>
          <w:p w14:paraId="03333A5D" w14:textId="77777777" w:rsidR="00D6518C" w:rsidRPr="007D1276" w:rsidRDefault="00D6518C">
            <w:pPr>
              <w:jc w:val="center"/>
              <w:rPr>
                <w:b/>
                <w:szCs w:val="24"/>
              </w:rPr>
            </w:pPr>
          </w:p>
        </w:tc>
        <w:tc>
          <w:tcPr>
            <w:tcW w:w="1985" w:type="dxa"/>
            <w:vMerge/>
          </w:tcPr>
          <w:p w14:paraId="5F52AED1" w14:textId="77777777" w:rsidR="00D6518C" w:rsidRPr="007D1276" w:rsidRDefault="00D6518C">
            <w:pPr>
              <w:jc w:val="center"/>
              <w:rPr>
                <w:b/>
                <w:szCs w:val="24"/>
              </w:rPr>
            </w:pPr>
          </w:p>
        </w:tc>
        <w:tc>
          <w:tcPr>
            <w:tcW w:w="7541" w:type="dxa"/>
          </w:tcPr>
          <w:p w14:paraId="02096824" w14:textId="35BCC4B4" w:rsidR="00D6518C" w:rsidRPr="007D1276" w:rsidRDefault="0091403D" w:rsidP="0091403D">
            <w:pPr>
              <w:rPr>
                <w:szCs w:val="24"/>
              </w:rPr>
            </w:pPr>
            <w:r w:rsidRPr="007D1276">
              <w:rPr>
                <w:szCs w:val="24"/>
              </w:rPr>
              <w:t>Kadangi Startuoliai tipiškai turi ribotus finansinius išteklius, prašome prie tinkamų finansuoti išlaidų įtraukti ir netiesiogines išlaidas.  </w:t>
            </w:r>
          </w:p>
        </w:tc>
        <w:tc>
          <w:tcPr>
            <w:tcW w:w="4820" w:type="dxa"/>
          </w:tcPr>
          <w:p w14:paraId="0968F703" w14:textId="77777777" w:rsidR="00D6518C" w:rsidRPr="007D1276" w:rsidRDefault="00B55FEC">
            <w:pPr>
              <w:jc w:val="center"/>
              <w:rPr>
                <w:b/>
                <w:bCs/>
                <w:szCs w:val="24"/>
              </w:rPr>
            </w:pPr>
            <w:r w:rsidRPr="007D1276">
              <w:rPr>
                <w:b/>
                <w:bCs/>
                <w:szCs w:val="24"/>
              </w:rPr>
              <w:t>NEATSIŽVELGTA</w:t>
            </w:r>
          </w:p>
          <w:p w14:paraId="3DECD9E3" w14:textId="60D4D4B9" w:rsidR="00A65BFF" w:rsidRPr="007D1276" w:rsidRDefault="00ED1AC8" w:rsidP="00A65BFF">
            <w:pPr>
              <w:rPr>
                <w:szCs w:val="24"/>
              </w:rPr>
            </w:pPr>
            <w:r w:rsidRPr="007D1276">
              <w:rPr>
                <w:szCs w:val="24"/>
              </w:rPr>
              <w:t>Pažymime, kad</w:t>
            </w:r>
            <w:r w:rsidR="00DE7A16" w:rsidRPr="007D1276">
              <w:rPr>
                <w:szCs w:val="24"/>
              </w:rPr>
              <w:t xml:space="preserve"> šios priemonė</w:t>
            </w:r>
            <w:r w:rsidR="00374513" w:rsidRPr="007D1276">
              <w:rPr>
                <w:szCs w:val="24"/>
              </w:rPr>
              <w:t>s tikslas</w:t>
            </w:r>
            <w:r w:rsidRPr="007D1276">
              <w:rPr>
                <w:szCs w:val="24"/>
              </w:rPr>
              <w:t xml:space="preserve"> </w:t>
            </w:r>
            <w:r w:rsidR="003F5276" w:rsidRPr="007D1276">
              <w:rPr>
                <w:szCs w:val="24"/>
              </w:rPr>
              <w:t>finansinė paskata</w:t>
            </w:r>
            <w:r w:rsidRPr="007D1276">
              <w:rPr>
                <w:szCs w:val="24"/>
              </w:rPr>
              <w:t xml:space="preserve"> </w:t>
            </w:r>
            <w:r w:rsidR="00374513" w:rsidRPr="007D1276">
              <w:rPr>
                <w:szCs w:val="24"/>
              </w:rPr>
              <w:t xml:space="preserve">kurti </w:t>
            </w:r>
            <w:r w:rsidRPr="007D1276">
              <w:rPr>
                <w:szCs w:val="24"/>
              </w:rPr>
              <w:t xml:space="preserve"> produkt</w:t>
            </w:r>
            <w:r w:rsidR="00D56231" w:rsidRPr="007D1276">
              <w:rPr>
                <w:szCs w:val="24"/>
              </w:rPr>
              <w:t>us</w:t>
            </w:r>
            <w:r w:rsidRPr="007D1276">
              <w:rPr>
                <w:szCs w:val="24"/>
              </w:rPr>
              <w:t xml:space="preserve"> ar sprendim</w:t>
            </w:r>
            <w:r w:rsidR="00D56231" w:rsidRPr="007D1276">
              <w:rPr>
                <w:szCs w:val="24"/>
              </w:rPr>
              <w:t>us.</w:t>
            </w:r>
            <w:r w:rsidR="00356436" w:rsidRPr="007D1276">
              <w:rPr>
                <w:szCs w:val="24"/>
              </w:rPr>
              <w:t xml:space="preserve"> </w:t>
            </w:r>
            <w:r w:rsidR="00AC0E06" w:rsidRPr="007D1276">
              <w:rPr>
                <w:szCs w:val="24"/>
              </w:rPr>
              <w:t xml:space="preserve">Ribotų finansinių išteklių kompensavimas nėra šios priemonės tikslas, todėl </w:t>
            </w:r>
            <w:r w:rsidR="00392ECD" w:rsidRPr="007D1276">
              <w:rPr>
                <w:szCs w:val="24"/>
              </w:rPr>
              <w:t>netiesioginės išlaidos nėra tinkamos finansuoti išlaidos.</w:t>
            </w:r>
          </w:p>
        </w:tc>
      </w:tr>
      <w:tr w:rsidR="00846A47" w:rsidRPr="007D1276" w14:paraId="53222830" w14:textId="77777777" w:rsidTr="4C59D0D2">
        <w:tc>
          <w:tcPr>
            <w:tcW w:w="567" w:type="dxa"/>
          </w:tcPr>
          <w:p w14:paraId="09A83DA5" w14:textId="2E7C5655" w:rsidR="00846A47" w:rsidRPr="007D1276" w:rsidRDefault="00A15959">
            <w:pPr>
              <w:jc w:val="center"/>
              <w:rPr>
                <w:b/>
                <w:szCs w:val="24"/>
              </w:rPr>
            </w:pPr>
            <w:r w:rsidRPr="007D1276">
              <w:rPr>
                <w:b/>
                <w:szCs w:val="24"/>
              </w:rPr>
              <w:t xml:space="preserve">2. </w:t>
            </w:r>
          </w:p>
        </w:tc>
        <w:tc>
          <w:tcPr>
            <w:tcW w:w="1985" w:type="dxa"/>
          </w:tcPr>
          <w:p w14:paraId="1651A3E8" w14:textId="7050D040" w:rsidR="00846A47" w:rsidRPr="007D1276" w:rsidRDefault="00010A63">
            <w:pPr>
              <w:jc w:val="center"/>
              <w:rPr>
                <w:b/>
                <w:szCs w:val="24"/>
              </w:rPr>
            </w:pPr>
            <w:r w:rsidRPr="007D1276">
              <w:rPr>
                <w:b/>
                <w:szCs w:val="24"/>
              </w:rPr>
              <w:t>Lietuvos skaitmeninių technologijų sektoriaus asociacija „INFOBALT“</w:t>
            </w:r>
          </w:p>
        </w:tc>
        <w:tc>
          <w:tcPr>
            <w:tcW w:w="7541" w:type="dxa"/>
          </w:tcPr>
          <w:p w14:paraId="0BBC2A1F" w14:textId="77777777" w:rsidR="00CA5F26" w:rsidRPr="007D1276" w:rsidRDefault="00CA5F26" w:rsidP="00CA5F26">
            <w:pPr>
              <w:rPr>
                <w:szCs w:val="24"/>
              </w:rPr>
            </w:pPr>
            <w:r w:rsidRPr="007D1276">
              <w:rPr>
                <w:szCs w:val="24"/>
              </w:rPr>
              <w:t>Asociacija INFOBALT siūlo didinti arba visai neriboti paslaugų įsigijimo išlaidų dydžio bendrame projekto biudžete, kadangi tai suteiktų daugiau laisvumo, ypač naujoms/jaunoms įmonėms, siekiant sėkmingai ir laiku įgyvendinti inovatyvius projektus. Projekto metu didesnis įsigyjamų paslaugų kiekis suteiktų:</w:t>
            </w:r>
          </w:p>
          <w:p w14:paraId="4CA89D49" w14:textId="77777777" w:rsidR="00CA5F26" w:rsidRPr="007D1276" w:rsidRDefault="00CA5F26" w:rsidP="00CA5F26">
            <w:pPr>
              <w:rPr>
                <w:szCs w:val="24"/>
              </w:rPr>
            </w:pPr>
            <w:r w:rsidRPr="007D1276">
              <w:rPr>
                <w:szCs w:val="24"/>
              </w:rPr>
              <w:t>• Specializuotas kompetencijas: mokslinių tyrimų ir plėtros veiklai dažnai reikalingos labai specializuotos žinios, įgūdžiai ir patirtis, kurių ypač jaunos/naujos įmonės gali neturėti. Bendradarbiavimas su išoriniais paslaugų teikėjais leistų pareiškėjų įmonėms pasiekti įvairius specialistus, kurie galėtų suteikti vertingų įžvalgų ir žinių projektui. Padidinta/ar neribota biudžeto dalis įsigyjamoms paslaugoms įgalintų pareiškėjų įmones pasinaudoti ir prisijungti prie platesnio specializuotų ekspertų tinklo ir taip pagerinti savo mokslinių tyrimų ir plėtros kokybę bei apimtį;</w:t>
            </w:r>
          </w:p>
          <w:p w14:paraId="7BA6D1EE" w14:textId="77777777" w:rsidR="00CA5F26" w:rsidRPr="007D1276" w:rsidRDefault="00CA5F26" w:rsidP="00CA5F26">
            <w:pPr>
              <w:rPr>
                <w:szCs w:val="24"/>
              </w:rPr>
            </w:pPr>
            <w:r w:rsidRPr="007D1276">
              <w:rPr>
                <w:szCs w:val="24"/>
              </w:rPr>
              <w:t>• Spartesnę pažangą: bendradarbiavimas su išorės paslaugų teikėjais gali žymiai paspartinti mokslinių tyrimų ir plėtros iniciatyvų įgyvendinimą (PFSA projekte nurodyta veiklų įgyvendinimo trukmė yra pakankamai nedidelė tokio pobūdžio projektams). Išorės paslaugų teikėjai kartu atsineša daug patirties, pažangių įrankių ir supaprastintų procesų, kurie gali pagreitinti įvairius projekto etapus. Padidinus biudžetą, skirtą įsigyjamoms paslaugoms, būtų suteikiama galimybė įtraukti efektyvesnius ir produktyvesnius partnerius, kurie galėtų prisidėti prie greitesnės pažangos ir leistų įmonėms pasiekti savo tyrimų tikslus per trumpesnį laiką;</w:t>
            </w:r>
          </w:p>
          <w:p w14:paraId="49D0A48D" w14:textId="77777777" w:rsidR="00CA5F26" w:rsidRPr="007D1276" w:rsidRDefault="00CA5F26" w:rsidP="00CA5F26">
            <w:pPr>
              <w:rPr>
                <w:szCs w:val="24"/>
              </w:rPr>
            </w:pPr>
            <w:r w:rsidRPr="007D1276">
              <w:rPr>
                <w:szCs w:val="24"/>
              </w:rPr>
              <w:t xml:space="preserve">• Prieigą prie pažangiausių technologijų: įsigyjamos paslaugos dažnai būna susijusios su naujausiomis technologijomis ir infrastruktūra, kurių įsigijimas </w:t>
            </w:r>
            <w:r w:rsidRPr="007D1276">
              <w:rPr>
                <w:szCs w:val="24"/>
              </w:rPr>
              <w:lastRenderedPageBreak/>
              <w:t>savarankiškai dažnu atveju būna pernelyg brangus. Šios technologijos gali pakeisti vykdomų mokslinių tyrimų pajėgumus, suteikdamos galimybę atlikti eksperimentus ir analizes, kurių kitu atveju įmonės be technologijų negalėtų atlikti. Įgalinant didesnę biudžeto dalį skirti įsigytoms paslaugoms, įmonės turėtų prieigą prie šių pažangių technologijų, skatinančių novatoriškus atradimus ir naujoves;</w:t>
            </w:r>
          </w:p>
          <w:p w14:paraId="5509C143" w14:textId="27C76B11" w:rsidR="00846A47" w:rsidRPr="007D1276" w:rsidRDefault="00CA5F26" w:rsidP="00CA5F26">
            <w:pPr>
              <w:rPr>
                <w:szCs w:val="24"/>
              </w:rPr>
            </w:pPr>
            <w:r w:rsidRPr="007D1276">
              <w:rPr>
                <w:szCs w:val="24"/>
              </w:rPr>
              <w:t>• Tarpdisciplininį bendradarbiavimą: daugeliui sudėtingų mokslinių tyrimų problemų šiandien reikia bendradarbiavimo tarp įvairių disciplinų ir pramonės šakų. Įtraukiant išorines paslaugas, skatinamas idėjų šaltinių sąveikavimas, leidžiantis pasinaudoti skirtingų sričių ir sektorių</w:t>
            </w:r>
            <w:r w:rsidR="000C5D7B" w:rsidRPr="007D1276">
              <w:rPr>
                <w:szCs w:val="24"/>
              </w:rPr>
              <w:t xml:space="preserve"> </w:t>
            </w:r>
            <w:r w:rsidRPr="007D1276">
              <w:rPr>
                <w:szCs w:val="24"/>
              </w:rPr>
              <w:t>ekspertize. Skirdamos didesnę biudžeto dalį įsigyjamoms paslaugoms, įmonės bus įgalintos aktyviai skatinti tarpdisciplininį bendradarbiavimą, kuris leidžia rasti inovatyvius sprendimus daugiapusių iššūkių sprendimui.</w:t>
            </w:r>
          </w:p>
        </w:tc>
        <w:tc>
          <w:tcPr>
            <w:tcW w:w="4820" w:type="dxa"/>
          </w:tcPr>
          <w:p w14:paraId="47D5A5E4" w14:textId="77777777" w:rsidR="00974106" w:rsidRPr="007D1276" w:rsidRDefault="00974106" w:rsidP="00974106">
            <w:pPr>
              <w:jc w:val="center"/>
              <w:rPr>
                <w:b/>
                <w:bCs/>
                <w:szCs w:val="24"/>
              </w:rPr>
            </w:pPr>
            <w:r w:rsidRPr="007D1276">
              <w:rPr>
                <w:b/>
                <w:bCs/>
                <w:szCs w:val="24"/>
              </w:rPr>
              <w:lastRenderedPageBreak/>
              <w:t>IŠ DALIES ATSIŽVELGTA</w:t>
            </w:r>
          </w:p>
          <w:p w14:paraId="7CC3C100" w14:textId="3DD4E4E2" w:rsidR="00197444" w:rsidRPr="007D1276" w:rsidRDefault="00197444" w:rsidP="00197444">
            <w:pPr>
              <w:rPr>
                <w:szCs w:val="24"/>
              </w:rPr>
            </w:pPr>
            <w:r w:rsidRPr="007D1276">
              <w:rPr>
                <w:szCs w:val="24"/>
              </w:rPr>
              <w:t>Didinamas procentas skirtas išlaidoms, susijusioms su konsultavimo ir lygiaverčių paslaugų, skirtų produkto ir (ar) sprendimo sukūrimui iki 25 %.</w:t>
            </w:r>
          </w:p>
          <w:p w14:paraId="72481A34" w14:textId="77777777" w:rsidR="00846A47" w:rsidRPr="007D1276" w:rsidRDefault="00846A47">
            <w:pPr>
              <w:jc w:val="center"/>
              <w:rPr>
                <w:b/>
                <w:bCs/>
                <w:szCs w:val="24"/>
              </w:rPr>
            </w:pPr>
          </w:p>
        </w:tc>
      </w:tr>
      <w:tr w:rsidR="00D603CE" w:rsidRPr="007D1276" w14:paraId="27B4CE70" w14:textId="77777777" w:rsidTr="4C59D0D2">
        <w:tc>
          <w:tcPr>
            <w:tcW w:w="567" w:type="dxa"/>
          </w:tcPr>
          <w:p w14:paraId="3984553D" w14:textId="309602EC" w:rsidR="00D603CE" w:rsidRPr="007D1276" w:rsidRDefault="00D603CE">
            <w:pPr>
              <w:jc w:val="center"/>
              <w:rPr>
                <w:b/>
                <w:szCs w:val="24"/>
              </w:rPr>
            </w:pPr>
            <w:r w:rsidRPr="007D1276">
              <w:rPr>
                <w:b/>
                <w:szCs w:val="24"/>
              </w:rPr>
              <w:t>3.</w:t>
            </w:r>
          </w:p>
        </w:tc>
        <w:tc>
          <w:tcPr>
            <w:tcW w:w="1985" w:type="dxa"/>
          </w:tcPr>
          <w:p w14:paraId="24C6CA3F" w14:textId="2789E13C" w:rsidR="00D603CE" w:rsidRPr="007D1276" w:rsidRDefault="003D7352">
            <w:pPr>
              <w:jc w:val="center"/>
              <w:rPr>
                <w:b/>
                <w:szCs w:val="24"/>
              </w:rPr>
            </w:pPr>
            <w:r w:rsidRPr="007D1276">
              <w:rPr>
                <w:b/>
                <w:szCs w:val="24"/>
              </w:rPr>
              <w:t>Bitdegree, UAB</w:t>
            </w:r>
          </w:p>
        </w:tc>
        <w:tc>
          <w:tcPr>
            <w:tcW w:w="7541" w:type="dxa"/>
          </w:tcPr>
          <w:p w14:paraId="7949987E" w14:textId="07E116E2" w:rsidR="00D603CE" w:rsidRPr="007D1276" w:rsidRDefault="00D603CE" w:rsidP="00F66C9A">
            <w:pPr>
              <w:rPr>
                <w:sz w:val="22"/>
              </w:rPr>
            </w:pPr>
            <w:r w:rsidRPr="007D1276">
              <w:t>Galima būtų pridėti komandos narių patirtį ne tik MTEP, bet ir kuriant produktus. </w:t>
            </w:r>
          </w:p>
        </w:tc>
        <w:tc>
          <w:tcPr>
            <w:tcW w:w="4820" w:type="dxa"/>
          </w:tcPr>
          <w:p w14:paraId="25E6A76A" w14:textId="77777777" w:rsidR="00D603CE" w:rsidRPr="007D1276" w:rsidRDefault="00197444" w:rsidP="00974106">
            <w:pPr>
              <w:jc w:val="center"/>
              <w:rPr>
                <w:b/>
                <w:bCs/>
                <w:szCs w:val="24"/>
              </w:rPr>
            </w:pPr>
            <w:r w:rsidRPr="007D1276">
              <w:rPr>
                <w:b/>
                <w:bCs/>
                <w:szCs w:val="24"/>
              </w:rPr>
              <w:t>NEATSI</w:t>
            </w:r>
            <w:r w:rsidR="008071A2" w:rsidRPr="007D1276">
              <w:rPr>
                <w:b/>
                <w:bCs/>
                <w:szCs w:val="24"/>
              </w:rPr>
              <w:t>ŽVELGTA</w:t>
            </w:r>
          </w:p>
          <w:p w14:paraId="176C102A" w14:textId="114EEE0A" w:rsidR="000B2BC2" w:rsidRPr="007137D5" w:rsidRDefault="00BC6021" w:rsidP="000B2BC2">
            <w:pPr>
              <w:rPr>
                <w:szCs w:val="24"/>
              </w:rPr>
            </w:pPr>
            <w:r w:rsidRPr="007137D5">
              <w:rPr>
                <w:szCs w:val="24"/>
              </w:rPr>
              <w:t>Ne</w:t>
            </w:r>
            <w:r w:rsidR="0037783B" w:rsidRPr="007137D5">
              <w:rPr>
                <w:szCs w:val="24"/>
              </w:rPr>
              <w:t>galima objek</w:t>
            </w:r>
            <w:r w:rsidR="00D44AB0" w:rsidRPr="007137D5">
              <w:rPr>
                <w:szCs w:val="24"/>
              </w:rPr>
              <w:t xml:space="preserve">tyviai patikrinti ar </w:t>
            </w:r>
            <w:r w:rsidR="00824331" w:rsidRPr="007137D5">
              <w:rPr>
                <w:szCs w:val="24"/>
              </w:rPr>
              <w:t>parei</w:t>
            </w:r>
            <w:r w:rsidR="00CA3EC8" w:rsidRPr="007137D5">
              <w:rPr>
                <w:szCs w:val="24"/>
              </w:rPr>
              <w:t>škė</w:t>
            </w:r>
            <w:r w:rsidR="007D1E1F" w:rsidRPr="007137D5">
              <w:rPr>
                <w:szCs w:val="24"/>
              </w:rPr>
              <w:t xml:space="preserve">jas </w:t>
            </w:r>
            <w:r w:rsidR="007137D5" w:rsidRPr="007137D5">
              <w:rPr>
                <w:szCs w:val="24"/>
              </w:rPr>
              <w:t>yra prisidėjęs prie produkto sukūrimo.</w:t>
            </w:r>
          </w:p>
        </w:tc>
      </w:tr>
      <w:tr w:rsidR="00113714" w:rsidRPr="007D1276" w14:paraId="1AD28D16" w14:textId="77777777" w:rsidTr="4C59D0D2">
        <w:tc>
          <w:tcPr>
            <w:tcW w:w="567" w:type="dxa"/>
          </w:tcPr>
          <w:p w14:paraId="071D6F13" w14:textId="63DB02C1" w:rsidR="00113714" w:rsidRPr="007D1276" w:rsidRDefault="00113714">
            <w:pPr>
              <w:jc w:val="center"/>
              <w:rPr>
                <w:b/>
                <w:szCs w:val="24"/>
              </w:rPr>
            </w:pPr>
            <w:r w:rsidRPr="007D1276">
              <w:rPr>
                <w:b/>
                <w:szCs w:val="24"/>
              </w:rPr>
              <w:t xml:space="preserve">4. </w:t>
            </w:r>
          </w:p>
        </w:tc>
        <w:tc>
          <w:tcPr>
            <w:tcW w:w="1985" w:type="dxa"/>
          </w:tcPr>
          <w:p w14:paraId="0F3AE9F2" w14:textId="4B555625" w:rsidR="00113714" w:rsidRPr="007D1276" w:rsidRDefault="008240DB">
            <w:pPr>
              <w:jc w:val="center"/>
              <w:rPr>
                <w:b/>
                <w:szCs w:val="24"/>
              </w:rPr>
            </w:pPr>
            <w:r w:rsidRPr="007D1276">
              <w:rPr>
                <w:b/>
                <w:szCs w:val="24"/>
              </w:rPr>
              <w:t>UAB "Ferox Baltic"</w:t>
            </w:r>
          </w:p>
        </w:tc>
        <w:tc>
          <w:tcPr>
            <w:tcW w:w="7541" w:type="dxa"/>
          </w:tcPr>
          <w:p w14:paraId="327F0719" w14:textId="129DF29C" w:rsidR="00113714" w:rsidRPr="007D1276" w:rsidRDefault="00113714" w:rsidP="00113714">
            <w:r w:rsidRPr="007D1276">
              <w:t>Sveiki, kilo klausimas - ar šioje priemonėje (Finansinės paskatos startuoliams ir atžalinėms įmonėms kurti DI, blokų grandinės technologijų, robotikos procesų automatizavimo produktus ir sprendimus) galima teikti paraišką:</w:t>
            </w:r>
          </w:p>
          <w:p w14:paraId="4E402B1D" w14:textId="77777777" w:rsidR="00113714" w:rsidRPr="007D1276" w:rsidRDefault="00113714" w:rsidP="00113714">
            <w:r w:rsidRPr="007D1276">
              <w:t>a)  į visas tris stadijas,</w:t>
            </w:r>
          </w:p>
          <w:p w14:paraId="6431B2AC" w14:textId="6FEE3955" w:rsidR="00113714" w:rsidRPr="007D1276" w:rsidRDefault="00113714" w:rsidP="00113714">
            <w:r w:rsidRPr="007D1276">
              <w:t>b) į antrą ir trečią stadijas.</w:t>
            </w:r>
          </w:p>
          <w:p w14:paraId="60F659CB" w14:textId="6AD8E06D" w:rsidR="00113714" w:rsidRPr="007D1276" w:rsidRDefault="00113714" w:rsidP="00113714">
            <w:r w:rsidRPr="007D1276">
              <w:t xml:space="preserve">kadangi apraše rašoma, kad: </w:t>
            </w:r>
          </w:p>
          <w:p w14:paraId="65DF9D81" w14:textId="77777777" w:rsidR="00113714" w:rsidRPr="007D1276" w:rsidRDefault="00113714" w:rsidP="00113714">
            <w:r w:rsidRPr="007D1276">
              <w:t>,,Pareiškėjas gali pateikti ne daugiau nei 1 PĮP dėl vieno produkto ar sprendimo kūrimo pasirinkdamas vieną iš šių variantų:</w:t>
            </w:r>
          </w:p>
          <w:p w14:paraId="4EAA591F" w14:textId="77777777" w:rsidR="00113714" w:rsidRPr="007D1276" w:rsidRDefault="00113714" w:rsidP="00113714">
            <w:r w:rsidRPr="007D1276">
              <w:t>a)  PĮP teikiamas į pirmą stadiją;</w:t>
            </w:r>
          </w:p>
          <w:p w14:paraId="7829CC61" w14:textId="77777777" w:rsidR="00113714" w:rsidRPr="007D1276" w:rsidRDefault="00113714" w:rsidP="00113714">
            <w:r w:rsidRPr="007D1276">
              <w:t xml:space="preserve">b)  PĮP teikiamas į antrą stadiją; </w:t>
            </w:r>
          </w:p>
          <w:p w14:paraId="7692A86F" w14:textId="77777777" w:rsidR="00113714" w:rsidRPr="007D1276" w:rsidRDefault="00113714" w:rsidP="00113714">
            <w:r w:rsidRPr="007D1276">
              <w:t>c)  PĮP teikiamas į trečią stadiją;</w:t>
            </w:r>
          </w:p>
          <w:p w14:paraId="126F4B2C" w14:textId="080DFF0D" w:rsidR="00113714" w:rsidRPr="007D1276" w:rsidRDefault="00113714" w:rsidP="00113714">
            <w:r w:rsidRPr="007D1276">
              <w:t>d) PĮP teikiamas į pirmą ir antrą stadiją kartu"</w:t>
            </w:r>
          </w:p>
          <w:p w14:paraId="67F517AC" w14:textId="1F11389A" w:rsidR="00113714" w:rsidRPr="007D1276" w:rsidRDefault="00113714" w:rsidP="00113714">
            <w:r w:rsidRPr="007D1276">
              <w:t>o kriterijų skiltyje:</w:t>
            </w:r>
          </w:p>
          <w:p w14:paraId="409A2057" w14:textId="77777777" w:rsidR="00113714" w:rsidRPr="007D1276" w:rsidRDefault="00113714" w:rsidP="00113714">
            <w:r w:rsidRPr="007D1276">
              <w:t>,,Pagal Juridinių asmenų registro duomenis vertinama, ar pareiškėjas PĮP pateikimo metu yra registruotas Sostinės regione ir nėra persiregistravęs iš Vidurio ir vakarų Lietuvos regiono į Sostinės regioną nuo 2022-07-15.</w:t>
            </w:r>
          </w:p>
          <w:p w14:paraId="2B147E08" w14:textId="54BC9A82" w:rsidR="00113714" w:rsidRPr="007D1276" w:rsidRDefault="00113714" w:rsidP="00113714">
            <w:r w:rsidRPr="007D1276">
              <w:t>Šis kriterijus taikomas teikiant PĮP į visas  stadijas."</w:t>
            </w:r>
          </w:p>
          <w:p w14:paraId="4C33C076" w14:textId="58423C5B" w:rsidR="00113714" w:rsidRPr="007D1276" w:rsidRDefault="00113714" w:rsidP="00113714">
            <w:r>
              <w:lastRenderedPageBreak/>
              <w:t xml:space="preserve">Taigi, apraše rašoma, jog galima teikti tik į </w:t>
            </w:r>
            <w:r w:rsidR="05CCF42A">
              <w:t>vieną</w:t>
            </w:r>
            <w:r>
              <w:t xml:space="preserve"> tam tikrą stadiją arba į antrą ir trečią, o kriterijų skiltyje jau nurodoma, kad kriterijus taikomas teikiant paraišką į visas tris stadijas, kuomet galimybė tokiam teikimui aprašo punkte nenurodyta. </w:t>
            </w:r>
          </w:p>
          <w:p w14:paraId="786B5A9C" w14:textId="77777777" w:rsidR="00113714" w:rsidRPr="007D1276" w:rsidRDefault="00113714" w:rsidP="00113714"/>
          <w:p w14:paraId="622DABAC" w14:textId="49801A84" w:rsidR="00113714" w:rsidRPr="007D1276" w:rsidRDefault="00113714" w:rsidP="00113714">
            <w:r w:rsidRPr="007D1276">
              <w:t>gal galite patikslinti, kokie stadijų pasirinkimo teikiant paraišką variantai yra apskritai?</w:t>
            </w:r>
          </w:p>
        </w:tc>
        <w:tc>
          <w:tcPr>
            <w:tcW w:w="4820" w:type="dxa"/>
          </w:tcPr>
          <w:p w14:paraId="4FBC7D02" w14:textId="77777777" w:rsidR="00113714" w:rsidRPr="007D1276" w:rsidRDefault="008071A2" w:rsidP="00974106">
            <w:pPr>
              <w:jc w:val="center"/>
              <w:rPr>
                <w:b/>
                <w:bCs/>
                <w:szCs w:val="24"/>
              </w:rPr>
            </w:pPr>
            <w:r w:rsidRPr="007D1276">
              <w:rPr>
                <w:b/>
                <w:bCs/>
                <w:szCs w:val="24"/>
              </w:rPr>
              <w:lastRenderedPageBreak/>
              <w:t>ATSIŽVELGTA</w:t>
            </w:r>
          </w:p>
          <w:p w14:paraId="0D1FDF9F" w14:textId="3310D6C3" w:rsidR="008071A2" w:rsidRPr="007D1276" w:rsidRDefault="008071A2" w:rsidP="4C59D0D2">
            <w:pPr>
              <w:rPr>
                <w:b/>
                <w:bCs/>
              </w:rPr>
            </w:pPr>
            <w:r w:rsidRPr="4C59D0D2">
              <w:rPr>
                <w:b/>
                <w:bCs/>
              </w:rPr>
              <w:t>Patikslinta</w:t>
            </w:r>
            <w:r w:rsidR="002B57B1" w:rsidRPr="4C59D0D2">
              <w:rPr>
                <w:b/>
                <w:bCs/>
              </w:rPr>
              <w:t xml:space="preserve"> </w:t>
            </w:r>
            <w:r w:rsidR="002B57B1">
              <w:t>„</w:t>
            </w:r>
            <w:r w:rsidR="002B57B1" w:rsidRPr="4C59D0D2">
              <w:rPr>
                <w:color w:val="000000" w:themeColor="text1"/>
              </w:rPr>
              <w:t>Šis kriterijus taikomas teikiant PĮP į vis</w:t>
            </w:r>
            <w:r w:rsidR="006720B3" w:rsidRPr="4C59D0D2">
              <w:rPr>
                <w:color w:val="000000" w:themeColor="text1"/>
              </w:rPr>
              <w:t>us</w:t>
            </w:r>
            <w:r w:rsidR="002B57B1" w:rsidRPr="4C59D0D2">
              <w:rPr>
                <w:color w:val="000000" w:themeColor="text1"/>
              </w:rPr>
              <w:t xml:space="preserve">  </w:t>
            </w:r>
            <w:r w:rsidR="006720B3" w:rsidRPr="4C59D0D2">
              <w:rPr>
                <w:color w:val="000000" w:themeColor="text1"/>
              </w:rPr>
              <w:t>variantus</w:t>
            </w:r>
            <w:r w:rsidR="002B57B1" w:rsidRPr="4C59D0D2">
              <w:rPr>
                <w:color w:val="000000" w:themeColor="text1"/>
              </w:rPr>
              <w:t>.</w:t>
            </w:r>
            <w:r w:rsidR="006720B3" w:rsidRPr="4C59D0D2">
              <w:rPr>
                <w:color w:val="000000" w:themeColor="text1"/>
              </w:rPr>
              <w:t>“</w:t>
            </w:r>
          </w:p>
        </w:tc>
      </w:tr>
    </w:tbl>
    <w:p w14:paraId="45B41C66" w14:textId="77777777" w:rsidR="0008750B" w:rsidRPr="007D1276" w:rsidRDefault="0008750B" w:rsidP="00D355B7">
      <w:pPr>
        <w:rPr>
          <w:szCs w:val="24"/>
        </w:rPr>
      </w:pPr>
    </w:p>
    <w:p w14:paraId="209EDF8F" w14:textId="4206EF66" w:rsidR="00E16CA7" w:rsidRPr="007D1276" w:rsidRDefault="00E16CA7" w:rsidP="00142313">
      <w:pPr>
        <w:rPr>
          <w:szCs w:val="24"/>
        </w:rPr>
      </w:pPr>
    </w:p>
    <w:sectPr w:rsidR="00E16CA7" w:rsidRPr="007D1276" w:rsidSect="0014759D">
      <w:headerReference w:type="default" r:id="rId10"/>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DCB1" w14:textId="77777777" w:rsidR="009458B0" w:rsidRDefault="009458B0" w:rsidP="00894881">
      <w:r>
        <w:separator/>
      </w:r>
    </w:p>
  </w:endnote>
  <w:endnote w:type="continuationSeparator" w:id="0">
    <w:p w14:paraId="055664DC" w14:textId="77777777" w:rsidR="009458B0" w:rsidRDefault="009458B0" w:rsidP="00894881">
      <w:r>
        <w:continuationSeparator/>
      </w:r>
    </w:p>
  </w:endnote>
  <w:endnote w:type="continuationNotice" w:id="1">
    <w:p w14:paraId="56E5FBEA" w14:textId="77777777" w:rsidR="009458B0" w:rsidRDefault="00945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2515F" w14:textId="77777777" w:rsidR="009458B0" w:rsidRDefault="009458B0" w:rsidP="00894881">
      <w:r>
        <w:separator/>
      </w:r>
    </w:p>
  </w:footnote>
  <w:footnote w:type="continuationSeparator" w:id="0">
    <w:p w14:paraId="32355641" w14:textId="77777777" w:rsidR="009458B0" w:rsidRDefault="009458B0" w:rsidP="00894881">
      <w:r>
        <w:continuationSeparator/>
      </w:r>
    </w:p>
  </w:footnote>
  <w:footnote w:type="continuationNotice" w:id="1">
    <w:p w14:paraId="40C5AFB6" w14:textId="77777777" w:rsidR="009458B0" w:rsidRDefault="009458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58505"/>
      <w:docPartObj>
        <w:docPartGallery w:val="Page Numbers (Top of Page)"/>
        <w:docPartUnique/>
      </w:docPartObj>
    </w:sdtPr>
    <w:sdtContent>
      <w:p w14:paraId="3E178D09" w14:textId="61D81A8A" w:rsidR="0014759D" w:rsidRDefault="0014759D">
        <w:pPr>
          <w:pStyle w:val="Antrats"/>
          <w:jc w:val="center"/>
        </w:pPr>
        <w:r>
          <w:fldChar w:fldCharType="begin"/>
        </w:r>
        <w:r>
          <w:instrText>PAGE   \* MERGEFORMAT</w:instrText>
        </w:r>
        <w:r>
          <w:fldChar w:fldCharType="separate"/>
        </w:r>
        <w:r>
          <w:t>2</w:t>
        </w:r>
        <w:r>
          <w:fldChar w:fldCharType="end"/>
        </w:r>
      </w:p>
    </w:sdtContent>
  </w:sdt>
  <w:p w14:paraId="48250123" w14:textId="77777777" w:rsidR="0014759D" w:rsidRDefault="001475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3255666"/>
    <w:multiLevelType w:val="hybridMultilevel"/>
    <w:tmpl w:val="869A34F6"/>
    <w:lvl w:ilvl="0" w:tplc="2C8C3FD6">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E7E58"/>
    <w:multiLevelType w:val="hybridMultilevel"/>
    <w:tmpl w:val="686C85C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0D4AE4"/>
    <w:multiLevelType w:val="hybridMultilevel"/>
    <w:tmpl w:val="C364455E"/>
    <w:lvl w:ilvl="0" w:tplc="57060F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BE3AC1"/>
    <w:multiLevelType w:val="hybridMultilevel"/>
    <w:tmpl w:val="75E8D7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4C2F1C"/>
    <w:multiLevelType w:val="hybridMultilevel"/>
    <w:tmpl w:val="109C90B6"/>
    <w:lvl w:ilvl="0" w:tplc="BB961A36">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6566F1"/>
    <w:multiLevelType w:val="multilevel"/>
    <w:tmpl w:val="F8AEB3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517F11"/>
    <w:multiLevelType w:val="hybridMultilevel"/>
    <w:tmpl w:val="C0EA69E2"/>
    <w:lvl w:ilvl="0" w:tplc="2CD2DF80">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77A45"/>
    <w:multiLevelType w:val="hybridMultilevel"/>
    <w:tmpl w:val="0BE0EF4A"/>
    <w:lvl w:ilvl="0" w:tplc="242C3852">
      <w:start w:val="1"/>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53C1FF8"/>
    <w:multiLevelType w:val="multilevel"/>
    <w:tmpl w:val="415A72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783126D"/>
    <w:multiLevelType w:val="hybridMultilevel"/>
    <w:tmpl w:val="212C11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676D76"/>
    <w:multiLevelType w:val="hybridMultilevel"/>
    <w:tmpl w:val="7DEA0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681C22"/>
    <w:multiLevelType w:val="multilevel"/>
    <w:tmpl w:val="FAA4E724"/>
    <w:styleLink w:val="LFO32"/>
    <w:lvl w:ilvl="0">
      <w:numFmt w:val="bullet"/>
      <w:lvlText w:val=""/>
      <w:lvlJc w:val="left"/>
      <w:pPr>
        <w:ind w:left="380" w:hanging="360"/>
      </w:pPr>
      <w:rPr>
        <w:rFonts w:hAnsi="Symbol"/>
      </w:rPr>
    </w:lvl>
    <w:lvl w:ilvl="1">
      <w:numFmt w:val="bullet"/>
      <w:lvlText w:val="o"/>
      <w:lvlJc w:val="left"/>
      <w:pPr>
        <w:ind w:left="1100" w:hanging="360"/>
      </w:pPr>
      <w:rPr>
        <w:rFonts w:ascii="Courier New" w:hAnsi="Courier New" w:cs="Courier New"/>
      </w:rPr>
    </w:lvl>
    <w:lvl w:ilvl="2">
      <w:numFmt w:val="bullet"/>
      <w:lvlText w:val=""/>
      <w:lvlJc w:val="left"/>
      <w:pPr>
        <w:ind w:left="1820" w:hanging="360"/>
      </w:pPr>
      <w:rPr>
        <w:rFonts w:ascii="Wingdings" w:hAnsi="Wingdings"/>
      </w:rPr>
    </w:lvl>
    <w:lvl w:ilvl="3">
      <w:numFmt w:val="bullet"/>
      <w:lvlText w:val=""/>
      <w:lvlJc w:val="left"/>
      <w:pPr>
        <w:ind w:left="2540" w:hanging="360"/>
      </w:pPr>
      <w:rPr>
        <w:rFonts w:ascii="Symbol" w:hAnsi="Symbol"/>
      </w:rPr>
    </w:lvl>
    <w:lvl w:ilvl="4">
      <w:numFmt w:val="bullet"/>
      <w:lvlText w:val="o"/>
      <w:lvlJc w:val="left"/>
      <w:pPr>
        <w:ind w:left="3260" w:hanging="360"/>
      </w:pPr>
      <w:rPr>
        <w:rFonts w:ascii="Courier New" w:hAnsi="Courier New" w:cs="Courier New"/>
      </w:rPr>
    </w:lvl>
    <w:lvl w:ilvl="5">
      <w:numFmt w:val="bullet"/>
      <w:lvlText w:val=""/>
      <w:lvlJc w:val="left"/>
      <w:pPr>
        <w:ind w:left="3980" w:hanging="360"/>
      </w:pPr>
      <w:rPr>
        <w:rFonts w:ascii="Wingdings" w:hAnsi="Wingdings"/>
      </w:rPr>
    </w:lvl>
    <w:lvl w:ilvl="6">
      <w:numFmt w:val="bullet"/>
      <w:lvlText w:val=""/>
      <w:lvlJc w:val="left"/>
      <w:pPr>
        <w:ind w:left="4700" w:hanging="360"/>
      </w:pPr>
      <w:rPr>
        <w:rFonts w:ascii="Symbol" w:hAnsi="Symbol"/>
      </w:rPr>
    </w:lvl>
    <w:lvl w:ilvl="7">
      <w:numFmt w:val="bullet"/>
      <w:lvlText w:val="o"/>
      <w:lvlJc w:val="left"/>
      <w:pPr>
        <w:ind w:left="5420" w:hanging="360"/>
      </w:pPr>
      <w:rPr>
        <w:rFonts w:ascii="Courier New" w:hAnsi="Courier New" w:cs="Courier New"/>
      </w:rPr>
    </w:lvl>
    <w:lvl w:ilvl="8">
      <w:numFmt w:val="bullet"/>
      <w:lvlText w:val=""/>
      <w:lvlJc w:val="left"/>
      <w:pPr>
        <w:ind w:left="6140" w:hanging="360"/>
      </w:pPr>
      <w:rPr>
        <w:rFonts w:ascii="Wingdings" w:hAnsi="Wingdings"/>
      </w:rPr>
    </w:lvl>
  </w:abstractNum>
  <w:abstractNum w:abstractNumId="13" w15:restartNumberingAfterBreak="0">
    <w:nsid w:val="41744486"/>
    <w:multiLevelType w:val="hybridMultilevel"/>
    <w:tmpl w:val="C1E2A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C03A9"/>
    <w:multiLevelType w:val="hybridMultilevel"/>
    <w:tmpl w:val="C2B6647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52060F"/>
    <w:multiLevelType w:val="hybridMultilevel"/>
    <w:tmpl w:val="85A0E76C"/>
    <w:lvl w:ilvl="0" w:tplc="B3DEE1F4">
      <w:start w:val="1"/>
      <w:numFmt w:val="decimal"/>
      <w:lvlText w:val="%1."/>
      <w:lvlJc w:val="left"/>
      <w:pPr>
        <w:ind w:left="384" w:hanging="360"/>
      </w:pPr>
      <w:rPr>
        <w:rFonts w:ascii="Times New Roman" w:hAnsi="Times New Roman" w:cs="Times New Roman" w:hint="default"/>
        <w:color w:val="000000"/>
        <w:sz w:val="24"/>
        <w:szCs w:val="24"/>
      </w:rPr>
    </w:lvl>
    <w:lvl w:ilvl="1" w:tplc="04270019">
      <w:start w:val="1"/>
      <w:numFmt w:val="lowerLetter"/>
      <w:lvlText w:val="%2."/>
      <w:lvlJc w:val="left"/>
      <w:pPr>
        <w:ind w:left="1104" w:hanging="360"/>
      </w:pPr>
    </w:lvl>
    <w:lvl w:ilvl="2" w:tplc="0427001B">
      <w:start w:val="1"/>
      <w:numFmt w:val="lowerRoman"/>
      <w:lvlText w:val="%3."/>
      <w:lvlJc w:val="right"/>
      <w:pPr>
        <w:ind w:left="1824" w:hanging="180"/>
      </w:pPr>
    </w:lvl>
    <w:lvl w:ilvl="3" w:tplc="0427000F">
      <w:start w:val="1"/>
      <w:numFmt w:val="decimal"/>
      <w:lvlText w:val="%4."/>
      <w:lvlJc w:val="left"/>
      <w:pPr>
        <w:ind w:left="2544" w:hanging="360"/>
      </w:pPr>
    </w:lvl>
    <w:lvl w:ilvl="4" w:tplc="04270019">
      <w:start w:val="1"/>
      <w:numFmt w:val="lowerLetter"/>
      <w:lvlText w:val="%5."/>
      <w:lvlJc w:val="left"/>
      <w:pPr>
        <w:ind w:left="3264" w:hanging="360"/>
      </w:pPr>
    </w:lvl>
    <w:lvl w:ilvl="5" w:tplc="0427001B">
      <w:start w:val="1"/>
      <w:numFmt w:val="lowerRoman"/>
      <w:lvlText w:val="%6."/>
      <w:lvlJc w:val="right"/>
      <w:pPr>
        <w:ind w:left="3984" w:hanging="180"/>
      </w:pPr>
    </w:lvl>
    <w:lvl w:ilvl="6" w:tplc="0427000F">
      <w:start w:val="1"/>
      <w:numFmt w:val="decimal"/>
      <w:lvlText w:val="%7."/>
      <w:lvlJc w:val="left"/>
      <w:pPr>
        <w:ind w:left="4704" w:hanging="360"/>
      </w:pPr>
    </w:lvl>
    <w:lvl w:ilvl="7" w:tplc="04270019">
      <w:start w:val="1"/>
      <w:numFmt w:val="lowerLetter"/>
      <w:lvlText w:val="%8."/>
      <w:lvlJc w:val="left"/>
      <w:pPr>
        <w:ind w:left="5424" w:hanging="360"/>
      </w:pPr>
    </w:lvl>
    <w:lvl w:ilvl="8" w:tplc="0427001B">
      <w:start w:val="1"/>
      <w:numFmt w:val="lowerRoman"/>
      <w:lvlText w:val="%9."/>
      <w:lvlJc w:val="right"/>
      <w:pPr>
        <w:ind w:left="6144" w:hanging="180"/>
      </w:pPr>
    </w:lvl>
  </w:abstractNum>
  <w:abstractNum w:abstractNumId="16" w15:restartNumberingAfterBreak="0">
    <w:nsid w:val="550D095A"/>
    <w:multiLevelType w:val="hybridMultilevel"/>
    <w:tmpl w:val="DD2A1E3E"/>
    <w:lvl w:ilvl="0" w:tplc="C562B568">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4F5890"/>
    <w:multiLevelType w:val="hybridMultilevel"/>
    <w:tmpl w:val="D9AAF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ADB5C8B"/>
    <w:multiLevelType w:val="hybridMultilevel"/>
    <w:tmpl w:val="54DE1C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51E3E9A"/>
    <w:multiLevelType w:val="hybridMultilevel"/>
    <w:tmpl w:val="BC464D0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9841219">
    <w:abstractNumId w:val="19"/>
  </w:num>
  <w:num w:numId="2" w16cid:durableId="20784285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242881">
    <w:abstractNumId w:val="16"/>
  </w:num>
  <w:num w:numId="4" w16cid:durableId="800340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130347">
    <w:abstractNumId w:val="7"/>
  </w:num>
  <w:num w:numId="6" w16cid:durableId="1097942165">
    <w:abstractNumId w:val="14"/>
  </w:num>
  <w:num w:numId="7" w16cid:durableId="396785296">
    <w:abstractNumId w:val="5"/>
  </w:num>
  <w:num w:numId="8" w16cid:durableId="326908603">
    <w:abstractNumId w:val="4"/>
  </w:num>
  <w:num w:numId="9" w16cid:durableId="225340506">
    <w:abstractNumId w:val="1"/>
  </w:num>
  <w:num w:numId="10" w16cid:durableId="495995538">
    <w:abstractNumId w:val="13"/>
  </w:num>
  <w:num w:numId="11" w16cid:durableId="337542610">
    <w:abstractNumId w:val="2"/>
  </w:num>
  <w:num w:numId="12" w16cid:durableId="969362802">
    <w:abstractNumId w:val="20"/>
  </w:num>
  <w:num w:numId="13" w16cid:durableId="17932830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636658">
    <w:abstractNumId w:val="8"/>
  </w:num>
  <w:num w:numId="15" w16cid:durableId="1992757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71306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5921475">
    <w:abstractNumId w:val="12"/>
  </w:num>
  <w:num w:numId="18" w16cid:durableId="1394640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0288102">
    <w:abstractNumId w:val="6"/>
  </w:num>
  <w:num w:numId="20" w16cid:durableId="27341177">
    <w:abstractNumId w:val="0"/>
  </w:num>
  <w:num w:numId="21" w16cid:durableId="672294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05"/>
    <w:rsid w:val="00000653"/>
    <w:rsid w:val="00001AD2"/>
    <w:rsid w:val="00010658"/>
    <w:rsid w:val="00010A63"/>
    <w:rsid w:val="00011F69"/>
    <w:rsid w:val="00015068"/>
    <w:rsid w:val="00016134"/>
    <w:rsid w:val="00017C17"/>
    <w:rsid w:val="00020D23"/>
    <w:rsid w:val="00021D18"/>
    <w:rsid w:val="00032C56"/>
    <w:rsid w:val="000336FB"/>
    <w:rsid w:val="00034134"/>
    <w:rsid w:val="00045E69"/>
    <w:rsid w:val="000536D4"/>
    <w:rsid w:val="00053C7A"/>
    <w:rsid w:val="00060EE8"/>
    <w:rsid w:val="00062388"/>
    <w:rsid w:val="000653A6"/>
    <w:rsid w:val="000730AA"/>
    <w:rsid w:val="0007483D"/>
    <w:rsid w:val="0008750B"/>
    <w:rsid w:val="000A1CFF"/>
    <w:rsid w:val="000A34A9"/>
    <w:rsid w:val="000A6128"/>
    <w:rsid w:val="000A6F69"/>
    <w:rsid w:val="000B0E34"/>
    <w:rsid w:val="000B1162"/>
    <w:rsid w:val="000B2BC2"/>
    <w:rsid w:val="000B55D2"/>
    <w:rsid w:val="000B6EA2"/>
    <w:rsid w:val="000B7D31"/>
    <w:rsid w:val="000C2206"/>
    <w:rsid w:val="000C5D7B"/>
    <w:rsid w:val="000D4E4F"/>
    <w:rsid w:val="000D5011"/>
    <w:rsid w:val="000D5600"/>
    <w:rsid w:val="000E2286"/>
    <w:rsid w:val="000E515F"/>
    <w:rsid w:val="000E5A8F"/>
    <w:rsid w:val="000E6F2F"/>
    <w:rsid w:val="000F0C94"/>
    <w:rsid w:val="00102B5D"/>
    <w:rsid w:val="00104983"/>
    <w:rsid w:val="001103A9"/>
    <w:rsid w:val="00110740"/>
    <w:rsid w:val="00113714"/>
    <w:rsid w:val="0011391D"/>
    <w:rsid w:val="00114211"/>
    <w:rsid w:val="0011578A"/>
    <w:rsid w:val="00116AE7"/>
    <w:rsid w:val="00116F3D"/>
    <w:rsid w:val="00117301"/>
    <w:rsid w:val="00117C47"/>
    <w:rsid w:val="00121772"/>
    <w:rsid w:val="00123275"/>
    <w:rsid w:val="00124D1C"/>
    <w:rsid w:val="0012676A"/>
    <w:rsid w:val="00126A4F"/>
    <w:rsid w:val="00127E12"/>
    <w:rsid w:val="00131AA7"/>
    <w:rsid w:val="00135C10"/>
    <w:rsid w:val="00137538"/>
    <w:rsid w:val="00142313"/>
    <w:rsid w:val="001439A5"/>
    <w:rsid w:val="00145073"/>
    <w:rsid w:val="0014569B"/>
    <w:rsid w:val="0014759D"/>
    <w:rsid w:val="00150E20"/>
    <w:rsid w:val="00152C34"/>
    <w:rsid w:val="001554D9"/>
    <w:rsid w:val="00155B00"/>
    <w:rsid w:val="00155B5D"/>
    <w:rsid w:val="00162BEF"/>
    <w:rsid w:val="00163022"/>
    <w:rsid w:val="00164D64"/>
    <w:rsid w:val="001650DB"/>
    <w:rsid w:val="00170E84"/>
    <w:rsid w:val="001720A6"/>
    <w:rsid w:val="00173E88"/>
    <w:rsid w:val="00181163"/>
    <w:rsid w:val="001814BE"/>
    <w:rsid w:val="00185ACE"/>
    <w:rsid w:val="00186546"/>
    <w:rsid w:val="0019216C"/>
    <w:rsid w:val="00197444"/>
    <w:rsid w:val="001A1469"/>
    <w:rsid w:val="001A521C"/>
    <w:rsid w:val="001B08C0"/>
    <w:rsid w:val="001B0EBA"/>
    <w:rsid w:val="001B6BBE"/>
    <w:rsid w:val="001C01F9"/>
    <w:rsid w:val="001C7E80"/>
    <w:rsid w:val="001D5FE3"/>
    <w:rsid w:val="001E04E5"/>
    <w:rsid w:val="001E1211"/>
    <w:rsid w:val="001E2AA0"/>
    <w:rsid w:val="001E2CD3"/>
    <w:rsid w:val="001E4D90"/>
    <w:rsid w:val="001E50F7"/>
    <w:rsid w:val="001E6EC2"/>
    <w:rsid w:val="001F0F6C"/>
    <w:rsid w:val="001F2B4C"/>
    <w:rsid w:val="001F56F0"/>
    <w:rsid w:val="0020152F"/>
    <w:rsid w:val="00202333"/>
    <w:rsid w:val="00205171"/>
    <w:rsid w:val="00210375"/>
    <w:rsid w:val="0021244E"/>
    <w:rsid w:val="00214750"/>
    <w:rsid w:val="00216C47"/>
    <w:rsid w:val="00217417"/>
    <w:rsid w:val="00232144"/>
    <w:rsid w:val="00234EB2"/>
    <w:rsid w:val="0023615F"/>
    <w:rsid w:val="00243081"/>
    <w:rsid w:val="00256F6B"/>
    <w:rsid w:val="002612C9"/>
    <w:rsid w:val="002659C2"/>
    <w:rsid w:val="00273BE0"/>
    <w:rsid w:val="00273F4A"/>
    <w:rsid w:val="00275020"/>
    <w:rsid w:val="0027519B"/>
    <w:rsid w:val="00276B62"/>
    <w:rsid w:val="00281E18"/>
    <w:rsid w:val="002863A2"/>
    <w:rsid w:val="002877A7"/>
    <w:rsid w:val="00287B51"/>
    <w:rsid w:val="00291152"/>
    <w:rsid w:val="00292745"/>
    <w:rsid w:val="00294375"/>
    <w:rsid w:val="00297CD6"/>
    <w:rsid w:val="002A1B08"/>
    <w:rsid w:val="002B57B1"/>
    <w:rsid w:val="002B707F"/>
    <w:rsid w:val="002C0820"/>
    <w:rsid w:val="002C0F70"/>
    <w:rsid w:val="002C5400"/>
    <w:rsid w:val="002C5A8D"/>
    <w:rsid w:val="002D0937"/>
    <w:rsid w:val="002D0CCE"/>
    <w:rsid w:val="002D1711"/>
    <w:rsid w:val="002D5614"/>
    <w:rsid w:val="002E1E85"/>
    <w:rsid w:val="002E317A"/>
    <w:rsid w:val="002E5927"/>
    <w:rsid w:val="002E7B0F"/>
    <w:rsid w:val="002F017A"/>
    <w:rsid w:val="002F2C73"/>
    <w:rsid w:val="002F4052"/>
    <w:rsid w:val="002F6CD7"/>
    <w:rsid w:val="002F755B"/>
    <w:rsid w:val="00307804"/>
    <w:rsid w:val="00311237"/>
    <w:rsid w:val="00313F9B"/>
    <w:rsid w:val="00316C10"/>
    <w:rsid w:val="00320578"/>
    <w:rsid w:val="00320FD7"/>
    <w:rsid w:val="003237E3"/>
    <w:rsid w:val="00326977"/>
    <w:rsid w:val="00331808"/>
    <w:rsid w:val="0033308A"/>
    <w:rsid w:val="00335957"/>
    <w:rsid w:val="003443BC"/>
    <w:rsid w:val="003454D6"/>
    <w:rsid w:val="003469C3"/>
    <w:rsid w:val="00352762"/>
    <w:rsid w:val="0035346A"/>
    <w:rsid w:val="00353ADF"/>
    <w:rsid w:val="00356436"/>
    <w:rsid w:val="00357F3E"/>
    <w:rsid w:val="00361F64"/>
    <w:rsid w:val="00364F0F"/>
    <w:rsid w:val="003666CD"/>
    <w:rsid w:val="00371925"/>
    <w:rsid w:val="00372FB3"/>
    <w:rsid w:val="00374513"/>
    <w:rsid w:val="0037695D"/>
    <w:rsid w:val="0037783B"/>
    <w:rsid w:val="00380F79"/>
    <w:rsid w:val="00381EBE"/>
    <w:rsid w:val="0038229F"/>
    <w:rsid w:val="00386CCB"/>
    <w:rsid w:val="00392B7C"/>
    <w:rsid w:val="00392ECD"/>
    <w:rsid w:val="00395C94"/>
    <w:rsid w:val="00396C23"/>
    <w:rsid w:val="003A6BA4"/>
    <w:rsid w:val="003B06E2"/>
    <w:rsid w:val="003C64B5"/>
    <w:rsid w:val="003D0A5C"/>
    <w:rsid w:val="003D2CD3"/>
    <w:rsid w:val="003D2E3E"/>
    <w:rsid w:val="003D50E6"/>
    <w:rsid w:val="003D7352"/>
    <w:rsid w:val="003E442E"/>
    <w:rsid w:val="003E6AA6"/>
    <w:rsid w:val="003F5276"/>
    <w:rsid w:val="003F6BF9"/>
    <w:rsid w:val="00400E2B"/>
    <w:rsid w:val="0040291C"/>
    <w:rsid w:val="00405F8D"/>
    <w:rsid w:val="004074E0"/>
    <w:rsid w:val="00414D65"/>
    <w:rsid w:val="004166F8"/>
    <w:rsid w:val="00417C25"/>
    <w:rsid w:val="00420794"/>
    <w:rsid w:val="004220AA"/>
    <w:rsid w:val="00425468"/>
    <w:rsid w:val="00425655"/>
    <w:rsid w:val="004258F1"/>
    <w:rsid w:val="0042781D"/>
    <w:rsid w:val="00430029"/>
    <w:rsid w:val="00436D84"/>
    <w:rsid w:val="00436E99"/>
    <w:rsid w:val="004408C7"/>
    <w:rsid w:val="004427CA"/>
    <w:rsid w:val="00442C5E"/>
    <w:rsid w:val="00446591"/>
    <w:rsid w:val="00447C13"/>
    <w:rsid w:val="004646C8"/>
    <w:rsid w:val="00470B39"/>
    <w:rsid w:val="00474B06"/>
    <w:rsid w:val="00480F67"/>
    <w:rsid w:val="00482558"/>
    <w:rsid w:val="00483458"/>
    <w:rsid w:val="00490606"/>
    <w:rsid w:val="00491354"/>
    <w:rsid w:val="00492D85"/>
    <w:rsid w:val="00493A0D"/>
    <w:rsid w:val="00494151"/>
    <w:rsid w:val="0049542C"/>
    <w:rsid w:val="00496D0E"/>
    <w:rsid w:val="004A602A"/>
    <w:rsid w:val="004B148D"/>
    <w:rsid w:val="004B2E2A"/>
    <w:rsid w:val="004B4F04"/>
    <w:rsid w:val="004B6045"/>
    <w:rsid w:val="004C34E6"/>
    <w:rsid w:val="004C378A"/>
    <w:rsid w:val="004C4F84"/>
    <w:rsid w:val="004C5CB0"/>
    <w:rsid w:val="004D1EBF"/>
    <w:rsid w:val="004D428F"/>
    <w:rsid w:val="004D4D15"/>
    <w:rsid w:val="004E27A9"/>
    <w:rsid w:val="004E527A"/>
    <w:rsid w:val="004F017B"/>
    <w:rsid w:val="004F0925"/>
    <w:rsid w:val="004F65EB"/>
    <w:rsid w:val="00502860"/>
    <w:rsid w:val="00505F73"/>
    <w:rsid w:val="0050756F"/>
    <w:rsid w:val="005140D6"/>
    <w:rsid w:val="00517571"/>
    <w:rsid w:val="00521964"/>
    <w:rsid w:val="005263F5"/>
    <w:rsid w:val="00526452"/>
    <w:rsid w:val="00527886"/>
    <w:rsid w:val="0053369A"/>
    <w:rsid w:val="005347E8"/>
    <w:rsid w:val="00541DDF"/>
    <w:rsid w:val="00544438"/>
    <w:rsid w:val="005462D5"/>
    <w:rsid w:val="00547CA6"/>
    <w:rsid w:val="00547DBC"/>
    <w:rsid w:val="0056282A"/>
    <w:rsid w:val="00564F40"/>
    <w:rsid w:val="00565EA9"/>
    <w:rsid w:val="005716CD"/>
    <w:rsid w:val="00572B73"/>
    <w:rsid w:val="00573D80"/>
    <w:rsid w:val="0058121D"/>
    <w:rsid w:val="00581EAC"/>
    <w:rsid w:val="00582739"/>
    <w:rsid w:val="00594EB4"/>
    <w:rsid w:val="00595C81"/>
    <w:rsid w:val="00597F82"/>
    <w:rsid w:val="005A3BD5"/>
    <w:rsid w:val="005B0F3F"/>
    <w:rsid w:val="005B2C26"/>
    <w:rsid w:val="005B6EEB"/>
    <w:rsid w:val="005C162B"/>
    <w:rsid w:val="005C1CC3"/>
    <w:rsid w:val="005C4B5D"/>
    <w:rsid w:val="005C790F"/>
    <w:rsid w:val="005D2971"/>
    <w:rsid w:val="005D42E5"/>
    <w:rsid w:val="005D62EF"/>
    <w:rsid w:val="005E2ACF"/>
    <w:rsid w:val="005E2B34"/>
    <w:rsid w:val="005E69D5"/>
    <w:rsid w:val="005F208F"/>
    <w:rsid w:val="005F2F62"/>
    <w:rsid w:val="005F34CC"/>
    <w:rsid w:val="005F59AE"/>
    <w:rsid w:val="0060284E"/>
    <w:rsid w:val="00605BDE"/>
    <w:rsid w:val="0061199B"/>
    <w:rsid w:val="0061299A"/>
    <w:rsid w:val="00622DA3"/>
    <w:rsid w:val="0063028C"/>
    <w:rsid w:val="00633094"/>
    <w:rsid w:val="00633AE5"/>
    <w:rsid w:val="006405E0"/>
    <w:rsid w:val="00642B13"/>
    <w:rsid w:val="00644897"/>
    <w:rsid w:val="00660CB9"/>
    <w:rsid w:val="006635ED"/>
    <w:rsid w:val="0066362E"/>
    <w:rsid w:val="00664183"/>
    <w:rsid w:val="006650EF"/>
    <w:rsid w:val="0066795D"/>
    <w:rsid w:val="00667FC1"/>
    <w:rsid w:val="006720B3"/>
    <w:rsid w:val="0067514D"/>
    <w:rsid w:val="00686D8C"/>
    <w:rsid w:val="006931C6"/>
    <w:rsid w:val="0069328D"/>
    <w:rsid w:val="006942F9"/>
    <w:rsid w:val="00695E52"/>
    <w:rsid w:val="006A02DE"/>
    <w:rsid w:val="006B24C5"/>
    <w:rsid w:val="006C0A42"/>
    <w:rsid w:val="006C2CE6"/>
    <w:rsid w:val="006C528B"/>
    <w:rsid w:val="006D17F9"/>
    <w:rsid w:val="006D526E"/>
    <w:rsid w:val="006E0D5F"/>
    <w:rsid w:val="006E271D"/>
    <w:rsid w:val="006F0098"/>
    <w:rsid w:val="006F05B0"/>
    <w:rsid w:val="006F1722"/>
    <w:rsid w:val="006F175F"/>
    <w:rsid w:val="006F239A"/>
    <w:rsid w:val="006F2FE8"/>
    <w:rsid w:val="006F6CD0"/>
    <w:rsid w:val="007017BD"/>
    <w:rsid w:val="007063E4"/>
    <w:rsid w:val="007137D5"/>
    <w:rsid w:val="007155AD"/>
    <w:rsid w:val="007159AE"/>
    <w:rsid w:val="007217E3"/>
    <w:rsid w:val="00721F60"/>
    <w:rsid w:val="00722777"/>
    <w:rsid w:val="00723BDC"/>
    <w:rsid w:val="007245E8"/>
    <w:rsid w:val="0072526B"/>
    <w:rsid w:val="00734732"/>
    <w:rsid w:val="00736067"/>
    <w:rsid w:val="00737F4E"/>
    <w:rsid w:val="007400E2"/>
    <w:rsid w:val="007404A3"/>
    <w:rsid w:val="00745810"/>
    <w:rsid w:val="00745EF8"/>
    <w:rsid w:val="007471D8"/>
    <w:rsid w:val="00747A18"/>
    <w:rsid w:val="00750081"/>
    <w:rsid w:val="00753FA2"/>
    <w:rsid w:val="00756026"/>
    <w:rsid w:val="00756986"/>
    <w:rsid w:val="00756998"/>
    <w:rsid w:val="00757133"/>
    <w:rsid w:val="007628D2"/>
    <w:rsid w:val="0076376B"/>
    <w:rsid w:val="00765B31"/>
    <w:rsid w:val="00765E84"/>
    <w:rsid w:val="0077637A"/>
    <w:rsid w:val="00777673"/>
    <w:rsid w:val="007776D6"/>
    <w:rsid w:val="00782921"/>
    <w:rsid w:val="00783BAC"/>
    <w:rsid w:val="0078514E"/>
    <w:rsid w:val="00786380"/>
    <w:rsid w:val="00790344"/>
    <w:rsid w:val="0079065E"/>
    <w:rsid w:val="00792410"/>
    <w:rsid w:val="00793EE3"/>
    <w:rsid w:val="007955D2"/>
    <w:rsid w:val="0079627A"/>
    <w:rsid w:val="007A5B07"/>
    <w:rsid w:val="007B16C6"/>
    <w:rsid w:val="007B667A"/>
    <w:rsid w:val="007C0340"/>
    <w:rsid w:val="007C5068"/>
    <w:rsid w:val="007C60ED"/>
    <w:rsid w:val="007C7E9D"/>
    <w:rsid w:val="007D02FF"/>
    <w:rsid w:val="007D1276"/>
    <w:rsid w:val="007D1E1F"/>
    <w:rsid w:val="007D2C0B"/>
    <w:rsid w:val="007D2FCE"/>
    <w:rsid w:val="007D322C"/>
    <w:rsid w:val="007D5E87"/>
    <w:rsid w:val="007E2838"/>
    <w:rsid w:val="007E2964"/>
    <w:rsid w:val="007E2BF1"/>
    <w:rsid w:val="007E2D6F"/>
    <w:rsid w:val="007E4498"/>
    <w:rsid w:val="007E4500"/>
    <w:rsid w:val="007E6075"/>
    <w:rsid w:val="007F1949"/>
    <w:rsid w:val="007F629A"/>
    <w:rsid w:val="0080234D"/>
    <w:rsid w:val="008053C1"/>
    <w:rsid w:val="00805714"/>
    <w:rsid w:val="00806F2A"/>
    <w:rsid w:val="008071A2"/>
    <w:rsid w:val="00813B67"/>
    <w:rsid w:val="00815375"/>
    <w:rsid w:val="0081566F"/>
    <w:rsid w:val="008217E9"/>
    <w:rsid w:val="008240DB"/>
    <w:rsid w:val="00824331"/>
    <w:rsid w:val="00824773"/>
    <w:rsid w:val="008247A2"/>
    <w:rsid w:val="008250BD"/>
    <w:rsid w:val="008259F8"/>
    <w:rsid w:val="008302BD"/>
    <w:rsid w:val="0083284B"/>
    <w:rsid w:val="00832C87"/>
    <w:rsid w:val="00836F5F"/>
    <w:rsid w:val="00841208"/>
    <w:rsid w:val="00842656"/>
    <w:rsid w:val="0084611C"/>
    <w:rsid w:val="00846A47"/>
    <w:rsid w:val="00854536"/>
    <w:rsid w:val="008558DB"/>
    <w:rsid w:val="00857B0E"/>
    <w:rsid w:val="00863C9F"/>
    <w:rsid w:val="008739B8"/>
    <w:rsid w:val="008817CE"/>
    <w:rsid w:val="00881F28"/>
    <w:rsid w:val="00883C4F"/>
    <w:rsid w:val="0088422B"/>
    <w:rsid w:val="00884C2B"/>
    <w:rsid w:val="00884FFB"/>
    <w:rsid w:val="00885642"/>
    <w:rsid w:val="00886996"/>
    <w:rsid w:val="00887DC9"/>
    <w:rsid w:val="008931BF"/>
    <w:rsid w:val="00894881"/>
    <w:rsid w:val="00895B7D"/>
    <w:rsid w:val="008A3938"/>
    <w:rsid w:val="008B7076"/>
    <w:rsid w:val="008C326F"/>
    <w:rsid w:val="008C3FA1"/>
    <w:rsid w:val="008C4B03"/>
    <w:rsid w:val="008C509D"/>
    <w:rsid w:val="008C6627"/>
    <w:rsid w:val="008C73B6"/>
    <w:rsid w:val="008D03CE"/>
    <w:rsid w:val="008D1D6F"/>
    <w:rsid w:val="008E7B3A"/>
    <w:rsid w:val="008E7C55"/>
    <w:rsid w:val="008F33F8"/>
    <w:rsid w:val="008F64EF"/>
    <w:rsid w:val="008F7B70"/>
    <w:rsid w:val="00901EE7"/>
    <w:rsid w:val="0090392E"/>
    <w:rsid w:val="00904715"/>
    <w:rsid w:val="00911257"/>
    <w:rsid w:val="0091403D"/>
    <w:rsid w:val="0092708D"/>
    <w:rsid w:val="00927DBD"/>
    <w:rsid w:val="00933A93"/>
    <w:rsid w:val="00940844"/>
    <w:rsid w:val="009458B0"/>
    <w:rsid w:val="00945BA5"/>
    <w:rsid w:val="00947BE2"/>
    <w:rsid w:val="00947FF7"/>
    <w:rsid w:val="00964F3B"/>
    <w:rsid w:val="0096731D"/>
    <w:rsid w:val="009727B7"/>
    <w:rsid w:val="00973063"/>
    <w:rsid w:val="00973235"/>
    <w:rsid w:val="00974106"/>
    <w:rsid w:val="009830A1"/>
    <w:rsid w:val="009830F4"/>
    <w:rsid w:val="0098422B"/>
    <w:rsid w:val="00987139"/>
    <w:rsid w:val="00987AEB"/>
    <w:rsid w:val="00997A38"/>
    <w:rsid w:val="009A754E"/>
    <w:rsid w:val="009A7582"/>
    <w:rsid w:val="009B0143"/>
    <w:rsid w:val="009B1FE3"/>
    <w:rsid w:val="009B3D3F"/>
    <w:rsid w:val="009B6549"/>
    <w:rsid w:val="009B685A"/>
    <w:rsid w:val="009C0744"/>
    <w:rsid w:val="009C0F5B"/>
    <w:rsid w:val="009C1F10"/>
    <w:rsid w:val="009D0F31"/>
    <w:rsid w:val="009D44BC"/>
    <w:rsid w:val="009D713E"/>
    <w:rsid w:val="009E6337"/>
    <w:rsid w:val="009E7D90"/>
    <w:rsid w:val="009F308B"/>
    <w:rsid w:val="009F521D"/>
    <w:rsid w:val="00A04321"/>
    <w:rsid w:val="00A06574"/>
    <w:rsid w:val="00A10243"/>
    <w:rsid w:val="00A10958"/>
    <w:rsid w:val="00A111AF"/>
    <w:rsid w:val="00A1126A"/>
    <w:rsid w:val="00A11865"/>
    <w:rsid w:val="00A1296C"/>
    <w:rsid w:val="00A15959"/>
    <w:rsid w:val="00A16488"/>
    <w:rsid w:val="00A2421C"/>
    <w:rsid w:val="00A24581"/>
    <w:rsid w:val="00A2498D"/>
    <w:rsid w:val="00A32013"/>
    <w:rsid w:val="00A43313"/>
    <w:rsid w:val="00A512C8"/>
    <w:rsid w:val="00A529B1"/>
    <w:rsid w:val="00A53484"/>
    <w:rsid w:val="00A65614"/>
    <w:rsid w:val="00A65BFF"/>
    <w:rsid w:val="00A6632F"/>
    <w:rsid w:val="00A66E8F"/>
    <w:rsid w:val="00A67BCB"/>
    <w:rsid w:val="00A75CDE"/>
    <w:rsid w:val="00A80A31"/>
    <w:rsid w:val="00A8155D"/>
    <w:rsid w:val="00A8496D"/>
    <w:rsid w:val="00A8518A"/>
    <w:rsid w:val="00A85745"/>
    <w:rsid w:val="00A87949"/>
    <w:rsid w:val="00A90B91"/>
    <w:rsid w:val="00A914F9"/>
    <w:rsid w:val="00A91F34"/>
    <w:rsid w:val="00A92414"/>
    <w:rsid w:val="00A96E96"/>
    <w:rsid w:val="00A973CC"/>
    <w:rsid w:val="00AA54A1"/>
    <w:rsid w:val="00AB3D68"/>
    <w:rsid w:val="00AC0E06"/>
    <w:rsid w:val="00AC2956"/>
    <w:rsid w:val="00AC4678"/>
    <w:rsid w:val="00AC75D7"/>
    <w:rsid w:val="00AD08E8"/>
    <w:rsid w:val="00AD108D"/>
    <w:rsid w:val="00AD2D71"/>
    <w:rsid w:val="00AD73C2"/>
    <w:rsid w:val="00AF0CB1"/>
    <w:rsid w:val="00AF2994"/>
    <w:rsid w:val="00AF3B0E"/>
    <w:rsid w:val="00AF3BA7"/>
    <w:rsid w:val="00AF6363"/>
    <w:rsid w:val="00AF75FE"/>
    <w:rsid w:val="00B00B28"/>
    <w:rsid w:val="00B039EE"/>
    <w:rsid w:val="00B13D2E"/>
    <w:rsid w:val="00B22315"/>
    <w:rsid w:val="00B23B25"/>
    <w:rsid w:val="00B24033"/>
    <w:rsid w:val="00B33E07"/>
    <w:rsid w:val="00B37FCB"/>
    <w:rsid w:val="00B40DF2"/>
    <w:rsid w:val="00B41DF2"/>
    <w:rsid w:val="00B44EA2"/>
    <w:rsid w:val="00B459AE"/>
    <w:rsid w:val="00B45AD8"/>
    <w:rsid w:val="00B50679"/>
    <w:rsid w:val="00B52740"/>
    <w:rsid w:val="00B542AA"/>
    <w:rsid w:val="00B559B7"/>
    <w:rsid w:val="00B55FEC"/>
    <w:rsid w:val="00B5793E"/>
    <w:rsid w:val="00B6016A"/>
    <w:rsid w:val="00B626CC"/>
    <w:rsid w:val="00B64867"/>
    <w:rsid w:val="00B64B9F"/>
    <w:rsid w:val="00B65AF5"/>
    <w:rsid w:val="00B66FDF"/>
    <w:rsid w:val="00B76F2A"/>
    <w:rsid w:val="00B82A2A"/>
    <w:rsid w:val="00B847BD"/>
    <w:rsid w:val="00B90B79"/>
    <w:rsid w:val="00B93E15"/>
    <w:rsid w:val="00B941D1"/>
    <w:rsid w:val="00B950D5"/>
    <w:rsid w:val="00BA01EC"/>
    <w:rsid w:val="00BA0A71"/>
    <w:rsid w:val="00BA1467"/>
    <w:rsid w:val="00BA2343"/>
    <w:rsid w:val="00BA249B"/>
    <w:rsid w:val="00BA6368"/>
    <w:rsid w:val="00BB4CAA"/>
    <w:rsid w:val="00BB6D88"/>
    <w:rsid w:val="00BB77E3"/>
    <w:rsid w:val="00BB7DA9"/>
    <w:rsid w:val="00BC1B15"/>
    <w:rsid w:val="00BC1CF2"/>
    <w:rsid w:val="00BC6021"/>
    <w:rsid w:val="00BC6037"/>
    <w:rsid w:val="00BC6174"/>
    <w:rsid w:val="00BC6BF2"/>
    <w:rsid w:val="00BC6F1F"/>
    <w:rsid w:val="00BD71D3"/>
    <w:rsid w:val="00BF364C"/>
    <w:rsid w:val="00BF3750"/>
    <w:rsid w:val="00C0068B"/>
    <w:rsid w:val="00C07124"/>
    <w:rsid w:val="00C14CC7"/>
    <w:rsid w:val="00C15022"/>
    <w:rsid w:val="00C22C0B"/>
    <w:rsid w:val="00C31E45"/>
    <w:rsid w:val="00C37ACE"/>
    <w:rsid w:val="00C43283"/>
    <w:rsid w:val="00C4423A"/>
    <w:rsid w:val="00C448E5"/>
    <w:rsid w:val="00C45BF0"/>
    <w:rsid w:val="00C47B33"/>
    <w:rsid w:val="00C5347A"/>
    <w:rsid w:val="00C54AA5"/>
    <w:rsid w:val="00C607E3"/>
    <w:rsid w:val="00C61118"/>
    <w:rsid w:val="00C61431"/>
    <w:rsid w:val="00C663F1"/>
    <w:rsid w:val="00C73061"/>
    <w:rsid w:val="00C74A26"/>
    <w:rsid w:val="00C82CB4"/>
    <w:rsid w:val="00C83041"/>
    <w:rsid w:val="00C865F8"/>
    <w:rsid w:val="00C92FD8"/>
    <w:rsid w:val="00C96799"/>
    <w:rsid w:val="00CA0178"/>
    <w:rsid w:val="00CA3EC8"/>
    <w:rsid w:val="00CA5F26"/>
    <w:rsid w:val="00CB017F"/>
    <w:rsid w:val="00CB0605"/>
    <w:rsid w:val="00CB0619"/>
    <w:rsid w:val="00CB1FE8"/>
    <w:rsid w:val="00CB5659"/>
    <w:rsid w:val="00CB74F8"/>
    <w:rsid w:val="00CD2529"/>
    <w:rsid w:val="00CD330A"/>
    <w:rsid w:val="00CD451C"/>
    <w:rsid w:val="00CD5748"/>
    <w:rsid w:val="00CE0CD7"/>
    <w:rsid w:val="00CE2623"/>
    <w:rsid w:val="00CE4110"/>
    <w:rsid w:val="00CF2A83"/>
    <w:rsid w:val="00CF2F90"/>
    <w:rsid w:val="00CF3C91"/>
    <w:rsid w:val="00CF3F49"/>
    <w:rsid w:val="00CF4029"/>
    <w:rsid w:val="00CF4D02"/>
    <w:rsid w:val="00CF4D84"/>
    <w:rsid w:val="00CF785F"/>
    <w:rsid w:val="00CF7FB9"/>
    <w:rsid w:val="00D01496"/>
    <w:rsid w:val="00D01962"/>
    <w:rsid w:val="00D031FA"/>
    <w:rsid w:val="00D06C87"/>
    <w:rsid w:val="00D07780"/>
    <w:rsid w:val="00D110C2"/>
    <w:rsid w:val="00D1464F"/>
    <w:rsid w:val="00D163E1"/>
    <w:rsid w:val="00D16B37"/>
    <w:rsid w:val="00D20760"/>
    <w:rsid w:val="00D21308"/>
    <w:rsid w:val="00D24048"/>
    <w:rsid w:val="00D247E4"/>
    <w:rsid w:val="00D27DA9"/>
    <w:rsid w:val="00D355B7"/>
    <w:rsid w:val="00D373F2"/>
    <w:rsid w:val="00D37D1E"/>
    <w:rsid w:val="00D40E83"/>
    <w:rsid w:val="00D42E24"/>
    <w:rsid w:val="00D44AB0"/>
    <w:rsid w:val="00D50985"/>
    <w:rsid w:val="00D54885"/>
    <w:rsid w:val="00D554B2"/>
    <w:rsid w:val="00D56231"/>
    <w:rsid w:val="00D578FA"/>
    <w:rsid w:val="00D603CE"/>
    <w:rsid w:val="00D606B6"/>
    <w:rsid w:val="00D63E18"/>
    <w:rsid w:val="00D6441C"/>
    <w:rsid w:val="00D647B8"/>
    <w:rsid w:val="00D647F5"/>
    <w:rsid w:val="00D64F5C"/>
    <w:rsid w:val="00D6518C"/>
    <w:rsid w:val="00D6780B"/>
    <w:rsid w:val="00D7313E"/>
    <w:rsid w:val="00D81DF8"/>
    <w:rsid w:val="00D85244"/>
    <w:rsid w:val="00D90617"/>
    <w:rsid w:val="00D91B15"/>
    <w:rsid w:val="00D92095"/>
    <w:rsid w:val="00D958CF"/>
    <w:rsid w:val="00D97059"/>
    <w:rsid w:val="00DA7A6D"/>
    <w:rsid w:val="00DB179D"/>
    <w:rsid w:val="00DB4066"/>
    <w:rsid w:val="00DB436D"/>
    <w:rsid w:val="00DB53C9"/>
    <w:rsid w:val="00DB6362"/>
    <w:rsid w:val="00DC010F"/>
    <w:rsid w:val="00DC636E"/>
    <w:rsid w:val="00DD0941"/>
    <w:rsid w:val="00DD0D05"/>
    <w:rsid w:val="00DD39A9"/>
    <w:rsid w:val="00DD3C53"/>
    <w:rsid w:val="00DE0413"/>
    <w:rsid w:val="00DE0982"/>
    <w:rsid w:val="00DE132A"/>
    <w:rsid w:val="00DE7A16"/>
    <w:rsid w:val="00DF036C"/>
    <w:rsid w:val="00DF09AF"/>
    <w:rsid w:val="00DF0B3C"/>
    <w:rsid w:val="00DF0B9B"/>
    <w:rsid w:val="00DF5379"/>
    <w:rsid w:val="00E02302"/>
    <w:rsid w:val="00E036D5"/>
    <w:rsid w:val="00E03DA3"/>
    <w:rsid w:val="00E04C97"/>
    <w:rsid w:val="00E068CF"/>
    <w:rsid w:val="00E116D5"/>
    <w:rsid w:val="00E11B5C"/>
    <w:rsid w:val="00E122B8"/>
    <w:rsid w:val="00E16CA7"/>
    <w:rsid w:val="00E22FA6"/>
    <w:rsid w:val="00E23C29"/>
    <w:rsid w:val="00E24C98"/>
    <w:rsid w:val="00E25859"/>
    <w:rsid w:val="00E26951"/>
    <w:rsid w:val="00E26F45"/>
    <w:rsid w:val="00E30088"/>
    <w:rsid w:val="00E313DD"/>
    <w:rsid w:val="00E33052"/>
    <w:rsid w:val="00E349D0"/>
    <w:rsid w:val="00E37416"/>
    <w:rsid w:val="00E374AF"/>
    <w:rsid w:val="00E375D3"/>
    <w:rsid w:val="00E4254D"/>
    <w:rsid w:val="00E4385B"/>
    <w:rsid w:val="00E470C8"/>
    <w:rsid w:val="00E47567"/>
    <w:rsid w:val="00E5117A"/>
    <w:rsid w:val="00E5316C"/>
    <w:rsid w:val="00E5521E"/>
    <w:rsid w:val="00E57236"/>
    <w:rsid w:val="00E609C2"/>
    <w:rsid w:val="00E61933"/>
    <w:rsid w:val="00E61B06"/>
    <w:rsid w:val="00E61FBD"/>
    <w:rsid w:val="00E6467A"/>
    <w:rsid w:val="00E67A2F"/>
    <w:rsid w:val="00E719CB"/>
    <w:rsid w:val="00E724CE"/>
    <w:rsid w:val="00E72D55"/>
    <w:rsid w:val="00E7591D"/>
    <w:rsid w:val="00E77C62"/>
    <w:rsid w:val="00E84951"/>
    <w:rsid w:val="00E849FC"/>
    <w:rsid w:val="00E9027E"/>
    <w:rsid w:val="00E950F9"/>
    <w:rsid w:val="00E95ACE"/>
    <w:rsid w:val="00E97CA7"/>
    <w:rsid w:val="00EA0803"/>
    <w:rsid w:val="00EA2303"/>
    <w:rsid w:val="00EA33ED"/>
    <w:rsid w:val="00EA34FB"/>
    <w:rsid w:val="00EA3605"/>
    <w:rsid w:val="00EC00BF"/>
    <w:rsid w:val="00EC69A5"/>
    <w:rsid w:val="00ED1AC8"/>
    <w:rsid w:val="00EE28DC"/>
    <w:rsid w:val="00EE4E0F"/>
    <w:rsid w:val="00EE52D5"/>
    <w:rsid w:val="00EE558D"/>
    <w:rsid w:val="00EE595C"/>
    <w:rsid w:val="00EF59B2"/>
    <w:rsid w:val="00EF6072"/>
    <w:rsid w:val="00EF7466"/>
    <w:rsid w:val="00F01873"/>
    <w:rsid w:val="00F04F89"/>
    <w:rsid w:val="00F11E49"/>
    <w:rsid w:val="00F1745B"/>
    <w:rsid w:val="00F206F4"/>
    <w:rsid w:val="00F2088E"/>
    <w:rsid w:val="00F3237D"/>
    <w:rsid w:val="00F32D3A"/>
    <w:rsid w:val="00F32D65"/>
    <w:rsid w:val="00F33992"/>
    <w:rsid w:val="00F34D46"/>
    <w:rsid w:val="00F42CA3"/>
    <w:rsid w:val="00F43450"/>
    <w:rsid w:val="00F43AA8"/>
    <w:rsid w:val="00F43C97"/>
    <w:rsid w:val="00F44838"/>
    <w:rsid w:val="00F46119"/>
    <w:rsid w:val="00F50D02"/>
    <w:rsid w:val="00F51350"/>
    <w:rsid w:val="00F54622"/>
    <w:rsid w:val="00F55932"/>
    <w:rsid w:val="00F66C9A"/>
    <w:rsid w:val="00F66D01"/>
    <w:rsid w:val="00F710F1"/>
    <w:rsid w:val="00F72C34"/>
    <w:rsid w:val="00F73DED"/>
    <w:rsid w:val="00F75FF9"/>
    <w:rsid w:val="00F7774C"/>
    <w:rsid w:val="00F82311"/>
    <w:rsid w:val="00F82798"/>
    <w:rsid w:val="00F851DD"/>
    <w:rsid w:val="00F91B87"/>
    <w:rsid w:val="00F92C11"/>
    <w:rsid w:val="00F9362F"/>
    <w:rsid w:val="00F93EED"/>
    <w:rsid w:val="00FA16F3"/>
    <w:rsid w:val="00FA5CA4"/>
    <w:rsid w:val="00FB2A1E"/>
    <w:rsid w:val="00FB3C48"/>
    <w:rsid w:val="00FB7C98"/>
    <w:rsid w:val="00FC163E"/>
    <w:rsid w:val="00FC295B"/>
    <w:rsid w:val="00FD0891"/>
    <w:rsid w:val="00FD0A32"/>
    <w:rsid w:val="00FD0CF2"/>
    <w:rsid w:val="00FD0D00"/>
    <w:rsid w:val="00FD0FE8"/>
    <w:rsid w:val="00FD2219"/>
    <w:rsid w:val="00FD6CB6"/>
    <w:rsid w:val="00FE0B0C"/>
    <w:rsid w:val="00FE1FE0"/>
    <w:rsid w:val="00FE3E66"/>
    <w:rsid w:val="00FE46E4"/>
    <w:rsid w:val="00FE7941"/>
    <w:rsid w:val="00FE7D90"/>
    <w:rsid w:val="00FF1998"/>
    <w:rsid w:val="00FF3598"/>
    <w:rsid w:val="00FF6635"/>
    <w:rsid w:val="00FF7079"/>
    <w:rsid w:val="05CCF42A"/>
    <w:rsid w:val="066EB902"/>
    <w:rsid w:val="159BC9E6"/>
    <w:rsid w:val="284E0116"/>
    <w:rsid w:val="4C59D0D2"/>
    <w:rsid w:val="522EA721"/>
    <w:rsid w:val="53729E96"/>
    <w:rsid w:val="5839B735"/>
    <w:rsid w:val="5C15F767"/>
    <w:rsid w:val="5E88674A"/>
    <w:rsid w:val="64E0DE5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6AF9"/>
  <w15:chartTrackingRefBased/>
  <w15:docId w15:val="{74061E00-849D-47B0-9BC0-76CC8BB6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0605"/>
    <w:pPr>
      <w:spacing w:after="0" w:line="240" w:lineRule="auto"/>
    </w:pPr>
    <w:rPr>
      <w:rFonts w:ascii="Times New Roman" w:eastAsia="Times New Roman" w:hAnsi="Times New Roman" w:cs="Times New Roman"/>
      <w:sz w:val="24"/>
      <w:szCs w:val="20"/>
      <w:lang w:eastAsia="lt-LT"/>
    </w:rPr>
  </w:style>
  <w:style w:type="paragraph" w:styleId="Antrat1">
    <w:name w:val="heading 1"/>
    <w:basedOn w:val="prastasis"/>
    <w:next w:val="prastasis"/>
    <w:link w:val="Antrat1Diagrama"/>
    <w:uiPriority w:val="9"/>
    <w:qFormat/>
    <w:rsid w:val="00FF66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4">
    <w:name w:val="heading 4"/>
    <w:basedOn w:val="prastasis"/>
    <w:next w:val="prastasis"/>
    <w:link w:val="Antrat4Diagrama"/>
    <w:uiPriority w:val="9"/>
    <w:semiHidden/>
    <w:unhideWhenUsed/>
    <w:qFormat/>
    <w:rsid w:val="00CD25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1st elvel bullet green,1st level - Bullet List Paragraph,Lettre d'introduction,Paragrafo elenco,l"/>
    <w:basedOn w:val="prastasis"/>
    <w:link w:val="SraopastraipaDiagrama"/>
    <w:uiPriority w:val="34"/>
    <w:qFormat/>
    <w:rsid w:val="00CB0605"/>
    <w:pPr>
      <w:ind w:left="720"/>
      <w:contextualSpacing/>
    </w:pPr>
  </w:style>
  <w:style w:type="table" w:styleId="Lentelstinklelis">
    <w:name w:val="Table Grid"/>
    <w:basedOn w:val="prastojilentel"/>
    <w:uiPriority w:val="59"/>
    <w:rsid w:val="00CB0605"/>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B060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B0605"/>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CB0605"/>
    <w:rPr>
      <w:color w:val="0000FF"/>
      <w:u w:val="single"/>
    </w:rPr>
  </w:style>
  <w:style w:type="paragraph" w:customStyle="1" w:styleId="2">
    <w:name w:val="2"/>
    <w:basedOn w:val="prastasis"/>
    <w:rsid w:val="00595C81"/>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1E2AA0"/>
    <w:rPr>
      <w:sz w:val="16"/>
      <w:szCs w:val="16"/>
    </w:rPr>
  </w:style>
  <w:style w:type="paragraph" w:styleId="Komentarotekstas">
    <w:name w:val="annotation text"/>
    <w:aliases w:val=" Char"/>
    <w:basedOn w:val="prastasis"/>
    <w:link w:val="KomentarotekstasDiagrama"/>
    <w:uiPriority w:val="99"/>
    <w:unhideWhenUsed/>
    <w:rsid w:val="001E2AA0"/>
    <w:rPr>
      <w:sz w:val="20"/>
    </w:rPr>
  </w:style>
  <w:style w:type="character" w:customStyle="1" w:styleId="KomentarotekstasDiagrama">
    <w:name w:val="Komentaro tekstas Diagrama"/>
    <w:aliases w:val=" Char Diagrama"/>
    <w:basedOn w:val="Numatytasispastraiposriftas"/>
    <w:link w:val="Komentarotekstas"/>
    <w:uiPriority w:val="99"/>
    <w:rsid w:val="001E2AA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E2AA0"/>
    <w:rPr>
      <w:b/>
      <w:bCs/>
    </w:rPr>
  </w:style>
  <w:style w:type="character" w:customStyle="1" w:styleId="KomentarotemaDiagrama">
    <w:name w:val="Komentaro tema Diagrama"/>
    <w:basedOn w:val="KomentarotekstasDiagrama"/>
    <w:link w:val="Komentarotema"/>
    <w:uiPriority w:val="99"/>
    <w:semiHidden/>
    <w:rsid w:val="001E2AA0"/>
    <w:rPr>
      <w:rFonts w:ascii="Times New Roman" w:eastAsia="Times New Roman" w:hAnsi="Times New Roman" w:cs="Times New Roman"/>
      <w:b/>
      <w:bCs/>
      <w:sz w:val="20"/>
      <w:szCs w:val="20"/>
      <w:lang w:eastAsia="lt-LT"/>
    </w:rPr>
  </w:style>
  <w:style w:type="paragraph" w:styleId="prastasiniatinklio">
    <w:name w:val="Normal (Web)"/>
    <w:basedOn w:val="prastasis"/>
    <w:uiPriority w:val="99"/>
    <w:semiHidden/>
    <w:unhideWhenUsed/>
    <w:rsid w:val="00D355B7"/>
    <w:pPr>
      <w:spacing w:before="100" w:beforeAutospacing="1" w:after="100" w:afterAutospacing="1"/>
    </w:pPr>
    <w:rPr>
      <w:rFonts w:ascii="Calibri" w:eastAsiaTheme="minorHAnsi" w:hAnsi="Calibri" w:cs="Calibr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9D0F31"/>
    <w:rPr>
      <w:rFonts w:ascii="Times New Roman" w:eastAsia="Times New Roman" w:hAnsi="Times New Roman" w:cs="Times New Roman"/>
      <w:sz w:val="24"/>
      <w:szCs w:val="20"/>
      <w:lang w:eastAsia="lt-LT"/>
    </w:rPr>
  </w:style>
  <w:style w:type="paragraph" w:customStyle="1" w:styleId="Stilius1">
    <w:name w:val="Stilius1"/>
    <w:basedOn w:val="Antrats"/>
    <w:next w:val="Antrat4"/>
    <w:link w:val="Stilius1Diagrama"/>
    <w:qFormat/>
    <w:rsid w:val="00CD2529"/>
    <w:pPr>
      <w:spacing w:before="120" w:after="120"/>
    </w:pPr>
    <w:rPr>
      <w:b/>
      <w:i/>
      <w:color w:val="44546A" w:themeColor="text2"/>
    </w:rPr>
  </w:style>
  <w:style w:type="character" w:customStyle="1" w:styleId="Stilius1Diagrama">
    <w:name w:val="Stilius1 Diagrama"/>
    <w:basedOn w:val="AntratsDiagrama"/>
    <w:link w:val="Stilius1"/>
    <w:rsid w:val="00CD2529"/>
    <w:rPr>
      <w:rFonts w:ascii="Times New Roman" w:eastAsia="Times New Roman" w:hAnsi="Times New Roman" w:cs="Times New Roman"/>
      <w:b/>
      <w:i/>
      <w:color w:val="44546A" w:themeColor="text2"/>
      <w:sz w:val="24"/>
      <w:szCs w:val="20"/>
      <w:lang w:eastAsia="lt-LT"/>
    </w:rPr>
  </w:style>
  <w:style w:type="paragraph" w:styleId="Antrats">
    <w:name w:val="header"/>
    <w:basedOn w:val="prastasis"/>
    <w:link w:val="AntratsDiagrama"/>
    <w:uiPriority w:val="99"/>
    <w:unhideWhenUsed/>
    <w:rsid w:val="00CD2529"/>
    <w:pPr>
      <w:tabs>
        <w:tab w:val="center" w:pos="4819"/>
        <w:tab w:val="right" w:pos="9638"/>
      </w:tabs>
    </w:pPr>
  </w:style>
  <w:style w:type="character" w:customStyle="1" w:styleId="AntratsDiagrama">
    <w:name w:val="Antraštės Diagrama"/>
    <w:basedOn w:val="Numatytasispastraiposriftas"/>
    <w:link w:val="Antrats"/>
    <w:uiPriority w:val="99"/>
    <w:rsid w:val="00CD2529"/>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semiHidden/>
    <w:rsid w:val="00CD2529"/>
    <w:rPr>
      <w:rFonts w:asciiTheme="majorHAnsi" w:eastAsiaTheme="majorEastAsia" w:hAnsiTheme="majorHAnsi" w:cstheme="majorBidi"/>
      <w:i/>
      <w:iCs/>
      <w:color w:val="2F5496" w:themeColor="accent1" w:themeShade="BF"/>
      <w:sz w:val="24"/>
      <w:szCs w:val="20"/>
      <w:lang w:eastAsia="lt-LT"/>
    </w:rPr>
  </w:style>
  <w:style w:type="paragraph" w:customStyle="1" w:styleId="pf0">
    <w:name w:val="pf0"/>
    <w:basedOn w:val="prastasis"/>
    <w:rsid w:val="00CD2529"/>
    <w:pPr>
      <w:spacing w:before="100" w:beforeAutospacing="1" w:after="100" w:afterAutospacing="1"/>
    </w:pPr>
    <w:rPr>
      <w:szCs w:val="24"/>
    </w:rPr>
  </w:style>
  <w:style w:type="character" w:customStyle="1" w:styleId="cf01">
    <w:name w:val="cf01"/>
    <w:basedOn w:val="Numatytasispastraiposriftas"/>
    <w:rsid w:val="00CD2529"/>
    <w:rPr>
      <w:rFonts w:ascii="Segoe UI" w:hAnsi="Segoe UI" w:cs="Segoe UI" w:hint="default"/>
      <w:sz w:val="18"/>
      <w:szCs w:val="18"/>
    </w:rPr>
  </w:style>
  <w:style w:type="character" w:customStyle="1" w:styleId="cf11">
    <w:name w:val="cf11"/>
    <w:basedOn w:val="Numatytasispastraiposriftas"/>
    <w:rsid w:val="007F1949"/>
    <w:rPr>
      <w:rFonts w:ascii="Segoe UI" w:hAnsi="Segoe UI" w:cs="Segoe UI" w:hint="default"/>
      <w:sz w:val="18"/>
      <w:szCs w:val="18"/>
    </w:rPr>
  </w:style>
  <w:style w:type="character" w:customStyle="1" w:styleId="cf21">
    <w:name w:val="cf21"/>
    <w:basedOn w:val="Numatytasispastraiposriftas"/>
    <w:rsid w:val="007F1949"/>
    <w:rPr>
      <w:rFonts w:ascii="Segoe UI" w:hAnsi="Segoe UI" w:cs="Segoe UI" w:hint="default"/>
      <w:sz w:val="18"/>
      <w:szCs w:val="18"/>
    </w:rPr>
  </w:style>
  <w:style w:type="paragraph" w:styleId="Pataisymai">
    <w:name w:val="Revision"/>
    <w:hidden/>
    <w:uiPriority w:val="99"/>
    <w:semiHidden/>
    <w:rsid w:val="00756986"/>
    <w:pPr>
      <w:spacing w:after="0" w:line="240" w:lineRule="auto"/>
    </w:pPr>
    <w:rPr>
      <w:rFonts w:ascii="Times New Roman" w:eastAsia="Times New Roman" w:hAnsi="Times New Roman" w:cs="Times New Roman"/>
      <w:sz w:val="24"/>
      <w:szCs w:val="20"/>
      <w:lang w:eastAsia="lt-LT"/>
    </w:rPr>
  </w:style>
  <w:style w:type="character" w:customStyle="1" w:styleId="AntratDiagrama">
    <w:name w:val="Antraštė Diagrama"/>
    <w:aliases w:val="Caption-tables Diagrama,Tasks Diagrama,Beschriftung Char2 Diagrama,Beschriftung Char1 Char1 Diagrama,Beschriftung Char Char Char1 Diagrama,Beschriftung Char1 Char Char Diagrama,Beschriftung Char Char Char Char Diagrama,Eco Diagrama"/>
    <w:basedOn w:val="Numatytasispastraiposriftas"/>
    <w:link w:val="Antrat10"/>
    <w:uiPriority w:val="35"/>
    <w:locked/>
    <w:rsid w:val="00D54885"/>
    <w:rPr>
      <w:rFonts w:ascii="Trebuchet MS" w:hAnsi="Trebuchet MS"/>
      <w:b/>
      <w:bCs/>
      <w:color w:val="005962"/>
    </w:rPr>
  </w:style>
  <w:style w:type="paragraph" w:customStyle="1" w:styleId="Antrat10">
    <w:name w:val="Antraštė1"/>
    <w:aliases w:val="Caption-tables,Tasks,Beschriftung Char2,Beschriftung Char1 Char1,Beschriftung Char Char Char1,Beschriftung Char1 Char Char,Beschriftung Char Char Char Char,Beschriftung Char Char1 Char,Beschriftung Char Char2,Beschriftung Char1 Cha...,Eco"/>
    <w:basedOn w:val="prastasis"/>
    <w:link w:val="AntratDiagrama"/>
    <w:uiPriority w:val="35"/>
    <w:rsid w:val="00D54885"/>
    <w:pPr>
      <w:spacing w:after="120"/>
      <w:ind w:left="567"/>
    </w:pPr>
    <w:rPr>
      <w:rFonts w:ascii="Trebuchet MS" w:eastAsiaTheme="minorHAnsi" w:hAnsi="Trebuchet MS" w:cstheme="minorBidi"/>
      <w:b/>
      <w:bCs/>
      <w:color w:val="005962"/>
      <w:sz w:val="22"/>
      <w:szCs w:val="22"/>
      <w:lang w:eastAsia="en-US"/>
    </w:rPr>
  </w:style>
  <w:style w:type="character" w:customStyle="1" w:styleId="Neapdorotaspaminjimas1">
    <w:name w:val="Neapdorotas paminėjimas1"/>
    <w:basedOn w:val="Numatytasispastraiposriftas"/>
    <w:uiPriority w:val="99"/>
    <w:semiHidden/>
    <w:unhideWhenUsed/>
    <w:rsid w:val="00E04C97"/>
    <w:rPr>
      <w:color w:val="605E5C"/>
      <w:shd w:val="clear" w:color="auto" w:fill="E1DFDD"/>
    </w:rPr>
  </w:style>
  <w:style w:type="paragraph" w:styleId="Puslapioinaostekstas">
    <w:name w:val="footnote text"/>
    <w:basedOn w:val="prastasis"/>
    <w:link w:val="PuslapioinaostekstasDiagrama"/>
    <w:uiPriority w:val="99"/>
    <w:semiHidden/>
    <w:unhideWhenUsed/>
    <w:rsid w:val="00894881"/>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894881"/>
    <w:rPr>
      <w:sz w:val="20"/>
      <w:szCs w:val="20"/>
    </w:rPr>
  </w:style>
  <w:style w:type="character" w:styleId="Puslapioinaosnuoroda">
    <w:name w:val="footnote reference"/>
    <w:basedOn w:val="Numatytasispastraiposriftas"/>
    <w:uiPriority w:val="99"/>
    <w:semiHidden/>
    <w:unhideWhenUsed/>
    <w:rsid w:val="00894881"/>
    <w:rPr>
      <w:vertAlign w:val="superscript"/>
    </w:rPr>
  </w:style>
  <w:style w:type="paragraph" w:customStyle="1" w:styleId="rfrenceinstitutionnelle">
    <w:name w:val="rfrenceinstitutionnelle"/>
    <w:basedOn w:val="prastasis"/>
    <w:rsid w:val="00894881"/>
    <w:pPr>
      <w:spacing w:before="100" w:beforeAutospacing="1" w:after="100" w:afterAutospacing="1"/>
    </w:pPr>
    <w:rPr>
      <w:szCs w:val="24"/>
    </w:rPr>
  </w:style>
  <w:style w:type="paragraph" w:customStyle="1" w:styleId="Hyperlink1">
    <w:name w:val="Hyperlink1"/>
    <w:basedOn w:val="prastasis"/>
    <w:qFormat/>
    <w:rsid w:val="00331808"/>
    <w:pPr>
      <w:ind w:left="720"/>
      <w:contextualSpacing/>
    </w:pPr>
    <w:rPr>
      <w:szCs w:val="24"/>
      <w:lang w:val="en-US" w:eastAsia="en-US"/>
    </w:rPr>
  </w:style>
  <w:style w:type="paragraph" w:styleId="Porat">
    <w:name w:val="footer"/>
    <w:basedOn w:val="prastasis"/>
    <w:link w:val="PoratDiagrama"/>
    <w:uiPriority w:val="99"/>
    <w:unhideWhenUsed/>
    <w:rsid w:val="0014759D"/>
    <w:pPr>
      <w:tabs>
        <w:tab w:val="center" w:pos="4819"/>
        <w:tab w:val="right" w:pos="9638"/>
      </w:tabs>
    </w:pPr>
  </w:style>
  <w:style w:type="character" w:customStyle="1" w:styleId="PoratDiagrama">
    <w:name w:val="Poraštė Diagrama"/>
    <w:basedOn w:val="Numatytasispastraiposriftas"/>
    <w:link w:val="Porat"/>
    <w:uiPriority w:val="99"/>
    <w:rsid w:val="0014759D"/>
    <w:rPr>
      <w:rFonts w:ascii="Times New Roman" w:eastAsia="Times New Roman" w:hAnsi="Times New Roman" w:cs="Times New Roman"/>
      <w:sz w:val="24"/>
      <w:szCs w:val="20"/>
      <w:lang w:eastAsia="lt-LT"/>
    </w:rPr>
  </w:style>
  <w:style w:type="paragraph" w:customStyle="1" w:styleId="Default">
    <w:name w:val="Default"/>
    <w:rsid w:val="00E724CE"/>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4F017B"/>
    <w:rPr>
      <w:color w:val="605E5C"/>
      <w:shd w:val="clear" w:color="auto" w:fill="E1DFDD"/>
    </w:rPr>
  </w:style>
  <w:style w:type="character" w:customStyle="1" w:styleId="Antrat1Diagrama">
    <w:name w:val="Antraštė 1 Diagrama"/>
    <w:basedOn w:val="Numatytasispastraiposriftas"/>
    <w:link w:val="Antrat1"/>
    <w:uiPriority w:val="9"/>
    <w:rsid w:val="00FF6635"/>
    <w:rPr>
      <w:rFonts w:asciiTheme="majorHAnsi" w:eastAsiaTheme="majorEastAsia" w:hAnsiTheme="majorHAnsi" w:cstheme="majorBidi"/>
      <w:color w:val="2F5496" w:themeColor="accent1" w:themeShade="BF"/>
      <w:sz w:val="32"/>
      <w:szCs w:val="32"/>
      <w:lang w:eastAsia="lt-LT"/>
    </w:rPr>
  </w:style>
  <w:style w:type="paragraph" w:customStyle="1" w:styleId="xmsonormal">
    <w:name w:val="x_msonormal"/>
    <w:basedOn w:val="prastasis"/>
    <w:rsid w:val="003666CD"/>
    <w:rPr>
      <w:rFonts w:ascii="Calibri" w:eastAsiaTheme="minorHAnsi" w:hAnsi="Calibri" w:cs="Calibri"/>
      <w:sz w:val="22"/>
      <w:szCs w:val="22"/>
    </w:rPr>
  </w:style>
  <w:style w:type="paragraph" w:styleId="Paprastasistekstas">
    <w:name w:val="Plain Text"/>
    <w:basedOn w:val="prastasis"/>
    <w:link w:val="PaprastasistekstasDiagrama"/>
    <w:semiHidden/>
    <w:unhideWhenUsed/>
    <w:rsid w:val="00DF036C"/>
    <w:pPr>
      <w:suppressAutoHyphens/>
      <w:autoSpaceDN w:val="0"/>
    </w:pPr>
    <w:rPr>
      <w:rFonts w:ascii="Calibri" w:eastAsia="Arial" w:hAnsi="Calibri"/>
      <w:sz w:val="22"/>
      <w:szCs w:val="21"/>
      <w:lang w:val="en-US" w:eastAsia="en-US"/>
    </w:rPr>
  </w:style>
  <w:style w:type="character" w:customStyle="1" w:styleId="PaprastasistekstasDiagrama">
    <w:name w:val="Paprastasis tekstas Diagrama"/>
    <w:basedOn w:val="Numatytasispastraiposriftas"/>
    <w:link w:val="Paprastasistekstas"/>
    <w:semiHidden/>
    <w:rsid w:val="00DF036C"/>
    <w:rPr>
      <w:rFonts w:ascii="Calibri" w:eastAsia="Arial" w:hAnsi="Calibri" w:cs="Times New Roman"/>
      <w:szCs w:val="21"/>
      <w:lang w:val="en-US"/>
    </w:rPr>
  </w:style>
  <w:style w:type="numbering" w:customStyle="1" w:styleId="LFO32">
    <w:name w:val="LFO32"/>
    <w:rsid w:val="00DF036C"/>
    <w:pPr>
      <w:numPr>
        <w:numId w:val="17"/>
      </w:numPr>
    </w:pPr>
  </w:style>
  <w:style w:type="paragraph" w:customStyle="1" w:styleId="gmail-msolistparagraph">
    <w:name w:val="gmail-msolistparagraph"/>
    <w:basedOn w:val="prastasis"/>
    <w:rsid w:val="00E6467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066">
      <w:bodyDiv w:val="1"/>
      <w:marLeft w:val="0"/>
      <w:marRight w:val="0"/>
      <w:marTop w:val="0"/>
      <w:marBottom w:val="0"/>
      <w:divBdr>
        <w:top w:val="none" w:sz="0" w:space="0" w:color="auto"/>
        <w:left w:val="none" w:sz="0" w:space="0" w:color="auto"/>
        <w:bottom w:val="none" w:sz="0" w:space="0" w:color="auto"/>
        <w:right w:val="none" w:sz="0" w:space="0" w:color="auto"/>
      </w:divBdr>
    </w:div>
    <w:div w:id="33432229">
      <w:bodyDiv w:val="1"/>
      <w:marLeft w:val="0"/>
      <w:marRight w:val="0"/>
      <w:marTop w:val="0"/>
      <w:marBottom w:val="0"/>
      <w:divBdr>
        <w:top w:val="none" w:sz="0" w:space="0" w:color="auto"/>
        <w:left w:val="none" w:sz="0" w:space="0" w:color="auto"/>
        <w:bottom w:val="none" w:sz="0" w:space="0" w:color="auto"/>
        <w:right w:val="none" w:sz="0" w:space="0" w:color="auto"/>
      </w:divBdr>
    </w:div>
    <w:div w:id="34237692">
      <w:bodyDiv w:val="1"/>
      <w:marLeft w:val="0"/>
      <w:marRight w:val="0"/>
      <w:marTop w:val="0"/>
      <w:marBottom w:val="0"/>
      <w:divBdr>
        <w:top w:val="none" w:sz="0" w:space="0" w:color="auto"/>
        <w:left w:val="none" w:sz="0" w:space="0" w:color="auto"/>
        <w:bottom w:val="none" w:sz="0" w:space="0" w:color="auto"/>
        <w:right w:val="none" w:sz="0" w:space="0" w:color="auto"/>
      </w:divBdr>
    </w:div>
    <w:div w:id="41173961">
      <w:bodyDiv w:val="1"/>
      <w:marLeft w:val="0"/>
      <w:marRight w:val="0"/>
      <w:marTop w:val="0"/>
      <w:marBottom w:val="0"/>
      <w:divBdr>
        <w:top w:val="none" w:sz="0" w:space="0" w:color="auto"/>
        <w:left w:val="none" w:sz="0" w:space="0" w:color="auto"/>
        <w:bottom w:val="none" w:sz="0" w:space="0" w:color="auto"/>
        <w:right w:val="none" w:sz="0" w:space="0" w:color="auto"/>
      </w:divBdr>
    </w:div>
    <w:div w:id="54813771">
      <w:bodyDiv w:val="1"/>
      <w:marLeft w:val="0"/>
      <w:marRight w:val="0"/>
      <w:marTop w:val="0"/>
      <w:marBottom w:val="0"/>
      <w:divBdr>
        <w:top w:val="none" w:sz="0" w:space="0" w:color="auto"/>
        <w:left w:val="none" w:sz="0" w:space="0" w:color="auto"/>
        <w:bottom w:val="none" w:sz="0" w:space="0" w:color="auto"/>
        <w:right w:val="none" w:sz="0" w:space="0" w:color="auto"/>
      </w:divBdr>
    </w:div>
    <w:div w:id="96485325">
      <w:bodyDiv w:val="1"/>
      <w:marLeft w:val="0"/>
      <w:marRight w:val="0"/>
      <w:marTop w:val="0"/>
      <w:marBottom w:val="0"/>
      <w:divBdr>
        <w:top w:val="none" w:sz="0" w:space="0" w:color="auto"/>
        <w:left w:val="none" w:sz="0" w:space="0" w:color="auto"/>
        <w:bottom w:val="none" w:sz="0" w:space="0" w:color="auto"/>
        <w:right w:val="none" w:sz="0" w:space="0" w:color="auto"/>
      </w:divBdr>
    </w:div>
    <w:div w:id="131141216">
      <w:bodyDiv w:val="1"/>
      <w:marLeft w:val="0"/>
      <w:marRight w:val="0"/>
      <w:marTop w:val="0"/>
      <w:marBottom w:val="0"/>
      <w:divBdr>
        <w:top w:val="none" w:sz="0" w:space="0" w:color="auto"/>
        <w:left w:val="none" w:sz="0" w:space="0" w:color="auto"/>
        <w:bottom w:val="none" w:sz="0" w:space="0" w:color="auto"/>
        <w:right w:val="none" w:sz="0" w:space="0" w:color="auto"/>
      </w:divBdr>
    </w:div>
    <w:div w:id="134839533">
      <w:bodyDiv w:val="1"/>
      <w:marLeft w:val="0"/>
      <w:marRight w:val="0"/>
      <w:marTop w:val="0"/>
      <w:marBottom w:val="0"/>
      <w:divBdr>
        <w:top w:val="none" w:sz="0" w:space="0" w:color="auto"/>
        <w:left w:val="none" w:sz="0" w:space="0" w:color="auto"/>
        <w:bottom w:val="none" w:sz="0" w:space="0" w:color="auto"/>
        <w:right w:val="none" w:sz="0" w:space="0" w:color="auto"/>
      </w:divBdr>
    </w:div>
    <w:div w:id="142358277">
      <w:bodyDiv w:val="1"/>
      <w:marLeft w:val="0"/>
      <w:marRight w:val="0"/>
      <w:marTop w:val="0"/>
      <w:marBottom w:val="0"/>
      <w:divBdr>
        <w:top w:val="none" w:sz="0" w:space="0" w:color="auto"/>
        <w:left w:val="none" w:sz="0" w:space="0" w:color="auto"/>
        <w:bottom w:val="none" w:sz="0" w:space="0" w:color="auto"/>
        <w:right w:val="none" w:sz="0" w:space="0" w:color="auto"/>
      </w:divBdr>
    </w:div>
    <w:div w:id="180051544">
      <w:bodyDiv w:val="1"/>
      <w:marLeft w:val="0"/>
      <w:marRight w:val="0"/>
      <w:marTop w:val="0"/>
      <w:marBottom w:val="0"/>
      <w:divBdr>
        <w:top w:val="none" w:sz="0" w:space="0" w:color="auto"/>
        <w:left w:val="none" w:sz="0" w:space="0" w:color="auto"/>
        <w:bottom w:val="none" w:sz="0" w:space="0" w:color="auto"/>
        <w:right w:val="none" w:sz="0" w:space="0" w:color="auto"/>
      </w:divBdr>
    </w:div>
    <w:div w:id="248581255">
      <w:bodyDiv w:val="1"/>
      <w:marLeft w:val="0"/>
      <w:marRight w:val="0"/>
      <w:marTop w:val="0"/>
      <w:marBottom w:val="0"/>
      <w:divBdr>
        <w:top w:val="none" w:sz="0" w:space="0" w:color="auto"/>
        <w:left w:val="none" w:sz="0" w:space="0" w:color="auto"/>
        <w:bottom w:val="none" w:sz="0" w:space="0" w:color="auto"/>
        <w:right w:val="none" w:sz="0" w:space="0" w:color="auto"/>
      </w:divBdr>
    </w:div>
    <w:div w:id="294601259">
      <w:bodyDiv w:val="1"/>
      <w:marLeft w:val="0"/>
      <w:marRight w:val="0"/>
      <w:marTop w:val="0"/>
      <w:marBottom w:val="0"/>
      <w:divBdr>
        <w:top w:val="none" w:sz="0" w:space="0" w:color="auto"/>
        <w:left w:val="none" w:sz="0" w:space="0" w:color="auto"/>
        <w:bottom w:val="none" w:sz="0" w:space="0" w:color="auto"/>
        <w:right w:val="none" w:sz="0" w:space="0" w:color="auto"/>
      </w:divBdr>
    </w:div>
    <w:div w:id="321814106">
      <w:bodyDiv w:val="1"/>
      <w:marLeft w:val="0"/>
      <w:marRight w:val="0"/>
      <w:marTop w:val="0"/>
      <w:marBottom w:val="0"/>
      <w:divBdr>
        <w:top w:val="none" w:sz="0" w:space="0" w:color="auto"/>
        <w:left w:val="none" w:sz="0" w:space="0" w:color="auto"/>
        <w:bottom w:val="none" w:sz="0" w:space="0" w:color="auto"/>
        <w:right w:val="none" w:sz="0" w:space="0" w:color="auto"/>
      </w:divBdr>
    </w:div>
    <w:div w:id="322782517">
      <w:bodyDiv w:val="1"/>
      <w:marLeft w:val="0"/>
      <w:marRight w:val="0"/>
      <w:marTop w:val="0"/>
      <w:marBottom w:val="0"/>
      <w:divBdr>
        <w:top w:val="none" w:sz="0" w:space="0" w:color="auto"/>
        <w:left w:val="none" w:sz="0" w:space="0" w:color="auto"/>
        <w:bottom w:val="none" w:sz="0" w:space="0" w:color="auto"/>
        <w:right w:val="none" w:sz="0" w:space="0" w:color="auto"/>
      </w:divBdr>
    </w:div>
    <w:div w:id="333267280">
      <w:bodyDiv w:val="1"/>
      <w:marLeft w:val="0"/>
      <w:marRight w:val="0"/>
      <w:marTop w:val="0"/>
      <w:marBottom w:val="0"/>
      <w:divBdr>
        <w:top w:val="none" w:sz="0" w:space="0" w:color="auto"/>
        <w:left w:val="none" w:sz="0" w:space="0" w:color="auto"/>
        <w:bottom w:val="none" w:sz="0" w:space="0" w:color="auto"/>
        <w:right w:val="none" w:sz="0" w:space="0" w:color="auto"/>
      </w:divBdr>
    </w:div>
    <w:div w:id="358969220">
      <w:bodyDiv w:val="1"/>
      <w:marLeft w:val="0"/>
      <w:marRight w:val="0"/>
      <w:marTop w:val="0"/>
      <w:marBottom w:val="0"/>
      <w:divBdr>
        <w:top w:val="none" w:sz="0" w:space="0" w:color="auto"/>
        <w:left w:val="none" w:sz="0" w:space="0" w:color="auto"/>
        <w:bottom w:val="none" w:sz="0" w:space="0" w:color="auto"/>
        <w:right w:val="none" w:sz="0" w:space="0" w:color="auto"/>
      </w:divBdr>
    </w:div>
    <w:div w:id="361168973">
      <w:bodyDiv w:val="1"/>
      <w:marLeft w:val="0"/>
      <w:marRight w:val="0"/>
      <w:marTop w:val="0"/>
      <w:marBottom w:val="0"/>
      <w:divBdr>
        <w:top w:val="none" w:sz="0" w:space="0" w:color="auto"/>
        <w:left w:val="none" w:sz="0" w:space="0" w:color="auto"/>
        <w:bottom w:val="none" w:sz="0" w:space="0" w:color="auto"/>
        <w:right w:val="none" w:sz="0" w:space="0" w:color="auto"/>
      </w:divBdr>
    </w:div>
    <w:div w:id="395474830">
      <w:bodyDiv w:val="1"/>
      <w:marLeft w:val="0"/>
      <w:marRight w:val="0"/>
      <w:marTop w:val="0"/>
      <w:marBottom w:val="0"/>
      <w:divBdr>
        <w:top w:val="none" w:sz="0" w:space="0" w:color="auto"/>
        <w:left w:val="none" w:sz="0" w:space="0" w:color="auto"/>
        <w:bottom w:val="none" w:sz="0" w:space="0" w:color="auto"/>
        <w:right w:val="none" w:sz="0" w:space="0" w:color="auto"/>
      </w:divBdr>
    </w:div>
    <w:div w:id="400447887">
      <w:bodyDiv w:val="1"/>
      <w:marLeft w:val="0"/>
      <w:marRight w:val="0"/>
      <w:marTop w:val="0"/>
      <w:marBottom w:val="0"/>
      <w:divBdr>
        <w:top w:val="none" w:sz="0" w:space="0" w:color="auto"/>
        <w:left w:val="none" w:sz="0" w:space="0" w:color="auto"/>
        <w:bottom w:val="none" w:sz="0" w:space="0" w:color="auto"/>
        <w:right w:val="none" w:sz="0" w:space="0" w:color="auto"/>
      </w:divBdr>
    </w:div>
    <w:div w:id="413862797">
      <w:bodyDiv w:val="1"/>
      <w:marLeft w:val="0"/>
      <w:marRight w:val="0"/>
      <w:marTop w:val="0"/>
      <w:marBottom w:val="0"/>
      <w:divBdr>
        <w:top w:val="none" w:sz="0" w:space="0" w:color="auto"/>
        <w:left w:val="none" w:sz="0" w:space="0" w:color="auto"/>
        <w:bottom w:val="none" w:sz="0" w:space="0" w:color="auto"/>
        <w:right w:val="none" w:sz="0" w:space="0" w:color="auto"/>
      </w:divBdr>
    </w:div>
    <w:div w:id="473453561">
      <w:bodyDiv w:val="1"/>
      <w:marLeft w:val="0"/>
      <w:marRight w:val="0"/>
      <w:marTop w:val="0"/>
      <w:marBottom w:val="0"/>
      <w:divBdr>
        <w:top w:val="none" w:sz="0" w:space="0" w:color="auto"/>
        <w:left w:val="none" w:sz="0" w:space="0" w:color="auto"/>
        <w:bottom w:val="none" w:sz="0" w:space="0" w:color="auto"/>
        <w:right w:val="none" w:sz="0" w:space="0" w:color="auto"/>
      </w:divBdr>
    </w:div>
    <w:div w:id="505483474">
      <w:bodyDiv w:val="1"/>
      <w:marLeft w:val="0"/>
      <w:marRight w:val="0"/>
      <w:marTop w:val="0"/>
      <w:marBottom w:val="0"/>
      <w:divBdr>
        <w:top w:val="none" w:sz="0" w:space="0" w:color="auto"/>
        <w:left w:val="none" w:sz="0" w:space="0" w:color="auto"/>
        <w:bottom w:val="none" w:sz="0" w:space="0" w:color="auto"/>
        <w:right w:val="none" w:sz="0" w:space="0" w:color="auto"/>
      </w:divBdr>
    </w:div>
    <w:div w:id="507063786">
      <w:bodyDiv w:val="1"/>
      <w:marLeft w:val="0"/>
      <w:marRight w:val="0"/>
      <w:marTop w:val="0"/>
      <w:marBottom w:val="0"/>
      <w:divBdr>
        <w:top w:val="none" w:sz="0" w:space="0" w:color="auto"/>
        <w:left w:val="none" w:sz="0" w:space="0" w:color="auto"/>
        <w:bottom w:val="none" w:sz="0" w:space="0" w:color="auto"/>
        <w:right w:val="none" w:sz="0" w:space="0" w:color="auto"/>
      </w:divBdr>
    </w:div>
    <w:div w:id="568612310">
      <w:bodyDiv w:val="1"/>
      <w:marLeft w:val="0"/>
      <w:marRight w:val="0"/>
      <w:marTop w:val="0"/>
      <w:marBottom w:val="0"/>
      <w:divBdr>
        <w:top w:val="none" w:sz="0" w:space="0" w:color="auto"/>
        <w:left w:val="none" w:sz="0" w:space="0" w:color="auto"/>
        <w:bottom w:val="none" w:sz="0" w:space="0" w:color="auto"/>
        <w:right w:val="none" w:sz="0" w:space="0" w:color="auto"/>
      </w:divBdr>
    </w:div>
    <w:div w:id="593902799">
      <w:bodyDiv w:val="1"/>
      <w:marLeft w:val="0"/>
      <w:marRight w:val="0"/>
      <w:marTop w:val="0"/>
      <w:marBottom w:val="0"/>
      <w:divBdr>
        <w:top w:val="none" w:sz="0" w:space="0" w:color="auto"/>
        <w:left w:val="none" w:sz="0" w:space="0" w:color="auto"/>
        <w:bottom w:val="none" w:sz="0" w:space="0" w:color="auto"/>
        <w:right w:val="none" w:sz="0" w:space="0" w:color="auto"/>
      </w:divBdr>
    </w:div>
    <w:div w:id="605039040">
      <w:bodyDiv w:val="1"/>
      <w:marLeft w:val="0"/>
      <w:marRight w:val="0"/>
      <w:marTop w:val="0"/>
      <w:marBottom w:val="0"/>
      <w:divBdr>
        <w:top w:val="none" w:sz="0" w:space="0" w:color="auto"/>
        <w:left w:val="none" w:sz="0" w:space="0" w:color="auto"/>
        <w:bottom w:val="none" w:sz="0" w:space="0" w:color="auto"/>
        <w:right w:val="none" w:sz="0" w:space="0" w:color="auto"/>
      </w:divBdr>
    </w:div>
    <w:div w:id="637076805">
      <w:bodyDiv w:val="1"/>
      <w:marLeft w:val="0"/>
      <w:marRight w:val="0"/>
      <w:marTop w:val="0"/>
      <w:marBottom w:val="0"/>
      <w:divBdr>
        <w:top w:val="none" w:sz="0" w:space="0" w:color="auto"/>
        <w:left w:val="none" w:sz="0" w:space="0" w:color="auto"/>
        <w:bottom w:val="none" w:sz="0" w:space="0" w:color="auto"/>
        <w:right w:val="none" w:sz="0" w:space="0" w:color="auto"/>
      </w:divBdr>
    </w:div>
    <w:div w:id="645283882">
      <w:bodyDiv w:val="1"/>
      <w:marLeft w:val="0"/>
      <w:marRight w:val="0"/>
      <w:marTop w:val="0"/>
      <w:marBottom w:val="0"/>
      <w:divBdr>
        <w:top w:val="none" w:sz="0" w:space="0" w:color="auto"/>
        <w:left w:val="none" w:sz="0" w:space="0" w:color="auto"/>
        <w:bottom w:val="none" w:sz="0" w:space="0" w:color="auto"/>
        <w:right w:val="none" w:sz="0" w:space="0" w:color="auto"/>
      </w:divBdr>
    </w:div>
    <w:div w:id="789514999">
      <w:bodyDiv w:val="1"/>
      <w:marLeft w:val="0"/>
      <w:marRight w:val="0"/>
      <w:marTop w:val="0"/>
      <w:marBottom w:val="0"/>
      <w:divBdr>
        <w:top w:val="none" w:sz="0" w:space="0" w:color="auto"/>
        <w:left w:val="none" w:sz="0" w:space="0" w:color="auto"/>
        <w:bottom w:val="none" w:sz="0" w:space="0" w:color="auto"/>
        <w:right w:val="none" w:sz="0" w:space="0" w:color="auto"/>
      </w:divBdr>
    </w:div>
    <w:div w:id="823929367">
      <w:bodyDiv w:val="1"/>
      <w:marLeft w:val="0"/>
      <w:marRight w:val="0"/>
      <w:marTop w:val="0"/>
      <w:marBottom w:val="0"/>
      <w:divBdr>
        <w:top w:val="none" w:sz="0" w:space="0" w:color="auto"/>
        <w:left w:val="none" w:sz="0" w:space="0" w:color="auto"/>
        <w:bottom w:val="none" w:sz="0" w:space="0" w:color="auto"/>
        <w:right w:val="none" w:sz="0" w:space="0" w:color="auto"/>
      </w:divBdr>
    </w:div>
    <w:div w:id="844393521">
      <w:bodyDiv w:val="1"/>
      <w:marLeft w:val="0"/>
      <w:marRight w:val="0"/>
      <w:marTop w:val="0"/>
      <w:marBottom w:val="0"/>
      <w:divBdr>
        <w:top w:val="none" w:sz="0" w:space="0" w:color="auto"/>
        <w:left w:val="none" w:sz="0" w:space="0" w:color="auto"/>
        <w:bottom w:val="none" w:sz="0" w:space="0" w:color="auto"/>
        <w:right w:val="none" w:sz="0" w:space="0" w:color="auto"/>
      </w:divBdr>
    </w:div>
    <w:div w:id="875655617">
      <w:bodyDiv w:val="1"/>
      <w:marLeft w:val="0"/>
      <w:marRight w:val="0"/>
      <w:marTop w:val="0"/>
      <w:marBottom w:val="0"/>
      <w:divBdr>
        <w:top w:val="none" w:sz="0" w:space="0" w:color="auto"/>
        <w:left w:val="none" w:sz="0" w:space="0" w:color="auto"/>
        <w:bottom w:val="none" w:sz="0" w:space="0" w:color="auto"/>
        <w:right w:val="none" w:sz="0" w:space="0" w:color="auto"/>
      </w:divBdr>
    </w:div>
    <w:div w:id="908151191">
      <w:bodyDiv w:val="1"/>
      <w:marLeft w:val="0"/>
      <w:marRight w:val="0"/>
      <w:marTop w:val="0"/>
      <w:marBottom w:val="0"/>
      <w:divBdr>
        <w:top w:val="none" w:sz="0" w:space="0" w:color="auto"/>
        <w:left w:val="none" w:sz="0" w:space="0" w:color="auto"/>
        <w:bottom w:val="none" w:sz="0" w:space="0" w:color="auto"/>
        <w:right w:val="none" w:sz="0" w:space="0" w:color="auto"/>
      </w:divBdr>
    </w:div>
    <w:div w:id="927152211">
      <w:bodyDiv w:val="1"/>
      <w:marLeft w:val="0"/>
      <w:marRight w:val="0"/>
      <w:marTop w:val="0"/>
      <w:marBottom w:val="0"/>
      <w:divBdr>
        <w:top w:val="none" w:sz="0" w:space="0" w:color="auto"/>
        <w:left w:val="none" w:sz="0" w:space="0" w:color="auto"/>
        <w:bottom w:val="none" w:sz="0" w:space="0" w:color="auto"/>
        <w:right w:val="none" w:sz="0" w:space="0" w:color="auto"/>
      </w:divBdr>
    </w:div>
    <w:div w:id="944115040">
      <w:bodyDiv w:val="1"/>
      <w:marLeft w:val="0"/>
      <w:marRight w:val="0"/>
      <w:marTop w:val="0"/>
      <w:marBottom w:val="0"/>
      <w:divBdr>
        <w:top w:val="none" w:sz="0" w:space="0" w:color="auto"/>
        <w:left w:val="none" w:sz="0" w:space="0" w:color="auto"/>
        <w:bottom w:val="none" w:sz="0" w:space="0" w:color="auto"/>
        <w:right w:val="none" w:sz="0" w:space="0" w:color="auto"/>
      </w:divBdr>
    </w:div>
    <w:div w:id="948008774">
      <w:bodyDiv w:val="1"/>
      <w:marLeft w:val="0"/>
      <w:marRight w:val="0"/>
      <w:marTop w:val="0"/>
      <w:marBottom w:val="0"/>
      <w:divBdr>
        <w:top w:val="none" w:sz="0" w:space="0" w:color="auto"/>
        <w:left w:val="none" w:sz="0" w:space="0" w:color="auto"/>
        <w:bottom w:val="none" w:sz="0" w:space="0" w:color="auto"/>
        <w:right w:val="none" w:sz="0" w:space="0" w:color="auto"/>
      </w:divBdr>
    </w:div>
    <w:div w:id="977685641">
      <w:bodyDiv w:val="1"/>
      <w:marLeft w:val="0"/>
      <w:marRight w:val="0"/>
      <w:marTop w:val="0"/>
      <w:marBottom w:val="0"/>
      <w:divBdr>
        <w:top w:val="none" w:sz="0" w:space="0" w:color="auto"/>
        <w:left w:val="none" w:sz="0" w:space="0" w:color="auto"/>
        <w:bottom w:val="none" w:sz="0" w:space="0" w:color="auto"/>
        <w:right w:val="none" w:sz="0" w:space="0" w:color="auto"/>
      </w:divBdr>
    </w:div>
    <w:div w:id="988248369">
      <w:bodyDiv w:val="1"/>
      <w:marLeft w:val="0"/>
      <w:marRight w:val="0"/>
      <w:marTop w:val="0"/>
      <w:marBottom w:val="0"/>
      <w:divBdr>
        <w:top w:val="none" w:sz="0" w:space="0" w:color="auto"/>
        <w:left w:val="none" w:sz="0" w:space="0" w:color="auto"/>
        <w:bottom w:val="none" w:sz="0" w:space="0" w:color="auto"/>
        <w:right w:val="none" w:sz="0" w:space="0" w:color="auto"/>
      </w:divBdr>
    </w:div>
    <w:div w:id="1028800071">
      <w:bodyDiv w:val="1"/>
      <w:marLeft w:val="0"/>
      <w:marRight w:val="0"/>
      <w:marTop w:val="0"/>
      <w:marBottom w:val="0"/>
      <w:divBdr>
        <w:top w:val="none" w:sz="0" w:space="0" w:color="auto"/>
        <w:left w:val="none" w:sz="0" w:space="0" w:color="auto"/>
        <w:bottom w:val="none" w:sz="0" w:space="0" w:color="auto"/>
        <w:right w:val="none" w:sz="0" w:space="0" w:color="auto"/>
      </w:divBdr>
    </w:div>
    <w:div w:id="1066148234">
      <w:bodyDiv w:val="1"/>
      <w:marLeft w:val="0"/>
      <w:marRight w:val="0"/>
      <w:marTop w:val="0"/>
      <w:marBottom w:val="0"/>
      <w:divBdr>
        <w:top w:val="none" w:sz="0" w:space="0" w:color="auto"/>
        <w:left w:val="none" w:sz="0" w:space="0" w:color="auto"/>
        <w:bottom w:val="none" w:sz="0" w:space="0" w:color="auto"/>
        <w:right w:val="none" w:sz="0" w:space="0" w:color="auto"/>
      </w:divBdr>
    </w:div>
    <w:div w:id="1074661468">
      <w:bodyDiv w:val="1"/>
      <w:marLeft w:val="0"/>
      <w:marRight w:val="0"/>
      <w:marTop w:val="0"/>
      <w:marBottom w:val="0"/>
      <w:divBdr>
        <w:top w:val="none" w:sz="0" w:space="0" w:color="auto"/>
        <w:left w:val="none" w:sz="0" w:space="0" w:color="auto"/>
        <w:bottom w:val="none" w:sz="0" w:space="0" w:color="auto"/>
        <w:right w:val="none" w:sz="0" w:space="0" w:color="auto"/>
      </w:divBdr>
    </w:div>
    <w:div w:id="1103570954">
      <w:bodyDiv w:val="1"/>
      <w:marLeft w:val="0"/>
      <w:marRight w:val="0"/>
      <w:marTop w:val="0"/>
      <w:marBottom w:val="0"/>
      <w:divBdr>
        <w:top w:val="none" w:sz="0" w:space="0" w:color="auto"/>
        <w:left w:val="none" w:sz="0" w:space="0" w:color="auto"/>
        <w:bottom w:val="none" w:sz="0" w:space="0" w:color="auto"/>
        <w:right w:val="none" w:sz="0" w:space="0" w:color="auto"/>
      </w:divBdr>
    </w:div>
    <w:div w:id="1120761267">
      <w:bodyDiv w:val="1"/>
      <w:marLeft w:val="0"/>
      <w:marRight w:val="0"/>
      <w:marTop w:val="0"/>
      <w:marBottom w:val="0"/>
      <w:divBdr>
        <w:top w:val="none" w:sz="0" w:space="0" w:color="auto"/>
        <w:left w:val="none" w:sz="0" w:space="0" w:color="auto"/>
        <w:bottom w:val="none" w:sz="0" w:space="0" w:color="auto"/>
        <w:right w:val="none" w:sz="0" w:space="0" w:color="auto"/>
      </w:divBdr>
    </w:div>
    <w:div w:id="1136216761">
      <w:bodyDiv w:val="1"/>
      <w:marLeft w:val="0"/>
      <w:marRight w:val="0"/>
      <w:marTop w:val="0"/>
      <w:marBottom w:val="0"/>
      <w:divBdr>
        <w:top w:val="none" w:sz="0" w:space="0" w:color="auto"/>
        <w:left w:val="none" w:sz="0" w:space="0" w:color="auto"/>
        <w:bottom w:val="none" w:sz="0" w:space="0" w:color="auto"/>
        <w:right w:val="none" w:sz="0" w:space="0" w:color="auto"/>
      </w:divBdr>
    </w:div>
    <w:div w:id="1204555517">
      <w:bodyDiv w:val="1"/>
      <w:marLeft w:val="0"/>
      <w:marRight w:val="0"/>
      <w:marTop w:val="0"/>
      <w:marBottom w:val="0"/>
      <w:divBdr>
        <w:top w:val="none" w:sz="0" w:space="0" w:color="auto"/>
        <w:left w:val="none" w:sz="0" w:space="0" w:color="auto"/>
        <w:bottom w:val="none" w:sz="0" w:space="0" w:color="auto"/>
        <w:right w:val="none" w:sz="0" w:space="0" w:color="auto"/>
      </w:divBdr>
    </w:div>
    <w:div w:id="1255359946">
      <w:bodyDiv w:val="1"/>
      <w:marLeft w:val="0"/>
      <w:marRight w:val="0"/>
      <w:marTop w:val="0"/>
      <w:marBottom w:val="0"/>
      <w:divBdr>
        <w:top w:val="none" w:sz="0" w:space="0" w:color="auto"/>
        <w:left w:val="none" w:sz="0" w:space="0" w:color="auto"/>
        <w:bottom w:val="none" w:sz="0" w:space="0" w:color="auto"/>
        <w:right w:val="none" w:sz="0" w:space="0" w:color="auto"/>
      </w:divBdr>
    </w:div>
    <w:div w:id="1264847994">
      <w:bodyDiv w:val="1"/>
      <w:marLeft w:val="0"/>
      <w:marRight w:val="0"/>
      <w:marTop w:val="0"/>
      <w:marBottom w:val="0"/>
      <w:divBdr>
        <w:top w:val="none" w:sz="0" w:space="0" w:color="auto"/>
        <w:left w:val="none" w:sz="0" w:space="0" w:color="auto"/>
        <w:bottom w:val="none" w:sz="0" w:space="0" w:color="auto"/>
        <w:right w:val="none" w:sz="0" w:space="0" w:color="auto"/>
      </w:divBdr>
    </w:div>
    <w:div w:id="1283658030">
      <w:bodyDiv w:val="1"/>
      <w:marLeft w:val="0"/>
      <w:marRight w:val="0"/>
      <w:marTop w:val="0"/>
      <w:marBottom w:val="0"/>
      <w:divBdr>
        <w:top w:val="none" w:sz="0" w:space="0" w:color="auto"/>
        <w:left w:val="none" w:sz="0" w:space="0" w:color="auto"/>
        <w:bottom w:val="none" w:sz="0" w:space="0" w:color="auto"/>
        <w:right w:val="none" w:sz="0" w:space="0" w:color="auto"/>
      </w:divBdr>
    </w:div>
    <w:div w:id="1287390967">
      <w:bodyDiv w:val="1"/>
      <w:marLeft w:val="0"/>
      <w:marRight w:val="0"/>
      <w:marTop w:val="0"/>
      <w:marBottom w:val="0"/>
      <w:divBdr>
        <w:top w:val="none" w:sz="0" w:space="0" w:color="auto"/>
        <w:left w:val="none" w:sz="0" w:space="0" w:color="auto"/>
        <w:bottom w:val="none" w:sz="0" w:space="0" w:color="auto"/>
        <w:right w:val="none" w:sz="0" w:space="0" w:color="auto"/>
      </w:divBdr>
    </w:div>
    <w:div w:id="1288050596">
      <w:bodyDiv w:val="1"/>
      <w:marLeft w:val="0"/>
      <w:marRight w:val="0"/>
      <w:marTop w:val="0"/>
      <w:marBottom w:val="0"/>
      <w:divBdr>
        <w:top w:val="none" w:sz="0" w:space="0" w:color="auto"/>
        <w:left w:val="none" w:sz="0" w:space="0" w:color="auto"/>
        <w:bottom w:val="none" w:sz="0" w:space="0" w:color="auto"/>
        <w:right w:val="none" w:sz="0" w:space="0" w:color="auto"/>
      </w:divBdr>
    </w:div>
    <w:div w:id="1305620055">
      <w:bodyDiv w:val="1"/>
      <w:marLeft w:val="0"/>
      <w:marRight w:val="0"/>
      <w:marTop w:val="0"/>
      <w:marBottom w:val="0"/>
      <w:divBdr>
        <w:top w:val="none" w:sz="0" w:space="0" w:color="auto"/>
        <w:left w:val="none" w:sz="0" w:space="0" w:color="auto"/>
        <w:bottom w:val="none" w:sz="0" w:space="0" w:color="auto"/>
        <w:right w:val="none" w:sz="0" w:space="0" w:color="auto"/>
      </w:divBdr>
    </w:div>
    <w:div w:id="1305699942">
      <w:bodyDiv w:val="1"/>
      <w:marLeft w:val="0"/>
      <w:marRight w:val="0"/>
      <w:marTop w:val="0"/>
      <w:marBottom w:val="0"/>
      <w:divBdr>
        <w:top w:val="none" w:sz="0" w:space="0" w:color="auto"/>
        <w:left w:val="none" w:sz="0" w:space="0" w:color="auto"/>
        <w:bottom w:val="none" w:sz="0" w:space="0" w:color="auto"/>
        <w:right w:val="none" w:sz="0" w:space="0" w:color="auto"/>
      </w:divBdr>
    </w:div>
    <w:div w:id="1319266021">
      <w:bodyDiv w:val="1"/>
      <w:marLeft w:val="0"/>
      <w:marRight w:val="0"/>
      <w:marTop w:val="0"/>
      <w:marBottom w:val="0"/>
      <w:divBdr>
        <w:top w:val="none" w:sz="0" w:space="0" w:color="auto"/>
        <w:left w:val="none" w:sz="0" w:space="0" w:color="auto"/>
        <w:bottom w:val="none" w:sz="0" w:space="0" w:color="auto"/>
        <w:right w:val="none" w:sz="0" w:space="0" w:color="auto"/>
      </w:divBdr>
    </w:div>
    <w:div w:id="1328292714">
      <w:bodyDiv w:val="1"/>
      <w:marLeft w:val="0"/>
      <w:marRight w:val="0"/>
      <w:marTop w:val="0"/>
      <w:marBottom w:val="0"/>
      <w:divBdr>
        <w:top w:val="none" w:sz="0" w:space="0" w:color="auto"/>
        <w:left w:val="none" w:sz="0" w:space="0" w:color="auto"/>
        <w:bottom w:val="none" w:sz="0" w:space="0" w:color="auto"/>
        <w:right w:val="none" w:sz="0" w:space="0" w:color="auto"/>
      </w:divBdr>
    </w:div>
    <w:div w:id="1345784685">
      <w:bodyDiv w:val="1"/>
      <w:marLeft w:val="0"/>
      <w:marRight w:val="0"/>
      <w:marTop w:val="0"/>
      <w:marBottom w:val="0"/>
      <w:divBdr>
        <w:top w:val="none" w:sz="0" w:space="0" w:color="auto"/>
        <w:left w:val="none" w:sz="0" w:space="0" w:color="auto"/>
        <w:bottom w:val="none" w:sz="0" w:space="0" w:color="auto"/>
        <w:right w:val="none" w:sz="0" w:space="0" w:color="auto"/>
      </w:divBdr>
    </w:div>
    <w:div w:id="1359699779">
      <w:bodyDiv w:val="1"/>
      <w:marLeft w:val="0"/>
      <w:marRight w:val="0"/>
      <w:marTop w:val="0"/>
      <w:marBottom w:val="0"/>
      <w:divBdr>
        <w:top w:val="none" w:sz="0" w:space="0" w:color="auto"/>
        <w:left w:val="none" w:sz="0" w:space="0" w:color="auto"/>
        <w:bottom w:val="none" w:sz="0" w:space="0" w:color="auto"/>
        <w:right w:val="none" w:sz="0" w:space="0" w:color="auto"/>
      </w:divBdr>
    </w:div>
    <w:div w:id="1377504873">
      <w:bodyDiv w:val="1"/>
      <w:marLeft w:val="0"/>
      <w:marRight w:val="0"/>
      <w:marTop w:val="0"/>
      <w:marBottom w:val="0"/>
      <w:divBdr>
        <w:top w:val="none" w:sz="0" w:space="0" w:color="auto"/>
        <w:left w:val="none" w:sz="0" w:space="0" w:color="auto"/>
        <w:bottom w:val="none" w:sz="0" w:space="0" w:color="auto"/>
        <w:right w:val="none" w:sz="0" w:space="0" w:color="auto"/>
      </w:divBdr>
    </w:div>
    <w:div w:id="1397631258">
      <w:bodyDiv w:val="1"/>
      <w:marLeft w:val="0"/>
      <w:marRight w:val="0"/>
      <w:marTop w:val="0"/>
      <w:marBottom w:val="0"/>
      <w:divBdr>
        <w:top w:val="none" w:sz="0" w:space="0" w:color="auto"/>
        <w:left w:val="none" w:sz="0" w:space="0" w:color="auto"/>
        <w:bottom w:val="none" w:sz="0" w:space="0" w:color="auto"/>
        <w:right w:val="none" w:sz="0" w:space="0" w:color="auto"/>
      </w:divBdr>
    </w:div>
    <w:div w:id="1405833194">
      <w:bodyDiv w:val="1"/>
      <w:marLeft w:val="0"/>
      <w:marRight w:val="0"/>
      <w:marTop w:val="0"/>
      <w:marBottom w:val="0"/>
      <w:divBdr>
        <w:top w:val="none" w:sz="0" w:space="0" w:color="auto"/>
        <w:left w:val="none" w:sz="0" w:space="0" w:color="auto"/>
        <w:bottom w:val="none" w:sz="0" w:space="0" w:color="auto"/>
        <w:right w:val="none" w:sz="0" w:space="0" w:color="auto"/>
      </w:divBdr>
    </w:div>
    <w:div w:id="1440760969">
      <w:bodyDiv w:val="1"/>
      <w:marLeft w:val="0"/>
      <w:marRight w:val="0"/>
      <w:marTop w:val="0"/>
      <w:marBottom w:val="0"/>
      <w:divBdr>
        <w:top w:val="none" w:sz="0" w:space="0" w:color="auto"/>
        <w:left w:val="none" w:sz="0" w:space="0" w:color="auto"/>
        <w:bottom w:val="none" w:sz="0" w:space="0" w:color="auto"/>
        <w:right w:val="none" w:sz="0" w:space="0" w:color="auto"/>
      </w:divBdr>
    </w:div>
    <w:div w:id="1443836502">
      <w:bodyDiv w:val="1"/>
      <w:marLeft w:val="0"/>
      <w:marRight w:val="0"/>
      <w:marTop w:val="0"/>
      <w:marBottom w:val="0"/>
      <w:divBdr>
        <w:top w:val="none" w:sz="0" w:space="0" w:color="auto"/>
        <w:left w:val="none" w:sz="0" w:space="0" w:color="auto"/>
        <w:bottom w:val="none" w:sz="0" w:space="0" w:color="auto"/>
        <w:right w:val="none" w:sz="0" w:space="0" w:color="auto"/>
      </w:divBdr>
    </w:div>
    <w:div w:id="1446465927">
      <w:bodyDiv w:val="1"/>
      <w:marLeft w:val="0"/>
      <w:marRight w:val="0"/>
      <w:marTop w:val="0"/>
      <w:marBottom w:val="0"/>
      <w:divBdr>
        <w:top w:val="none" w:sz="0" w:space="0" w:color="auto"/>
        <w:left w:val="none" w:sz="0" w:space="0" w:color="auto"/>
        <w:bottom w:val="none" w:sz="0" w:space="0" w:color="auto"/>
        <w:right w:val="none" w:sz="0" w:space="0" w:color="auto"/>
      </w:divBdr>
    </w:div>
    <w:div w:id="1466966876">
      <w:bodyDiv w:val="1"/>
      <w:marLeft w:val="0"/>
      <w:marRight w:val="0"/>
      <w:marTop w:val="0"/>
      <w:marBottom w:val="0"/>
      <w:divBdr>
        <w:top w:val="none" w:sz="0" w:space="0" w:color="auto"/>
        <w:left w:val="none" w:sz="0" w:space="0" w:color="auto"/>
        <w:bottom w:val="none" w:sz="0" w:space="0" w:color="auto"/>
        <w:right w:val="none" w:sz="0" w:space="0" w:color="auto"/>
      </w:divBdr>
    </w:div>
    <w:div w:id="1498770516">
      <w:bodyDiv w:val="1"/>
      <w:marLeft w:val="0"/>
      <w:marRight w:val="0"/>
      <w:marTop w:val="0"/>
      <w:marBottom w:val="0"/>
      <w:divBdr>
        <w:top w:val="none" w:sz="0" w:space="0" w:color="auto"/>
        <w:left w:val="none" w:sz="0" w:space="0" w:color="auto"/>
        <w:bottom w:val="none" w:sz="0" w:space="0" w:color="auto"/>
        <w:right w:val="none" w:sz="0" w:space="0" w:color="auto"/>
      </w:divBdr>
    </w:div>
    <w:div w:id="1505702358">
      <w:bodyDiv w:val="1"/>
      <w:marLeft w:val="0"/>
      <w:marRight w:val="0"/>
      <w:marTop w:val="0"/>
      <w:marBottom w:val="0"/>
      <w:divBdr>
        <w:top w:val="none" w:sz="0" w:space="0" w:color="auto"/>
        <w:left w:val="none" w:sz="0" w:space="0" w:color="auto"/>
        <w:bottom w:val="none" w:sz="0" w:space="0" w:color="auto"/>
        <w:right w:val="none" w:sz="0" w:space="0" w:color="auto"/>
      </w:divBdr>
    </w:div>
    <w:div w:id="1509785182">
      <w:bodyDiv w:val="1"/>
      <w:marLeft w:val="0"/>
      <w:marRight w:val="0"/>
      <w:marTop w:val="0"/>
      <w:marBottom w:val="0"/>
      <w:divBdr>
        <w:top w:val="none" w:sz="0" w:space="0" w:color="auto"/>
        <w:left w:val="none" w:sz="0" w:space="0" w:color="auto"/>
        <w:bottom w:val="none" w:sz="0" w:space="0" w:color="auto"/>
        <w:right w:val="none" w:sz="0" w:space="0" w:color="auto"/>
      </w:divBdr>
    </w:div>
    <w:div w:id="1534727797">
      <w:bodyDiv w:val="1"/>
      <w:marLeft w:val="0"/>
      <w:marRight w:val="0"/>
      <w:marTop w:val="0"/>
      <w:marBottom w:val="0"/>
      <w:divBdr>
        <w:top w:val="none" w:sz="0" w:space="0" w:color="auto"/>
        <w:left w:val="none" w:sz="0" w:space="0" w:color="auto"/>
        <w:bottom w:val="none" w:sz="0" w:space="0" w:color="auto"/>
        <w:right w:val="none" w:sz="0" w:space="0" w:color="auto"/>
      </w:divBdr>
    </w:div>
    <w:div w:id="1536966374">
      <w:bodyDiv w:val="1"/>
      <w:marLeft w:val="0"/>
      <w:marRight w:val="0"/>
      <w:marTop w:val="0"/>
      <w:marBottom w:val="0"/>
      <w:divBdr>
        <w:top w:val="none" w:sz="0" w:space="0" w:color="auto"/>
        <w:left w:val="none" w:sz="0" w:space="0" w:color="auto"/>
        <w:bottom w:val="none" w:sz="0" w:space="0" w:color="auto"/>
        <w:right w:val="none" w:sz="0" w:space="0" w:color="auto"/>
      </w:divBdr>
    </w:div>
    <w:div w:id="1539076611">
      <w:bodyDiv w:val="1"/>
      <w:marLeft w:val="0"/>
      <w:marRight w:val="0"/>
      <w:marTop w:val="0"/>
      <w:marBottom w:val="0"/>
      <w:divBdr>
        <w:top w:val="none" w:sz="0" w:space="0" w:color="auto"/>
        <w:left w:val="none" w:sz="0" w:space="0" w:color="auto"/>
        <w:bottom w:val="none" w:sz="0" w:space="0" w:color="auto"/>
        <w:right w:val="none" w:sz="0" w:space="0" w:color="auto"/>
      </w:divBdr>
    </w:div>
    <w:div w:id="1556769461">
      <w:bodyDiv w:val="1"/>
      <w:marLeft w:val="0"/>
      <w:marRight w:val="0"/>
      <w:marTop w:val="0"/>
      <w:marBottom w:val="0"/>
      <w:divBdr>
        <w:top w:val="none" w:sz="0" w:space="0" w:color="auto"/>
        <w:left w:val="none" w:sz="0" w:space="0" w:color="auto"/>
        <w:bottom w:val="none" w:sz="0" w:space="0" w:color="auto"/>
        <w:right w:val="none" w:sz="0" w:space="0" w:color="auto"/>
      </w:divBdr>
    </w:div>
    <w:div w:id="1567718416">
      <w:bodyDiv w:val="1"/>
      <w:marLeft w:val="0"/>
      <w:marRight w:val="0"/>
      <w:marTop w:val="0"/>
      <w:marBottom w:val="0"/>
      <w:divBdr>
        <w:top w:val="none" w:sz="0" w:space="0" w:color="auto"/>
        <w:left w:val="none" w:sz="0" w:space="0" w:color="auto"/>
        <w:bottom w:val="none" w:sz="0" w:space="0" w:color="auto"/>
        <w:right w:val="none" w:sz="0" w:space="0" w:color="auto"/>
      </w:divBdr>
    </w:div>
    <w:div w:id="1572353815">
      <w:bodyDiv w:val="1"/>
      <w:marLeft w:val="0"/>
      <w:marRight w:val="0"/>
      <w:marTop w:val="0"/>
      <w:marBottom w:val="0"/>
      <w:divBdr>
        <w:top w:val="none" w:sz="0" w:space="0" w:color="auto"/>
        <w:left w:val="none" w:sz="0" w:space="0" w:color="auto"/>
        <w:bottom w:val="none" w:sz="0" w:space="0" w:color="auto"/>
        <w:right w:val="none" w:sz="0" w:space="0" w:color="auto"/>
      </w:divBdr>
    </w:div>
    <w:div w:id="1595894272">
      <w:bodyDiv w:val="1"/>
      <w:marLeft w:val="0"/>
      <w:marRight w:val="0"/>
      <w:marTop w:val="0"/>
      <w:marBottom w:val="0"/>
      <w:divBdr>
        <w:top w:val="none" w:sz="0" w:space="0" w:color="auto"/>
        <w:left w:val="none" w:sz="0" w:space="0" w:color="auto"/>
        <w:bottom w:val="none" w:sz="0" w:space="0" w:color="auto"/>
        <w:right w:val="none" w:sz="0" w:space="0" w:color="auto"/>
      </w:divBdr>
    </w:div>
    <w:div w:id="1630087785">
      <w:bodyDiv w:val="1"/>
      <w:marLeft w:val="0"/>
      <w:marRight w:val="0"/>
      <w:marTop w:val="0"/>
      <w:marBottom w:val="0"/>
      <w:divBdr>
        <w:top w:val="none" w:sz="0" w:space="0" w:color="auto"/>
        <w:left w:val="none" w:sz="0" w:space="0" w:color="auto"/>
        <w:bottom w:val="none" w:sz="0" w:space="0" w:color="auto"/>
        <w:right w:val="none" w:sz="0" w:space="0" w:color="auto"/>
      </w:divBdr>
    </w:div>
    <w:div w:id="1631939210">
      <w:bodyDiv w:val="1"/>
      <w:marLeft w:val="0"/>
      <w:marRight w:val="0"/>
      <w:marTop w:val="0"/>
      <w:marBottom w:val="0"/>
      <w:divBdr>
        <w:top w:val="none" w:sz="0" w:space="0" w:color="auto"/>
        <w:left w:val="none" w:sz="0" w:space="0" w:color="auto"/>
        <w:bottom w:val="none" w:sz="0" w:space="0" w:color="auto"/>
        <w:right w:val="none" w:sz="0" w:space="0" w:color="auto"/>
      </w:divBdr>
    </w:div>
    <w:div w:id="1661813730">
      <w:bodyDiv w:val="1"/>
      <w:marLeft w:val="0"/>
      <w:marRight w:val="0"/>
      <w:marTop w:val="0"/>
      <w:marBottom w:val="0"/>
      <w:divBdr>
        <w:top w:val="none" w:sz="0" w:space="0" w:color="auto"/>
        <w:left w:val="none" w:sz="0" w:space="0" w:color="auto"/>
        <w:bottom w:val="none" w:sz="0" w:space="0" w:color="auto"/>
        <w:right w:val="none" w:sz="0" w:space="0" w:color="auto"/>
      </w:divBdr>
    </w:div>
    <w:div w:id="1662662579">
      <w:bodyDiv w:val="1"/>
      <w:marLeft w:val="0"/>
      <w:marRight w:val="0"/>
      <w:marTop w:val="0"/>
      <w:marBottom w:val="0"/>
      <w:divBdr>
        <w:top w:val="none" w:sz="0" w:space="0" w:color="auto"/>
        <w:left w:val="none" w:sz="0" w:space="0" w:color="auto"/>
        <w:bottom w:val="none" w:sz="0" w:space="0" w:color="auto"/>
        <w:right w:val="none" w:sz="0" w:space="0" w:color="auto"/>
      </w:divBdr>
    </w:div>
    <w:div w:id="1783574244">
      <w:bodyDiv w:val="1"/>
      <w:marLeft w:val="0"/>
      <w:marRight w:val="0"/>
      <w:marTop w:val="0"/>
      <w:marBottom w:val="0"/>
      <w:divBdr>
        <w:top w:val="none" w:sz="0" w:space="0" w:color="auto"/>
        <w:left w:val="none" w:sz="0" w:space="0" w:color="auto"/>
        <w:bottom w:val="none" w:sz="0" w:space="0" w:color="auto"/>
        <w:right w:val="none" w:sz="0" w:space="0" w:color="auto"/>
      </w:divBdr>
    </w:div>
    <w:div w:id="1792429913">
      <w:bodyDiv w:val="1"/>
      <w:marLeft w:val="0"/>
      <w:marRight w:val="0"/>
      <w:marTop w:val="0"/>
      <w:marBottom w:val="0"/>
      <w:divBdr>
        <w:top w:val="none" w:sz="0" w:space="0" w:color="auto"/>
        <w:left w:val="none" w:sz="0" w:space="0" w:color="auto"/>
        <w:bottom w:val="none" w:sz="0" w:space="0" w:color="auto"/>
        <w:right w:val="none" w:sz="0" w:space="0" w:color="auto"/>
      </w:divBdr>
    </w:div>
    <w:div w:id="1811824596">
      <w:bodyDiv w:val="1"/>
      <w:marLeft w:val="0"/>
      <w:marRight w:val="0"/>
      <w:marTop w:val="0"/>
      <w:marBottom w:val="0"/>
      <w:divBdr>
        <w:top w:val="none" w:sz="0" w:space="0" w:color="auto"/>
        <w:left w:val="none" w:sz="0" w:space="0" w:color="auto"/>
        <w:bottom w:val="none" w:sz="0" w:space="0" w:color="auto"/>
        <w:right w:val="none" w:sz="0" w:space="0" w:color="auto"/>
      </w:divBdr>
    </w:div>
    <w:div w:id="1853180778">
      <w:bodyDiv w:val="1"/>
      <w:marLeft w:val="0"/>
      <w:marRight w:val="0"/>
      <w:marTop w:val="0"/>
      <w:marBottom w:val="0"/>
      <w:divBdr>
        <w:top w:val="none" w:sz="0" w:space="0" w:color="auto"/>
        <w:left w:val="none" w:sz="0" w:space="0" w:color="auto"/>
        <w:bottom w:val="none" w:sz="0" w:space="0" w:color="auto"/>
        <w:right w:val="none" w:sz="0" w:space="0" w:color="auto"/>
      </w:divBdr>
    </w:div>
    <w:div w:id="1909339970">
      <w:bodyDiv w:val="1"/>
      <w:marLeft w:val="0"/>
      <w:marRight w:val="0"/>
      <w:marTop w:val="0"/>
      <w:marBottom w:val="0"/>
      <w:divBdr>
        <w:top w:val="none" w:sz="0" w:space="0" w:color="auto"/>
        <w:left w:val="none" w:sz="0" w:space="0" w:color="auto"/>
        <w:bottom w:val="none" w:sz="0" w:space="0" w:color="auto"/>
        <w:right w:val="none" w:sz="0" w:space="0" w:color="auto"/>
      </w:divBdr>
    </w:div>
    <w:div w:id="1943802385">
      <w:bodyDiv w:val="1"/>
      <w:marLeft w:val="0"/>
      <w:marRight w:val="0"/>
      <w:marTop w:val="0"/>
      <w:marBottom w:val="0"/>
      <w:divBdr>
        <w:top w:val="none" w:sz="0" w:space="0" w:color="auto"/>
        <w:left w:val="none" w:sz="0" w:space="0" w:color="auto"/>
        <w:bottom w:val="none" w:sz="0" w:space="0" w:color="auto"/>
        <w:right w:val="none" w:sz="0" w:space="0" w:color="auto"/>
      </w:divBdr>
    </w:div>
    <w:div w:id="1964579139">
      <w:bodyDiv w:val="1"/>
      <w:marLeft w:val="0"/>
      <w:marRight w:val="0"/>
      <w:marTop w:val="0"/>
      <w:marBottom w:val="0"/>
      <w:divBdr>
        <w:top w:val="none" w:sz="0" w:space="0" w:color="auto"/>
        <w:left w:val="none" w:sz="0" w:space="0" w:color="auto"/>
        <w:bottom w:val="none" w:sz="0" w:space="0" w:color="auto"/>
        <w:right w:val="none" w:sz="0" w:space="0" w:color="auto"/>
      </w:divBdr>
    </w:div>
    <w:div w:id="2027631164">
      <w:bodyDiv w:val="1"/>
      <w:marLeft w:val="0"/>
      <w:marRight w:val="0"/>
      <w:marTop w:val="0"/>
      <w:marBottom w:val="0"/>
      <w:divBdr>
        <w:top w:val="none" w:sz="0" w:space="0" w:color="auto"/>
        <w:left w:val="none" w:sz="0" w:space="0" w:color="auto"/>
        <w:bottom w:val="none" w:sz="0" w:space="0" w:color="auto"/>
        <w:right w:val="none" w:sz="0" w:space="0" w:color="auto"/>
      </w:divBdr>
    </w:div>
    <w:div w:id="2028677536">
      <w:bodyDiv w:val="1"/>
      <w:marLeft w:val="0"/>
      <w:marRight w:val="0"/>
      <w:marTop w:val="0"/>
      <w:marBottom w:val="0"/>
      <w:divBdr>
        <w:top w:val="none" w:sz="0" w:space="0" w:color="auto"/>
        <w:left w:val="none" w:sz="0" w:space="0" w:color="auto"/>
        <w:bottom w:val="none" w:sz="0" w:space="0" w:color="auto"/>
        <w:right w:val="none" w:sz="0" w:space="0" w:color="auto"/>
      </w:divBdr>
    </w:div>
    <w:div w:id="2035492804">
      <w:bodyDiv w:val="1"/>
      <w:marLeft w:val="0"/>
      <w:marRight w:val="0"/>
      <w:marTop w:val="0"/>
      <w:marBottom w:val="0"/>
      <w:divBdr>
        <w:top w:val="none" w:sz="0" w:space="0" w:color="auto"/>
        <w:left w:val="none" w:sz="0" w:space="0" w:color="auto"/>
        <w:bottom w:val="none" w:sz="0" w:space="0" w:color="auto"/>
        <w:right w:val="none" w:sz="0" w:space="0" w:color="auto"/>
      </w:divBdr>
    </w:div>
    <w:div w:id="2088109902">
      <w:bodyDiv w:val="1"/>
      <w:marLeft w:val="0"/>
      <w:marRight w:val="0"/>
      <w:marTop w:val="0"/>
      <w:marBottom w:val="0"/>
      <w:divBdr>
        <w:top w:val="none" w:sz="0" w:space="0" w:color="auto"/>
        <w:left w:val="none" w:sz="0" w:space="0" w:color="auto"/>
        <w:bottom w:val="none" w:sz="0" w:space="0" w:color="auto"/>
        <w:right w:val="none" w:sz="0" w:space="0" w:color="auto"/>
      </w:divBdr>
    </w:div>
    <w:div w:id="2099397902">
      <w:bodyDiv w:val="1"/>
      <w:marLeft w:val="0"/>
      <w:marRight w:val="0"/>
      <w:marTop w:val="0"/>
      <w:marBottom w:val="0"/>
      <w:divBdr>
        <w:top w:val="none" w:sz="0" w:space="0" w:color="auto"/>
        <w:left w:val="none" w:sz="0" w:space="0" w:color="auto"/>
        <w:bottom w:val="none" w:sz="0" w:space="0" w:color="auto"/>
        <w:right w:val="none" w:sz="0" w:space="0" w:color="auto"/>
      </w:divBdr>
    </w:div>
    <w:div w:id="2111273624">
      <w:bodyDiv w:val="1"/>
      <w:marLeft w:val="0"/>
      <w:marRight w:val="0"/>
      <w:marTop w:val="0"/>
      <w:marBottom w:val="0"/>
      <w:divBdr>
        <w:top w:val="none" w:sz="0" w:space="0" w:color="auto"/>
        <w:left w:val="none" w:sz="0" w:space="0" w:color="auto"/>
        <w:bottom w:val="none" w:sz="0" w:space="0" w:color="auto"/>
        <w:right w:val="none" w:sz="0" w:space="0" w:color="auto"/>
      </w:divBdr>
    </w:div>
    <w:div w:id="213189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min.lrv.lt/" TargetMode="Externa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vnt.lt/assets/Apskaita/VAS-2020/13-V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10250</Words>
  <Characters>5843</Characters>
  <Application>Microsoft Office Word</Application>
  <DocSecurity>0</DocSecurity>
  <Lines>48</Lines>
  <Paragraphs>32</Paragraphs>
  <ScaleCrop>false</ScaleCrop>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Kazlauskienė Aurelija</dc:creator>
  <cp:keywords/>
  <dc:description/>
  <cp:lastModifiedBy>Mantas Lukšys</cp:lastModifiedBy>
  <cp:revision>348</cp:revision>
  <cp:lastPrinted>2022-06-21T23:38:00Z</cp:lastPrinted>
  <dcterms:created xsi:type="dcterms:W3CDTF">2022-09-06T23:04:00Z</dcterms:created>
  <dcterms:modified xsi:type="dcterms:W3CDTF">2023-05-26T10:35:00Z</dcterms:modified>
</cp:coreProperties>
</file>