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1B6C" w14:textId="03B80384" w:rsidR="00460912" w:rsidRPr="00CE209A" w:rsidRDefault="00A0310B" w:rsidP="00F23BD6">
      <w:pPr>
        <w:ind w:left="9072"/>
        <w:rPr>
          <w:szCs w:val="24"/>
        </w:rPr>
      </w:pPr>
      <w:r w:rsidRPr="00CE209A">
        <w:rPr>
          <w:szCs w:val="24"/>
        </w:rPr>
        <w:t>P</w:t>
      </w:r>
      <w:r w:rsidR="004D29E4" w:rsidRPr="00CE209A">
        <w:rPr>
          <w:szCs w:val="24"/>
        </w:rPr>
        <w:t xml:space="preserve">lėtros programos pažangos priemonės </w:t>
      </w:r>
      <w:r w:rsidR="00460912" w:rsidRPr="00CE209A">
        <w:rPr>
          <w:szCs w:val="24"/>
        </w:rPr>
        <w:t>Nr. 02-001-06-04-01 „Skatinti pastatų renovaciją“ veiklos</w:t>
      </w:r>
      <w:r w:rsidR="00436F58" w:rsidRPr="00CE209A">
        <w:rPr>
          <w:szCs w:val="24"/>
        </w:rPr>
        <w:t xml:space="preserve"> </w:t>
      </w:r>
      <w:r w:rsidR="00460912" w:rsidRPr="00CE209A">
        <w:rPr>
          <w:szCs w:val="24"/>
        </w:rPr>
        <w:t>„</w:t>
      </w:r>
      <w:r w:rsidR="00C8115A" w:rsidRPr="00CE209A">
        <w:rPr>
          <w:szCs w:val="24"/>
        </w:rPr>
        <w:t>Organinių medžiagų gamybinių pajėgumų sukūrimas</w:t>
      </w:r>
      <w:r w:rsidR="00460912" w:rsidRPr="00CE209A">
        <w:rPr>
          <w:szCs w:val="24"/>
        </w:rPr>
        <w:t xml:space="preserve">“ projektų finansavimo sąlygų aprašo </w:t>
      </w:r>
    </w:p>
    <w:p w14:paraId="6241CC62" w14:textId="72D076D9" w:rsidR="00460912" w:rsidRPr="00CE209A" w:rsidRDefault="004D29E4" w:rsidP="00F23BD6">
      <w:pPr>
        <w:ind w:left="9072"/>
        <w:rPr>
          <w:szCs w:val="24"/>
        </w:rPr>
      </w:pPr>
      <w:r w:rsidRPr="00CE209A">
        <w:rPr>
          <w:szCs w:val="24"/>
        </w:rPr>
        <w:t xml:space="preserve">1 </w:t>
      </w:r>
      <w:r w:rsidR="00460912" w:rsidRPr="00CE209A">
        <w:rPr>
          <w:szCs w:val="24"/>
        </w:rPr>
        <w:t xml:space="preserve">priedas </w:t>
      </w:r>
    </w:p>
    <w:p w14:paraId="114AB6C1" w14:textId="77777777" w:rsidR="00460912" w:rsidRDefault="00460912" w:rsidP="00460912">
      <w:pPr>
        <w:jc w:val="center"/>
        <w:rPr>
          <w:szCs w:val="24"/>
        </w:rPr>
      </w:pPr>
    </w:p>
    <w:p w14:paraId="7A51B3D8" w14:textId="77777777" w:rsidR="00460912" w:rsidRDefault="00460912" w:rsidP="00460912">
      <w:pPr>
        <w:jc w:val="center"/>
        <w:rPr>
          <w:rFonts w:eastAsia="Calibri"/>
          <w:b/>
          <w:bCs/>
          <w:szCs w:val="24"/>
        </w:rPr>
      </w:pPr>
    </w:p>
    <w:p w14:paraId="2B6D6C57" w14:textId="437C6064" w:rsidR="00460912" w:rsidRDefault="00107C61" w:rsidP="00460912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 (įskaitant jungtinį projektą) atitikties reikšmingos žalos nedarymo horizontaliajam principui vertinimo reikalavimų aprašas</w:t>
      </w:r>
    </w:p>
    <w:p w14:paraId="1FE21DA6" w14:textId="77777777" w:rsidR="00460912" w:rsidRDefault="00460912" w:rsidP="00460912">
      <w:pPr>
        <w:jc w:val="center"/>
        <w:rPr>
          <w:rFonts w:eastAsia="Calibri"/>
          <w:b/>
          <w:bCs/>
          <w:szCs w:val="24"/>
        </w:rPr>
      </w:pPr>
    </w:p>
    <w:p w14:paraId="40982D31" w14:textId="77777777" w:rsidR="00460912" w:rsidRDefault="00460912" w:rsidP="00460912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Finansavimo šaltinis, pagal kurį finansuojamas projektas: </w:t>
      </w:r>
    </w:p>
    <w:p w14:paraId="290A7A02" w14:textId="77777777" w:rsidR="00460912" w:rsidRDefault="00460912" w:rsidP="00460912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ascii="Wingdings 2" w:eastAsia="Wingdings 2" w:hAnsi="Wingdings 2" w:cs="Wingdings 2"/>
        </w:rPr>
        <w:t></w:t>
      </w:r>
      <w:r>
        <w:t xml:space="preserve"> </w:t>
      </w:r>
      <w:r>
        <w:rPr>
          <w:rFonts w:eastAsia="Calibri"/>
          <w:bCs/>
          <w:szCs w:val="24"/>
        </w:rPr>
        <w:t>Ekonomikos gaivinimo ir atsparumo didinimo priemonė (toliau – EGADP)</w:t>
      </w:r>
    </w:p>
    <w:p w14:paraId="11F763F7" w14:textId="77777777" w:rsidR="00460912" w:rsidRDefault="00460912" w:rsidP="00460912">
      <w:pPr>
        <w:spacing w:line="276" w:lineRule="auto"/>
        <w:jc w:val="both"/>
        <w:rPr>
          <w:rFonts w:eastAsia="Calibri"/>
          <w:bCs/>
          <w:szCs w:val="24"/>
        </w:rPr>
      </w:pPr>
      <w:r>
        <w:rPr>
          <w:rFonts w:ascii="Wingdings 2" w:eastAsia="Wingdings 2" w:hAnsi="Wingdings 2" w:cs="Wingdings 2"/>
        </w:rPr>
        <w:t></w:t>
      </w:r>
      <w:r>
        <w:t xml:space="preserve"> Europos Sąjungos fondų i</w:t>
      </w:r>
      <w:r>
        <w:rPr>
          <w:rFonts w:eastAsia="Calibri"/>
          <w:bCs/>
          <w:szCs w:val="24"/>
        </w:rPr>
        <w:t>nvesticijų programa (toliau – ESIP)</w:t>
      </w:r>
    </w:p>
    <w:p w14:paraId="5AC2A7E9" w14:textId="77777777" w:rsidR="00460912" w:rsidRDefault="00460912" w:rsidP="00460912">
      <w:pPr>
        <w:spacing w:line="276" w:lineRule="auto"/>
        <w:jc w:val="both"/>
        <w:rPr>
          <w:rFonts w:eastAsia="Calibri"/>
          <w:bCs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072"/>
        <w:gridCol w:w="3402"/>
      </w:tblGrid>
      <w:tr w:rsidR="00460912" w14:paraId="5CA6EC95" w14:textId="77777777" w:rsidTr="001712FA">
        <w:tc>
          <w:tcPr>
            <w:tcW w:w="2122" w:type="dxa"/>
          </w:tcPr>
          <w:p w14:paraId="26BCB6AC" w14:textId="24924D1D" w:rsidR="00460912" w:rsidRDefault="00460912" w:rsidP="001712FA">
            <w:pPr>
              <w:spacing w:after="12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Aplinkos tikslai</w:t>
            </w:r>
          </w:p>
        </w:tc>
        <w:tc>
          <w:tcPr>
            <w:tcW w:w="9072" w:type="dxa"/>
          </w:tcPr>
          <w:p w14:paraId="39B80FD8" w14:textId="1BA520BD" w:rsidR="00460912" w:rsidRDefault="00460912" w:rsidP="001712FA">
            <w:pPr>
              <w:spacing w:after="12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Pagrindimas</w:t>
            </w:r>
          </w:p>
        </w:tc>
        <w:tc>
          <w:tcPr>
            <w:tcW w:w="3402" w:type="dxa"/>
          </w:tcPr>
          <w:p w14:paraId="14675EA7" w14:textId="561597AE" w:rsidR="00460912" w:rsidRPr="001712FA" w:rsidRDefault="00460912" w:rsidP="001712FA">
            <w:pPr>
              <w:spacing w:after="120" w:line="276" w:lineRule="auto"/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b/>
                <w:szCs w:val="24"/>
              </w:rPr>
              <w:t>Pagrindimo dokumenta</w:t>
            </w:r>
            <w:r w:rsidR="001712FA">
              <w:rPr>
                <w:rFonts w:eastAsia="Calibri"/>
                <w:b/>
                <w:szCs w:val="24"/>
              </w:rPr>
              <w:t>i</w:t>
            </w:r>
          </w:p>
        </w:tc>
      </w:tr>
      <w:tr w:rsidR="00460912" w14:paraId="60EA05BA" w14:textId="77777777" w:rsidTr="001712FA">
        <w:tc>
          <w:tcPr>
            <w:tcW w:w="2122" w:type="dxa"/>
          </w:tcPr>
          <w:p w14:paraId="0ACEE7A6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firstLine="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ab/>
              <w:t>Klimato kaitos švelninimas</w:t>
            </w:r>
          </w:p>
        </w:tc>
        <w:tc>
          <w:tcPr>
            <w:tcW w:w="9072" w:type="dxa"/>
          </w:tcPr>
          <w:p w14:paraId="3E9984C6" w14:textId="20D0B2A6" w:rsidR="00460912" w:rsidRPr="00D843CA" w:rsidRDefault="00A02887" w:rsidP="001679C9">
            <w:pPr>
              <w:spacing w:after="120" w:line="276" w:lineRule="auto"/>
              <w:jc w:val="both"/>
              <w:rPr>
                <w:rFonts w:eastAsia="Calibri"/>
                <w:bCs/>
                <w:iCs/>
                <w:szCs w:val="24"/>
              </w:rPr>
            </w:pPr>
            <w:r>
              <w:rPr>
                <w:rFonts w:eastAsia="Calibri"/>
                <w:bCs/>
                <w:iCs/>
                <w:szCs w:val="24"/>
              </w:rPr>
              <w:t>Pastatams renovuoti skirtų skydų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iš organinių medžiagų</w:t>
            </w:r>
            <w:r w:rsidR="00AC78F6">
              <w:rPr>
                <w:rFonts w:eastAsia="Calibri"/>
                <w:bCs/>
                <w:iCs/>
                <w:szCs w:val="24"/>
              </w:rPr>
              <w:t xml:space="preserve">, kurių dalis yra atsinaujinančios organinės kilmės medžiagos, 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gamybos pajėgumų sukūrimas priskiriamas 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>2021 m. vasario 12 d.</w:t>
            </w:r>
            <w:r w:rsidR="000B145B">
              <w:rPr>
                <w:rFonts w:eastAsia="Calibri"/>
                <w:bCs/>
                <w:iCs/>
                <w:szCs w:val="24"/>
              </w:rPr>
              <w:t xml:space="preserve"> E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 xml:space="preserve">uropos </w:t>
            </w:r>
            <w:r w:rsidR="00153931">
              <w:rPr>
                <w:rFonts w:eastAsia="Calibri"/>
                <w:bCs/>
                <w:iCs/>
                <w:szCs w:val="24"/>
              </w:rPr>
              <w:t>P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 xml:space="preserve">arlamento ir </w:t>
            </w:r>
            <w:r w:rsidR="00153931">
              <w:rPr>
                <w:rFonts w:eastAsia="Calibri"/>
                <w:bCs/>
                <w:iCs/>
                <w:szCs w:val="24"/>
              </w:rPr>
              <w:t>T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>arybos reglament</w:t>
            </w:r>
            <w:r w:rsidR="000B145B">
              <w:rPr>
                <w:rFonts w:eastAsia="Calibri"/>
                <w:bCs/>
                <w:iCs/>
                <w:szCs w:val="24"/>
              </w:rPr>
              <w:t>o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 xml:space="preserve"> (ES) 2021/241</w:t>
            </w:r>
            <w:r>
              <w:rPr>
                <w:rFonts w:eastAsia="Calibri"/>
                <w:bCs/>
                <w:iCs/>
                <w:szCs w:val="24"/>
              </w:rPr>
              <w:t>,</w:t>
            </w:r>
            <w:r w:rsidR="00153931">
              <w:rPr>
                <w:rFonts w:eastAsia="Calibri"/>
                <w:bCs/>
                <w:iCs/>
                <w:szCs w:val="24"/>
              </w:rPr>
              <w:t xml:space="preserve"> kuriuo nustatoma ekonomikos gaivinimo ir atsparumo didinimo priemonė</w:t>
            </w:r>
            <w:r w:rsidR="00CE209A">
              <w:rPr>
                <w:rFonts w:eastAsia="Calibri"/>
                <w:bCs/>
                <w:iCs/>
                <w:szCs w:val="24"/>
              </w:rPr>
              <w:t>,</w:t>
            </w:r>
            <w:r w:rsidR="000B145B" w:rsidRPr="000B145B">
              <w:rPr>
                <w:rFonts w:eastAsia="Calibri"/>
                <w:bCs/>
                <w:iCs/>
                <w:szCs w:val="24"/>
              </w:rPr>
              <w:t xml:space="preserve"> 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VI priedo intervenciniam kodui </w:t>
            </w:r>
            <w:r w:rsidR="00AC78F6" w:rsidRPr="00793F05">
              <w:rPr>
                <w:rFonts w:eastAsia="Calibri"/>
                <w:bCs/>
                <w:iCs/>
                <w:szCs w:val="24"/>
              </w:rPr>
              <w:t xml:space="preserve">022 </w:t>
            </w:r>
            <w:r>
              <w:rPr>
                <w:rFonts w:eastAsia="Calibri"/>
                <w:bCs/>
                <w:iCs/>
                <w:szCs w:val="24"/>
              </w:rPr>
              <w:t>„</w:t>
            </w:r>
            <w:r w:rsidR="00AC78F6" w:rsidRPr="00793F05">
              <w:rPr>
                <w:rFonts w:eastAsia="Calibri"/>
                <w:bCs/>
                <w:iCs/>
                <w:szCs w:val="24"/>
              </w:rPr>
              <w:t>Įmonių, daugiausia dėmesio skiriančių mažo anglies dioksido kiekio technologijų ekonomikai ir atsparumui klimato kaitai bei prisitaikymui prie jos, vykdomi moksliniai tyrimai ir inovacijų diegimas, technologijų perdavimas ir bendradarbiavimas</w:t>
            </w:r>
            <w:r>
              <w:rPr>
                <w:rFonts w:eastAsia="Calibri"/>
                <w:bCs/>
                <w:iCs/>
                <w:szCs w:val="24"/>
              </w:rPr>
              <w:t>“</w:t>
            </w:r>
            <w:r w:rsidRPr="00793F05">
              <w:rPr>
                <w:rFonts w:eastAsia="Calibri"/>
                <w:bCs/>
                <w:iCs/>
                <w:szCs w:val="24"/>
              </w:rPr>
              <w:t xml:space="preserve">. </w:t>
            </w:r>
            <w:r w:rsidR="00AC78F6" w:rsidRPr="00793F05">
              <w:rPr>
                <w:rFonts w:eastAsia="Calibri"/>
                <w:bCs/>
                <w:iCs/>
                <w:szCs w:val="24"/>
              </w:rPr>
              <w:t>Skyd</w:t>
            </w:r>
            <w:r w:rsidR="00AC78F6">
              <w:rPr>
                <w:rFonts w:eastAsia="Calibri"/>
                <w:bCs/>
                <w:iCs/>
                <w:szCs w:val="24"/>
              </w:rPr>
              <w:t>ų gamybai naudojant atsinaujinančias organinės kilmės medžiagas</w:t>
            </w:r>
            <w:r w:rsidR="001679C9">
              <w:rPr>
                <w:rFonts w:eastAsia="Calibri"/>
                <w:bCs/>
                <w:iCs/>
                <w:szCs w:val="24"/>
              </w:rPr>
              <w:t>,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bus</w:t>
            </w:r>
            <w:r w:rsidR="00AC78F6">
              <w:rPr>
                <w:rFonts w:eastAsia="Calibri"/>
                <w:bCs/>
                <w:iCs/>
                <w:szCs w:val="24"/>
              </w:rPr>
              <w:t xml:space="preserve"> „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>užrakina</w:t>
            </w:r>
            <w:r w:rsidR="00AC78F6">
              <w:rPr>
                <w:rFonts w:eastAsia="Calibri"/>
                <w:bCs/>
                <w:iCs/>
                <w:szCs w:val="24"/>
              </w:rPr>
              <w:t>ma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>s</w:t>
            </w:r>
            <w:r w:rsidR="00AC78F6">
              <w:rPr>
                <w:rFonts w:eastAsia="Calibri"/>
                <w:bCs/>
                <w:iCs/>
                <w:szCs w:val="24"/>
              </w:rPr>
              <w:t>“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</w:t>
            </w:r>
            <w:r w:rsidR="00E22759">
              <w:rPr>
                <w:rFonts w:eastAsia="Calibri"/>
                <w:bCs/>
                <w:iCs/>
                <w:szCs w:val="24"/>
              </w:rPr>
              <w:t>anglies dioksidas (toliau</w:t>
            </w:r>
            <w:r>
              <w:rPr>
                <w:rFonts w:eastAsia="Calibri"/>
                <w:bCs/>
                <w:iCs/>
                <w:szCs w:val="24"/>
              </w:rPr>
              <w:t xml:space="preserve"> </w:t>
            </w:r>
            <w:r w:rsidR="00CE209A" w:rsidRPr="00CE209A">
              <w:rPr>
                <w:rFonts w:eastAsia="Calibri"/>
                <w:bCs/>
                <w:iCs/>
                <w:szCs w:val="24"/>
              </w:rPr>
              <w:t>–</w:t>
            </w:r>
            <w:r>
              <w:rPr>
                <w:rFonts w:eastAsia="Calibri"/>
                <w:bCs/>
                <w:iCs/>
                <w:szCs w:val="24"/>
              </w:rPr>
              <w:t xml:space="preserve"> 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>CO</w:t>
            </w:r>
            <w:r w:rsidR="00AC78F6" w:rsidRPr="002B4F8A">
              <w:rPr>
                <w:rFonts w:eastAsia="Calibri"/>
                <w:bCs/>
                <w:iCs/>
                <w:szCs w:val="24"/>
                <w:vertAlign w:val="subscript"/>
              </w:rPr>
              <w:t>2</w:t>
            </w:r>
            <w:r w:rsidR="00E22759">
              <w:rPr>
                <w:rFonts w:eastAsia="Calibri"/>
                <w:bCs/>
                <w:iCs/>
                <w:szCs w:val="24"/>
                <w:vertAlign w:val="subscript"/>
              </w:rPr>
              <w:t>)</w:t>
            </w:r>
            <w:r w:rsidR="00F82ABA">
              <w:rPr>
                <w:rFonts w:eastAsia="Calibri"/>
                <w:bCs/>
                <w:iCs/>
                <w:szCs w:val="24"/>
              </w:rPr>
              <w:t>, skatinamas šių medžiagų vietos išteklių panaudojimas išvengiant pervežimų didesniais atstumais</w:t>
            </w:r>
            <w:r w:rsidR="001679C9">
              <w:rPr>
                <w:rFonts w:eastAsia="Calibri"/>
                <w:bCs/>
                <w:iCs/>
                <w:szCs w:val="24"/>
              </w:rPr>
              <w:t>,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 su tuo susijusių </w:t>
            </w:r>
            <w:r w:rsidR="00F82ABA" w:rsidRPr="00AC78F6">
              <w:rPr>
                <w:rFonts w:eastAsia="Calibri"/>
                <w:bCs/>
                <w:iCs/>
                <w:szCs w:val="24"/>
              </w:rPr>
              <w:t>CO</w:t>
            </w:r>
            <w:r w:rsidR="00F82ABA" w:rsidRPr="002B4F8A">
              <w:rPr>
                <w:rFonts w:eastAsia="Calibri"/>
                <w:bCs/>
                <w:iCs/>
                <w:szCs w:val="24"/>
                <w:vertAlign w:val="subscript"/>
              </w:rPr>
              <w:t>2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 ir kitų teršalų išmetimų.</w:t>
            </w:r>
            <w:r w:rsidR="00AC78F6">
              <w:rPr>
                <w:rFonts w:eastAsia="Calibri"/>
                <w:bCs/>
                <w:iCs/>
                <w:szCs w:val="24"/>
              </w:rPr>
              <w:t xml:space="preserve"> Skydai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pakei</w:t>
            </w:r>
            <w:r w:rsidR="00AC78F6">
              <w:rPr>
                <w:rFonts w:eastAsia="Calibri"/>
                <w:bCs/>
                <w:iCs/>
                <w:szCs w:val="24"/>
              </w:rPr>
              <w:t>s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šiuo metu naudojam</w:t>
            </w:r>
            <w:r w:rsidR="00AC78F6">
              <w:rPr>
                <w:rFonts w:eastAsia="Calibri"/>
                <w:bCs/>
                <w:iCs/>
                <w:szCs w:val="24"/>
              </w:rPr>
              <w:t>a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>s fasad</w:t>
            </w:r>
            <w:r w:rsidR="00AC78F6">
              <w:rPr>
                <w:rFonts w:eastAsia="Calibri"/>
                <w:bCs/>
                <w:iCs/>
                <w:szCs w:val="24"/>
              </w:rPr>
              <w:t>ų ir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 </w:t>
            </w:r>
            <w:r w:rsidR="00AC78F6">
              <w:rPr>
                <w:rFonts w:eastAsia="Calibri"/>
                <w:bCs/>
                <w:iCs/>
                <w:szCs w:val="24"/>
              </w:rPr>
              <w:t>stogo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apšiltinimo medžiagos, kuri</w:t>
            </w:r>
            <w:r w:rsidR="000B145B">
              <w:rPr>
                <w:rFonts w:eastAsia="Calibri"/>
                <w:bCs/>
                <w:iCs/>
                <w:szCs w:val="24"/>
              </w:rPr>
              <w:t>as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gam</w:t>
            </w:r>
            <w:r w:rsidR="000B145B">
              <w:rPr>
                <w:rFonts w:eastAsia="Calibri"/>
                <w:bCs/>
                <w:iCs/>
                <w:szCs w:val="24"/>
              </w:rPr>
              <w:t>inant</w:t>
            </w:r>
            <w:r w:rsidR="001679C9">
              <w:rPr>
                <w:rFonts w:eastAsia="Calibri"/>
                <w:bCs/>
                <w:iCs/>
                <w:szCs w:val="24"/>
              </w:rPr>
              <w:t>,</w:t>
            </w:r>
            <w:r w:rsidR="000B145B">
              <w:rPr>
                <w:rFonts w:eastAsia="Calibri"/>
                <w:bCs/>
                <w:iCs/>
                <w:szCs w:val="24"/>
              </w:rPr>
              <w:t xml:space="preserve"> pasibaigus naudojimo laikui šalinant,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 xml:space="preserve"> išsiskiria CO</w:t>
            </w:r>
            <w:r w:rsidR="00AC78F6" w:rsidRPr="002B4F8A">
              <w:rPr>
                <w:rFonts w:eastAsia="Calibri"/>
                <w:bCs/>
                <w:iCs/>
                <w:szCs w:val="24"/>
                <w:vertAlign w:val="subscript"/>
              </w:rPr>
              <w:t>2</w:t>
            </w:r>
            <w:r w:rsidR="00AC78F6" w:rsidRPr="00AC78F6">
              <w:rPr>
                <w:rFonts w:eastAsia="Calibri"/>
                <w:bCs/>
                <w:iCs/>
                <w:szCs w:val="24"/>
              </w:rPr>
              <w:t>.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 Automatizavus </w:t>
            </w:r>
            <w:r w:rsidR="001679C9">
              <w:rPr>
                <w:rFonts w:eastAsia="Calibri"/>
                <w:bCs/>
                <w:iCs/>
                <w:szCs w:val="24"/>
              </w:rPr>
              <w:t xml:space="preserve">skydų 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gamybą, bus </w:t>
            </w:r>
            <w:r w:rsidR="001679C9">
              <w:rPr>
                <w:rFonts w:eastAsia="Calibri"/>
                <w:bCs/>
                <w:iCs/>
                <w:szCs w:val="24"/>
              </w:rPr>
              <w:t xml:space="preserve">sutaupoma žaliavų </w:t>
            </w:r>
            <w:r w:rsidR="00F82ABA">
              <w:rPr>
                <w:rFonts w:eastAsia="Calibri"/>
                <w:bCs/>
                <w:iCs/>
                <w:szCs w:val="24"/>
              </w:rPr>
              <w:t xml:space="preserve">ir </w:t>
            </w:r>
            <w:r w:rsidR="001679C9">
              <w:rPr>
                <w:rFonts w:eastAsia="Calibri"/>
                <w:bCs/>
                <w:iCs/>
                <w:szCs w:val="24"/>
              </w:rPr>
              <w:t>energetinių išteklių</w:t>
            </w:r>
            <w:r w:rsidR="00F82ABA">
              <w:rPr>
                <w:rFonts w:eastAsia="Calibri"/>
                <w:bCs/>
                <w:iCs/>
                <w:szCs w:val="24"/>
              </w:rPr>
              <w:t>.</w:t>
            </w:r>
          </w:p>
        </w:tc>
        <w:tc>
          <w:tcPr>
            <w:tcW w:w="3402" w:type="dxa"/>
          </w:tcPr>
          <w:p w14:paraId="442BD728" w14:textId="1F6527C9" w:rsidR="002B4F8A" w:rsidRPr="002B4F8A" w:rsidRDefault="00D843CA" w:rsidP="001679C9">
            <w:pPr>
              <w:tabs>
                <w:tab w:val="left" w:pos="589"/>
              </w:tabs>
              <w:spacing w:after="120" w:line="276" w:lineRule="auto"/>
              <w:jc w:val="both"/>
              <w:rPr>
                <w:bCs/>
                <w:szCs w:val="24"/>
              </w:rPr>
            </w:pPr>
            <w:r w:rsidRPr="00D843CA">
              <w:rPr>
                <w:bCs/>
                <w:szCs w:val="24"/>
              </w:rPr>
              <w:t xml:space="preserve">Netaikoma, </w:t>
            </w:r>
            <w:r w:rsidR="001679C9">
              <w:rPr>
                <w:bCs/>
                <w:szCs w:val="24"/>
              </w:rPr>
              <w:t>nes</w:t>
            </w:r>
            <w:r w:rsidR="001679C9" w:rsidRPr="00D843CA">
              <w:rPr>
                <w:bCs/>
                <w:szCs w:val="24"/>
              </w:rPr>
              <w:t xml:space="preserve"> </w:t>
            </w:r>
            <w:r w:rsidRPr="00D843CA">
              <w:rPr>
                <w:bCs/>
                <w:szCs w:val="24"/>
              </w:rPr>
              <w:t>veikla 100 procentų prisideda prie klimato kaitos švelninimo tikslo</w:t>
            </w:r>
            <w:r w:rsidR="00A96B4D">
              <w:rPr>
                <w:bCs/>
                <w:szCs w:val="24"/>
              </w:rPr>
              <w:t xml:space="preserve">, </w:t>
            </w:r>
            <w:r w:rsidR="00A96B4D" w:rsidRPr="00A96B4D">
              <w:rPr>
                <w:bCs/>
                <w:szCs w:val="24"/>
              </w:rPr>
              <w:t>pagrindimo dokumentai neteikiami</w:t>
            </w:r>
            <w:r w:rsidRPr="00D843CA">
              <w:rPr>
                <w:bCs/>
                <w:szCs w:val="24"/>
              </w:rPr>
              <w:t>.</w:t>
            </w:r>
          </w:p>
        </w:tc>
      </w:tr>
      <w:tr w:rsidR="00460912" w14:paraId="381C1008" w14:textId="77777777" w:rsidTr="001712FA">
        <w:tc>
          <w:tcPr>
            <w:tcW w:w="2122" w:type="dxa"/>
          </w:tcPr>
          <w:p w14:paraId="0CEA9581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firstLine="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>
              <w:rPr>
                <w:rFonts w:eastAsia="Calibri"/>
                <w:szCs w:val="24"/>
              </w:rPr>
              <w:tab/>
              <w:t>Prisitaikymas prie klimato kaitos</w:t>
            </w:r>
          </w:p>
        </w:tc>
        <w:tc>
          <w:tcPr>
            <w:tcW w:w="9072" w:type="dxa"/>
          </w:tcPr>
          <w:p w14:paraId="04CEC646" w14:textId="368F8568" w:rsidR="00D47AE4" w:rsidRPr="00AA26A9" w:rsidRDefault="00793F05" w:rsidP="0039541B">
            <w:pPr>
              <w:spacing w:after="120" w:line="276" w:lineRule="auto"/>
              <w:jc w:val="both"/>
              <w:rPr>
                <w:rFonts w:eastAsia="Calibri"/>
                <w:bCs/>
                <w:iCs/>
                <w:szCs w:val="24"/>
              </w:rPr>
            </w:pPr>
            <w:r w:rsidRPr="00AA26A9">
              <w:rPr>
                <w:rFonts w:eastAsia="Calibri"/>
                <w:bCs/>
                <w:iCs/>
                <w:szCs w:val="24"/>
              </w:rPr>
              <w:t>Skydų gamyba įgalins efektyviau prisitaikyti prie klimato kaitos, nes</w:t>
            </w:r>
            <w:r w:rsidR="00D47AE4" w:rsidRPr="00AA26A9">
              <w:rPr>
                <w:rFonts w:eastAsia="Calibri"/>
                <w:bCs/>
                <w:iCs/>
                <w:szCs w:val="24"/>
              </w:rPr>
              <w:t>:</w:t>
            </w:r>
          </w:p>
          <w:p w14:paraId="5E6F389C" w14:textId="775E5F56" w:rsidR="00D47AE4" w:rsidRPr="00AA26A9" w:rsidRDefault="00D47AE4" w:rsidP="00CE209A">
            <w:pPr>
              <w:pStyle w:val="ListParagraph"/>
              <w:numPr>
                <w:ilvl w:val="0"/>
                <w:numId w:val="25"/>
              </w:numPr>
              <w:tabs>
                <w:tab w:val="left" w:pos="154"/>
              </w:tabs>
              <w:spacing w:after="120"/>
              <w:ind w:left="13" w:hanging="1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67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</w:t>
            </w:r>
            <w:r w:rsidR="001679C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kydai </w:t>
            </w: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bus </w:t>
            </w:r>
            <w:r w:rsidR="00793F05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gaminami iš organin</w:t>
            </w:r>
            <w:r w:rsidR="000B145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ės kilmės </w:t>
            </w:r>
            <w:r w:rsidR="00793F05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medžiagų, kurios atsparios</w:t>
            </w:r>
            <w:r w:rsidR="00CE20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93F05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temperatūrų svyravimams ir perteklinei drėgmei</w:t>
            </w: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3680827E" w14:textId="3CEAE94C" w:rsidR="00D47AE4" w:rsidRPr="00AA26A9" w:rsidRDefault="00CE209A" w:rsidP="00CE209A">
            <w:pPr>
              <w:pStyle w:val="ListParagraph"/>
              <w:numPr>
                <w:ilvl w:val="0"/>
                <w:numId w:val="25"/>
              </w:numPr>
              <w:tabs>
                <w:tab w:val="left" w:pos="154"/>
              </w:tabs>
              <w:spacing w:after="120"/>
              <w:ind w:left="13" w:hanging="1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</w:t>
            </w:r>
            <w:r w:rsidR="001679C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kydais 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apšiltintų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679C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pastatų</w:t>
            </w:r>
            <w:r w:rsidR="001679C9" w:rsidRPr="00AA26A9" w:rsidDel="00167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vidaus patalpų mikroklimatas mažiau priklauso nuo išorės temperatūros ir k</w:t>
            </w:r>
            <w:r w:rsidR="003E022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itų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E022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oro 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sąlygų svyravimų</w:t>
            </w:r>
            <w:r w:rsidR="00AA26A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kurie didėja</w:t>
            </w:r>
            <w:r w:rsidR="00AA26A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E022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keičiantis </w:t>
            </w:r>
            <w:r w:rsidR="00AA26A9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klimat</w:t>
            </w:r>
            <w:r w:rsidR="003E022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ui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(vasarą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per 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ekstremalius karščius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mažiau įkaista, žiemą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per ekstremalius šalčius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mažiau atvėsta)</w:t>
            </w:r>
            <w:r w:rsidR="00167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todėl 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sumažės šildymui ir vėsinimui gaminamos energijos poreikis;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šildymui reikalingos energijos </w:t>
            </w:r>
            <w:r w:rsidR="00167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kiekis 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sumažės dėl </w:t>
            </w:r>
            <w:r w:rsidR="00E2275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padidėjusio</w:t>
            </w:r>
            <w:r w:rsid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pastatų energinio efektyvumo;</w:t>
            </w:r>
          </w:p>
          <w:p w14:paraId="1E761CAE" w14:textId="102210FA" w:rsidR="00B36B32" w:rsidRPr="00AA26A9" w:rsidRDefault="00AA26A9" w:rsidP="00CE209A">
            <w:pPr>
              <w:pStyle w:val="ListParagraph"/>
              <w:numPr>
                <w:ilvl w:val="0"/>
                <w:numId w:val="25"/>
              </w:numPr>
              <w:tabs>
                <w:tab w:val="left" w:pos="154"/>
              </w:tabs>
              <w:spacing w:after="120"/>
              <w:ind w:left="13" w:hanging="1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sumažėjęs šildymui ir vėsinimui gaminamos energijos poreikis</w:t>
            </w:r>
            <w:r w:rsidR="00D47AE4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mažina priklausomybę nuo energijos šaltinių, laikin</w:t>
            </w:r>
            <w:r w:rsidR="00DF17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ų</w:t>
            </w: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energijos tiekimo sutrikim</w:t>
            </w:r>
            <w:r w:rsidR="00DF17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ų</w:t>
            </w:r>
            <w:r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kurie dažnėja dėl ekstremalių orų, sąlygotų klimato kaitos</w:t>
            </w:r>
            <w:r w:rsidR="00793F05" w:rsidRPr="00AA26A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B8D55A9" w14:textId="55DB473C" w:rsidR="00460912" w:rsidRPr="00ED7B33" w:rsidRDefault="00F82ABA" w:rsidP="001679C9">
            <w:pPr>
              <w:spacing w:after="120" w:line="276" w:lineRule="auto"/>
              <w:jc w:val="both"/>
              <w:rPr>
                <w:rFonts w:eastAsia="Calibri"/>
                <w:b/>
                <w:szCs w:val="24"/>
              </w:rPr>
            </w:pPr>
            <w:r w:rsidRPr="00D843CA">
              <w:rPr>
                <w:bCs/>
                <w:szCs w:val="24"/>
              </w:rPr>
              <w:lastRenderedPageBreak/>
              <w:t xml:space="preserve">Netaikoma, </w:t>
            </w:r>
            <w:r w:rsidR="001679C9">
              <w:rPr>
                <w:bCs/>
                <w:szCs w:val="24"/>
              </w:rPr>
              <w:t xml:space="preserve">nes </w:t>
            </w:r>
            <w:r w:rsidRPr="00D843CA">
              <w:rPr>
                <w:bCs/>
                <w:szCs w:val="24"/>
              </w:rPr>
              <w:t>veikla 100 procentų prisideda prie</w:t>
            </w:r>
            <w:r>
              <w:rPr>
                <w:bCs/>
                <w:szCs w:val="24"/>
              </w:rPr>
              <w:t xml:space="preserve"> prisitaikymo prie</w:t>
            </w:r>
            <w:r w:rsidRPr="00D843CA">
              <w:rPr>
                <w:bCs/>
                <w:szCs w:val="24"/>
              </w:rPr>
              <w:t xml:space="preserve"> klimato kaitos</w:t>
            </w:r>
            <w:r w:rsidR="00A96B4D">
              <w:rPr>
                <w:bCs/>
                <w:szCs w:val="24"/>
              </w:rPr>
              <w:t xml:space="preserve">, </w:t>
            </w:r>
            <w:r w:rsidR="00A96B4D" w:rsidRPr="00A96B4D">
              <w:rPr>
                <w:bCs/>
                <w:szCs w:val="24"/>
              </w:rPr>
              <w:t>pagrindimo dokumentai neteikiami</w:t>
            </w:r>
            <w:r w:rsidRPr="00D843CA">
              <w:rPr>
                <w:bCs/>
                <w:szCs w:val="24"/>
              </w:rPr>
              <w:t>.</w:t>
            </w:r>
          </w:p>
        </w:tc>
      </w:tr>
      <w:tr w:rsidR="00460912" w14:paraId="1C27784F" w14:textId="77777777" w:rsidTr="001712FA">
        <w:tc>
          <w:tcPr>
            <w:tcW w:w="2122" w:type="dxa"/>
          </w:tcPr>
          <w:p w14:paraId="279FE25E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firstLine="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</w:t>
            </w:r>
            <w:r>
              <w:rPr>
                <w:rFonts w:eastAsia="Calibri"/>
                <w:szCs w:val="24"/>
              </w:rPr>
              <w:tab/>
              <w:t>Tausus vandens ir jūrų išteklių naudojimas ir apsauga</w:t>
            </w:r>
          </w:p>
        </w:tc>
        <w:tc>
          <w:tcPr>
            <w:tcW w:w="9072" w:type="dxa"/>
          </w:tcPr>
          <w:p w14:paraId="4ADB34F8" w14:textId="4FEE8496" w:rsidR="00460912" w:rsidRDefault="00F82ABA" w:rsidP="0039541B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F82ABA">
              <w:rPr>
                <w:bCs/>
                <w:szCs w:val="24"/>
              </w:rPr>
              <w:t xml:space="preserve">Standartizuotų modulinių konstrukcijų gamyba nedarys </w:t>
            </w:r>
            <w:r w:rsidR="001679C9">
              <w:rPr>
                <w:bCs/>
                <w:szCs w:val="24"/>
              </w:rPr>
              <w:t>didelio</w:t>
            </w:r>
            <w:r w:rsidR="001679C9" w:rsidRPr="00F82ABA">
              <w:rPr>
                <w:bCs/>
                <w:szCs w:val="24"/>
              </w:rPr>
              <w:t xml:space="preserve"> </w:t>
            </w:r>
            <w:r w:rsidRPr="00F82ABA">
              <w:rPr>
                <w:bCs/>
                <w:szCs w:val="24"/>
              </w:rPr>
              <w:t xml:space="preserve">poveikio vandens ir jūriniams ištekliams, nes gamyba vyks </w:t>
            </w:r>
            <w:r w:rsidR="001679C9">
              <w:rPr>
                <w:bCs/>
                <w:szCs w:val="24"/>
              </w:rPr>
              <w:t>įrengtoje</w:t>
            </w:r>
            <w:r w:rsidRPr="00F82ABA">
              <w:rPr>
                <w:bCs/>
                <w:szCs w:val="24"/>
              </w:rPr>
              <w:t xml:space="preserve"> gamybinėje teritorijoje</w:t>
            </w:r>
            <w:r w:rsidR="001679C9">
              <w:rPr>
                <w:bCs/>
                <w:szCs w:val="24"/>
              </w:rPr>
              <w:t xml:space="preserve"> su</w:t>
            </w:r>
            <w:r w:rsidR="001679C9" w:rsidRPr="00F82ABA">
              <w:rPr>
                <w:bCs/>
                <w:szCs w:val="24"/>
              </w:rPr>
              <w:t xml:space="preserve"> </w:t>
            </w:r>
            <w:r w:rsidRPr="00F82ABA">
              <w:rPr>
                <w:bCs/>
                <w:szCs w:val="24"/>
              </w:rPr>
              <w:t xml:space="preserve">tinkamais buitinių ir gamybinių nuotekų valymo įrenginiais. </w:t>
            </w:r>
          </w:p>
          <w:p w14:paraId="3BBBF35C" w14:textId="295511D8" w:rsidR="00B36B32" w:rsidRPr="00B36B32" w:rsidRDefault="00B36B32" w:rsidP="001679C9">
            <w:pPr>
              <w:spacing w:after="120" w:line="276" w:lineRule="auto"/>
              <w:jc w:val="both"/>
              <w:rPr>
                <w:rFonts w:eastAsia="Calibri"/>
                <w:bCs/>
                <w:szCs w:val="24"/>
              </w:rPr>
            </w:pPr>
            <w:r w:rsidRPr="00B36B32">
              <w:rPr>
                <w:rFonts w:eastAsia="Calibri"/>
                <w:bCs/>
                <w:szCs w:val="24"/>
              </w:rPr>
              <w:t xml:space="preserve">Įgyvendinant </w:t>
            </w:r>
            <w:r w:rsidR="001679C9" w:rsidRPr="00B36B32">
              <w:rPr>
                <w:rFonts w:eastAsia="Calibri"/>
                <w:bCs/>
                <w:szCs w:val="24"/>
              </w:rPr>
              <w:t>veikl</w:t>
            </w:r>
            <w:r w:rsidR="001679C9">
              <w:rPr>
                <w:rFonts w:eastAsia="Calibri"/>
                <w:bCs/>
                <w:szCs w:val="24"/>
              </w:rPr>
              <w:t>ą,</w:t>
            </w:r>
            <w:r w:rsidR="001679C9" w:rsidRPr="00B36B32">
              <w:rPr>
                <w:rFonts w:eastAsia="Calibri"/>
                <w:bCs/>
                <w:szCs w:val="24"/>
              </w:rPr>
              <w:t xml:space="preserve"> </w:t>
            </w:r>
            <w:r w:rsidRPr="00B36B32">
              <w:rPr>
                <w:rFonts w:eastAsia="Calibri"/>
                <w:bCs/>
                <w:szCs w:val="24"/>
              </w:rPr>
              <w:t>bus numatytas projektų vykdytojų ir (ar) tarpininkų įsipareigojimas laikytis Europos Komisijos tvarumo tikrinimo gairių, priimtų „</w:t>
            </w:r>
            <w:proofErr w:type="spellStart"/>
            <w:r w:rsidRPr="00B36B32">
              <w:rPr>
                <w:rFonts w:eastAsia="Calibri"/>
                <w:bCs/>
                <w:szCs w:val="24"/>
              </w:rPr>
              <w:t>InvestEU</w:t>
            </w:r>
            <w:proofErr w:type="spellEnd"/>
            <w:r w:rsidRPr="00B36B32">
              <w:rPr>
                <w:rFonts w:eastAsia="Calibri"/>
                <w:bCs/>
                <w:szCs w:val="24"/>
              </w:rPr>
              <w:t>“ fondo tvarumo užtikrinimui.</w:t>
            </w:r>
          </w:p>
        </w:tc>
        <w:tc>
          <w:tcPr>
            <w:tcW w:w="3402" w:type="dxa"/>
          </w:tcPr>
          <w:p w14:paraId="5AC40FDF" w14:textId="181F4F36" w:rsidR="00460912" w:rsidRDefault="00F82ABA" w:rsidP="0039541B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F82ABA">
              <w:rPr>
                <w:bCs/>
                <w:szCs w:val="24"/>
              </w:rPr>
              <w:t>Gamybinis vanduo bus</w:t>
            </w:r>
            <w:r w:rsidR="00DD3BB7">
              <w:rPr>
                <w:bCs/>
                <w:szCs w:val="24"/>
              </w:rPr>
              <w:t xml:space="preserve"> išgaunamas ir</w:t>
            </w:r>
            <w:r w:rsidRPr="00F82ABA">
              <w:rPr>
                <w:bCs/>
                <w:szCs w:val="24"/>
              </w:rPr>
              <w:t xml:space="preserve"> naudojamas vadovaujantis </w:t>
            </w:r>
            <w:r w:rsidR="00D06C35">
              <w:rPr>
                <w:bCs/>
                <w:szCs w:val="24"/>
              </w:rPr>
              <w:t xml:space="preserve">poveikio </w:t>
            </w:r>
            <w:r>
              <w:rPr>
                <w:bCs/>
                <w:szCs w:val="24"/>
              </w:rPr>
              <w:t>aplinkai vertinimo (</w:t>
            </w:r>
            <w:r w:rsidRPr="00F82ABA">
              <w:rPr>
                <w:bCs/>
                <w:szCs w:val="24"/>
              </w:rPr>
              <w:t>PAV</w:t>
            </w:r>
            <w:r>
              <w:rPr>
                <w:bCs/>
                <w:szCs w:val="24"/>
              </w:rPr>
              <w:t>)</w:t>
            </w:r>
            <w:r w:rsidRPr="00F82ABA">
              <w:rPr>
                <w:bCs/>
                <w:szCs w:val="24"/>
              </w:rPr>
              <w:t xml:space="preserve"> išvadomis ir suteiktais gamtos išteklių naudojimo leidimais</w:t>
            </w:r>
            <w:r>
              <w:rPr>
                <w:bCs/>
                <w:szCs w:val="24"/>
              </w:rPr>
              <w:t>.</w:t>
            </w:r>
          </w:p>
          <w:p w14:paraId="5D8A4289" w14:textId="71B26DB7" w:rsidR="002B774B" w:rsidRPr="00ED7B33" w:rsidRDefault="002B774B" w:rsidP="002B774B">
            <w:pPr>
              <w:spacing w:after="120" w:line="276" w:lineRule="auto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P</w:t>
            </w:r>
            <w:r w:rsidRPr="002B774B">
              <w:rPr>
                <w:rFonts w:eastAsia="Calibri"/>
                <w:bCs/>
                <w:szCs w:val="24"/>
              </w:rPr>
              <w:t>areiškėjo įsipareigojimo dėl atitikties reikšmingos žalos nedarymo horizontaliajam principui vertinimo reikalavimų aprašo  reikalavimams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2B774B">
              <w:rPr>
                <w:rFonts w:eastAsia="Calibri"/>
                <w:bCs/>
                <w:szCs w:val="24"/>
              </w:rPr>
              <w:t>deklaracija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</w:tr>
      <w:tr w:rsidR="00460912" w14:paraId="06186D99" w14:textId="77777777" w:rsidTr="001712FA">
        <w:tc>
          <w:tcPr>
            <w:tcW w:w="2122" w:type="dxa"/>
          </w:tcPr>
          <w:p w14:paraId="313F2FD0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firstLine="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  <w:r>
              <w:rPr>
                <w:rFonts w:eastAsia="Calibri"/>
                <w:szCs w:val="24"/>
              </w:rPr>
              <w:tab/>
              <w:t>Perėjimas prie žiedinės ekonomikos, įskaitant atliekų prevenciją ir perdirbimą</w:t>
            </w:r>
          </w:p>
        </w:tc>
        <w:tc>
          <w:tcPr>
            <w:tcW w:w="9072" w:type="dxa"/>
          </w:tcPr>
          <w:p w14:paraId="5A979297" w14:textId="1F529918" w:rsidR="00460912" w:rsidRDefault="00D06C35" w:rsidP="0039541B">
            <w:pPr>
              <w:spacing w:after="120" w:line="27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</w:t>
            </w:r>
            <w:r w:rsidR="00213DD1" w:rsidRPr="00213DD1">
              <w:rPr>
                <w:bCs/>
                <w:szCs w:val="24"/>
              </w:rPr>
              <w:t xml:space="preserve">, kad gaminant </w:t>
            </w:r>
            <w:r w:rsidR="00213DD1">
              <w:rPr>
                <w:bCs/>
                <w:szCs w:val="24"/>
              </w:rPr>
              <w:t>Skydus</w:t>
            </w:r>
            <w:r w:rsidR="00213DD1" w:rsidRPr="00213DD1">
              <w:rPr>
                <w:bCs/>
                <w:szCs w:val="24"/>
              </w:rPr>
              <w:t xml:space="preserve"> susidarys sąvartynuose šalintin</w:t>
            </w:r>
            <w:r w:rsidR="00BE4205">
              <w:rPr>
                <w:bCs/>
                <w:szCs w:val="24"/>
              </w:rPr>
              <w:t>os</w:t>
            </w:r>
            <w:r w:rsidR="00213DD1" w:rsidRPr="00213DD1">
              <w:rPr>
                <w:bCs/>
                <w:szCs w:val="24"/>
              </w:rPr>
              <w:t xml:space="preserve"> ar degintin</w:t>
            </w:r>
            <w:r w:rsidR="00BE4205">
              <w:rPr>
                <w:bCs/>
                <w:szCs w:val="24"/>
              </w:rPr>
              <w:t>os</w:t>
            </w:r>
            <w:r w:rsidR="00213DD1" w:rsidRPr="00213DD1">
              <w:rPr>
                <w:bCs/>
                <w:szCs w:val="24"/>
              </w:rPr>
              <w:t xml:space="preserve"> atliek</w:t>
            </w:r>
            <w:r w:rsidR="00BE4205">
              <w:rPr>
                <w:bCs/>
                <w:szCs w:val="24"/>
              </w:rPr>
              <w:t>os</w:t>
            </w:r>
            <w:r w:rsidR="00213DD1" w:rsidRPr="00213DD1">
              <w:rPr>
                <w:bCs/>
                <w:szCs w:val="24"/>
              </w:rPr>
              <w:t>, kadangi gamybos procese bus naudojamos beatliekės technologijos.</w:t>
            </w:r>
          </w:p>
          <w:p w14:paraId="601A127B" w14:textId="303DF1DA" w:rsidR="007465A7" w:rsidRPr="00ED7B33" w:rsidRDefault="007465A7" w:rsidP="003F6989">
            <w:pPr>
              <w:spacing w:after="120" w:line="27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Skydų gamyba gamykloje </w:t>
            </w:r>
            <w:r w:rsidR="00D06C35">
              <w:rPr>
                <w:bCs/>
                <w:szCs w:val="24"/>
              </w:rPr>
              <w:t>(</w:t>
            </w:r>
            <w:r w:rsidR="00B31917">
              <w:rPr>
                <w:bCs/>
                <w:szCs w:val="24"/>
              </w:rPr>
              <w:t>skirtingai nei apšiltinant pastatus tradiciniu būdu statybvietėje</w:t>
            </w:r>
            <w:r w:rsidR="00D06C35">
              <w:rPr>
                <w:bCs/>
                <w:szCs w:val="24"/>
              </w:rPr>
              <w:t>)</w:t>
            </w:r>
            <w:r w:rsidR="00B3191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sudaro palankias sąlygas tinkamai surinkti, išrūšiuoti visas susidarančias atliekas (kaip gamybos technologinio proceso dalis) ir jas tinkamai panaudoti (pvz., medienos </w:t>
            </w:r>
            <w:r w:rsidR="003F6989">
              <w:rPr>
                <w:bCs/>
                <w:szCs w:val="24"/>
              </w:rPr>
              <w:t xml:space="preserve">atliekas </w:t>
            </w:r>
            <w:r w:rsidR="00A66A45">
              <w:rPr>
                <w:bCs/>
                <w:szCs w:val="24"/>
              </w:rPr>
              <w:t xml:space="preserve">– </w:t>
            </w:r>
            <w:r w:rsidR="003F6989">
              <w:rPr>
                <w:bCs/>
                <w:szCs w:val="24"/>
              </w:rPr>
              <w:t>drožles</w:t>
            </w:r>
            <w:r w:rsidR="00A66A45">
              <w:rPr>
                <w:bCs/>
                <w:szCs w:val="24"/>
              </w:rPr>
              <w:t xml:space="preserve">, </w:t>
            </w:r>
            <w:r w:rsidR="003F6989">
              <w:rPr>
                <w:bCs/>
                <w:szCs w:val="24"/>
              </w:rPr>
              <w:t xml:space="preserve">pjuvenas </w:t>
            </w:r>
            <w:r w:rsidR="00A66A4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gali</w:t>
            </w:r>
            <w:r w:rsidR="003F6989">
              <w:rPr>
                <w:bCs/>
                <w:szCs w:val="24"/>
              </w:rPr>
              <w:t>ma</w:t>
            </w:r>
            <w:r>
              <w:rPr>
                <w:bCs/>
                <w:szCs w:val="24"/>
              </w:rPr>
              <w:t xml:space="preserve"> </w:t>
            </w:r>
            <w:r w:rsidR="003F6989">
              <w:rPr>
                <w:bCs/>
                <w:szCs w:val="24"/>
              </w:rPr>
              <w:t xml:space="preserve">panaudoti </w:t>
            </w:r>
            <w:r>
              <w:rPr>
                <w:bCs/>
                <w:szCs w:val="24"/>
              </w:rPr>
              <w:t xml:space="preserve">kaip kuro </w:t>
            </w:r>
            <w:r w:rsidR="003F6989">
              <w:rPr>
                <w:bCs/>
                <w:szCs w:val="24"/>
              </w:rPr>
              <w:t xml:space="preserve">šaltinį </w:t>
            </w:r>
            <w:r w:rsidR="00A66A45">
              <w:rPr>
                <w:bCs/>
                <w:szCs w:val="24"/>
              </w:rPr>
              <w:t>gaminant briketus, granules</w:t>
            </w:r>
            <w:r>
              <w:rPr>
                <w:bCs/>
                <w:szCs w:val="24"/>
              </w:rPr>
              <w:t xml:space="preserve">), šalinti, perdirbti (pvz., </w:t>
            </w:r>
            <w:r w:rsidR="003F6989">
              <w:rPr>
                <w:bCs/>
                <w:szCs w:val="24"/>
              </w:rPr>
              <w:t>pakartotinai</w:t>
            </w:r>
            <w:r>
              <w:rPr>
                <w:bCs/>
                <w:szCs w:val="24"/>
              </w:rPr>
              <w:t xml:space="preserve"> perdirbti organinės kilmės šiltinimo medžiagų, metalo</w:t>
            </w:r>
            <w:r w:rsidR="00A66A45">
              <w:rPr>
                <w:bCs/>
                <w:szCs w:val="24"/>
              </w:rPr>
              <w:t>, medienos masyvo</w:t>
            </w:r>
            <w:r>
              <w:rPr>
                <w:bCs/>
                <w:szCs w:val="24"/>
              </w:rPr>
              <w:t xml:space="preserve"> atliekas).</w:t>
            </w:r>
          </w:p>
        </w:tc>
        <w:tc>
          <w:tcPr>
            <w:tcW w:w="3402" w:type="dxa"/>
          </w:tcPr>
          <w:p w14:paraId="258082C9" w14:textId="5151D821" w:rsidR="00460912" w:rsidRDefault="00D06C35" w:rsidP="0039541B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Galiojantis </w:t>
            </w:r>
            <w:r w:rsidR="00B31917">
              <w:rPr>
                <w:rFonts w:eastAsia="Calibri"/>
                <w:szCs w:val="24"/>
              </w:rPr>
              <w:t>teisinis reglamentavimas užtikrina gamybos atliekų prevenciją, surinkimą, rūšiavimą, panaudojimą, įskaitant perdirbimą</w:t>
            </w:r>
            <w:r w:rsidR="00A66A45">
              <w:rPr>
                <w:rFonts w:eastAsia="Calibri"/>
                <w:szCs w:val="24"/>
              </w:rPr>
              <w:t xml:space="preserve"> ir antrinių žaliavų gamybą</w:t>
            </w:r>
            <w:r w:rsidR="00B31917">
              <w:rPr>
                <w:rFonts w:eastAsia="Calibri"/>
                <w:szCs w:val="24"/>
              </w:rPr>
              <w:t>.</w:t>
            </w:r>
          </w:p>
          <w:p w14:paraId="2FC9EC74" w14:textId="2C483B94" w:rsidR="00A96B4D" w:rsidRDefault="00A96B4D" w:rsidP="0039541B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</w:t>
            </w:r>
            <w:r w:rsidRPr="00A96B4D">
              <w:rPr>
                <w:rFonts w:eastAsia="Calibri"/>
                <w:szCs w:val="24"/>
              </w:rPr>
              <w:t xml:space="preserve">gyvendinant veiklą bus laikomasi </w:t>
            </w:r>
            <w:r w:rsidR="00D15972">
              <w:rPr>
                <w:rFonts w:eastAsia="Calibri"/>
                <w:szCs w:val="24"/>
              </w:rPr>
              <w:t>2008 m.</w:t>
            </w:r>
            <w:r w:rsidR="00DC58E6">
              <w:rPr>
                <w:rFonts w:eastAsia="Calibri"/>
                <w:szCs w:val="24"/>
              </w:rPr>
              <w:t xml:space="preserve"> </w:t>
            </w:r>
            <w:r w:rsidR="00D15972">
              <w:rPr>
                <w:rFonts w:eastAsia="Calibri"/>
                <w:szCs w:val="24"/>
              </w:rPr>
              <w:t>lapkričio 19 d. Europos Parlamento ir Taryb</w:t>
            </w:r>
            <w:r w:rsidR="00DC58E6">
              <w:rPr>
                <w:rFonts w:eastAsia="Calibri"/>
                <w:szCs w:val="24"/>
              </w:rPr>
              <w:t>o</w:t>
            </w:r>
            <w:r w:rsidR="00D15972">
              <w:rPr>
                <w:rFonts w:eastAsia="Calibri"/>
                <w:szCs w:val="24"/>
              </w:rPr>
              <w:t xml:space="preserve">s direktyvos </w:t>
            </w:r>
            <w:r w:rsidRPr="00A96B4D">
              <w:rPr>
                <w:rFonts w:eastAsia="Calibri"/>
                <w:szCs w:val="24"/>
              </w:rPr>
              <w:t xml:space="preserve">2008/98/EB </w:t>
            </w:r>
            <w:r w:rsidR="00D15972">
              <w:rPr>
                <w:rFonts w:eastAsia="Calibri"/>
                <w:szCs w:val="24"/>
              </w:rPr>
              <w:lastRenderedPageBreak/>
              <w:t xml:space="preserve">dėl </w:t>
            </w:r>
            <w:r w:rsidRPr="00A96B4D">
              <w:rPr>
                <w:rFonts w:eastAsia="Calibri"/>
                <w:szCs w:val="24"/>
              </w:rPr>
              <w:t xml:space="preserve">atliekų </w:t>
            </w:r>
            <w:r w:rsidR="00D15972">
              <w:rPr>
                <w:rFonts w:eastAsia="Calibri"/>
                <w:szCs w:val="24"/>
              </w:rPr>
              <w:t xml:space="preserve">ir panaikinanti kai kurias direktyvas </w:t>
            </w:r>
            <w:r w:rsidRPr="00A96B4D">
              <w:rPr>
                <w:rFonts w:eastAsia="Calibri"/>
                <w:szCs w:val="24"/>
              </w:rPr>
              <w:t>reikalavimų, juos nustatant pirkimo ir kituose paramos teikimo dokumentuose.</w:t>
            </w:r>
          </w:p>
          <w:p w14:paraId="056CA0B2" w14:textId="029677A3" w:rsidR="00B31917" w:rsidRDefault="00B31917" w:rsidP="0039541B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Perkant Skydus renovacijai, </w:t>
            </w:r>
            <w:r w:rsidR="006575B1">
              <w:rPr>
                <w:rFonts w:eastAsia="Calibri"/>
                <w:szCs w:val="24"/>
              </w:rPr>
              <w:t xml:space="preserve">planuojama </w:t>
            </w:r>
            <w:r>
              <w:rPr>
                <w:rFonts w:eastAsia="Calibri"/>
                <w:szCs w:val="24"/>
              </w:rPr>
              <w:t xml:space="preserve">taikyti žaliuosius pirkimus, </w:t>
            </w:r>
            <w:r w:rsidR="006575B1">
              <w:rPr>
                <w:rFonts w:eastAsia="Calibri"/>
                <w:szCs w:val="24"/>
              </w:rPr>
              <w:t xml:space="preserve">tai </w:t>
            </w:r>
            <w:r>
              <w:rPr>
                <w:rFonts w:eastAsia="Calibri"/>
                <w:szCs w:val="24"/>
              </w:rPr>
              <w:t xml:space="preserve">užtikrins </w:t>
            </w:r>
            <w:r w:rsidR="006575B1">
              <w:rPr>
                <w:rFonts w:eastAsia="Calibri"/>
                <w:szCs w:val="24"/>
              </w:rPr>
              <w:t xml:space="preserve">atitiktį </w:t>
            </w:r>
            <w:r>
              <w:rPr>
                <w:rFonts w:eastAsia="Calibri"/>
                <w:szCs w:val="24"/>
              </w:rPr>
              <w:t>atliekų prevencijos ir perdirbimo reikalavimams.</w:t>
            </w:r>
          </w:p>
          <w:p w14:paraId="3E741362" w14:textId="0C9BD1B9" w:rsidR="002B774B" w:rsidRPr="00ED7B33" w:rsidRDefault="002B774B" w:rsidP="0039541B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P</w:t>
            </w:r>
            <w:r w:rsidRPr="002B774B">
              <w:rPr>
                <w:rFonts w:eastAsia="Calibri"/>
                <w:bCs/>
                <w:szCs w:val="24"/>
              </w:rPr>
              <w:t xml:space="preserve">areiškėjo įsipareigojimo </w:t>
            </w:r>
            <w:r w:rsidR="000D0083" w:rsidRPr="002B774B">
              <w:rPr>
                <w:rFonts w:eastAsia="Calibri"/>
                <w:bCs/>
                <w:szCs w:val="24"/>
              </w:rPr>
              <w:t>deklaracija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</w:tr>
      <w:tr w:rsidR="00460912" w14:paraId="41758510" w14:textId="77777777" w:rsidTr="001712FA">
        <w:tc>
          <w:tcPr>
            <w:tcW w:w="2122" w:type="dxa"/>
          </w:tcPr>
          <w:p w14:paraId="723135A2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firstLine="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5.</w:t>
            </w:r>
            <w:r>
              <w:rPr>
                <w:rFonts w:eastAsia="Calibri"/>
                <w:szCs w:val="24"/>
              </w:rPr>
              <w:tab/>
            </w:r>
            <w:r>
              <w:rPr>
                <w:rFonts w:eastAsia="Calibri"/>
                <w:bCs/>
                <w:szCs w:val="24"/>
              </w:rPr>
              <w:t>Oro, vandens ar žemės taršos prevencija ir kontrolė</w:t>
            </w:r>
          </w:p>
        </w:tc>
        <w:tc>
          <w:tcPr>
            <w:tcW w:w="9072" w:type="dxa"/>
          </w:tcPr>
          <w:p w14:paraId="2FE6EAEC" w14:textId="19D15FC7" w:rsidR="00417391" w:rsidRDefault="008C27DB" w:rsidP="00417391">
            <w:pPr>
              <w:spacing w:after="120" w:line="276" w:lineRule="auto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Planuojama,</w:t>
            </w:r>
            <w:r w:rsidR="00213DD1" w:rsidRPr="00213DD1">
              <w:rPr>
                <w:rFonts w:eastAsia="Calibri"/>
                <w:bCs/>
                <w:szCs w:val="24"/>
              </w:rPr>
              <w:t xml:space="preserve"> kad kuriant ir sukūrus </w:t>
            </w:r>
            <w:r>
              <w:rPr>
                <w:rFonts w:eastAsia="Calibri"/>
                <w:bCs/>
                <w:szCs w:val="24"/>
              </w:rPr>
              <w:t>skydų</w:t>
            </w:r>
            <w:r w:rsidRPr="00213DD1">
              <w:rPr>
                <w:rFonts w:eastAsia="Calibri"/>
                <w:bCs/>
                <w:szCs w:val="24"/>
              </w:rPr>
              <w:t xml:space="preserve"> </w:t>
            </w:r>
            <w:r w:rsidR="00213DD1" w:rsidRPr="00213DD1">
              <w:rPr>
                <w:rFonts w:eastAsia="Calibri"/>
                <w:bCs/>
                <w:szCs w:val="24"/>
              </w:rPr>
              <w:t xml:space="preserve">iš organinių medžiagų gamybos pajėgumus </w:t>
            </w:r>
            <w:r>
              <w:rPr>
                <w:rFonts w:eastAsia="Calibri"/>
                <w:bCs/>
                <w:szCs w:val="24"/>
              </w:rPr>
              <w:t>ne</w:t>
            </w:r>
            <w:r w:rsidRPr="00213DD1">
              <w:rPr>
                <w:rFonts w:eastAsia="Calibri"/>
                <w:bCs/>
                <w:szCs w:val="24"/>
              </w:rPr>
              <w:t>didė</w:t>
            </w:r>
            <w:r>
              <w:rPr>
                <w:rFonts w:eastAsia="Calibri"/>
                <w:bCs/>
                <w:szCs w:val="24"/>
              </w:rPr>
              <w:t>s</w:t>
            </w:r>
            <w:r w:rsidRPr="00213DD1">
              <w:rPr>
                <w:rFonts w:eastAsia="Calibri"/>
                <w:bCs/>
                <w:szCs w:val="24"/>
              </w:rPr>
              <w:t xml:space="preserve"> </w:t>
            </w:r>
            <w:r w:rsidR="00213DD1" w:rsidRPr="00213DD1">
              <w:rPr>
                <w:rFonts w:eastAsia="Calibri"/>
                <w:bCs/>
                <w:szCs w:val="24"/>
              </w:rPr>
              <w:t>oro, vandens ar dirvožemio tarša</w:t>
            </w:r>
            <w:r w:rsidR="00213DD1">
              <w:rPr>
                <w:rFonts w:eastAsia="Calibri"/>
                <w:bCs/>
                <w:szCs w:val="24"/>
              </w:rPr>
              <w:t>.</w:t>
            </w:r>
            <w:r w:rsidR="00417391">
              <w:rPr>
                <w:rFonts w:eastAsia="Calibri"/>
                <w:bCs/>
                <w:szCs w:val="24"/>
              </w:rPr>
              <w:t xml:space="preserve"> Gamybos pajėgumai</w:t>
            </w:r>
            <w:r w:rsidR="00417391" w:rsidRPr="00213DD1">
              <w:rPr>
                <w:rFonts w:eastAsia="Calibri"/>
                <w:bCs/>
                <w:szCs w:val="24"/>
              </w:rPr>
              <w:t xml:space="preserve"> bus </w:t>
            </w:r>
            <w:r>
              <w:rPr>
                <w:rFonts w:eastAsia="Calibri"/>
                <w:bCs/>
                <w:szCs w:val="24"/>
              </w:rPr>
              <w:t>kuriami laikantis</w:t>
            </w:r>
            <w:r w:rsidR="002A223D">
              <w:rPr>
                <w:rFonts w:eastAsia="Calibri"/>
                <w:bCs/>
                <w:szCs w:val="24"/>
              </w:rPr>
              <w:t xml:space="preserve"> </w:t>
            </w:r>
            <w:r w:rsidRPr="00213DD1">
              <w:rPr>
                <w:rFonts w:eastAsia="Calibri"/>
                <w:bCs/>
                <w:szCs w:val="24"/>
              </w:rPr>
              <w:t>aplinkosaugini</w:t>
            </w:r>
            <w:r>
              <w:rPr>
                <w:rFonts w:eastAsia="Calibri"/>
                <w:bCs/>
                <w:szCs w:val="24"/>
              </w:rPr>
              <w:t>ų</w:t>
            </w:r>
            <w:r w:rsidRPr="00213DD1">
              <w:rPr>
                <w:rFonts w:eastAsia="Calibri"/>
                <w:bCs/>
                <w:szCs w:val="24"/>
              </w:rPr>
              <w:t xml:space="preserve"> standart</w:t>
            </w:r>
            <w:r>
              <w:rPr>
                <w:rFonts w:eastAsia="Calibri"/>
                <w:bCs/>
                <w:szCs w:val="24"/>
              </w:rPr>
              <w:t>ų</w:t>
            </w:r>
            <w:r w:rsidR="00417391" w:rsidRPr="00213DD1">
              <w:rPr>
                <w:rFonts w:eastAsia="Calibri"/>
                <w:bCs/>
                <w:szCs w:val="24"/>
              </w:rPr>
              <w:t>.</w:t>
            </w:r>
          </w:p>
          <w:p w14:paraId="64E38AC0" w14:textId="48CF3CA5" w:rsidR="00460912" w:rsidRPr="00ED7B33" w:rsidRDefault="00460912" w:rsidP="0039541B">
            <w:pPr>
              <w:spacing w:after="120"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402" w:type="dxa"/>
          </w:tcPr>
          <w:p w14:paraId="454EF2EA" w14:textId="12DB0DA3" w:rsidR="002B774B" w:rsidRDefault="002B774B" w:rsidP="0039541B">
            <w:pPr>
              <w:spacing w:after="120" w:line="276" w:lineRule="auto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P</w:t>
            </w:r>
            <w:r w:rsidRPr="002B774B">
              <w:rPr>
                <w:rFonts w:eastAsia="Calibri"/>
                <w:bCs/>
                <w:szCs w:val="24"/>
              </w:rPr>
              <w:t>areiškėjo įsipareigojimo dėl atitikties reikšmingos žalos nedarymo horizontaliajam principui vertinimo reikalavimų aprašo  reikalavimams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2B774B">
              <w:rPr>
                <w:rFonts w:eastAsia="Calibri"/>
                <w:bCs/>
                <w:szCs w:val="24"/>
              </w:rPr>
              <w:t>deklaracija</w:t>
            </w:r>
            <w:r>
              <w:rPr>
                <w:rFonts w:eastAsia="Calibri"/>
                <w:bCs/>
                <w:szCs w:val="24"/>
              </w:rPr>
              <w:t>.</w:t>
            </w:r>
          </w:p>
          <w:p w14:paraId="524879CD" w14:textId="766BE1FE" w:rsidR="00417391" w:rsidRPr="00ED7B33" w:rsidRDefault="00417391" w:rsidP="002C4150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</w:t>
            </w:r>
            <w:r w:rsidRPr="00417391">
              <w:rPr>
                <w:rFonts w:eastAsia="Calibri"/>
                <w:szCs w:val="24"/>
              </w:rPr>
              <w:t xml:space="preserve">gyvendinant </w:t>
            </w:r>
            <w:r w:rsidR="002C4150" w:rsidRPr="00417391">
              <w:rPr>
                <w:rFonts w:eastAsia="Calibri"/>
                <w:szCs w:val="24"/>
              </w:rPr>
              <w:t>veikl</w:t>
            </w:r>
            <w:r w:rsidR="002C4150">
              <w:rPr>
                <w:rFonts w:eastAsia="Calibri"/>
                <w:szCs w:val="24"/>
              </w:rPr>
              <w:t>ą,</w:t>
            </w:r>
            <w:r w:rsidR="002C4150" w:rsidRPr="00417391">
              <w:rPr>
                <w:rFonts w:eastAsia="Calibri"/>
                <w:szCs w:val="24"/>
              </w:rPr>
              <w:t xml:space="preserve"> </w:t>
            </w:r>
            <w:r w:rsidRPr="00417391">
              <w:rPr>
                <w:rFonts w:eastAsia="Calibri"/>
                <w:szCs w:val="24"/>
              </w:rPr>
              <w:t xml:space="preserve">bus numatytas projektų vykdytojų įsipareigojimas laikytis Europos Komisijos tvarumo tikrinimo gairių, priimtų </w:t>
            </w:r>
            <w:r w:rsidR="000D0083">
              <w:rPr>
                <w:rFonts w:eastAsia="Calibri"/>
                <w:szCs w:val="24"/>
              </w:rPr>
              <w:t>„</w:t>
            </w:r>
            <w:proofErr w:type="spellStart"/>
            <w:r w:rsidRPr="00417391">
              <w:rPr>
                <w:rFonts w:eastAsia="Calibri"/>
                <w:szCs w:val="24"/>
              </w:rPr>
              <w:t>InvestEU</w:t>
            </w:r>
            <w:proofErr w:type="spellEnd"/>
            <w:r w:rsidR="000D0083">
              <w:rPr>
                <w:rFonts w:eastAsia="Calibri"/>
                <w:szCs w:val="24"/>
              </w:rPr>
              <w:t>“</w:t>
            </w:r>
            <w:r w:rsidRPr="00417391">
              <w:rPr>
                <w:rFonts w:eastAsia="Calibri"/>
                <w:szCs w:val="24"/>
              </w:rPr>
              <w:t xml:space="preserve"> fondo, reikalavimų.</w:t>
            </w:r>
          </w:p>
        </w:tc>
      </w:tr>
      <w:tr w:rsidR="00460912" w14:paraId="12ED22E1" w14:textId="77777777" w:rsidTr="001712FA">
        <w:tc>
          <w:tcPr>
            <w:tcW w:w="2122" w:type="dxa"/>
          </w:tcPr>
          <w:p w14:paraId="547E9D9D" w14:textId="77777777" w:rsidR="00460912" w:rsidRDefault="00460912" w:rsidP="001712FA">
            <w:pPr>
              <w:tabs>
                <w:tab w:val="left" w:pos="289"/>
              </w:tabs>
              <w:spacing w:after="120" w:line="276" w:lineRule="auto"/>
              <w:ind w:left="5" w:firstLine="5"/>
              <w:rPr>
                <w:rFonts w:eastAsia="Calibri"/>
                <w:szCs w:val="24"/>
              </w:rPr>
            </w:pPr>
            <w:bookmarkStart w:id="0" w:name="_Hlk133244268"/>
            <w:r>
              <w:rPr>
                <w:rFonts w:eastAsia="Calibri"/>
                <w:szCs w:val="24"/>
              </w:rPr>
              <w:t>6.</w:t>
            </w:r>
            <w:r>
              <w:rPr>
                <w:rFonts w:eastAsia="Calibri"/>
                <w:szCs w:val="24"/>
              </w:rPr>
              <w:tab/>
              <w:t>Biologinės įvairovės ir ekosistemų apsauga ir atkūrimas</w:t>
            </w:r>
          </w:p>
        </w:tc>
        <w:tc>
          <w:tcPr>
            <w:tcW w:w="9072" w:type="dxa"/>
          </w:tcPr>
          <w:p w14:paraId="2959D31B" w14:textId="6EA797C6" w:rsidR="00BE4205" w:rsidRPr="00213DD1" w:rsidRDefault="00BE4205" w:rsidP="00BE4205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213DD1">
              <w:rPr>
                <w:bCs/>
                <w:szCs w:val="24"/>
              </w:rPr>
              <w:t xml:space="preserve">Ši veikla </w:t>
            </w:r>
            <w:r w:rsidR="009D7E97" w:rsidRPr="00213DD1">
              <w:rPr>
                <w:bCs/>
                <w:szCs w:val="24"/>
              </w:rPr>
              <w:t>ne</w:t>
            </w:r>
            <w:r w:rsidR="009D7E97">
              <w:rPr>
                <w:bCs/>
                <w:szCs w:val="24"/>
              </w:rPr>
              <w:t>darys</w:t>
            </w:r>
            <w:r w:rsidR="009D7E97" w:rsidRPr="00213DD1">
              <w:rPr>
                <w:bCs/>
                <w:szCs w:val="24"/>
              </w:rPr>
              <w:t xml:space="preserve"> </w:t>
            </w:r>
            <w:r w:rsidRPr="00213DD1">
              <w:rPr>
                <w:bCs/>
                <w:szCs w:val="24"/>
              </w:rPr>
              <w:t>neigiamo poveikio biologinei įvairovei ir ekosistemoms</w:t>
            </w:r>
            <w:r>
              <w:rPr>
                <w:bCs/>
                <w:szCs w:val="24"/>
              </w:rPr>
              <w:t>.</w:t>
            </w:r>
          </w:p>
          <w:p w14:paraId="76048ED1" w14:textId="453E7113" w:rsidR="00BE4205" w:rsidRPr="00213DD1" w:rsidRDefault="00BE4205" w:rsidP="00BE4205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213DD1">
              <w:rPr>
                <w:bCs/>
                <w:szCs w:val="24"/>
              </w:rPr>
              <w:t xml:space="preserve">Saugomose teritorijose esančiuose miškuose kirtimai nevykdomi (rezervatuose) arba reikšmingai </w:t>
            </w:r>
            <w:r w:rsidR="009D7E97" w:rsidRPr="00213DD1">
              <w:rPr>
                <w:bCs/>
                <w:szCs w:val="24"/>
              </w:rPr>
              <w:t>apribo</w:t>
            </w:r>
            <w:r w:rsidR="009D7E97">
              <w:rPr>
                <w:bCs/>
                <w:szCs w:val="24"/>
              </w:rPr>
              <w:t>jami</w:t>
            </w:r>
            <w:r w:rsidRPr="00213DD1">
              <w:rPr>
                <w:bCs/>
                <w:szCs w:val="24"/>
              </w:rPr>
              <w:t xml:space="preserve">.  </w:t>
            </w:r>
          </w:p>
          <w:p w14:paraId="27E7EA3A" w14:textId="75EB4A92" w:rsidR="00BE4205" w:rsidRPr="00213DD1" w:rsidRDefault="00AC0147" w:rsidP="00BE4205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213DD1">
              <w:rPr>
                <w:bCs/>
                <w:szCs w:val="24"/>
              </w:rPr>
              <w:t>Medien</w:t>
            </w:r>
            <w:r>
              <w:rPr>
                <w:bCs/>
                <w:szCs w:val="24"/>
              </w:rPr>
              <w:t>ai</w:t>
            </w:r>
            <w:r w:rsidRPr="00213DD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išgauti </w:t>
            </w:r>
            <w:r w:rsidR="00BE4205" w:rsidRPr="00213DD1">
              <w:rPr>
                <w:bCs/>
                <w:szCs w:val="24"/>
              </w:rPr>
              <w:t xml:space="preserve">skirtuose miškuose iškertama ne daugiau kaip 70 proc. </w:t>
            </w:r>
            <w:r w:rsidR="00BE4205">
              <w:rPr>
                <w:bCs/>
                <w:szCs w:val="24"/>
              </w:rPr>
              <w:t>metinio medienos prieauglio</w:t>
            </w:r>
            <w:r w:rsidR="00BE4205" w:rsidRPr="00213DD1">
              <w:rPr>
                <w:bCs/>
                <w:szCs w:val="24"/>
              </w:rPr>
              <w:t xml:space="preserve">. Tokiu būdu nuolat kaupiamas medienos tūris didėja, auga medynų </w:t>
            </w:r>
            <w:r w:rsidR="00BE4205" w:rsidRPr="00213DD1">
              <w:rPr>
                <w:bCs/>
                <w:szCs w:val="24"/>
              </w:rPr>
              <w:lastRenderedPageBreak/>
              <w:t xml:space="preserve">produktyvumas, daugėja brandžių medynų. </w:t>
            </w:r>
            <w:r w:rsidR="00BE4205">
              <w:rPr>
                <w:bCs/>
                <w:szCs w:val="24"/>
              </w:rPr>
              <w:t>Skydų</w:t>
            </w:r>
            <w:r w:rsidR="00BE4205" w:rsidRPr="00213DD1">
              <w:rPr>
                <w:bCs/>
                <w:szCs w:val="24"/>
              </w:rPr>
              <w:t xml:space="preserve"> gamybai bus naudojama mediena iš miškų, kurie tvarkomi pagal visuotinai pripažintus tvaraus</w:t>
            </w:r>
            <w:r w:rsidR="00BE4205">
              <w:rPr>
                <w:bCs/>
                <w:szCs w:val="24"/>
              </w:rPr>
              <w:t xml:space="preserve"> ir subalansuoto</w:t>
            </w:r>
            <w:r w:rsidR="00BE4205" w:rsidRPr="00213DD1">
              <w:rPr>
                <w:bCs/>
                <w:szCs w:val="24"/>
              </w:rPr>
              <w:t xml:space="preserve"> miškų </w:t>
            </w:r>
            <w:r w:rsidR="00BE4205">
              <w:rPr>
                <w:bCs/>
                <w:szCs w:val="24"/>
              </w:rPr>
              <w:t>tvarkymo</w:t>
            </w:r>
            <w:r w:rsidR="00BE4205" w:rsidRPr="00213DD1">
              <w:rPr>
                <w:bCs/>
                <w:szCs w:val="24"/>
              </w:rPr>
              <w:t xml:space="preserve"> principus, apimančius</w:t>
            </w:r>
            <w:r w:rsidR="00BE4205">
              <w:rPr>
                <w:bCs/>
                <w:szCs w:val="24"/>
              </w:rPr>
              <w:t xml:space="preserve"> i</w:t>
            </w:r>
            <w:r w:rsidR="00BE4205" w:rsidRPr="00213DD1">
              <w:rPr>
                <w:bCs/>
                <w:szCs w:val="24"/>
              </w:rPr>
              <w:t>r biologinės įvairovės išsaugojimo užtikrinimą</w:t>
            </w:r>
            <w:r w:rsidR="00BE4205">
              <w:rPr>
                <w:bCs/>
                <w:szCs w:val="24"/>
              </w:rPr>
              <w:t xml:space="preserve"> </w:t>
            </w:r>
            <w:r w:rsidR="00BE4205" w:rsidRPr="003A16FF">
              <w:rPr>
                <w:bCs/>
                <w:szCs w:val="24"/>
              </w:rPr>
              <w:t xml:space="preserve">(kirtimo apribojimai saugomose teritorijose, kirtimo normos, miškotvarkos projektai, leidimai kirsti mišką, privalomas miško atkūrimas </w:t>
            </w:r>
            <w:r>
              <w:rPr>
                <w:bCs/>
                <w:szCs w:val="24"/>
              </w:rPr>
              <w:t>jį iškirtus</w:t>
            </w:r>
            <w:r w:rsidR="00BE4205" w:rsidRPr="003A16FF">
              <w:rPr>
                <w:bCs/>
                <w:szCs w:val="24"/>
              </w:rPr>
              <w:t>)</w:t>
            </w:r>
            <w:r w:rsidR="00BE4205" w:rsidRPr="00213DD1">
              <w:rPr>
                <w:bCs/>
                <w:szCs w:val="24"/>
              </w:rPr>
              <w:t xml:space="preserve">, kitus aplinkosauginius reikalavimus, įskaitant </w:t>
            </w:r>
            <w:r w:rsidR="00BE4205" w:rsidRPr="000921E1">
              <w:rPr>
                <w:bCs/>
                <w:szCs w:val="24"/>
              </w:rPr>
              <w:t>2009 m. lapkričio 30 d. Europos Parlamento ir Tarybos direktyv</w:t>
            </w:r>
            <w:r w:rsidR="00BE4205">
              <w:rPr>
                <w:bCs/>
                <w:szCs w:val="24"/>
              </w:rPr>
              <w:t>os</w:t>
            </w:r>
            <w:r w:rsidR="00BE4205" w:rsidRPr="000921E1">
              <w:rPr>
                <w:bCs/>
                <w:szCs w:val="24"/>
              </w:rPr>
              <w:t xml:space="preserve"> 2009/147/EB dėl laukinių paukščių apsaugos</w:t>
            </w:r>
            <w:r w:rsidR="00BE4205">
              <w:rPr>
                <w:bCs/>
                <w:szCs w:val="24"/>
              </w:rPr>
              <w:t xml:space="preserve"> (kodifikuota redakcija)</w:t>
            </w:r>
            <w:r w:rsidR="00BE4205" w:rsidRPr="00213DD1">
              <w:rPr>
                <w:bCs/>
                <w:szCs w:val="24"/>
              </w:rPr>
              <w:t xml:space="preserve"> 12(d) straipsnį, taip pat reikalavimą, kad medienos </w:t>
            </w:r>
            <w:r w:rsidR="00BE4205">
              <w:rPr>
                <w:bCs/>
                <w:szCs w:val="24"/>
              </w:rPr>
              <w:t xml:space="preserve">būtų </w:t>
            </w:r>
            <w:r w:rsidR="00BE4205" w:rsidRPr="00213DD1">
              <w:rPr>
                <w:bCs/>
                <w:szCs w:val="24"/>
              </w:rPr>
              <w:t>iškertama mažiau, nei jos priauga, t</w:t>
            </w:r>
            <w:r w:rsidR="00BE4205">
              <w:rPr>
                <w:bCs/>
                <w:szCs w:val="24"/>
              </w:rPr>
              <w:t xml:space="preserve">aip </w:t>
            </w:r>
            <w:r w:rsidR="00BE4205" w:rsidRPr="00213DD1">
              <w:rPr>
                <w:bCs/>
                <w:szCs w:val="24"/>
              </w:rPr>
              <w:t>užtikrinant bendrą miškų tvarumą ilgalaikėje perspektyvoje. Be to, medienos kilmės šalis</w:t>
            </w:r>
            <w:r w:rsidR="00BE420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turi būti </w:t>
            </w:r>
            <w:r w:rsidR="00BE4205">
              <w:rPr>
                <w:bCs/>
                <w:szCs w:val="24"/>
              </w:rPr>
              <w:t>(</w:t>
            </w:r>
            <w:r w:rsidR="00BE4205" w:rsidRPr="00634A82">
              <w:rPr>
                <w:bCs/>
                <w:szCs w:val="24"/>
              </w:rPr>
              <w:t>šalis, kur medis augo ir nukirstas</w:t>
            </w:r>
            <w:r w:rsidR="00BE4205">
              <w:rPr>
                <w:bCs/>
                <w:szCs w:val="24"/>
              </w:rPr>
              <w:t>)</w:t>
            </w:r>
            <w:r w:rsidR="00BE4205" w:rsidRPr="00213DD1">
              <w:rPr>
                <w:bCs/>
                <w:szCs w:val="24"/>
              </w:rPr>
              <w:t xml:space="preserve"> prisijungusi prie Paryžiaus klimato kaitos susitarimo įgyvendinimo. </w:t>
            </w:r>
            <w:r w:rsidR="00BE4205">
              <w:rPr>
                <w:bCs/>
                <w:szCs w:val="24"/>
              </w:rPr>
              <w:t>N</w:t>
            </w:r>
            <w:r w:rsidR="00BE4205" w:rsidRPr="00213DD1">
              <w:rPr>
                <w:bCs/>
                <w:szCs w:val="24"/>
              </w:rPr>
              <w:t xml:space="preserve">audojama mediena pagaminta laikantis medienos kilmės </w:t>
            </w:r>
            <w:r w:rsidR="00BE4205">
              <w:rPr>
                <w:bCs/>
                <w:szCs w:val="24"/>
              </w:rPr>
              <w:t>šalies</w:t>
            </w:r>
            <w:r w:rsidR="00BE4205" w:rsidRPr="00213DD1">
              <w:rPr>
                <w:bCs/>
                <w:szCs w:val="24"/>
              </w:rPr>
              <w:t xml:space="preserve"> nustatytų </w:t>
            </w:r>
            <w:r w:rsidR="00BE4205" w:rsidRPr="003E0223">
              <w:rPr>
                <w:bCs/>
                <w:szCs w:val="24"/>
              </w:rPr>
              <w:t>2010 m. spalio 20 d. Europos Parlamento ir Tarybos reglament</w:t>
            </w:r>
            <w:r w:rsidR="00BE4205">
              <w:rPr>
                <w:bCs/>
                <w:szCs w:val="24"/>
              </w:rPr>
              <w:t>o</w:t>
            </w:r>
            <w:r w:rsidR="00BE4205" w:rsidRPr="003E0223">
              <w:rPr>
                <w:bCs/>
                <w:szCs w:val="24"/>
              </w:rPr>
              <w:t xml:space="preserve"> (ES) Nr. 995/2010, kuriuo nustatomos veiklos vykdytojų, pateikiančių rinkai medieną ir medienos produktus, pareigos, su pakeitimais, padarytais 2019 m. birželio 5 d. Europos Parlamento ir Tarybos reglamentu (ES) 2019/1010</w:t>
            </w:r>
            <w:r w:rsidR="00320F05">
              <w:rPr>
                <w:bCs/>
                <w:szCs w:val="24"/>
              </w:rPr>
              <w:t>,</w:t>
            </w:r>
            <w:r w:rsidR="00BE4205">
              <w:rPr>
                <w:bCs/>
                <w:szCs w:val="24"/>
              </w:rPr>
              <w:t xml:space="preserve"> </w:t>
            </w:r>
            <w:r w:rsidR="00BE4205" w:rsidRPr="00213DD1">
              <w:rPr>
                <w:bCs/>
                <w:szCs w:val="24"/>
              </w:rPr>
              <w:t xml:space="preserve">reikalavimų ir nesusijusi su miškų naikinimu. Apie </w:t>
            </w:r>
            <w:r w:rsidR="00BE4205" w:rsidRPr="002A223D">
              <w:rPr>
                <w:bCs/>
                <w:szCs w:val="24"/>
              </w:rPr>
              <w:t>20</w:t>
            </w:r>
            <w:r w:rsidR="002A223D" w:rsidRPr="002A223D">
              <w:rPr>
                <w:bCs/>
                <w:szCs w:val="24"/>
              </w:rPr>
              <w:t xml:space="preserve"> – </w:t>
            </w:r>
            <w:r w:rsidR="00BE4205" w:rsidRPr="002A223D">
              <w:rPr>
                <w:bCs/>
                <w:szCs w:val="24"/>
              </w:rPr>
              <w:t xml:space="preserve">25 </w:t>
            </w:r>
            <w:r w:rsidR="00BE4205" w:rsidRPr="00213DD1">
              <w:rPr>
                <w:bCs/>
                <w:szCs w:val="24"/>
              </w:rPr>
              <w:t xml:space="preserve">proc. Lietuvos miškuose paruošiamos žaliavinės medienos eksportuojama daugiausia dėl nepakankamų jos perdirbimo pajėgumų šalyje arba dėl medienos pramonės </w:t>
            </w:r>
            <w:r w:rsidR="00320F05">
              <w:rPr>
                <w:bCs/>
                <w:szCs w:val="24"/>
              </w:rPr>
              <w:t xml:space="preserve">įmonių </w:t>
            </w:r>
            <w:r w:rsidR="00BE4205" w:rsidRPr="00213DD1">
              <w:rPr>
                <w:bCs/>
                <w:szCs w:val="24"/>
              </w:rPr>
              <w:t xml:space="preserve">negebėjimo veikti konkurencingai. </w:t>
            </w:r>
            <w:r w:rsidR="00BE4205">
              <w:rPr>
                <w:bCs/>
                <w:szCs w:val="24"/>
              </w:rPr>
              <w:t>I</w:t>
            </w:r>
            <w:r w:rsidR="00BE4205" w:rsidRPr="00213DD1">
              <w:rPr>
                <w:bCs/>
                <w:szCs w:val="24"/>
              </w:rPr>
              <w:t xml:space="preserve">nvesticijos į </w:t>
            </w:r>
            <w:r w:rsidR="00BE4205">
              <w:rPr>
                <w:bCs/>
                <w:szCs w:val="24"/>
              </w:rPr>
              <w:t>Skydų</w:t>
            </w:r>
            <w:r w:rsidR="00BE4205" w:rsidRPr="00213DD1">
              <w:rPr>
                <w:bCs/>
                <w:szCs w:val="24"/>
              </w:rPr>
              <w:t xml:space="preserve"> gamybą leistų panaudoti šį potencialą šalyje neintensyvinant miškų ūkio</w:t>
            </w:r>
            <w:r w:rsidR="00320F05">
              <w:rPr>
                <w:bCs/>
                <w:szCs w:val="24"/>
              </w:rPr>
              <w:t>,</w:t>
            </w:r>
            <w:r w:rsidR="00BE4205" w:rsidRPr="00213DD1">
              <w:rPr>
                <w:bCs/>
                <w:szCs w:val="24"/>
              </w:rPr>
              <w:t xml:space="preserve"> nedidinant miško kirtimo </w:t>
            </w:r>
            <w:r w:rsidR="00320F05">
              <w:rPr>
                <w:bCs/>
                <w:szCs w:val="24"/>
              </w:rPr>
              <w:t>masto</w:t>
            </w:r>
            <w:r w:rsidR="00BE4205" w:rsidRPr="00213DD1">
              <w:rPr>
                <w:bCs/>
                <w:szCs w:val="24"/>
              </w:rPr>
              <w:t>.</w:t>
            </w:r>
          </w:p>
          <w:p w14:paraId="0711881E" w14:textId="72E88DAD" w:rsidR="00BE4205" w:rsidRDefault="00BE4205" w:rsidP="00BE4205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DF0F7A">
              <w:rPr>
                <w:bCs/>
                <w:szCs w:val="24"/>
              </w:rPr>
              <w:t>Institucijų išvados dėl poveikio Europos ekologinio tinklo „</w:t>
            </w:r>
            <w:proofErr w:type="spellStart"/>
            <w:r w:rsidRPr="00DF0F7A">
              <w:rPr>
                <w:bCs/>
                <w:szCs w:val="24"/>
              </w:rPr>
              <w:t>Natura</w:t>
            </w:r>
            <w:proofErr w:type="spellEnd"/>
            <w:r w:rsidRPr="00DF0F7A">
              <w:rPr>
                <w:bCs/>
                <w:szCs w:val="24"/>
              </w:rPr>
              <w:t xml:space="preserve"> 2000“ teritorijoms reikšmingumo gaunamos vadovaujantis Planų ar programų ir planuojamos ūkinės veiklos įgyvendinimo poveikio įsteigtoms ar potencialioms </w:t>
            </w:r>
            <w:r>
              <w:rPr>
                <w:bCs/>
                <w:szCs w:val="24"/>
              </w:rPr>
              <w:t>„</w:t>
            </w:r>
            <w:proofErr w:type="spellStart"/>
            <w:r w:rsidRPr="00DF0F7A">
              <w:rPr>
                <w:bCs/>
                <w:szCs w:val="24"/>
              </w:rPr>
              <w:t>Natura</w:t>
            </w:r>
            <w:proofErr w:type="spellEnd"/>
            <w:r w:rsidRPr="00DF0F7A">
              <w:rPr>
                <w:bCs/>
                <w:szCs w:val="24"/>
              </w:rPr>
              <w:t xml:space="preserve"> 2000</w:t>
            </w:r>
            <w:r>
              <w:rPr>
                <w:bCs/>
                <w:szCs w:val="24"/>
              </w:rPr>
              <w:t>“</w:t>
            </w:r>
            <w:r w:rsidRPr="00DF0F7A">
              <w:rPr>
                <w:bCs/>
                <w:szCs w:val="24"/>
              </w:rPr>
              <w:t xml:space="preserve"> teritorijoms reikšmingumo nustatymo tvarkos aprašu</w:t>
            </w:r>
            <w:r w:rsidR="00CD568B">
              <w:rPr>
                <w:rStyle w:val="FootnoteReference"/>
                <w:bCs/>
                <w:szCs w:val="24"/>
              </w:rPr>
              <w:footnoteReference w:id="2"/>
            </w:r>
            <w:r w:rsidR="00CD568B">
              <w:rPr>
                <w:bCs/>
                <w:szCs w:val="24"/>
              </w:rPr>
              <w:t>, patvirtintu...atkelti išnašą</w:t>
            </w:r>
          </w:p>
          <w:p w14:paraId="04404352" w14:textId="64CFA3D0" w:rsidR="00213DD1" w:rsidRPr="00213DD1" w:rsidRDefault="00213DD1" w:rsidP="0039541B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213DD1">
              <w:rPr>
                <w:bCs/>
                <w:szCs w:val="24"/>
              </w:rPr>
              <w:t xml:space="preserve">Buveinės, kurios ypač jautrios biologinės įvairovės nykimui ar pasižymi didele apsauga, arba </w:t>
            </w:r>
            <w:r w:rsidR="00CD568B" w:rsidRPr="00213DD1">
              <w:rPr>
                <w:bCs/>
                <w:szCs w:val="24"/>
              </w:rPr>
              <w:t xml:space="preserve">tokioms buveinėms atkurti </w:t>
            </w:r>
            <w:r w:rsidRPr="00213DD1">
              <w:rPr>
                <w:bCs/>
                <w:szCs w:val="24"/>
              </w:rPr>
              <w:t>teritorijos, numatytos pagal nacionalinę teisę, nepertvarkomos.</w:t>
            </w:r>
          </w:p>
          <w:p w14:paraId="2B4E00E1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 xml:space="preserve">Miško želdinimo ir žėlimo projektas ir miškotvarkos projektas apima nuostatas dėl </w:t>
            </w:r>
            <w:r w:rsidRPr="00B86F66">
              <w:rPr>
                <w:bCs/>
                <w:szCs w:val="24"/>
              </w:rPr>
              <w:lastRenderedPageBreak/>
              <w:t>biologinės įvairovės išsaugojimo ir galimo jos didinimo pagal nacionalines nuostatas, įskaitant:</w:t>
            </w:r>
          </w:p>
          <w:p w14:paraId="79CC1834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a) užtikrinti buveinių, augalų ir gyvūnų rūšių apsaugą, išsaugoti  tipiškas buveinių rūšis;</w:t>
            </w:r>
          </w:p>
          <w:p w14:paraId="3D5B3130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b) augalų rūšių, išskyrus invazinių, naudojimą;</w:t>
            </w:r>
          </w:p>
          <w:p w14:paraId="7BCA7650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c) nenaudoti nevietinių augalų rūšių, išskyrus atvejus, kai įrodoma, kad :</w:t>
            </w:r>
          </w:p>
          <w:p w14:paraId="5C6EE13A" w14:textId="6DC7270F" w:rsidR="00B86F66" w:rsidRPr="00B86F66" w:rsidRDefault="00B86F66" w:rsidP="00B86F66">
            <w:pPr>
              <w:pStyle w:val="ListParagraph"/>
              <w:numPr>
                <w:ilvl w:val="0"/>
                <w:numId w:val="27"/>
              </w:numPr>
              <w:tabs>
                <w:tab w:val="left" w:pos="721"/>
              </w:tabs>
              <w:spacing w:after="120"/>
              <w:ind w:left="296" w:firstLine="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F66">
              <w:rPr>
                <w:rFonts w:ascii="Times New Roman" w:hAnsi="Times New Roman" w:cs="Times New Roman"/>
                <w:bCs/>
                <w:sz w:val="24"/>
                <w:szCs w:val="24"/>
              </w:rPr>
              <w:t>naudojant miško dauginamąją medžiagą sudaromos palankios ir tinkamos sąlygos  ekosistemoms (pvz., klimatas, dirvožemis ir augmenijos zona, miškų atsparumas gaisrams);</w:t>
            </w:r>
          </w:p>
          <w:p w14:paraId="743FD514" w14:textId="039FEC86" w:rsidR="00B86F66" w:rsidRPr="00B86F66" w:rsidRDefault="00B86F66" w:rsidP="00B86F66">
            <w:pPr>
              <w:pStyle w:val="ListParagraph"/>
              <w:numPr>
                <w:ilvl w:val="0"/>
                <w:numId w:val="27"/>
              </w:numPr>
              <w:tabs>
                <w:tab w:val="left" w:pos="721"/>
              </w:tabs>
              <w:spacing w:after="120"/>
              <w:ind w:left="296" w:firstLine="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F66">
              <w:rPr>
                <w:rFonts w:ascii="Times New Roman" w:hAnsi="Times New Roman" w:cs="Times New Roman"/>
                <w:bCs/>
                <w:sz w:val="24"/>
                <w:szCs w:val="24"/>
              </w:rPr>
              <w:t>vietovėje augančios vietinės medžių rūšys neatsparios prognozuojamoms klimato ir hidrologinėms sąlygoms;</w:t>
            </w:r>
          </w:p>
          <w:p w14:paraId="203ED7E5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d) užtikrinti fizinių, cheminių ir biologinių dirvožemio savybių kokybę ir gerinimą;</w:t>
            </w:r>
          </w:p>
          <w:p w14:paraId="1532514E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e) vadovautis biologinei įvairovei palankia praktika;</w:t>
            </w:r>
          </w:p>
          <w:p w14:paraId="4B89E76A" w14:textId="77777777" w:rsidR="00B86F66" w:rsidRPr="00B86F66" w:rsidRDefault="00B86F66" w:rsidP="00B86F66">
            <w:pPr>
              <w:spacing w:after="120" w:line="276" w:lineRule="auto"/>
              <w:jc w:val="both"/>
              <w:rPr>
                <w:bCs/>
                <w:szCs w:val="24"/>
              </w:rPr>
            </w:pPr>
            <w:r w:rsidRPr="00B86F66">
              <w:rPr>
                <w:bCs/>
                <w:szCs w:val="24"/>
              </w:rPr>
              <w:t>f) nemažinti ekosistemų biologinės įvairovės;</w:t>
            </w:r>
          </w:p>
          <w:p w14:paraId="187171F8" w14:textId="7FCCFB48" w:rsidR="00460912" w:rsidRPr="00ED7B33" w:rsidRDefault="00B86F66" w:rsidP="00B86F66">
            <w:pPr>
              <w:spacing w:after="120" w:line="276" w:lineRule="auto"/>
              <w:jc w:val="both"/>
              <w:rPr>
                <w:rFonts w:eastAsia="Calibri"/>
                <w:b/>
                <w:szCs w:val="24"/>
              </w:rPr>
            </w:pPr>
            <w:r w:rsidRPr="00B86F66">
              <w:rPr>
                <w:bCs/>
                <w:szCs w:val="24"/>
              </w:rPr>
              <w:t>g) užtikrinti miškuose buveinių, augalų ir gyvūnų  rūšių įvairovę.</w:t>
            </w:r>
          </w:p>
        </w:tc>
        <w:tc>
          <w:tcPr>
            <w:tcW w:w="3402" w:type="dxa"/>
          </w:tcPr>
          <w:p w14:paraId="25DFB9F1" w14:textId="1A8C0C47" w:rsidR="002B774B" w:rsidRPr="00ED7B33" w:rsidRDefault="002B774B" w:rsidP="0039541B">
            <w:pPr>
              <w:spacing w:after="12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lastRenderedPageBreak/>
              <w:t>P</w:t>
            </w:r>
            <w:r w:rsidRPr="002B774B">
              <w:rPr>
                <w:rFonts w:eastAsia="Calibri"/>
                <w:bCs/>
                <w:szCs w:val="24"/>
              </w:rPr>
              <w:t>areiškėjo įsipareigojimo dėl atitikties reikšmingos žalos nedarymo horizontaliajam principui vertinimo reikalavimų aprašo  reikalavimams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2B774B">
              <w:rPr>
                <w:rFonts w:eastAsia="Calibri"/>
                <w:bCs/>
                <w:szCs w:val="24"/>
              </w:rPr>
              <w:t>deklaracija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</w:tr>
      <w:bookmarkEnd w:id="0"/>
    </w:tbl>
    <w:p w14:paraId="39E66A8A" w14:textId="77777777" w:rsidR="00B86F66" w:rsidRDefault="00B86F66" w:rsidP="00460912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2E5FBA6D" w14:textId="62CBA784" w:rsidR="00460912" w:rsidRDefault="00460912" w:rsidP="00460912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</w:t>
      </w:r>
    </w:p>
    <w:p w14:paraId="297FB347" w14:textId="77777777" w:rsidR="00460912" w:rsidRDefault="00460912" w:rsidP="00460912">
      <w:pPr>
        <w:tabs>
          <w:tab w:val="left" w:pos="4825"/>
        </w:tabs>
        <w:suppressAutoHyphens/>
        <w:ind w:left="8" w:right="34"/>
        <w:rPr>
          <w:lang w:eastAsia="lt-LT"/>
        </w:rPr>
      </w:pPr>
    </w:p>
    <w:p w14:paraId="1ABF6883" w14:textId="77777777" w:rsidR="00460912" w:rsidRDefault="00460912" w:rsidP="00637324">
      <w:pPr>
        <w:spacing w:line="276" w:lineRule="auto"/>
        <w:rPr>
          <w:szCs w:val="24"/>
        </w:rPr>
      </w:pPr>
    </w:p>
    <w:sectPr w:rsidR="00460912" w:rsidSect="001712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18A2" w14:textId="77777777" w:rsidR="00FA6B9D" w:rsidRDefault="00FA6B9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C49F334" w14:textId="77777777" w:rsidR="00FA6B9D" w:rsidRDefault="00FA6B9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156E9FE" w14:textId="77777777" w:rsidR="00FA6B9D" w:rsidRDefault="00FA6B9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4800" w14:textId="77777777" w:rsidR="000625C3" w:rsidRDefault="000625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83B0" w14:textId="77777777" w:rsidR="000625C3" w:rsidRDefault="000625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741D" w14:textId="77777777" w:rsidR="000625C3" w:rsidRDefault="000625C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2524" w14:textId="77777777" w:rsidR="00FA6B9D" w:rsidRDefault="00FA6B9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FAE504A" w14:textId="77777777" w:rsidR="00FA6B9D" w:rsidRDefault="00FA6B9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3A0BCBC" w14:textId="77777777" w:rsidR="00FA6B9D" w:rsidRDefault="00FA6B9D">
      <w:pPr>
        <w:rPr>
          <w:sz w:val="22"/>
          <w:szCs w:val="22"/>
        </w:rPr>
      </w:pPr>
    </w:p>
  </w:footnote>
  <w:footnote w:id="2">
    <w:p w14:paraId="3F9F963A" w14:textId="77777777" w:rsidR="00CD568B" w:rsidRDefault="00CD568B" w:rsidP="00B86F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0F7A">
        <w:t xml:space="preserve">Lietuvos Respublikos aplinkos ministro 2006 m. gegužės 22 d. įsakymas Nr. D1-255 „Dėl Planų ar programų ir planuojamos ūkinės veiklos įgyvendinimo poveikio įsteigtoms ar potencialioms </w:t>
      </w:r>
      <w:r>
        <w:t>„</w:t>
      </w:r>
      <w:r w:rsidRPr="00DF0F7A">
        <w:t>Natura 2000</w:t>
      </w:r>
      <w:r>
        <w:t>“</w:t>
      </w:r>
      <w:r w:rsidRPr="00DF0F7A">
        <w:t xml:space="preserve"> teritorijoms reikšmingumo nustatymo tvarkos aprašo patvirtinimo“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709E" w14:textId="77777777" w:rsidR="000625C3" w:rsidRDefault="000625C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AB66" w14:textId="77777777" w:rsidR="000625C3" w:rsidRDefault="002F52EC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3608E1">
      <w:rPr>
        <w:noProof/>
        <w:szCs w:val="22"/>
      </w:rPr>
      <w:t>6</w:t>
    </w:r>
    <w:r>
      <w:rPr>
        <w:szCs w:val="22"/>
      </w:rPr>
      <w:fldChar w:fldCharType="end"/>
    </w:r>
  </w:p>
  <w:p w14:paraId="0971542E" w14:textId="77777777" w:rsidR="000625C3" w:rsidRDefault="000625C3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AD4C" w14:textId="77777777" w:rsidR="000625C3" w:rsidRDefault="000625C3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4AC"/>
    <w:multiLevelType w:val="multilevel"/>
    <w:tmpl w:val="FE663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9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31F71"/>
    <w:multiLevelType w:val="hybridMultilevel"/>
    <w:tmpl w:val="DCBA474C"/>
    <w:lvl w:ilvl="0" w:tplc="607607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564F1"/>
    <w:multiLevelType w:val="hybridMultilevel"/>
    <w:tmpl w:val="59A69014"/>
    <w:lvl w:ilvl="0" w:tplc="AE384F6C">
      <w:start w:val="1"/>
      <w:numFmt w:val="decimal"/>
      <w:lvlText w:val="%1."/>
      <w:lvlJc w:val="left"/>
      <w:pPr>
        <w:ind w:left="360" w:hanging="360"/>
      </w:pPr>
      <w:rPr>
        <w:rFonts w:cstheme="minorHAnsi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FDD"/>
    <w:multiLevelType w:val="hybridMultilevel"/>
    <w:tmpl w:val="9320D56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D1A3B"/>
    <w:multiLevelType w:val="multilevel"/>
    <w:tmpl w:val="493CD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2934AF"/>
    <w:multiLevelType w:val="multilevel"/>
    <w:tmpl w:val="35F2F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524065"/>
    <w:multiLevelType w:val="hybridMultilevel"/>
    <w:tmpl w:val="710EA8F2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F7587"/>
    <w:multiLevelType w:val="hybridMultilevel"/>
    <w:tmpl w:val="D1928AD0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82389"/>
    <w:multiLevelType w:val="hybridMultilevel"/>
    <w:tmpl w:val="DEC01A0A"/>
    <w:lvl w:ilvl="0" w:tplc="340E5918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063D"/>
    <w:multiLevelType w:val="multilevel"/>
    <w:tmpl w:val="97C4C23E"/>
    <w:lvl w:ilvl="0">
      <w:start w:val="1"/>
      <w:numFmt w:val="none"/>
      <w:lvlText w:val="7.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7.1.3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3" w15:restartNumberingAfterBreak="0">
    <w:nsid w:val="4E391EBD"/>
    <w:multiLevelType w:val="multilevel"/>
    <w:tmpl w:val="97C4C23E"/>
    <w:lvl w:ilvl="0">
      <w:start w:val="1"/>
      <w:numFmt w:val="none"/>
      <w:lvlText w:val="7.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7.1.3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4ED211C6"/>
    <w:multiLevelType w:val="hybridMultilevel"/>
    <w:tmpl w:val="FE7C80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9C4D1F"/>
    <w:multiLevelType w:val="multilevel"/>
    <w:tmpl w:val="7FAEA668"/>
    <w:lvl w:ilvl="0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37E1EB2"/>
    <w:multiLevelType w:val="multilevel"/>
    <w:tmpl w:val="B792F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AB0DA9"/>
    <w:multiLevelType w:val="multilevel"/>
    <w:tmpl w:val="7D18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667DA"/>
    <w:multiLevelType w:val="hybridMultilevel"/>
    <w:tmpl w:val="A7920B38"/>
    <w:lvl w:ilvl="0" w:tplc="607607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157B8"/>
    <w:multiLevelType w:val="hybridMultilevel"/>
    <w:tmpl w:val="F67C7D26"/>
    <w:lvl w:ilvl="0" w:tplc="D18458F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BF77E1F"/>
    <w:multiLevelType w:val="multilevel"/>
    <w:tmpl w:val="E774FEE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865934"/>
    <w:multiLevelType w:val="multilevel"/>
    <w:tmpl w:val="F5D4483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4016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74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970011">
    <w:abstractNumId w:val="5"/>
  </w:num>
  <w:num w:numId="4" w16cid:durableId="208273849">
    <w:abstractNumId w:val="4"/>
  </w:num>
  <w:num w:numId="5" w16cid:durableId="1935089443">
    <w:abstractNumId w:val="2"/>
  </w:num>
  <w:num w:numId="6" w16cid:durableId="1669601843">
    <w:abstractNumId w:val="10"/>
  </w:num>
  <w:num w:numId="7" w16cid:durableId="2103990260">
    <w:abstractNumId w:val="9"/>
  </w:num>
  <w:num w:numId="8" w16cid:durableId="1963145029">
    <w:abstractNumId w:val="11"/>
  </w:num>
  <w:num w:numId="9" w16cid:durableId="175116995">
    <w:abstractNumId w:val="8"/>
  </w:num>
  <w:num w:numId="10" w16cid:durableId="1910463337">
    <w:abstractNumId w:val="14"/>
  </w:num>
  <w:num w:numId="11" w16cid:durableId="190560292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397" w:firstLine="3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2137989631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397" w:firstLine="3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506867163">
    <w:abstractNumId w:val="7"/>
  </w:num>
  <w:num w:numId="14" w16cid:durableId="429814621">
    <w:abstractNumId w:val="21"/>
  </w:num>
  <w:num w:numId="15" w16cid:durableId="652220698">
    <w:abstractNumId w:val="21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%2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317030596">
    <w:abstractNumId w:val="20"/>
  </w:num>
  <w:num w:numId="17" w16cid:durableId="1513839560">
    <w:abstractNumId w:val="15"/>
  </w:num>
  <w:num w:numId="18" w16cid:durableId="906381133">
    <w:abstractNumId w:val="17"/>
  </w:num>
  <w:num w:numId="19" w16cid:durableId="41709474">
    <w:abstractNumId w:val="1"/>
  </w:num>
  <w:num w:numId="20" w16cid:durableId="1804038636">
    <w:abstractNumId w:val="12"/>
  </w:num>
  <w:num w:numId="21" w16cid:durableId="1232348538">
    <w:abstractNumId w:val="16"/>
  </w:num>
  <w:num w:numId="22" w16cid:durableId="1846555500">
    <w:abstractNumId w:val="0"/>
  </w:num>
  <w:num w:numId="23" w16cid:durableId="314645636">
    <w:abstractNumId w:val="13"/>
  </w:num>
  <w:num w:numId="24" w16cid:durableId="792870852">
    <w:abstractNumId w:val="19"/>
  </w:num>
  <w:num w:numId="25" w16cid:durableId="1257179190">
    <w:abstractNumId w:val="6"/>
  </w:num>
  <w:num w:numId="26" w16cid:durableId="1879659184">
    <w:abstractNumId w:val="18"/>
  </w:num>
  <w:num w:numId="27" w16cid:durableId="1882788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B0"/>
    <w:rsid w:val="000152E5"/>
    <w:rsid w:val="00020E53"/>
    <w:rsid w:val="00030C35"/>
    <w:rsid w:val="00036EC4"/>
    <w:rsid w:val="000625C3"/>
    <w:rsid w:val="00067CD2"/>
    <w:rsid w:val="00071381"/>
    <w:rsid w:val="0008533A"/>
    <w:rsid w:val="000918C7"/>
    <w:rsid w:val="000921E1"/>
    <w:rsid w:val="000954F8"/>
    <w:rsid w:val="000A69A0"/>
    <w:rsid w:val="000B145B"/>
    <w:rsid w:val="000D0083"/>
    <w:rsid w:val="000D2759"/>
    <w:rsid w:val="000D7A75"/>
    <w:rsid w:val="00103CC4"/>
    <w:rsid w:val="0010556E"/>
    <w:rsid w:val="00107C61"/>
    <w:rsid w:val="00132712"/>
    <w:rsid w:val="00142262"/>
    <w:rsid w:val="00144301"/>
    <w:rsid w:val="00153174"/>
    <w:rsid w:val="00153931"/>
    <w:rsid w:val="001679C9"/>
    <w:rsid w:val="001712FA"/>
    <w:rsid w:val="00181B13"/>
    <w:rsid w:val="00194D62"/>
    <w:rsid w:val="001B131D"/>
    <w:rsid w:val="001B1DF2"/>
    <w:rsid w:val="001D04C3"/>
    <w:rsid w:val="001D5AA2"/>
    <w:rsid w:val="001E05AE"/>
    <w:rsid w:val="0020318B"/>
    <w:rsid w:val="00213DD1"/>
    <w:rsid w:val="00257CF8"/>
    <w:rsid w:val="002A223D"/>
    <w:rsid w:val="002A357B"/>
    <w:rsid w:val="002B3F54"/>
    <w:rsid w:val="002B4F8A"/>
    <w:rsid w:val="002B5BF9"/>
    <w:rsid w:val="002B6439"/>
    <w:rsid w:val="002B774B"/>
    <w:rsid w:val="002C3B4C"/>
    <w:rsid w:val="002C4150"/>
    <w:rsid w:val="002D4306"/>
    <w:rsid w:val="002D6738"/>
    <w:rsid w:val="002E0121"/>
    <w:rsid w:val="002F1D92"/>
    <w:rsid w:val="002F52EC"/>
    <w:rsid w:val="00320F05"/>
    <w:rsid w:val="00334DD7"/>
    <w:rsid w:val="00342227"/>
    <w:rsid w:val="00351C3B"/>
    <w:rsid w:val="003608E1"/>
    <w:rsid w:val="00366CEE"/>
    <w:rsid w:val="00380F2D"/>
    <w:rsid w:val="0039541B"/>
    <w:rsid w:val="003A16FF"/>
    <w:rsid w:val="003D6175"/>
    <w:rsid w:val="003E0223"/>
    <w:rsid w:val="003F4929"/>
    <w:rsid w:val="003F6989"/>
    <w:rsid w:val="0040609D"/>
    <w:rsid w:val="004112B3"/>
    <w:rsid w:val="00417391"/>
    <w:rsid w:val="00436F58"/>
    <w:rsid w:val="00445467"/>
    <w:rsid w:val="004571DE"/>
    <w:rsid w:val="00460912"/>
    <w:rsid w:val="00461566"/>
    <w:rsid w:val="0048376A"/>
    <w:rsid w:val="004D29E4"/>
    <w:rsid w:val="004D481B"/>
    <w:rsid w:val="004E2CC4"/>
    <w:rsid w:val="00503987"/>
    <w:rsid w:val="005039B9"/>
    <w:rsid w:val="00505E1F"/>
    <w:rsid w:val="00535D6F"/>
    <w:rsid w:val="005439C4"/>
    <w:rsid w:val="00554DB3"/>
    <w:rsid w:val="005A6C93"/>
    <w:rsid w:val="005C7C53"/>
    <w:rsid w:val="005E4649"/>
    <w:rsid w:val="00627329"/>
    <w:rsid w:val="00634A82"/>
    <w:rsid w:val="00637324"/>
    <w:rsid w:val="006575B1"/>
    <w:rsid w:val="00681DEE"/>
    <w:rsid w:val="00695706"/>
    <w:rsid w:val="006A32CB"/>
    <w:rsid w:val="006A4D6B"/>
    <w:rsid w:val="006A6C32"/>
    <w:rsid w:val="006C50BB"/>
    <w:rsid w:val="006E1A36"/>
    <w:rsid w:val="006E7F7A"/>
    <w:rsid w:val="006F207C"/>
    <w:rsid w:val="006F5864"/>
    <w:rsid w:val="006F58AE"/>
    <w:rsid w:val="00701705"/>
    <w:rsid w:val="0071501C"/>
    <w:rsid w:val="0071716F"/>
    <w:rsid w:val="00723196"/>
    <w:rsid w:val="00733F49"/>
    <w:rsid w:val="00737DD7"/>
    <w:rsid w:val="007465A7"/>
    <w:rsid w:val="00793F05"/>
    <w:rsid w:val="007B1EB3"/>
    <w:rsid w:val="007B2CE3"/>
    <w:rsid w:val="007B4DA9"/>
    <w:rsid w:val="007C34F8"/>
    <w:rsid w:val="007C4202"/>
    <w:rsid w:val="007D7A40"/>
    <w:rsid w:val="007F292F"/>
    <w:rsid w:val="007F68F3"/>
    <w:rsid w:val="007F7318"/>
    <w:rsid w:val="0080299A"/>
    <w:rsid w:val="0085170F"/>
    <w:rsid w:val="00863D83"/>
    <w:rsid w:val="008B780A"/>
    <w:rsid w:val="008C0BE5"/>
    <w:rsid w:val="008C27DB"/>
    <w:rsid w:val="008D6FDB"/>
    <w:rsid w:val="008F51AD"/>
    <w:rsid w:val="008F60BD"/>
    <w:rsid w:val="00916904"/>
    <w:rsid w:val="0092314D"/>
    <w:rsid w:val="00932656"/>
    <w:rsid w:val="00933C55"/>
    <w:rsid w:val="00962711"/>
    <w:rsid w:val="009711BB"/>
    <w:rsid w:val="00994801"/>
    <w:rsid w:val="009A4ACD"/>
    <w:rsid w:val="009A4BA0"/>
    <w:rsid w:val="009D7E97"/>
    <w:rsid w:val="00A02887"/>
    <w:rsid w:val="00A02E15"/>
    <w:rsid w:val="00A0310B"/>
    <w:rsid w:val="00A0460E"/>
    <w:rsid w:val="00A04CD4"/>
    <w:rsid w:val="00A361B0"/>
    <w:rsid w:val="00A57117"/>
    <w:rsid w:val="00A66A45"/>
    <w:rsid w:val="00A746A1"/>
    <w:rsid w:val="00A84ED0"/>
    <w:rsid w:val="00A96B4D"/>
    <w:rsid w:val="00AA177F"/>
    <w:rsid w:val="00AA26A9"/>
    <w:rsid w:val="00AB7EC7"/>
    <w:rsid w:val="00AC0147"/>
    <w:rsid w:val="00AC5110"/>
    <w:rsid w:val="00AC78F6"/>
    <w:rsid w:val="00AE588C"/>
    <w:rsid w:val="00B046D7"/>
    <w:rsid w:val="00B06F54"/>
    <w:rsid w:val="00B27242"/>
    <w:rsid w:val="00B31917"/>
    <w:rsid w:val="00B36B32"/>
    <w:rsid w:val="00B44744"/>
    <w:rsid w:val="00B77257"/>
    <w:rsid w:val="00B86F66"/>
    <w:rsid w:val="00BA7EEC"/>
    <w:rsid w:val="00BD5083"/>
    <w:rsid w:val="00BE4205"/>
    <w:rsid w:val="00BE6CD4"/>
    <w:rsid w:val="00BF4A24"/>
    <w:rsid w:val="00BF7F0B"/>
    <w:rsid w:val="00C64D84"/>
    <w:rsid w:val="00C8115A"/>
    <w:rsid w:val="00CA1D14"/>
    <w:rsid w:val="00CA34C0"/>
    <w:rsid w:val="00CC05C8"/>
    <w:rsid w:val="00CC2BE3"/>
    <w:rsid w:val="00CC4C9E"/>
    <w:rsid w:val="00CC79CB"/>
    <w:rsid w:val="00CD568B"/>
    <w:rsid w:val="00CD603F"/>
    <w:rsid w:val="00CE209A"/>
    <w:rsid w:val="00CF09AC"/>
    <w:rsid w:val="00CF2C94"/>
    <w:rsid w:val="00D06C35"/>
    <w:rsid w:val="00D15972"/>
    <w:rsid w:val="00D47AE4"/>
    <w:rsid w:val="00D552BD"/>
    <w:rsid w:val="00D622CA"/>
    <w:rsid w:val="00D843CA"/>
    <w:rsid w:val="00D87AE5"/>
    <w:rsid w:val="00D97E24"/>
    <w:rsid w:val="00DA26AD"/>
    <w:rsid w:val="00DA7C8B"/>
    <w:rsid w:val="00DB422A"/>
    <w:rsid w:val="00DC1CBE"/>
    <w:rsid w:val="00DC58E6"/>
    <w:rsid w:val="00DD2404"/>
    <w:rsid w:val="00DD3BB7"/>
    <w:rsid w:val="00DE200A"/>
    <w:rsid w:val="00DE6520"/>
    <w:rsid w:val="00DF17A7"/>
    <w:rsid w:val="00E037B6"/>
    <w:rsid w:val="00E07E4F"/>
    <w:rsid w:val="00E22759"/>
    <w:rsid w:val="00E423DE"/>
    <w:rsid w:val="00E45815"/>
    <w:rsid w:val="00E50564"/>
    <w:rsid w:val="00E832C2"/>
    <w:rsid w:val="00E90A54"/>
    <w:rsid w:val="00E90C53"/>
    <w:rsid w:val="00E930F2"/>
    <w:rsid w:val="00EC25D4"/>
    <w:rsid w:val="00ED2E9B"/>
    <w:rsid w:val="00ED3FBD"/>
    <w:rsid w:val="00ED7B33"/>
    <w:rsid w:val="00EE7B1E"/>
    <w:rsid w:val="00EF15B4"/>
    <w:rsid w:val="00EF3EAE"/>
    <w:rsid w:val="00EF3F38"/>
    <w:rsid w:val="00F104B6"/>
    <w:rsid w:val="00F23BD6"/>
    <w:rsid w:val="00F426D7"/>
    <w:rsid w:val="00F6485B"/>
    <w:rsid w:val="00F82ABA"/>
    <w:rsid w:val="00F8322A"/>
    <w:rsid w:val="00FA6B9D"/>
    <w:rsid w:val="00FB75A0"/>
    <w:rsid w:val="00FD08E6"/>
    <w:rsid w:val="00FD6890"/>
    <w:rsid w:val="00FD7218"/>
    <w:rsid w:val="00FE25F3"/>
    <w:rsid w:val="00FE3AB3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8EB0"/>
  <w15:docId w15:val="{68393EAA-EB9B-45E5-A38D-3692AFA6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37B6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7B6"/>
    <w:rPr>
      <w:rFonts w:asciiTheme="minorHAnsi" w:eastAsiaTheme="minorHAnsi" w:hAnsiTheme="minorHAnsi" w:cstheme="minorBidi"/>
      <w:sz w:val="20"/>
    </w:rPr>
  </w:style>
  <w:style w:type="paragraph" w:styleId="ListParagraph">
    <w:name w:val="List Paragraph"/>
    <w:basedOn w:val="Normal"/>
    <w:uiPriority w:val="34"/>
    <w:qFormat/>
    <w:rsid w:val="00E037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37B6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B13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B13"/>
    <w:rPr>
      <w:rFonts w:asciiTheme="minorHAnsi" w:eastAsiaTheme="minorHAnsi" w:hAnsiTheme="minorHAnsi"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1B13"/>
    <w:rPr>
      <w:vertAlign w:val="superscript"/>
    </w:rPr>
  </w:style>
  <w:style w:type="character" w:customStyle="1" w:styleId="boldface">
    <w:name w:val="boldface"/>
    <w:basedOn w:val="DefaultParagraphFont"/>
    <w:rsid w:val="00194D62"/>
  </w:style>
  <w:style w:type="character" w:styleId="Hyperlink">
    <w:name w:val="Hyperlink"/>
    <w:basedOn w:val="DefaultParagraphFont"/>
    <w:unhideWhenUsed/>
    <w:rsid w:val="00BF7F0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F7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A177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012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0121"/>
    <w:rPr>
      <w:rFonts w:asciiTheme="minorHAnsi" w:eastAsiaTheme="minorHAnsi" w:hAnsiTheme="minorHAnsi" w:cstheme="minorBidi"/>
      <w:b/>
      <w:bCs/>
      <w:sz w:val="20"/>
    </w:rPr>
  </w:style>
  <w:style w:type="paragraph" w:styleId="Revision">
    <w:name w:val="Revision"/>
    <w:hidden/>
    <w:semiHidden/>
    <w:rsid w:val="005C7C53"/>
  </w:style>
  <w:style w:type="paragraph" w:styleId="BalloonText">
    <w:name w:val="Balloon Text"/>
    <w:basedOn w:val="Normal"/>
    <w:link w:val="BalloonTextChar"/>
    <w:semiHidden/>
    <w:unhideWhenUsed/>
    <w:rsid w:val="00A02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7E29F-12AC-40AD-8237-08BA785AA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00C4D-0370-40F3-901B-BAF5C64AD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FE818-4660-4022-B320-47E63AD3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5714</Words>
  <Characters>3258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Mindaugas Genys</cp:lastModifiedBy>
  <cp:revision>24</cp:revision>
  <dcterms:created xsi:type="dcterms:W3CDTF">2023-05-09T08:01:00Z</dcterms:created>
  <dcterms:modified xsi:type="dcterms:W3CDTF">2023-05-19T13:10:00Z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