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1A49" w14:textId="77777777" w:rsidR="000E6AF8" w:rsidRPr="00113703" w:rsidRDefault="000E6AF8">
      <w:pPr>
        <w:tabs>
          <w:tab w:val="center" w:pos="4819"/>
          <w:tab w:val="right" w:pos="9638"/>
        </w:tabs>
        <w:rPr>
          <w:sz w:val="22"/>
          <w:szCs w:val="22"/>
          <w:lang w:val="en-US"/>
        </w:rPr>
      </w:pPr>
    </w:p>
    <w:p w14:paraId="290DA66A" w14:textId="77777777" w:rsidR="00237697" w:rsidRDefault="00237697">
      <w:pPr>
        <w:tabs>
          <w:tab w:val="center" w:pos="4819"/>
          <w:tab w:val="right" w:pos="9638"/>
        </w:tabs>
        <w:rPr>
          <w:sz w:val="22"/>
          <w:szCs w:val="22"/>
        </w:rPr>
      </w:pPr>
    </w:p>
    <w:p w14:paraId="73BC5A27" w14:textId="77777777" w:rsidR="00237697" w:rsidRDefault="00237697">
      <w:pPr>
        <w:tabs>
          <w:tab w:val="center" w:pos="4819"/>
          <w:tab w:val="right" w:pos="9638"/>
        </w:tabs>
        <w:rPr>
          <w:sz w:val="22"/>
          <w:szCs w:val="22"/>
        </w:rPr>
      </w:pPr>
    </w:p>
    <w:p w14:paraId="33CC1EBB" w14:textId="77777777" w:rsidR="00B6318B" w:rsidRPr="00B6318B" w:rsidRDefault="00B6318B" w:rsidP="00B6318B">
      <w:pPr>
        <w:keepNext/>
        <w:keepLines/>
        <w:spacing w:before="40"/>
        <w:jc w:val="right"/>
        <w:outlineLvl w:val="1"/>
        <w:rPr>
          <w:rFonts w:eastAsiaTheme="majorEastAsia"/>
          <w:b/>
          <w:bCs/>
          <w:szCs w:val="24"/>
        </w:rPr>
      </w:pPr>
      <w:r w:rsidRPr="00B6318B">
        <w:rPr>
          <w:rFonts w:eastAsiaTheme="majorEastAsia"/>
          <w:b/>
          <w:bCs/>
          <w:szCs w:val="24"/>
        </w:rPr>
        <w:t>Projektas</w:t>
      </w:r>
    </w:p>
    <w:p w14:paraId="38C3B297" w14:textId="77777777" w:rsidR="00B6318B" w:rsidRPr="00B6318B" w:rsidRDefault="00B6318B" w:rsidP="00B6318B">
      <w:pPr>
        <w:tabs>
          <w:tab w:val="left" w:pos="709"/>
        </w:tabs>
        <w:spacing w:before="160"/>
        <w:jc w:val="center"/>
        <w:rPr>
          <w:b/>
          <w:caps/>
          <w:szCs w:val="24"/>
        </w:rPr>
      </w:pPr>
    </w:p>
    <w:p w14:paraId="46A72FB5" w14:textId="77777777" w:rsidR="00B6318B" w:rsidRPr="00B6318B" w:rsidRDefault="00B6318B" w:rsidP="00B6318B">
      <w:pPr>
        <w:tabs>
          <w:tab w:val="left" w:pos="709"/>
        </w:tabs>
        <w:spacing w:before="160"/>
        <w:jc w:val="center"/>
        <w:rPr>
          <w:b/>
          <w:caps/>
          <w:szCs w:val="24"/>
        </w:rPr>
      </w:pPr>
      <w:r w:rsidRPr="00B6318B">
        <w:rPr>
          <w:b/>
          <w:caps/>
          <w:szCs w:val="24"/>
        </w:rPr>
        <w:t>LIETUVOS RESPUBLIKOS Ekonomikos ir inovacijų MINISTRAS</w:t>
      </w:r>
    </w:p>
    <w:p w14:paraId="16DE1F54" w14:textId="77777777" w:rsidR="00B6318B" w:rsidRPr="00B6318B" w:rsidRDefault="00B6318B" w:rsidP="00B6318B">
      <w:pPr>
        <w:jc w:val="center"/>
        <w:rPr>
          <w:b/>
          <w:caps/>
          <w:szCs w:val="24"/>
        </w:rPr>
      </w:pPr>
    </w:p>
    <w:p w14:paraId="6264948F" w14:textId="77777777" w:rsidR="00B6318B" w:rsidRPr="00B6318B" w:rsidRDefault="00B6318B" w:rsidP="00B6318B">
      <w:pPr>
        <w:jc w:val="center"/>
        <w:rPr>
          <w:b/>
          <w:caps/>
          <w:szCs w:val="24"/>
        </w:rPr>
      </w:pPr>
      <w:r w:rsidRPr="00B6318B">
        <w:rPr>
          <w:b/>
          <w:caps/>
          <w:szCs w:val="24"/>
        </w:rPr>
        <w:t>įsakymas</w:t>
      </w:r>
    </w:p>
    <w:p w14:paraId="47A410E2" w14:textId="77777777" w:rsidR="00B6318B" w:rsidRPr="00B6318B" w:rsidRDefault="00B6318B" w:rsidP="00B6318B">
      <w:pPr>
        <w:jc w:val="center"/>
        <w:rPr>
          <w:b/>
          <w:caps/>
        </w:rPr>
      </w:pPr>
      <w:r w:rsidRPr="00B6318B">
        <w:rPr>
          <w:b/>
          <w:caps/>
        </w:rPr>
        <w:t xml:space="preserve">DĖL </w:t>
      </w:r>
      <w:r w:rsidRPr="00B6318B">
        <w:rPr>
          <w:b/>
          <w:szCs w:val="24"/>
        </w:rPr>
        <w:t xml:space="preserve">2021–2030 METŲ LIETUVOS RESPUBLIKOS EKONOMIKOS IR INOVACIJŲ MINISTERIJOS VALSTYBĖS SKAITMENINIMO PLĖTROS PROGRAMOS PAŽANGOS PRIEMONĖS </w:t>
      </w:r>
      <w:r w:rsidRPr="00B6318B">
        <w:rPr>
          <w:b/>
          <w:bCs/>
          <w:szCs w:val="24"/>
          <w:lang w:eastAsia="lt-LT"/>
        </w:rPr>
        <w:t>NR.</w:t>
      </w:r>
      <w:r w:rsidRPr="00B6318B">
        <w:rPr>
          <w:b/>
          <w:bCs/>
          <w:i/>
          <w:szCs w:val="24"/>
          <w:lang w:eastAsia="lt-LT"/>
        </w:rPr>
        <w:t xml:space="preserve"> </w:t>
      </w:r>
      <w:r w:rsidRPr="00B6318B">
        <w:rPr>
          <w:b/>
          <w:szCs w:val="24"/>
        </w:rPr>
        <w:t>05-002-01-07-08 „KURTI TECHNOLOGINIUS SPRENDIMUS IR ĮRANKIUS, LEIDŽIANČIUS SAUGIAI IR PATOGIAI NAUDOTIS PASLAUGOMIS“ APRAŠO PATVIRTINIMO“</w:t>
      </w:r>
    </w:p>
    <w:p w14:paraId="7C288D42" w14:textId="77777777" w:rsidR="00B6318B" w:rsidRPr="00B6318B" w:rsidRDefault="00B6318B" w:rsidP="00B6318B">
      <w:pPr>
        <w:jc w:val="center"/>
        <w:rPr>
          <w:b/>
          <w:bCs/>
          <w:caps/>
          <w:color w:val="000000"/>
          <w:szCs w:val="24"/>
        </w:rPr>
      </w:pPr>
      <w:r w:rsidRPr="00B6318B">
        <w:rPr>
          <w:b/>
          <w:bCs/>
          <w:caps/>
          <w:color w:val="000000"/>
          <w:szCs w:val="24"/>
        </w:rPr>
        <w:t>PAKEITIMO</w:t>
      </w:r>
    </w:p>
    <w:p w14:paraId="3AC0110B" w14:textId="77777777" w:rsidR="00B6318B" w:rsidRPr="00B6318B" w:rsidRDefault="00B6318B" w:rsidP="00B6318B">
      <w:pPr>
        <w:jc w:val="center"/>
        <w:rPr>
          <w:b/>
          <w:szCs w:val="24"/>
        </w:rPr>
      </w:pPr>
    </w:p>
    <w:p w14:paraId="755A9468" w14:textId="77777777" w:rsidR="00B6318B" w:rsidRPr="00B6318B" w:rsidRDefault="00B6318B" w:rsidP="00B6318B">
      <w:pPr>
        <w:jc w:val="center"/>
        <w:rPr>
          <w:szCs w:val="24"/>
        </w:rPr>
      </w:pPr>
      <w:r w:rsidRPr="00B6318B">
        <w:rPr>
          <w:szCs w:val="24"/>
        </w:rPr>
        <w:t xml:space="preserve">2023 m.                d. Nr. </w:t>
      </w:r>
    </w:p>
    <w:p w14:paraId="2EFC4993" w14:textId="77777777" w:rsidR="00B6318B" w:rsidRPr="00B6318B" w:rsidRDefault="00B6318B" w:rsidP="00B6318B">
      <w:pPr>
        <w:jc w:val="center"/>
        <w:rPr>
          <w:szCs w:val="24"/>
        </w:rPr>
      </w:pPr>
      <w:r w:rsidRPr="00B6318B">
        <w:rPr>
          <w:szCs w:val="24"/>
        </w:rPr>
        <w:t>Vilnius</w:t>
      </w:r>
    </w:p>
    <w:p w14:paraId="1F9F668B" w14:textId="77777777" w:rsidR="00B6318B" w:rsidRPr="00B6318B" w:rsidRDefault="00B6318B" w:rsidP="00B6318B">
      <w:pPr>
        <w:rPr>
          <w:szCs w:val="24"/>
        </w:rPr>
      </w:pPr>
    </w:p>
    <w:p w14:paraId="412DA9AE" w14:textId="77777777" w:rsidR="00B6318B" w:rsidRPr="00B6318B" w:rsidRDefault="00B6318B" w:rsidP="00B6318B">
      <w:pPr>
        <w:widowControl w:val="0"/>
        <w:ind w:firstLine="709"/>
        <w:jc w:val="both"/>
        <w:rPr>
          <w:szCs w:val="24"/>
        </w:rPr>
      </w:pPr>
      <w:r w:rsidRPr="00B6318B">
        <w:rPr>
          <w:szCs w:val="24"/>
        </w:rPr>
        <w:t xml:space="preserve">P a k e i č i u  </w:t>
      </w:r>
      <w:r w:rsidRPr="00B6318B">
        <w:rPr>
          <w:bCs/>
          <w:szCs w:val="24"/>
        </w:rPr>
        <w:t xml:space="preserve">2021–2030 metų Lietuvos Respublikos ekonomikos ir inovacijų ministerijos valstybės skaitmeninimo plėtros programos pažangos priemonės </w:t>
      </w:r>
      <w:r w:rsidRPr="00B6318B">
        <w:rPr>
          <w:bCs/>
          <w:szCs w:val="24"/>
        </w:rPr>
        <w:br/>
      </w:r>
      <w:r w:rsidRPr="00B6318B">
        <w:rPr>
          <w:szCs w:val="24"/>
          <w:lang w:eastAsia="lt-LT"/>
        </w:rPr>
        <w:t>Nr.</w:t>
      </w:r>
      <w:r w:rsidRPr="00B6318B">
        <w:rPr>
          <w:i/>
          <w:szCs w:val="24"/>
          <w:lang w:eastAsia="lt-LT"/>
        </w:rPr>
        <w:t xml:space="preserve"> </w:t>
      </w:r>
      <w:r w:rsidRPr="00B6318B">
        <w:rPr>
          <w:szCs w:val="24"/>
        </w:rPr>
        <w:t>05-002-01-07-08 „</w:t>
      </w:r>
      <w:bookmarkStart w:id="0" w:name="_Hlk107401371"/>
      <w:r w:rsidRPr="00B6318B">
        <w:rPr>
          <w:szCs w:val="24"/>
        </w:rPr>
        <w:t xml:space="preserve">Kurti technologinius sprendimus </w:t>
      </w:r>
      <w:bookmarkEnd w:id="0"/>
      <w:r w:rsidRPr="00B6318B">
        <w:rPr>
          <w:szCs w:val="24"/>
        </w:rPr>
        <w:t xml:space="preserve">ir įrankius, leidžiančius saugiai ir patogiai naudotis paslaugomis“ aprašą, patvirtintą Lietuvos Respublikos ekonomikos ir inovacijų ministro 2022 m. liepos 12 d. įsakymu Nr. 4-869 „Dėl </w:t>
      </w:r>
      <w:r w:rsidRPr="00B6318B">
        <w:rPr>
          <w:bCs/>
          <w:szCs w:val="24"/>
        </w:rPr>
        <w:t xml:space="preserve">2021–2030 metų Lietuvos Respublikos ekonomikos ir inovacijų ministerijos valstybės skaitmeninimo plėtros programos pažangos priemonės </w:t>
      </w:r>
      <w:r w:rsidRPr="00B6318B">
        <w:rPr>
          <w:szCs w:val="24"/>
          <w:lang w:eastAsia="lt-LT"/>
        </w:rPr>
        <w:t>Nr.</w:t>
      </w:r>
      <w:r w:rsidRPr="00B6318B">
        <w:rPr>
          <w:i/>
          <w:szCs w:val="24"/>
          <w:lang w:eastAsia="lt-LT"/>
        </w:rPr>
        <w:t xml:space="preserve"> </w:t>
      </w:r>
      <w:r w:rsidRPr="00B6318B">
        <w:rPr>
          <w:szCs w:val="24"/>
        </w:rPr>
        <w:t xml:space="preserve">05-002-01-07-08 „Kurti technologinius sprendimus ir įrankius, leidžiančius saugiai ir patogiai naudotis paslaugomis“ aprašo patvirtinimo“ ir papildau </w:t>
      </w:r>
      <w:r w:rsidRPr="00B6318B">
        <w:rPr>
          <w:szCs w:val="24"/>
          <w:highlight w:val="yellow"/>
        </w:rPr>
        <w:t>x</w:t>
      </w:r>
      <w:r w:rsidRPr="00B6318B">
        <w:rPr>
          <w:szCs w:val="24"/>
        </w:rPr>
        <w:t xml:space="preserve"> priedu (pridedama).</w:t>
      </w:r>
    </w:p>
    <w:p w14:paraId="0FD3411F" w14:textId="77777777" w:rsidR="00B6318B" w:rsidRPr="00B6318B" w:rsidRDefault="00B6318B" w:rsidP="00B6318B">
      <w:pPr>
        <w:jc w:val="both"/>
        <w:rPr>
          <w:szCs w:val="24"/>
        </w:rPr>
      </w:pPr>
    </w:p>
    <w:p w14:paraId="3675EBA0" w14:textId="77777777" w:rsidR="00B6318B" w:rsidRPr="00B6318B" w:rsidRDefault="00B6318B" w:rsidP="00B6318B">
      <w:pPr>
        <w:jc w:val="both"/>
        <w:rPr>
          <w:szCs w:val="24"/>
        </w:rPr>
      </w:pPr>
    </w:p>
    <w:p w14:paraId="64DD16CA" w14:textId="77777777" w:rsidR="00B6318B" w:rsidRPr="00B6318B" w:rsidRDefault="00B6318B" w:rsidP="00B6318B">
      <w:pPr>
        <w:jc w:val="both"/>
        <w:rPr>
          <w:szCs w:val="24"/>
        </w:rPr>
      </w:pPr>
    </w:p>
    <w:p w14:paraId="10C03008" w14:textId="77777777" w:rsidR="00B6318B" w:rsidRPr="00B6318B" w:rsidRDefault="00B6318B" w:rsidP="00B6318B">
      <w:pPr>
        <w:jc w:val="both"/>
        <w:rPr>
          <w:szCs w:val="24"/>
        </w:rPr>
      </w:pPr>
    </w:p>
    <w:p w14:paraId="37FF64EB" w14:textId="77777777" w:rsidR="00B6318B" w:rsidRPr="00B6318B" w:rsidRDefault="00B6318B" w:rsidP="00B6318B">
      <w:pPr>
        <w:jc w:val="both"/>
        <w:rPr>
          <w:szCs w:val="24"/>
        </w:rPr>
      </w:pPr>
      <w:r w:rsidRPr="00B6318B">
        <w:rPr>
          <w:szCs w:val="24"/>
        </w:rPr>
        <w:t xml:space="preserve">Ekonomikos ir inovacijų ministras                                                                            </w:t>
      </w:r>
    </w:p>
    <w:p w14:paraId="5BCF662F" w14:textId="77777777" w:rsidR="00B6318B" w:rsidRPr="00B6318B" w:rsidRDefault="00B6318B" w:rsidP="00B6318B">
      <w:pPr>
        <w:jc w:val="both"/>
        <w:rPr>
          <w:szCs w:val="24"/>
        </w:rPr>
      </w:pPr>
    </w:p>
    <w:p w14:paraId="3E8FF89C" w14:textId="77777777" w:rsidR="00B6318B" w:rsidRPr="00B6318B" w:rsidRDefault="00B6318B" w:rsidP="00B6318B">
      <w:pPr>
        <w:jc w:val="both"/>
        <w:rPr>
          <w:szCs w:val="24"/>
        </w:rPr>
      </w:pPr>
    </w:p>
    <w:p w14:paraId="344142DA" w14:textId="77777777" w:rsidR="00B6318B" w:rsidRPr="00B6318B" w:rsidRDefault="00B6318B" w:rsidP="00B6318B">
      <w:pPr>
        <w:jc w:val="both"/>
        <w:rPr>
          <w:szCs w:val="24"/>
        </w:rPr>
      </w:pPr>
    </w:p>
    <w:p w14:paraId="113DEDFA" w14:textId="77777777" w:rsidR="00237697" w:rsidRDefault="00237697">
      <w:pPr>
        <w:tabs>
          <w:tab w:val="center" w:pos="4819"/>
          <w:tab w:val="right" w:pos="9638"/>
        </w:tabs>
        <w:rPr>
          <w:sz w:val="22"/>
          <w:szCs w:val="22"/>
        </w:rPr>
      </w:pPr>
    </w:p>
    <w:p w14:paraId="042B2084" w14:textId="77777777" w:rsidR="00237697" w:rsidRDefault="00237697">
      <w:pPr>
        <w:tabs>
          <w:tab w:val="center" w:pos="4819"/>
          <w:tab w:val="right" w:pos="9638"/>
        </w:tabs>
        <w:rPr>
          <w:sz w:val="22"/>
          <w:szCs w:val="22"/>
        </w:rPr>
      </w:pPr>
    </w:p>
    <w:p w14:paraId="45E16E89" w14:textId="77777777" w:rsidR="00237697" w:rsidRDefault="00237697">
      <w:pPr>
        <w:tabs>
          <w:tab w:val="center" w:pos="4819"/>
          <w:tab w:val="right" w:pos="9638"/>
        </w:tabs>
        <w:rPr>
          <w:sz w:val="22"/>
          <w:szCs w:val="22"/>
        </w:rPr>
      </w:pPr>
    </w:p>
    <w:p w14:paraId="4A7ADADA" w14:textId="77777777" w:rsidR="00237697" w:rsidRDefault="00237697">
      <w:pPr>
        <w:tabs>
          <w:tab w:val="center" w:pos="4819"/>
          <w:tab w:val="right" w:pos="9638"/>
        </w:tabs>
        <w:rPr>
          <w:sz w:val="22"/>
          <w:szCs w:val="22"/>
        </w:rPr>
      </w:pPr>
    </w:p>
    <w:p w14:paraId="0D9A7E84" w14:textId="77777777" w:rsidR="00237697" w:rsidRDefault="00237697">
      <w:pPr>
        <w:tabs>
          <w:tab w:val="center" w:pos="4819"/>
          <w:tab w:val="right" w:pos="9638"/>
        </w:tabs>
        <w:rPr>
          <w:sz w:val="22"/>
          <w:szCs w:val="22"/>
        </w:rPr>
      </w:pPr>
    </w:p>
    <w:p w14:paraId="09C95041" w14:textId="77777777" w:rsidR="00237697" w:rsidRDefault="00237697">
      <w:pPr>
        <w:tabs>
          <w:tab w:val="center" w:pos="4819"/>
          <w:tab w:val="right" w:pos="9638"/>
        </w:tabs>
        <w:rPr>
          <w:sz w:val="22"/>
          <w:szCs w:val="22"/>
        </w:rPr>
      </w:pPr>
    </w:p>
    <w:p w14:paraId="30634129" w14:textId="77777777" w:rsidR="00237697" w:rsidRDefault="00237697">
      <w:pPr>
        <w:tabs>
          <w:tab w:val="center" w:pos="4819"/>
          <w:tab w:val="right" w:pos="9638"/>
        </w:tabs>
        <w:rPr>
          <w:sz w:val="22"/>
          <w:szCs w:val="22"/>
        </w:rPr>
      </w:pPr>
    </w:p>
    <w:p w14:paraId="0674CF8F" w14:textId="77777777" w:rsidR="00237697" w:rsidRDefault="00237697">
      <w:pPr>
        <w:tabs>
          <w:tab w:val="center" w:pos="4819"/>
          <w:tab w:val="right" w:pos="9638"/>
        </w:tabs>
        <w:rPr>
          <w:sz w:val="22"/>
          <w:szCs w:val="22"/>
        </w:rPr>
      </w:pPr>
    </w:p>
    <w:p w14:paraId="42E89854" w14:textId="77777777" w:rsidR="00237697" w:rsidRDefault="00237697">
      <w:pPr>
        <w:tabs>
          <w:tab w:val="center" w:pos="4819"/>
          <w:tab w:val="right" w:pos="9638"/>
        </w:tabs>
        <w:rPr>
          <w:sz w:val="22"/>
          <w:szCs w:val="22"/>
        </w:rPr>
      </w:pPr>
    </w:p>
    <w:p w14:paraId="62F1FB2D" w14:textId="77777777" w:rsidR="00237697" w:rsidRDefault="00237697">
      <w:pPr>
        <w:tabs>
          <w:tab w:val="center" w:pos="4819"/>
          <w:tab w:val="right" w:pos="9638"/>
        </w:tabs>
        <w:rPr>
          <w:sz w:val="22"/>
          <w:szCs w:val="22"/>
        </w:rPr>
      </w:pPr>
    </w:p>
    <w:p w14:paraId="02E6285B" w14:textId="77777777" w:rsidR="00237697" w:rsidRDefault="00237697">
      <w:pPr>
        <w:tabs>
          <w:tab w:val="center" w:pos="4819"/>
          <w:tab w:val="right" w:pos="9638"/>
        </w:tabs>
        <w:rPr>
          <w:sz w:val="22"/>
          <w:szCs w:val="22"/>
        </w:rPr>
      </w:pPr>
    </w:p>
    <w:p w14:paraId="70D60D49" w14:textId="77777777" w:rsidR="00237697" w:rsidRDefault="00237697">
      <w:pPr>
        <w:tabs>
          <w:tab w:val="center" w:pos="4819"/>
          <w:tab w:val="right" w:pos="9638"/>
        </w:tabs>
        <w:rPr>
          <w:sz w:val="22"/>
          <w:szCs w:val="22"/>
        </w:rPr>
      </w:pPr>
    </w:p>
    <w:p w14:paraId="0DAF0731" w14:textId="77777777" w:rsidR="00237697" w:rsidRDefault="00237697">
      <w:pPr>
        <w:tabs>
          <w:tab w:val="center" w:pos="4819"/>
          <w:tab w:val="right" w:pos="9638"/>
        </w:tabs>
        <w:rPr>
          <w:sz w:val="22"/>
          <w:szCs w:val="22"/>
        </w:rPr>
        <w:sectPr w:rsidR="00237697" w:rsidSect="00237697">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1134" w:left="1701" w:header="567" w:footer="567" w:gutter="0"/>
          <w:cols w:space="1296"/>
          <w:titlePg/>
          <w:docGrid w:linePitch="360"/>
        </w:sectPr>
      </w:pPr>
    </w:p>
    <w:p w14:paraId="0FF9343F" w14:textId="77777777" w:rsidR="00237697" w:rsidRDefault="00237697">
      <w:pPr>
        <w:tabs>
          <w:tab w:val="center" w:pos="4819"/>
          <w:tab w:val="right" w:pos="9638"/>
        </w:tabs>
        <w:rPr>
          <w:sz w:val="22"/>
          <w:szCs w:val="22"/>
        </w:rPr>
      </w:pPr>
    </w:p>
    <w:p w14:paraId="1C07599F" w14:textId="77777777" w:rsidR="00237697" w:rsidRDefault="00237697">
      <w:pPr>
        <w:tabs>
          <w:tab w:val="center" w:pos="4819"/>
          <w:tab w:val="right" w:pos="9638"/>
        </w:tabs>
        <w:rPr>
          <w:sz w:val="22"/>
          <w:szCs w:val="22"/>
        </w:rPr>
      </w:pPr>
    </w:p>
    <w:p w14:paraId="35E2159E" w14:textId="77777777" w:rsidR="003A23B1" w:rsidRDefault="003A23B1" w:rsidP="003A23B1">
      <w:pPr>
        <w:ind w:left="9639"/>
        <w:rPr>
          <w:szCs w:val="24"/>
        </w:rPr>
      </w:pPr>
      <w:r w:rsidRPr="001002AD">
        <w:rPr>
          <w:bCs/>
          <w:szCs w:val="24"/>
        </w:rPr>
        <w:t>2021–2030 metų Lietuvos Respublikos ekonomikos ir inovacijų ministerijos valstybės skaitmeninimo plėtros programos pažangos priemon</w:t>
      </w:r>
      <w:r>
        <w:rPr>
          <w:bCs/>
          <w:szCs w:val="24"/>
        </w:rPr>
        <w:t>ės</w:t>
      </w:r>
      <w:r w:rsidRPr="001002AD">
        <w:rPr>
          <w:bCs/>
          <w:szCs w:val="24"/>
        </w:rPr>
        <w:t xml:space="preserve"> </w:t>
      </w:r>
      <w:r w:rsidRPr="001002AD">
        <w:rPr>
          <w:szCs w:val="24"/>
          <w:lang w:eastAsia="lt-LT"/>
        </w:rPr>
        <w:t>Nr.</w:t>
      </w:r>
      <w:r w:rsidRPr="001002AD">
        <w:rPr>
          <w:i/>
          <w:szCs w:val="24"/>
          <w:lang w:eastAsia="lt-LT"/>
        </w:rPr>
        <w:t xml:space="preserve"> </w:t>
      </w:r>
      <w:r w:rsidRPr="001002AD">
        <w:rPr>
          <w:szCs w:val="24"/>
        </w:rPr>
        <w:t>05-002-01-07-08 „Kurti technologinius sprendimus ir įrankius</w:t>
      </w:r>
      <w:r>
        <w:rPr>
          <w:szCs w:val="24"/>
        </w:rPr>
        <w:t>, l</w:t>
      </w:r>
      <w:r w:rsidRPr="001002AD">
        <w:rPr>
          <w:szCs w:val="24"/>
        </w:rPr>
        <w:t>eidžiančius saugiai ir patogiai naudotis paslaugomis“</w:t>
      </w:r>
      <w:r>
        <w:rPr>
          <w:szCs w:val="24"/>
        </w:rPr>
        <w:t xml:space="preserve"> </w:t>
      </w:r>
      <w:r w:rsidRPr="000E47E9">
        <w:rPr>
          <w:szCs w:val="24"/>
        </w:rPr>
        <w:t>apraš</w:t>
      </w:r>
      <w:r>
        <w:rPr>
          <w:szCs w:val="24"/>
        </w:rPr>
        <w:t xml:space="preserve">o </w:t>
      </w:r>
      <w:r w:rsidRPr="005A236E">
        <w:rPr>
          <w:szCs w:val="24"/>
          <w:highlight w:val="yellow"/>
        </w:rPr>
        <w:t>x</w:t>
      </w:r>
      <w:r>
        <w:rPr>
          <w:szCs w:val="24"/>
        </w:rPr>
        <w:t xml:space="preserve"> priedas</w:t>
      </w:r>
    </w:p>
    <w:p w14:paraId="3D6423D1" w14:textId="77777777" w:rsidR="003A23B1" w:rsidRDefault="003A23B1" w:rsidP="003A23B1">
      <w:pPr>
        <w:jc w:val="center"/>
        <w:rPr>
          <w:iCs/>
          <w:szCs w:val="24"/>
        </w:rPr>
      </w:pPr>
    </w:p>
    <w:p w14:paraId="45BEE576" w14:textId="77777777" w:rsidR="003A23B1" w:rsidRPr="005A236E" w:rsidRDefault="003A23B1" w:rsidP="003A23B1">
      <w:pPr>
        <w:jc w:val="center"/>
        <w:rPr>
          <w:b/>
          <w:iCs/>
          <w:szCs w:val="24"/>
        </w:rPr>
      </w:pPr>
      <w:r w:rsidRPr="005A236E">
        <w:rPr>
          <w:b/>
          <w:szCs w:val="24"/>
        </w:rPr>
        <w:t xml:space="preserve">2021–2030 METŲ LIETUVOS RESPUBLIKOS EKONOMIKOS IR INOVACIJŲ MINISTERIJOS VALSTYBĖS SKAITMENINIMO PLĖTROS PROGRAMOS PAŽANGOS PRIEMONĖS </w:t>
      </w:r>
      <w:r w:rsidRPr="005A236E">
        <w:rPr>
          <w:b/>
          <w:szCs w:val="24"/>
          <w:lang w:eastAsia="lt-LT"/>
        </w:rPr>
        <w:t>NR.</w:t>
      </w:r>
      <w:r w:rsidRPr="005A236E">
        <w:rPr>
          <w:b/>
          <w:i/>
          <w:szCs w:val="24"/>
          <w:lang w:eastAsia="lt-LT"/>
        </w:rPr>
        <w:t xml:space="preserve"> </w:t>
      </w:r>
      <w:r w:rsidRPr="005A236E">
        <w:rPr>
          <w:b/>
          <w:szCs w:val="24"/>
        </w:rPr>
        <w:t>05-002-01-</w:t>
      </w:r>
      <w:r w:rsidRPr="005A236E">
        <w:rPr>
          <w:b/>
          <w:iCs/>
          <w:szCs w:val="24"/>
        </w:rPr>
        <w:t xml:space="preserve">07-08 „KURTI TECHNOLOGINIUS SPRENDIMUS IR ĮRANKIUS, LEIDŽIANČIUS SAUGIAI IR PATOGIAI NAUDOTIS PASLAUGOMIS“ VEIKLOS </w:t>
      </w:r>
      <w:r>
        <w:rPr>
          <w:b/>
          <w:iCs/>
          <w:szCs w:val="24"/>
        </w:rPr>
        <w:t>„</w:t>
      </w:r>
      <w:r w:rsidRPr="005A236E">
        <w:rPr>
          <w:b/>
          <w:iCs/>
          <w:szCs w:val="24"/>
        </w:rPr>
        <w:t>NAUDOJIMOSI ELEKTRONINĖS ATPAŽINTIES PRIEMONĖMIS SKATINIMAS</w:t>
      </w:r>
      <w:r>
        <w:rPr>
          <w:b/>
          <w:iCs/>
          <w:szCs w:val="24"/>
        </w:rPr>
        <w:t xml:space="preserve">“ POVEIKLĖS </w:t>
      </w:r>
      <w:r w:rsidRPr="000D454C">
        <w:rPr>
          <w:b/>
          <w:szCs w:val="24"/>
        </w:rPr>
        <w:t>„NAUDOJIMOSI ELEKTRONINĖS ATPAŽINTIES PRIEMONĖMIS SKATINIMAS SOSTINĖS REGIONE</w:t>
      </w:r>
      <w:r>
        <w:rPr>
          <w:b/>
          <w:szCs w:val="24"/>
        </w:rPr>
        <w:t xml:space="preserve">“ IR POVEIKLĖS </w:t>
      </w:r>
      <w:r w:rsidRPr="000D454C">
        <w:rPr>
          <w:b/>
          <w:iCs/>
          <w:szCs w:val="24"/>
        </w:rPr>
        <w:t>„NAUDOJIMOSI ELEKTRONINĖS ATPAŽINTIES PRIEMONĖMIS SKATINIMAS VIDURIO IR VAKARŲ LIETUVOS REGIONE“ PROJEKTŲ</w:t>
      </w:r>
      <w:r w:rsidRPr="005A236E">
        <w:rPr>
          <w:b/>
          <w:iCs/>
          <w:szCs w:val="24"/>
        </w:rPr>
        <w:t xml:space="preserve"> FINANSAVIMO SĄLYGŲ APRAŠAS</w:t>
      </w:r>
    </w:p>
    <w:p w14:paraId="7D066E6E" w14:textId="77777777" w:rsidR="000E6AF8" w:rsidRDefault="000E6AF8">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432"/>
        <w:gridCol w:w="963"/>
        <w:gridCol w:w="1132"/>
        <w:gridCol w:w="859"/>
        <w:gridCol w:w="1149"/>
      </w:tblGrid>
      <w:tr w:rsidR="000E6AF8" w14:paraId="5B4D7078" w14:textId="7528AAB2">
        <w:tc>
          <w:tcPr>
            <w:tcW w:w="15155" w:type="dxa"/>
            <w:gridSpan w:val="13"/>
            <w:vAlign w:val="center"/>
          </w:tcPr>
          <w:p w14:paraId="34297191" w14:textId="69911FA0" w:rsidR="000E6AF8" w:rsidRDefault="00B92EBB">
            <w:pPr>
              <w:jc w:val="center"/>
              <w:rPr>
                <w:b/>
                <w:sz w:val="22"/>
                <w:szCs w:val="22"/>
              </w:rPr>
            </w:pPr>
            <w:bookmarkStart w:id="1" w:name="_Hlk135212350"/>
            <w:r>
              <w:rPr>
                <w:b/>
                <w:sz w:val="22"/>
                <w:szCs w:val="22"/>
              </w:rPr>
              <w:t>VEIKLOS AR POVEIKLĖS, KURIOMS NUSTATOMOS PROJEKTŲ FINANSAVIMO SĄLYGOS</w:t>
            </w:r>
          </w:p>
        </w:tc>
      </w:tr>
      <w:tr w:rsidR="000E6AF8" w14:paraId="44CC8440" w14:textId="34F687BE" w:rsidTr="000A7602">
        <w:tc>
          <w:tcPr>
            <w:tcW w:w="1110" w:type="dxa"/>
            <w:vAlign w:val="center"/>
          </w:tcPr>
          <w:p w14:paraId="44E08642" w14:textId="77777777" w:rsidR="000E6AF8" w:rsidRDefault="00B92EBB">
            <w:pPr>
              <w:jc w:val="center"/>
              <w:rPr>
                <w:b/>
                <w:sz w:val="20"/>
              </w:rPr>
            </w:pPr>
            <w:r>
              <w:rPr>
                <w:b/>
                <w:sz w:val="20"/>
              </w:rPr>
              <w:t>Veiklos ar poveiklės pavadini-mas</w:t>
            </w:r>
          </w:p>
        </w:tc>
        <w:tc>
          <w:tcPr>
            <w:tcW w:w="1125" w:type="dxa"/>
            <w:vAlign w:val="center"/>
          </w:tcPr>
          <w:p w14:paraId="748B6392" w14:textId="77777777" w:rsidR="000E6AF8" w:rsidRDefault="00B92EBB">
            <w:pPr>
              <w:jc w:val="center"/>
              <w:rPr>
                <w:b/>
                <w:sz w:val="20"/>
              </w:rPr>
            </w:pPr>
            <w:r>
              <w:rPr>
                <w:b/>
                <w:sz w:val="20"/>
              </w:rPr>
              <w:t>Finansa-vimo šaltinis</w:t>
            </w:r>
          </w:p>
        </w:tc>
        <w:tc>
          <w:tcPr>
            <w:tcW w:w="1236" w:type="dxa"/>
            <w:vAlign w:val="center"/>
          </w:tcPr>
          <w:p w14:paraId="2277D0D3" w14:textId="77777777" w:rsidR="000E6AF8" w:rsidRDefault="00B92EBB">
            <w:pPr>
              <w:jc w:val="center"/>
              <w:rPr>
                <w:b/>
                <w:sz w:val="20"/>
              </w:rPr>
            </w:pPr>
            <w:r>
              <w:rPr>
                <w:b/>
                <w:bCs/>
                <w:sz w:val="20"/>
              </w:rPr>
              <w:t>Prioritetas ar komponen-tas</w:t>
            </w:r>
          </w:p>
        </w:tc>
        <w:tc>
          <w:tcPr>
            <w:tcW w:w="1134" w:type="dxa"/>
            <w:vAlign w:val="center"/>
          </w:tcPr>
          <w:p w14:paraId="699300FF" w14:textId="77777777" w:rsidR="000E6AF8" w:rsidRDefault="00B92EBB">
            <w:pPr>
              <w:jc w:val="center"/>
              <w:rPr>
                <w:b/>
                <w:sz w:val="20"/>
              </w:rPr>
            </w:pPr>
            <w:r>
              <w:rPr>
                <w:b/>
                <w:bCs/>
                <w:sz w:val="20"/>
              </w:rPr>
              <w:t>Uždavi-nys ar priemonė</w:t>
            </w:r>
          </w:p>
        </w:tc>
        <w:tc>
          <w:tcPr>
            <w:tcW w:w="1134" w:type="dxa"/>
            <w:vAlign w:val="center"/>
          </w:tcPr>
          <w:p w14:paraId="479A2861" w14:textId="16459E23" w:rsidR="000E6AF8" w:rsidRDefault="00B92EBB">
            <w:pPr>
              <w:jc w:val="center"/>
              <w:rPr>
                <w:b/>
                <w:sz w:val="20"/>
              </w:rPr>
            </w:pPr>
            <w:r>
              <w:rPr>
                <w:b/>
                <w:bCs/>
                <w:sz w:val="20"/>
              </w:rPr>
              <w:t>Veikla ar paprie-monė</w:t>
            </w:r>
          </w:p>
        </w:tc>
        <w:tc>
          <w:tcPr>
            <w:tcW w:w="1457" w:type="dxa"/>
            <w:vAlign w:val="center"/>
          </w:tcPr>
          <w:p w14:paraId="000BE0BE" w14:textId="77777777" w:rsidR="000E6AF8" w:rsidRDefault="00B92EBB">
            <w:pPr>
              <w:jc w:val="center"/>
              <w:rPr>
                <w:b/>
                <w:sz w:val="20"/>
              </w:rPr>
            </w:pPr>
            <w:r>
              <w:rPr>
                <w:b/>
                <w:sz w:val="20"/>
              </w:rPr>
              <w:t>Intervencinės priemonės kodas</w:t>
            </w:r>
          </w:p>
        </w:tc>
        <w:tc>
          <w:tcPr>
            <w:tcW w:w="1344" w:type="dxa"/>
            <w:vAlign w:val="center"/>
          </w:tcPr>
          <w:p w14:paraId="62B981C8" w14:textId="77777777" w:rsidR="000E6AF8" w:rsidRDefault="00B92EBB">
            <w:pPr>
              <w:jc w:val="center"/>
              <w:rPr>
                <w:b/>
                <w:bCs/>
                <w:sz w:val="20"/>
              </w:rPr>
            </w:pPr>
            <w:r>
              <w:rPr>
                <w:b/>
                <w:sz w:val="20"/>
              </w:rPr>
              <w:t>Regionas, kuriam priskiriama veikla ar poveiklė</w:t>
            </w:r>
          </w:p>
        </w:tc>
        <w:tc>
          <w:tcPr>
            <w:tcW w:w="1080" w:type="dxa"/>
            <w:vAlign w:val="center"/>
          </w:tcPr>
          <w:p w14:paraId="01B4CEAC" w14:textId="77777777" w:rsidR="000E6AF8" w:rsidRDefault="00B92EBB">
            <w:pPr>
              <w:jc w:val="center"/>
              <w:rPr>
                <w:b/>
                <w:sz w:val="20"/>
              </w:rPr>
            </w:pPr>
            <w:r>
              <w:rPr>
                <w:b/>
                <w:bCs/>
                <w:sz w:val="20"/>
              </w:rPr>
              <w:t>Paramos formos kodas</w:t>
            </w:r>
          </w:p>
        </w:tc>
        <w:tc>
          <w:tcPr>
            <w:tcW w:w="1432" w:type="dxa"/>
            <w:vAlign w:val="center"/>
          </w:tcPr>
          <w:p w14:paraId="106944A6" w14:textId="77777777" w:rsidR="000E6AF8" w:rsidRDefault="00B92EBB">
            <w:pPr>
              <w:jc w:val="center"/>
              <w:rPr>
                <w:b/>
                <w:sz w:val="20"/>
              </w:rPr>
            </w:pPr>
            <w:r>
              <w:rPr>
                <w:b/>
                <w:bCs/>
                <w:sz w:val="20"/>
              </w:rPr>
              <w:t>Pagrindinės teritorinės srities kodas (-ai)</w:t>
            </w:r>
          </w:p>
        </w:tc>
        <w:tc>
          <w:tcPr>
            <w:tcW w:w="963" w:type="dxa"/>
            <w:vAlign w:val="center"/>
          </w:tcPr>
          <w:p w14:paraId="16FAC529" w14:textId="77777777" w:rsidR="000E6AF8" w:rsidRDefault="00B92EBB">
            <w:pPr>
              <w:jc w:val="center"/>
              <w:rPr>
                <w:b/>
                <w:bCs/>
                <w:sz w:val="20"/>
              </w:rPr>
            </w:pPr>
            <w:r>
              <w:rPr>
                <w:b/>
                <w:bCs/>
                <w:sz w:val="20"/>
              </w:rPr>
              <w:t xml:space="preserve">Ekono-minės veiklos kodas </w:t>
            </w:r>
          </w:p>
          <w:p w14:paraId="317B5592" w14:textId="2D6A73A3" w:rsidR="000E6AF8" w:rsidRDefault="00B92EBB">
            <w:pPr>
              <w:jc w:val="center"/>
              <w:rPr>
                <w:b/>
                <w:sz w:val="20"/>
              </w:rPr>
            </w:pPr>
            <w:r>
              <w:rPr>
                <w:b/>
                <w:bCs/>
                <w:sz w:val="20"/>
              </w:rPr>
              <w:t>(-ai)</w:t>
            </w:r>
          </w:p>
        </w:tc>
        <w:tc>
          <w:tcPr>
            <w:tcW w:w="1132" w:type="dxa"/>
            <w:vAlign w:val="center"/>
          </w:tcPr>
          <w:p w14:paraId="638E9489" w14:textId="77777777" w:rsidR="000E6AF8" w:rsidRDefault="00B92EBB">
            <w:pPr>
              <w:jc w:val="center"/>
              <w:rPr>
                <w:b/>
                <w:bCs/>
                <w:sz w:val="20"/>
              </w:rPr>
            </w:pPr>
            <w:r>
              <w:rPr>
                <w:b/>
                <w:bCs/>
                <w:sz w:val="20"/>
              </w:rPr>
              <w:t>„Europos socialinio fondo +“ (toliau – ESF+) antrinių temų kodai</w:t>
            </w:r>
          </w:p>
        </w:tc>
        <w:tc>
          <w:tcPr>
            <w:tcW w:w="859" w:type="dxa"/>
            <w:vAlign w:val="center"/>
          </w:tcPr>
          <w:p w14:paraId="6FE52515" w14:textId="614A57AF" w:rsidR="000E6AF8" w:rsidRDefault="00B92EBB">
            <w:pPr>
              <w:jc w:val="center"/>
              <w:rPr>
                <w:b/>
                <w:bCs/>
                <w:sz w:val="20"/>
              </w:rPr>
            </w:pPr>
            <w:r>
              <w:rPr>
                <w:b/>
                <w:bCs/>
                <w:sz w:val="20"/>
              </w:rPr>
              <w:t>Lyčių lygybės mat-mens kodas</w:t>
            </w:r>
          </w:p>
        </w:tc>
        <w:tc>
          <w:tcPr>
            <w:tcW w:w="1149" w:type="dxa"/>
            <w:vAlign w:val="center"/>
          </w:tcPr>
          <w:p w14:paraId="07588924" w14:textId="14AD3C1C" w:rsidR="000E6AF8" w:rsidRDefault="00B92EBB">
            <w:pPr>
              <w:jc w:val="center"/>
              <w:rPr>
                <w:b/>
                <w:sz w:val="20"/>
              </w:rPr>
            </w:pPr>
            <w:r>
              <w:rPr>
                <w:b/>
                <w:sz w:val="20"/>
              </w:rPr>
              <w:t>Nepanau-dotos Ekonomi-kos gaivinimo ir atsparumo didinimo priemonės lėšos</w:t>
            </w:r>
          </w:p>
          <w:p w14:paraId="70C2431C" w14:textId="283D6794" w:rsidR="000E6AF8" w:rsidRDefault="00B92EBB">
            <w:pPr>
              <w:jc w:val="center"/>
              <w:rPr>
                <w:b/>
                <w:bCs/>
                <w:sz w:val="20"/>
              </w:rPr>
            </w:pPr>
            <w:r>
              <w:rPr>
                <w:b/>
                <w:sz w:val="20"/>
              </w:rPr>
              <w:t>(Taip / Ne)</w:t>
            </w:r>
          </w:p>
        </w:tc>
      </w:tr>
      <w:tr w:rsidR="003A23B1" w14:paraId="65617F03" w14:textId="67958720" w:rsidTr="000A7602">
        <w:trPr>
          <w:trHeight w:val="278"/>
        </w:trPr>
        <w:tc>
          <w:tcPr>
            <w:tcW w:w="1110" w:type="dxa"/>
            <w:tcMar>
              <w:left w:w="28" w:type="dxa"/>
              <w:right w:w="28" w:type="dxa"/>
            </w:tcMar>
          </w:tcPr>
          <w:p w14:paraId="74FA5B32" w14:textId="6CC6DD72" w:rsidR="003A23B1" w:rsidRDefault="003A23B1" w:rsidP="003A23B1">
            <w:pPr>
              <w:ind w:firstLine="48"/>
              <w:jc w:val="center"/>
              <w:rPr>
                <w:i/>
                <w:sz w:val="18"/>
                <w:szCs w:val="18"/>
              </w:rPr>
            </w:pPr>
            <w:r>
              <w:rPr>
                <w:i/>
                <w:sz w:val="18"/>
                <w:szCs w:val="18"/>
              </w:rPr>
              <w:t xml:space="preserve"> </w:t>
            </w:r>
            <w:r w:rsidRPr="00DB551E">
              <w:rPr>
                <w:sz w:val="20"/>
              </w:rPr>
              <w:t>Naudojimosi elektroninės atpažinties priemonėmis skatinimas Sostinės regione</w:t>
            </w:r>
          </w:p>
        </w:tc>
        <w:tc>
          <w:tcPr>
            <w:tcW w:w="1125" w:type="dxa"/>
            <w:tcMar>
              <w:left w:w="28" w:type="dxa"/>
              <w:right w:w="28" w:type="dxa"/>
            </w:tcMar>
          </w:tcPr>
          <w:p w14:paraId="4C526318" w14:textId="77777777" w:rsidR="003A23B1" w:rsidRPr="00DB551E" w:rsidRDefault="003A23B1" w:rsidP="003A23B1">
            <w:pPr>
              <w:jc w:val="center"/>
              <w:rPr>
                <w:bCs/>
                <w:iCs/>
                <w:sz w:val="20"/>
                <w:lang w:bidi="lt-LT"/>
              </w:rPr>
            </w:pPr>
            <w:r w:rsidRPr="00DB551E">
              <w:rPr>
                <w:bCs/>
                <w:iCs/>
                <w:sz w:val="20"/>
                <w:lang w:bidi="lt-LT"/>
              </w:rPr>
              <w:t>2021–2027 metų Europos Sąjungos fondų investicijų programa</w:t>
            </w:r>
          </w:p>
          <w:p w14:paraId="70AC9206" w14:textId="0FB066CA" w:rsidR="003A23B1" w:rsidRDefault="003A23B1" w:rsidP="003A23B1">
            <w:pPr>
              <w:jc w:val="center"/>
              <w:rPr>
                <w:b/>
                <w:i/>
                <w:sz w:val="18"/>
                <w:szCs w:val="18"/>
              </w:rPr>
            </w:pPr>
            <w:r w:rsidRPr="00DB551E">
              <w:rPr>
                <w:bCs/>
                <w:iCs/>
                <w:sz w:val="20"/>
                <w:lang w:bidi="lt-LT"/>
              </w:rPr>
              <w:lastRenderedPageBreak/>
              <w:t>(toliau – Investicijų programa)</w:t>
            </w:r>
          </w:p>
        </w:tc>
        <w:tc>
          <w:tcPr>
            <w:tcW w:w="1236" w:type="dxa"/>
            <w:tcMar>
              <w:left w:w="28" w:type="dxa"/>
              <w:right w:w="28" w:type="dxa"/>
            </w:tcMar>
          </w:tcPr>
          <w:p w14:paraId="276ADE8D" w14:textId="01C9B333" w:rsidR="003A23B1" w:rsidRDefault="003A23B1" w:rsidP="003A23B1">
            <w:pPr>
              <w:jc w:val="center"/>
              <w:rPr>
                <w:i/>
                <w:sz w:val="18"/>
                <w:szCs w:val="18"/>
              </w:rPr>
            </w:pPr>
            <w:r w:rsidRPr="00DB551E">
              <w:rPr>
                <w:sz w:val="20"/>
              </w:rPr>
              <w:lastRenderedPageBreak/>
              <w:t>1</w:t>
            </w:r>
          </w:p>
        </w:tc>
        <w:tc>
          <w:tcPr>
            <w:tcW w:w="1134" w:type="dxa"/>
            <w:tcMar>
              <w:left w:w="28" w:type="dxa"/>
              <w:right w:w="28" w:type="dxa"/>
            </w:tcMar>
          </w:tcPr>
          <w:p w14:paraId="79EE11B5" w14:textId="55F3E4CB" w:rsidR="003A23B1" w:rsidRDefault="003A23B1" w:rsidP="003A23B1">
            <w:pPr>
              <w:jc w:val="center"/>
              <w:rPr>
                <w:sz w:val="18"/>
                <w:szCs w:val="18"/>
              </w:rPr>
            </w:pPr>
            <w:r w:rsidRPr="00DB551E">
              <w:rPr>
                <w:bCs/>
                <w:iCs/>
                <w:sz w:val="20"/>
                <w:lang w:bidi="lt-LT"/>
              </w:rPr>
              <w:t xml:space="preserve">1.2. Pasinaudoti skaitmeninimo teikiama nauda piliečiams, įmonėms, mokslinių </w:t>
            </w:r>
            <w:r w:rsidRPr="00DB551E">
              <w:rPr>
                <w:bCs/>
                <w:iCs/>
                <w:sz w:val="20"/>
                <w:lang w:bidi="lt-LT"/>
              </w:rPr>
              <w:lastRenderedPageBreak/>
              <w:t>tyrimų organizacijoms</w:t>
            </w:r>
          </w:p>
        </w:tc>
        <w:tc>
          <w:tcPr>
            <w:tcW w:w="1134" w:type="dxa"/>
            <w:tcMar>
              <w:left w:w="28" w:type="dxa"/>
              <w:right w:w="28" w:type="dxa"/>
            </w:tcMar>
          </w:tcPr>
          <w:p w14:paraId="6011FB3D" w14:textId="0E8F39CC" w:rsidR="003A23B1" w:rsidRDefault="003A23B1" w:rsidP="003A23B1">
            <w:pPr>
              <w:jc w:val="center"/>
              <w:rPr>
                <w:i/>
                <w:sz w:val="18"/>
                <w:szCs w:val="18"/>
              </w:rPr>
            </w:pPr>
            <w:r w:rsidRPr="00DB551E">
              <w:rPr>
                <w:sz w:val="20"/>
              </w:rPr>
              <w:lastRenderedPageBreak/>
              <w:t>5.1. Naudojimosi elektroninės atpažinties priemonėmis skatinimas Sostinės regione</w:t>
            </w:r>
          </w:p>
        </w:tc>
        <w:tc>
          <w:tcPr>
            <w:tcW w:w="1457" w:type="dxa"/>
            <w:tcMar>
              <w:left w:w="28" w:type="dxa"/>
              <w:right w:w="28" w:type="dxa"/>
            </w:tcMar>
          </w:tcPr>
          <w:p w14:paraId="2CE029DB" w14:textId="17DBC717" w:rsidR="003A23B1" w:rsidRDefault="003A23B1" w:rsidP="003A23B1">
            <w:pPr>
              <w:jc w:val="center"/>
              <w:rPr>
                <w:i/>
                <w:sz w:val="18"/>
                <w:szCs w:val="18"/>
              </w:rPr>
            </w:pPr>
            <w:r w:rsidRPr="00DB551E">
              <w:rPr>
                <w:sz w:val="20"/>
              </w:rPr>
              <w:t>016</w:t>
            </w:r>
          </w:p>
        </w:tc>
        <w:tc>
          <w:tcPr>
            <w:tcW w:w="1344" w:type="dxa"/>
            <w:tcMar>
              <w:left w:w="28" w:type="dxa"/>
              <w:right w:w="28" w:type="dxa"/>
            </w:tcMar>
          </w:tcPr>
          <w:p w14:paraId="4E4FB28A" w14:textId="77777777" w:rsidR="003A23B1" w:rsidRPr="00DB551E" w:rsidRDefault="003A23B1" w:rsidP="003A23B1">
            <w:pPr>
              <w:jc w:val="center"/>
              <w:rPr>
                <w:iCs/>
                <w:sz w:val="20"/>
              </w:rPr>
            </w:pPr>
            <w:r w:rsidRPr="00DB551E">
              <w:rPr>
                <w:iCs/>
                <w:sz w:val="20"/>
              </w:rPr>
              <w:t>Sostinės regionas</w:t>
            </w:r>
          </w:p>
          <w:p w14:paraId="7F10B632" w14:textId="65718031" w:rsidR="003A23B1" w:rsidRDefault="003A23B1" w:rsidP="003A23B1">
            <w:pPr>
              <w:jc w:val="center"/>
              <w:rPr>
                <w:i/>
                <w:sz w:val="18"/>
                <w:szCs w:val="18"/>
              </w:rPr>
            </w:pPr>
          </w:p>
        </w:tc>
        <w:tc>
          <w:tcPr>
            <w:tcW w:w="1080" w:type="dxa"/>
            <w:tcMar>
              <w:left w:w="28" w:type="dxa"/>
              <w:right w:w="28" w:type="dxa"/>
            </w:tcMar>
          </w:tcPr>
          <w:p w14:paraId="11361155" w14:textId="77777777" w:rsidR="003A23B1" w:rsidRPr="00DB551E" w:rsidRDefault="003A23B1" w:rsidP="003A23B1">
            <w:pPr>
              <w:jc w:val="center"/>
              <w:rPr>
                <w:bCs/>
                <w:iCs/>
                <w:sz w:val="20"/>
                <w:lang w:bidi="lt-LT"/>
              </w:rPr>
            </w:pPr>
            <w:r w:rsidRPr="00DB551E">
              <w:rPr>
                <w:bCs/>
                <w:iCs/>
                <w:sz w:val="20"/>
                <w:lang w:bidi="lt-LT"/>
              </w:rPr>
              <w:t>01 – Dotacija</w:t>
            </w:r>
          </w:p>
          <w:p w14:paraId="3F2AA3EF" w14:textId="628130B2" w:rsidR="003A23B1" w:rsidRDefault="003A23B1" w:rsidP="003A23B1">
            <w:pPr>
              <w:jc w:val="center"/>
              <w:rPr>
                <w:i/>
                <w:sz w:val="18"/>
                <w:szCs w:val="18"/>
              </w:rPr>
            </w:pPr>
          </w:p>
        </w:tc>
        <w:tc>
          <w:tcPr>
            <w:tcW w:w="1432" w:type="dxa"/>
            <w:tcMar>
              <w:left w:w="28" w:type="dxa"/>
              <w:right w:w="28" w:type="dxa"/>
            </w:tcMar>
          </w:tcPr>
          <w:p w14:paraId="55E76A04" w14:textId="77777777" w:rsidR="003A23B1" w:rsidRPr="00DB551E" w:rsidRDefault="003A23B1" w:rsidP="003A23B1">
            <w:pPr>
              <w:jc w:val="center"/>
              <w:rPr>
                <w:bCs/>
                <w:iCs/>
                <w:sz w:val="20"/>
                <w:lang w:bidi="lt-LT"/>
              </w:rPr>
            </w:pPr>
            <w:r w:rsidRPr="00DB551E">
              <w:rPr>
                <w:bCs/>
                <w:iCs/>
                <w:sz w:val="20"/>
                <w:lang w:bidi="lt-LT"/>
              </w:rPr>
              <w:t>33 – Nesiorientuojant į teritoriškumą</w:t>
            </w:r>
          </w:p>
          <w:p w14:paraId="29DAFCB6" w14:textId="77777777" w:rsidR="003A23B1" w:rsidRPr="00DB551E" w:rsidRDefault="003A23B1" w:rsidP="003A23B1">
            <w:pPr>
              <w:jc w:val="center"/>
              <w:rPr>
                <w:bCs/>
                <w:iCs/>
                <w:sz w:val="20"/>
                <w:lang w:bidi="lt-LT"/>
              </w:rPr>
            </w:pPr>
          </w:p>
          <w:p w14:paraId="61DFE6C2" w14:textId="6243963C" w:rsidR="003A23B1" w:rsidRDefault="003A23B1" w:rsidP="003A23B1">
            <w:pPr>
              <w:jc w:val="center"/>
              <w:rPr>
                <w:sz w:val="18"/>
                <w:szCs w:val="18"/>
              </w:rPr>
            </w:pPr>
          </w:p>
        </w:tc>
        <w:tc>
          <w:tcPr>
            <w:tcW w:w="963" w:type="dxa"/>
            <w:tcMar>
              <w:left w:w="28" w:type="dxa"/>
              <w:right w:w="28" w:type="dxa"/>
            </w:tcMar>
          </w:tcPr>
          <w:p w14:paraId="72C15DEA" w14:textId="790776EF" w:rsidR="003A23B1" w:rsidRDefault="003A23B1" w:rsidP="003A23B1">
            <w:pPr>
              <w:jc w:val="center"/>
              <w:rPr>
                <w:sz w:val="18"/>
                <w:szCs w:val="18"/>
              </w:rPr>
            </w:pPr>
            <w:r w:rsidRPr="00DB551E">
              <w:rPr>
                <w:bCs/>
                <w:iCs/>
                <w:sz w:val="20"/>
                <w:lang w:bidi="lt-LT"/>
              </w:rPr>
              <w:t>26 – kitos neapibrėžtos paslaugos</w:t>
            </w:r>
          </w:p>
        </w:tc>
        <w:tc>
          <w:tcPr>
            <w:tcW w:w="1132" w:type="dxa"/>
            <w:tcMar>
              <w:left w:w="28" w:type="dxa"/>
              <w:right w:w="28" w:type="dxa"/>
            </w:tcMar>
          </w:tcPr>
          <w:p w14:paraId="4BDB0789" w14:textId="77777777" w:rsidR="003A23B1" w:rsidRPr="00DB551E" w:rsidRDefault="003A23B1" w:rsidP="003A23B1">
            <w:pPr>
              <w:jc w:val="center"/>
              <w:rPr>
                <w:i/>
                <w:sz w:val="20"/>
              </w:rPr>
            </w:pPr>
            <w:r w:rsidRPr="00DB551E">
              <w:rPr>
                <w:i/>
                <w:sz w:val="20"/>
              </w:rPr>
              <w:t>-</w:t>
            </w:r>
          </w:p>
          <w:p w14:paraId="58E02594" w14:textId="2E6AA224" w:rsidR="003A23B1" w:rsidRDefault="003A23B1" w:rsidP="003A23B1">
            <w:pPr>
              <w:jc w:val="center"/>
              <w:rPr>
                <w:i/>
                <w:iCs/>
                <w:sz w:val="18"/>
                <w:szCs w:val="18"/>
              </w:rPr>
            </w:pPr>
          </w:p>
        </w:tc>
        <w:tc>
          <w:tcPr>
            <w:tcW w:w="859" w:type="dxa"/>
            <w:tcMar>
              <w:left w:w="28" w:type="dxa"/>
              <w:right w:w="28" w:type="dxa"/>
            </w:tcMar>
          </w:tcPr>
          <w:p w14:paraId="64C5A5C0" w14:textId="77777777" w:rsidR="003A23B1" w:rsidRPr="00DB551E" w:rsidRDefault="003A23B1" w:rsidP="003A23B1">
            <w:pPr>
              <w:jc w:val="center"/>
              <w:rPr>
                <w:bCs/>
                <w:iCs/>
                <w:sz w:val="20"/>
                <w:lang w:bidi="lt-LT"/>
              </w:rPr>
            </w:pPr>
            <w:r w:rsidRPr="00DB551E">
              <w:rPr>
                <w:bCs/>
                <w:iCs/>
                <w:sz w:val="20"/>
                <w:lang w:bidi="lt-LT"/>
              </w:rPr>
              <w:t>03 – Neutralumas lyties požiūriu</w:t>
            </w:r>
          </w:p>
          <w:p w14:paraId="08E21C39" w14:textId="2CBCDF0C" w:rsidR="003A23B1" w:rsidRDefault="003A23B1" w:rsidP="003A23B1">
            <w:pPr>
              <w:jc w:val="center"/>
              <w:rPr>
                <w:i/>
                <w:iCs/>
                <w:sz w:val="18"/>
                <w:szCs w:val="18"/>
              </w:rPr>
            </w:pPr>
          </w:p>
        </w:tc>
        <w:tc>
          <w:tcPr>
            <w:tcW w:w="1149" w:type="dxa"/>
          </w:tcPr>
          <w:p w14:paraId="6E6DBD80" w14:textId="7B8BF844" w:rsidR="003A23B1" w:rsidRPr="003A23B1" w:rsidRDefault="003A23B1" w:rsidP="003A23B1">
            <w:pPr>
              <w:jc w:val="center"/>
              <w:rPr>
                <w:sz w:val="18"/>
                <w:szCs w:val="18"/>
              </w:rPr>
            </w:pPr>
            <w:r w:rsidRPr="003A23B1">
              <w:rPr>
                <w:sz w:val="18"/>
                <w:szCs w:val="18"/>
              </w:rPr>
              <w:t>Ne</w:t>
            </w:r>
          </w:p>
        </w:tc>
      </w:tr>
      <w:bookmarkEnd w:id="1"/>
    </w:tbl>
    <w:p w14:paraId="76EAE71F" w14:textId="77777777" w:rsidR="000E6AF8" w:rsidRDefault="000E6AF8">
      <w:pPr>
        <w:ind w:firstLine="567"/>
        <w:jc w:val="both"/>
        <w:rPr>
          <w:b/>
          <w:i/>
          <w:iCs/>
          <w:szCs w:val="24"/>
        </w:rPr>
      </w:pPr>
    </w:p>
    <w:p w14:paraId="3CC478D6" w14:textId="77777777" w:rsidR="000A7602" w:rsidRDefault="000A7602">
      <w:pPr>
        <w:ind w:firstLine="567"/>
        <w:jc w:val="both"/>
        <w:rPr>
          <w:b/>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4099"/>
      </w:tblGrid>
      <w:tr w:rsidR="000A7602" w14:paraId="01C95CE6" w14:textId="77777777" w:rsidTr="00202170">
        <w:trPr>
          <w:trHeight w:val="405"/>
        </w:trPr>
        <w:tc>
          <w:tcPr>
            <w:tcW w:w="3688" w:type="dxa"/>
            <w:shd w:val="clear" w:color="auto" w:fill="auto"/>
            <w:vAlign w:val="center"/>
          </w:tcPr>
          <w:p w14:paraId="585C71AC" w14:textId="77777777" w:rsidR="000A7602" w:rsidRDefault="000A7602" w:rsidP="0024254C">
            <w:pPr>
              <w:jc w:val="center"/>
              <w:rPr>
                <w:sz w:val="18"/>
                <w:szCs w:val="18"/>
              </w:rPr>
            </w:pPr>
            <w:bookmarkStart w:id="2" w:name="_Hlk131509759"/>
            <w:r>
              <w:rPr>
                <w:sz w:val="22"/>
                <w:szCs w:val="22"/>
              </w:rPr>
              <w:t>Rodiklio pavadinimas</w:t>
            </w:r>
          </w:p>
        </w:tc>
        <w:tc>
          <w:tcPr>
            <w:tcW w:w="3688" w:type="dxa"/>
            <w:shd w:val="clear" w:color="auto" w:fill="auto"/>
            <w:vAlign w:val="center"/>
          </w:tcPr>
          <w:p w14:paraId="6D81BBB5" w14:textId="77777777" w:rsidR="000A7602" w:rsidRDefault="000A7602" w:rsidP="0024254C">
            <w:pPr>
              <w:jc w:val="center"/>
              <w:rPr>
                <w:sz w:val="18"/>
                <w:szCs w:val="18"/>
              </w:rPr>
            </w:pPr>
            <w:r>
              <w:rPr>
                <w:sz w:val="22"/>
                <w:szCs w:val="22"/>
              </w:rPr>
              <w:t>Rodiklio kodas</w:t>
            </w:r>
          </w:p>
        </w:tc>
        <w:tc>
          <w:tcPr>
            <w:tcW w:w="3688" w:type="dxa"/>
            <w:shd w:val="clear" w:color="auto" w:fill="auto"/>
            <w:vAlign w:val="center"/>
          </w:tcPr>
          <w:p w14:paraId="250B01FF" w14:textId="77777777" w:rsidR="000A7602" w:rsidRDefault="000A7602" w:rsidP="0024254C">
            <w:pPr>
              <w:jc w:val="center"/>
              <w:rPr>
                <w:sz w:val="18"/>
                <w:szCs w:val="18"/>
              </w:rPr>
            </w:pPr>
            <w:r>
              <w:rPr>
                <w:sz w:val="22"/>
                <w:szCs w:val="22"/>
              </w:rPr>
              <w:t>Matavimo vienetai</w:t>
            </w:r>
          </w:p>
        </w:tc>
        <w:tc>
          <w:tcPr>
            <w:tcW w:w="4099" w:type="dxa"/>
            <w:shd w:val="clear" w:color="auto" w:fill="auto"/>
            <w:vAlign w:val="center"/>
          </w:tcPr>
          <w:p w14:paraId="32585533" w14:textId="26C7F8B8" w:rsidR="000A7602" w:rsidRDefault="000A7602" w:rsidP="0024254C">
            <w:pPr>
              <w:jc w:val="center"/>
              <w:rPr>
                <w:sz w:val="18"/>
                <w:szCs w:val="18"/>
              </w:rPr>
            </w:pPr>
            <w:r>
              <w:rPr>
                <w:sz w:val="22"/>
                <w:szCs w:val="22"/>
              </w:rPr>
              <w:t>Siektina reikšmė ir pasiekimo data</w:t>
            </w:r>
          </w:p>
        </w:tc>
      </w:tr>
      <w:tr w:rsidR="000A7602" w14:paraId="26BFFE03" w14:textId="77777777" w:rsidTr="00202170">
        <w:trPr>
          <w:trHeight w:val="710"/>
        </w:trPr>
        <w:tc>
          <w:tcPr>
            <w:tcW w:w="3688" w:type="dxa"/>
            <w:shd w:val="clear" w:color="auto" w:fill="auto"/>
            <w:vAlign w:val="center"/>
          </w:tcPr>
          <w:p w14:paraId="24FD8F17" w14:textId="77777777" w:rsidR="000A7602" w:rsidRDefault="000A7602" w:rsidP="0024254C">
            <w:pPr>
              <w:jc w:val="center"/>
              <w:rPr>
                <w:iCs/>
                <w:sz w:val="20"/>
              </w:rPr>
            </w:pPr>
            <w:r w:rsidRPr="007B39FC">
              <w:rPr>
                <w:iCs/>
                <w:sz w:val="20"/>
              </w:rPr>
              <w:t>Viešosios institucijos, kurioms suteikta parama skaitmeninėms paslaugoms, produktams ir procesams kurti</w:t>
            </w:r>
          </w:p>
          <w:p w14:paraId="2E672D4A" w14:textId="77777777" w:rsidR="000A7602" w:rsidRDefault="000A7602" w:rsidP="0024254C">
            <w:pPr>
              <w:jc w:val="center"/>
              <w:rPr>
                <w:sz w:val="22"/>
                <w:szCs w:val="22"/>
              </w:rPr>
            </w:pPr>
            <w:r>
              <w:rPr>
                <w:iCs/>
                <w:sz w:val="20"/>
              </w:rPr>
              <w:t>(Sostinės regionas)</w:t>
            </w:r>
          </w:p>
        </w:tc>
        <w:tc>
          <w:tcPr>
            <w:tcW w:w="3688" w:type="dxa"/>
            <w:shd w:val="clear" w:color="auto" w:fill="auto"/>
            <w:vAlign w:val="center"/>
          </w:tcPr>
          <w:p w14:paraId="474148BF" w14:textId="77777777" w:rsidR="000A7602" w:rsidRDefault="000A7602" w:rsidP="0024254C">
            <w:pPr>
              <w:jc w:val="center"/>
              <w:rPr>
                <w:color w:val="000000"/>
                <w:sz w:val="20"/>
                <w:shd w:val="clear" w:color="auto" w:fill="FFFFFF"/>
              </w:rPr>
            </w:pPr>
            <w:r w:rsidRPr="008F33F6">
              <w:rPr>
                <w:color w:val="000000"/>
                <w:sz w:val="20"/>
                <w:shd w:val="clear" w:color="auto" w:fill="FFFFFF"/>
              </w:rPr>
              <w:t>P-05-002-01-07-08-06</w:t>
            </w:r>
          </w:p>
          <w:p w14:paraId="2E90B190" w14:textId="77777777" w:rsidR="000A7602" w:rsidRPr="008F33F6" w:rsidRDefault="000A7602" w:rsidP="0024254C">
            <w:pPr>
              <w:jc w:val="center"/>
              <w:rPr>
                <w:sz w:val="20"/>
              </w:rPr>
            </w:pPr>
            <w:r>
              <w:rPr>
                <w:color w:val="000000"/>
                <w:sz w:val="20"/>
              </w:rPr>
              <w:t>(P.B.2.0014)</w:t>
            </w:r>
          </w:p>
        </w:tc>
        <w:tc>
          <w:tcPr>
            <w:tcW w:w="3688" w:type="dxa"/>
            <w:shd w:val="clear" w:color="auto" w:fill="auto"/>
            <w:vAlign w:val="center"/>
          </w:tcPr>
          <w:p w14:paraId="7FF8A38C" w14:textId="77777777" w:rsidR="000A7602" w:rsidRPr="008F33F6" w:rsidRDefault="000A7602" w:rsidP="0024254C">
            <w:pPr>
              <w:jc w:val="center"/>
              <w:rPr>
                <w:sz w:val="20"/>
              </w:rPr>
            </w:pPr>
            <w:r w:rsidRPr="008F33F6">
              <w:rPr>
                <w:color w:val="000000"/>
                <w:sz w:val="20"/>
                <w:shd w:val="clear" w:color="auto" w:fill="FFFFFF"/>
              </w:rPr>
              <w:t>Viešosios institucijos</w:t>
            </w:r>
          </w:p>
        </w:tc>
        <w:tc>
          <w:tcPr>
            <w:tcW w:w="4099" w:type="dxa"/>
            <w:shd w:val="clear" w:color="auto" w:fill="auto"/>
            <w:vAlign w:val="center"/>
          </w:tcPr>
          <w:p w14:paraId="13239FD7" w14:textId="77777777" w:rsidR="000A7602" w:rsidRDefault="000A7602" w:rsidP="0024254C">
            <w:pPr>
              <w:jc w:val="center"/>
              <w:rPr>
                <w:sz w:val="20"/>
              </w:rPr>
            </w:pPr>
            <w:r w:rsidRPr="00DB551E">
              <w:rPr>
                <w:sz w:val="20"/>
              </w:rPr>
              <w:t>13</w:t>
            </w:r>
          </w:p>
          <w:p w14:paraId="00A72195" w14:textId="5DDFD823" w:rsidR="000A7602" w:rsidRPr="00DB551E" w:rsidRDefault="000A7602" w:rsidP="0024254C">
            <w:pPr>
              <w:jc w:val="center"/>
              <w:rPr>
                <w:sz w:val="20"/>
              </w:rPr>
            </w:pPr>
            <w:r>
              <w:rPr>
                <w:sz w:val="20"/>
              </w:rPr>
              <w:t>(2029)</w:t>
            </w:r>
          </w:p>
        </w:tc>
      </w:tr>
      <w:tr w:rsidR="000A7602" w14:paraId="0B2780E6" w14:textId="77777777" w:rsidTr="00202170">
        <w:trPr>
          <w:trHeight w:val="725"/>
        </w:trPr>
        <w:tc>
          <w:tcPr>
            <w:tcW w:w="3688" w:type="dxa"/>
          </w:tcPr>
          <w:p w14:paraId="2E808B5D" w14:textId="77777777" w:rsidR="000A7602" w:rsidRPr="00F4202D" w:rsidRDefault="000A7602" w:rsidP="0024254C">
            <w:pPr>
              <w:ind w:left="-57" w:right="-57"/>
              <w:jc w:val="center"/>
              <w:rPr>
                <w:sz w:val="20"/>
              </w:rPr>
            </w:pPr>
            <w:r w:rsidRPr="0033699E">
              <w:rPr>
                <w:iCs/>
                <w:sz w:val="20"/>
              </w:rPr>
              <w:t>Naujų ir patobulintų viešųjų skaitmeninių paslaugų, produktų ir procesų naudotojai</w:t>
            </w:r>
            <w:r>
              <w:rPr>
                <w:iCs/>
                <w:sz w:val="20"/>
              </w:rPr>
              <w:t xml:space="preserve"> (Sostinės regionas)</w:t>
            </w:r>
          </w:p>
        </w:tc>
        <w:tc>
          <w:tcPr>
            <w:tcW w:w="3688" w:type="dxa"/>
            <w:vAlign w:val="center"/>
          </w:tcPr>
          <w:p w14:paraId="146F3EB3" w14:textId="77777777" w:rsidR="000A7602" w:rsidRDefault="000A7602" w:rsidP="0024254C">
            <w:pPr>
              <w:jc w:val="center"/>
              <w:rPr>
                <w:color w:val="000000"/>
                <w:sz w:val="20"/>
                <w:shd w:val="clear" w:color="auto" w:fill="FFFFFF"/>
              </w:rPr>
            </w:pPr>
            <w:r w:rsidRPr="008F33F6">
              <w:rPr>
                <w:color w:val="000000"/>
                <w:sz w:val="20"/>
                <w:shd w:val="clear" w:color="auto" w:fill="FFFFFF"/>
              </w:rPr>
              <w:t>R-05-002-01-07-08-02</w:t>
            </w:r>
          </w:p>
          <w:p w14:paraId="0AC514F0" w14:textId="77777777" w:rsidR="000A7602" w:rsidRPr="008F33F6" w:rsidRDefault="000A7602" w:rsidP="0024254C">
            <w:pPr>
              <w:jc w:val="center"/>
              <w:rPr>
                <w:i/>
                <w:iCs/>
                <w:sz w:val="20"/>
              </w:rPr>
            </w:pPr>
            <w:r>
              <w:rPr>
                <w:color w:val="000000"/>
                <w:sz w:val="20"/>
              </w:rPr>
              <w:t>(R.B.2.2011)</w:t>
            </w:r>
          </w:p>
        </w:tc>
        <w:tc>
          <w:tcPr>
            <w:tcW w:w="3688" w:type="dxa"/>
            <w:vAlign w:val="center"/>
          </w:tcPr>
          <w:p w14:paraId="45C0E3FC" w14:textId="77777777" w:rsidR="000A7602" w:rsidRPr="008F33F6" w:rsidRDefault="000A7602" w:rsidP="0024254C">
            <w:pPr>
              <w:jc w:val="center"/>
              <w:rPr>
                <w:i/>
                <w:iCs/>
                <w:sz w:val="20"/>
              </w:rPr>
            </w:pPr>
            <w:r w:rsidRPr="008F33F6">
              <w:rPr>
                <w:color w:val="000000"/>
                <w:sz w:val="20"/>
                <w:shd w:val="clear" w:color="auto" w:fill="FFFFFF"/>
              </w:rPr>
              <w:t>Metinis vartotojų skaičius</w:t>
            </w:r>
          </w:p>
        </w:tc>
        <w:tc>
          <w:tcPr>
            <w:tcW w:w="4099" w:type="dxa"/>
            <w:vAlign w:val="center"/>
          </w:tcPr>
          <w:p w14:paraId="30F0CDBB" w14:textId="32480CF0" w:rsidR="000A7602" w:rsidRDefault="000A7602" w:rsidP="0024254C">
            <w:pPr>
              <w:jc w:val="center"/>
              <w:rPr>
                <w:color w:val="000000"/>
                <w:sz w:val="20"/>
              </w:rPr>
            </w:pPr>
            <w:r>
              <w:rPr>
                <w:color w:val="000000"/>
                <w:sz w:val="20"/>
              </w:rPr>
              <w:t>102</w:t>
            </w:r>
            <w:r w:rsidR="0058728C">
              <w:rPr>
                <w:color w:val="000000"/>
                <w:sz w:val="20"/>
              </w:rPr>
              <w:t> </w:t>
            </w:r>
            <w:r>
              <w:rPr>
                <w:color w:val="000000"/>
                <w:sz w:val="20"/>
              </w:rPr>
              <w:t>570</w:t>
            </w:r>
          </w:p>
          <w:p w14:paraId="13F723DD" w14:textId="28DBD17F" w:rsidR="0058728C" w:rsidRDefault="0058728C" w:rsidP="0024254C">
            <w:pPr>
              <w:jc w:val="center"/>
              <w:rPr>
                <w:i/>
                <w:iCs/>
                <w:sz w:val="22"/>
                <w:szCs w:val="22"/>
              </w:rPr>
            </w:pPr>
            <w:r>
              <w:rPr>
                <w:color w:val="000000"/>
                <w:sz w:val="20"/>
              </w:rPr>
              <w:t>(2029)</w:t>
            </w:r>
          </w:p>
        </w:tc>
      </w:tr>
      <w:bookmarkEnd w:id="2"/>
    </w:tbl>
    <w:p w14:paraId="6CB1AB2D" w14:textId="77777777" w:rsidR="000A7602" w:rsidRDefault="000A7602">
      <w:pPr>
        <w:ind w:firstLine="567"/>
        <w:jc w:val="both"/>
        <w:rPr>
          <w:b/>
          <w:i/>
          <w:iCs/>
          <w:szCs w:val="24"/>
        </w:rPr>
      </w:pPr>
    </w:p>
    <w:p w14:paraId="71441721" w14:textId="77777777" w:rsidR="000E6AF8" w:rsidRDefault="000E6AF8">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0E6AF8" w14:paraId="1AF78114" w14:textId="77777777">
        <w:trPr>
          <w:trHeight w:val="298"/>
        </w:trPr>
        <w:tc>
          <w:tcPr>
            <w:tcW w:w="15158" w:type="dxa"/>
          </w:tcPr>
          <w:p w14:paraId="28854010" w14:textId="1B6A6F69" w:rsidR="000E6AF8" w:rsidRDefault="00B92EBB">
            <w:pPr>
              <w:jc w:val="both"/>
              <w:rPr>
                <w:szCs w:val="24"/>
              </w:rPr>
            </w:pPr>
            <w:r>
              <w:rPr>
                <w:szCs w:val="24"/>
              </w:rPr>
              <w:t>Ministerijos stebėsenos rodiklių aprašymo kortelės</w:t>
            </w:r>
          </w:p>
        </w:tc>
      </w:tr>
      <w:tr w:rsidR="000E6AF8" w14:paraId="6B38EDEA" w14:textId="77777777">
        <w:trPr>
          <w:trHeight w:val="315"/>
        </w:trPr>
        <w:tc>
          <w:tcPr>
            <w:tcW w:w="15158" w:type="dxa"/>
          </w:tcPr>
          <w:p w14:paraId="241F98E2" w14:textId="53C4A1FE" w:rsidR="000E6AF8" w:rsidRPr="00524481" w:rsidRDefault="00524481" w:rsidP="00524481">
            <w:pPr>
              <w:pStyle w:val="Heading1"/>
              <w:shd w:val="clear" w:color="auto" w:fill="FFFFFF"/>
              <w:spacing w:before="0"/>
              <w:rPr>
                <w:rFonts w:ascii="Times New Roman" w:eastAsia="Times New Roman" w:hAnsi="Times New Roman" w:cs="Times New Roman"/>
                <w:color w:val="auto"/>
                <w:sz w:val="22"/>
                <w:szCs w:val="22"/>
              </w:rPr>
            </w:pPr>
            <w:r w:rsidRPr="00524481">
              <w:rPr>
                <w:rFonts w:ascii="Times New Roman" w:eastAsia="Times New Roman" w:hAnsi="Times New Roman" w:cs="Times New Roman"/>
                <w:color w:val="auto"/>
                <w:sz w:val="24"/>
                <w:szCs w:val="24"/>
              </w:rPr>
              <w:t>Nuoroda į Lietuvos Respublikos ekonomikos ir inovacijų ministerijos interneto svetainės skiltyje „Pažangos priemonė Nr. 05-002-01-07-08. Kurti technologinius sprendimus ir įrankius, leidžiančius saugiai naudotis paslaugomis</w:t>
            </w:r>
            <w:r>
              <w:rPr>
                <w:rFonts w:ascii="Times New Roman" w:eastAsia="Times New Roman" w:hAnsi="Times New Roman" w:cs="Times New Roman"/>
                <w:color w:val="auto"/>
                <w:sz w:val="24"/>
                <w:szCs w:val="24"/>
              </w:rPr>
              <w:t>“</w:t>
            </w:r>
            <w:r w:rsidR="00AC7530">
              <w:rPr>
                <w:rFonts w:ascii="Times New Roman" w:eastAsia="Times New Roman" w:hAnsi="Times New Roman" w:cs="Times New Roman"/>
                <w:color w:val="auto"/>
                <w:sz w:val="24"/>
                <w:szCs w:val="24"/>
              </w:rPr>
              <w:t xml:space="preserve"> </w:t>
            </w:r>
            <w:r w:rsidR="00AC7530" w:rsidRPr="00AC7530">
              <w:rPr>
                <w:rFonts w:ascii="Times New Roman" w:eastAsia="Times New Roman" w:hAnsi="Times New Roman" w:cs="Times New Roman"/>
                <w:color w:val="auto"/>
                <w:sz w:val="24"/>
                <w:szCs w:val="24"/>
              </w:rPr>
              <w:t>pateiktus stebėsenos rodiklių aprašymu</w:t>
            </w:r>
            <w:r w:rsidR="00AC7530">
              <w:rPr>
                <w:rFonts w:ascii="Times New Roman" w:eastAsia="Times New Roman" w:hAnsi="Times New Roman" w:cs="Times New Roman"/>
                <w:color w:val="auto"/>
                <w:sz w:val="24"/>
                <w:szCs w:val="24"/>
              </w:rPr>
              <w:t xml:space="preserve">s </w:t>
            </w:r>
            <w:hyperlink r:id="rId18" w:history="1">
              <w:r w:rsidR="00AC7530" w:rsidRPr="003E518F">
                <w:rPr>
                  <w:rStyle w:val="Hyperlink"/>
                  <w:rFonts w:ascii="Times New Roman" w:eastAsia="Times New Roman" w:hAnsi="Times New Roman" w:cs="Times New Roman"/>
                  <w:sz w:val="24"/>
                  <w:szCs w:val="24"/>
                </w:rPr>
                <w:t>https://eimin.lrv.lt/uploads/eimin/documents/files/05-002-01-07-08.zip</w:t>
              </w:r>
            </w:hyperlink>
            <w:r w:rsidR="00AC7530">
              <w:rPr>
                <w:rFonts w:ascii="Times New Roman" w:eastAsia="Times New Roman" w:hAnsi="Times New Roman" w:cs="Times New Roman"/>
                <w:color w:val="auto"/>
                <w:sz w:val="24"/>
                <w:szCs w:val="24"/>
              </w:rPr>
              <w:t xml:space="preserve"> </w:t>
            </w:r>
          </w:p>
        </w:tc>
      </w:tr>
    </w:tbl>
    <w:p w14:paraId="6E15271D" w14:textId="77777777" w:rsidR="000E6AF8" w:rsidRDefault="000E6AF8">
      <w:pPr>
        <w:jc w:val="both"/>
        <w:rPr>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432"/>
        <w:gridCol w:w="963"/>
        <w:gridCol w:w="1132"/>
        <w:gridCol w:w="859"/>
        <w:gridCol w:w="1149"/>
      </w:tblGrid>
      <w:tr w:rsidR="003D085D" w14:paraId="76D0D076" w14:textId="77777777" w:rsidTr="0024254C">
        <w:tc>
          <w:tcPr>
            <w:tcW w:w="15155" w:type="dxa"/>
            <w:gridSpan w:val="13"/>
            <w:vAlign w:val="center"/>
          </w:tcPr>
          <w:p w14:paraId="187C6239" w14:textId="77777777" w:rsidR="003D085D" w:rsidRDefault="003D085D" w:rsidP="0024254C">
            <w:pPr>
              <w:jc w:val="center"/>
              <w:rPr>
                <w:b/>
                <w:sz w:val="22"/>
                <w:szCs w:val="22"/>
              </w:rPr>
            </w:pPr>
            <w:r>
              <w:rPr>
                <w:b/>
                <w:sz w:val="22"/>
                <w:szCs w:val="22"/>
              </w:rPr>
              <w:t>VEIKLOS AR POVEIKLĖS, KURIOMS NUSTATOMOS PROJEKTŲ FINANSAVIMO SĄLYGOS</w:t>
            </w:r>
          </w:p>
        </w:tc>
      </w:tr>
      <w:tr w:rsidR="003D085D" w14:paraId="25518940" w14:textId="77777777" w:rsidTr="0024254C">
        <w:tc>
          <w:tcPr>
            <w:tcW w:w="1110" w:type="dxa"/>
            <w:vAlign w:val="center"/>
          </w:tcPr>
          <w:p w14:paraId="43DA4211" w14:textId="77777777" w:rsidR="003D085D" w:rsidRDefault="003D085D" w:rsidP="0024254C">
            <w:pPr>
              <w:jc w:val="center"/>
              <w:rPr>
                <w:b/>
                <w:sz w:val="20"/>
              </w:rPr>
            </w:pPr>
            <w:r>
              <w:rPr>
                <w:b/>
                <w:sz w:val="20"/>
              </w:rPr>
              <w:t>Veiklos ar poveiklės pavadini-mas</w:t>
            </w:r>
          </w:p>
        </w:tc>
        <w:tc>
          <w:tcPr>
            <w:tcW w:w="1125" w:type="dxa"/>
            <w:vAlign w:val="center"/>
          </w:tcPr>
          <w:p w14:paraId="2725621D" w14:textId="77777777" w:rsidR="003D085D" w:rsidRDefault="003D085D" w:rsidP="0024254C">
            <w:pPr>
              <w:jc w:val="center"/>
              <w:rPr>
                <w:b/>
                <w:sz w:val="20"/>
              </w:rPr>
            </w:pPr>
            <w:r>
              <w:rPr>
                <w:b/>
                <w:sz w:val="20"/>
              </w:rPr>
              <w:t>Finansa-vimo šaltinis</w:t>
            </w:r>
          </w:p>
        </w:tc>
        <w:tc>
          <w:tcPr>
            <w:tcW w:w="1236" w:type="dxa"/>
            <w:vAlign w:val="center"/>
          </w:tcPr>
          <w:p w14:paraId="6031C781" w14:textId="77777777" w:rsidR="003D085D" w:rsidRDefault="003D085D" w:rsidP="0024254C">
            <w:pPr>
              <w:jc w:val="center"/>
              <w:rPr>
                <w:b/>
                <w:sz w:val="20"/>
              </w:rPr>
            </w:pPr>
            <w:r>
              <w:rPr>
                <w:b/>
                <w:bCs/>
                <w:sz w:val="20"/>
              </w:rPr>
              <w:t>Prioritetas ar komponen-tas</w:t>
            </w:r>
          </w:p>
        </w:tc>
        <w:tc>
          <w:tcPr>
            <w:tcW w:w="1134" w:type="dxa"/>
            <w:vAlign w:val="center"/>
          </w:tcPr>
          <w:p w14:paraId="70BF78F3" w14:textId="77777777" w:rsidR="003D085D" w:rsidRDefault="003D085D" w:rsidP="0024254C">
            <w:pPr>
              <w:jc w:val="center"/>
              <w:rPr>
                <w:b/>
                <w:sz w:val="20"/>
              </w:rPr>
            </w:pPr>
            <w:r>
              <w:rPr>
                <w:b/>
                <w:bCs/>
                <w:sz w:val="20"/>
              </w:rPr>
              <w:t>Uždavi-nys ar priemonė</w:t>
            </w:r>
          </w:p>
        </w:tc>
        <w:tc>
          <w:tcPr>
            <w:tcW w:w="1134" w:type="dxa"/>
            <w:vAlign w:val="center"/>
          </w:tcPr>
          <w:p w14:paraId="7C90015A" w14:textId="77777777" w:rsidR="003D085D" w:rsidRDefault="003D085D" w:rsidP="0024254C">
            <w:pPr>
              <w:jc w:val="center"/>
              <w:rPr>
                <w:b/>
                <w:sz w:val="20"/>
              </w:rPr>
            </w:pPr>
            <w:r>
              <w:rPr>
                <w:b/>
                <w:bCs/>
                <w:sz w:val="20"/>
              </w:rPr>
              <w:t>Veikla ar paprie-monė</w:t>
            </w:r>
          </w:p>
        </w:tc>
        <w:tc>
          <w:tcPr>
            <w:tcW w:w="1457" w:type="dxa"/>
            <w:vAlign w:val="center"/>
          </w:tcPr>
          <w:p w14:paraId="3B90DC4C" w14:textId="77777777" w:rsidR="003D085D" w:rsidRDefault="003D085D" w:rsidP="0024254C">
            <w:pPr>
              <w:jc w:val="center"/>
              <w:rPr>
                <w:b/>
                <w:sz w:val="20"/>
              </w:rPr>
            </w:pPr>
            <w:r>
              <w:rPr>
                <w:b/>
                <w:sz w:val="20"/>
              </w:rPr>
              <w:t>Intervencinės priemonės kodas</w:t>
            </w:r>
          </w:p>
        </w:tc>
        <w:tc>
          <w:tcPr>
            <w:tcW w:w="1344" w:type="dxa"/>
            <w:vAlign w:val="center"/>
          </w:tcPr>
          <w:p w14:paraId="3F601A2A" w14:textId="77777777" w:rsidR="003D085D" w:rsidRDefault="003D085D" w:rsidP="0024254C">
            <w:pPr>
              <w:jc w:val="center"/>
              <w:rPr>
                <w:b/>
                <w:bCs/>
                <w:sz w:val="20"/>
              </w:rPr>
            </w:pPr>
            <w:r>
              <w:rPr>
                <w:b/>
                <w:sz w:val="20"/>
              </w:rPr>
              <w:t>Regionas, kuriam priskiriama veikla ar poveiklė</w:t>
            </w:r>
          </w:p>
        </w:tc>
        <w:tc>
          <w:tcPr>
            <w:tcW w:w="1080" w:type="dxa"/>
            <w:vAlign w:val="center"/>
          </w:tcPr>
          <w:p w14:paraId="64D88CD4" w14:textId="77777777" w:rsidR="003D085D" w:rsidRDefault="003D085D" w:rsidP="0024254C">
            <w:pPr>
              <w:jc w:val="center"/>
              <w:rPr>
                <w:b/>
                <w:sz w:val="20"/>
              </w:rPr>
            </w:pPr>
            <w:r>
              <w:rPr>
                <w:b/>
                <w:bCs/>
                <w:sz w:val="20"/>
              </w:rPr>
              <w:t>Paramos formos kodas</w:t>
            </w:r>
          </w:p>
        </w:tc>
        <w:tc>
          <w:tcPr>
            <w:tcW w:w="1432" w:type="dxa"/>
            <w:vAlign w:val="center"/>
          </w:tcPr>
          <w:p w14:paraId="629F9D78" w14:textId="77777777" w:rsidR="003D085D" w:rsidRDefault="003D085D" w:rsidP="0024254C">
            <w:pPr>
              <w:jc w:val="center"/>
              <w:rPr>
                <w:b/>
                <w:sz w:val="20"/>
              </w:rPr>
            </w:pPr>
            <w:r>
              <w:rPr>
                <w:b/>
                <w:bCs/>
                <w:sz w:val="20"/>
              </w:rPr>
              <w:t>Pagrindinės teritorinės srities kodas (-ai)</w:t>
            </w:r>
          </w:p>
        </w:tc>
        <w:tc>
          <w:tcPr>
            <w:tcW w:w="963" w:type="dxa"/>
            <w:vAlign w:val="center"/>
          </w:tcPr>
          <w:p w14:paraId="2068F97C" w14:textId="77777777" w:rsidR="003D085D" w:rsidRDefault="003D085D" w:rsidP="0024254C">
            <w:pPr>
              <w:jc w:val="center"/>
              <w:rPr>
                <w:b/>
                <w:bCs/>
                <w:sz w:val="20"/>
              </w:rPr>
            </w:pPr>
            <w:r>
              <w:rPr>
                <w:b/>
                <w:bCs/>
                <w:sz w:val="20"/>
              </w:rPr>
              <w:t xml:space="preserve">Ekono-minės veiklos kodas </w:t>
            </w:r>
          </w:p>
          <w:p w14:paraId="7637CB4E" w14:textId="77777777" w:rsidR="003D085D" w:rsidRDefault="003D085D" w:rsidP="0024254C">
            <w:pPr>
              <w:jc w:val="center"/>
              <w:rPr>
                <w:b/>
                <w:sz w:val="20"/>
              </w:rPr>
            </w:pPr>
            <w:r>
              <w:rPr>
                <w:b/>
                <w:bCs/>
                <w:sz w:val="20"/>
              </w:rPr>
              <w:t>(-ai)</w:t>
            </w:r>
          </w:p>
        </w:tc>
        <w:tc>
          <w:tcPr>
            <w:tcW w:w="1132" w:type="dxa"/>
            <w:vAlign w:val="center"/>
          </w:tcPr>
          <w:p w14:paraId="557F778E" w14:textId="77777777" w:rsidR="003D085D" w:rsidRDefault="003D085D" w:rsidP="0024254C">
            <w:pPr>
              <w:jc w:val="center"/>
              <w:rPr>
                <w:b/>
                <w:bCs/>
                <w:sz w:val="20"/>
              </w:rPr>
            </w:pPr>
            <w:r>
              <w:rPr>
                <w:b/>
                <w:bCs/>
                <w:sz w:val="20"/>
              </w:rPr>
              <w:t>„Europos socialinio fondo +“ (toliau – ESF+) antrinių temų kodai</w:t>
            </w:r>
          </w:p>
        </w:tc>
        <w:tc>
          <w:tcPr>
            <w:tcW w:w="859" w:type="dxa"/>
            <w:vAlign w:val="center"/>
          </w:tcPr>
          <w:p w14:paraId="161A651F" w14:textId="77777777" w:rsidR="003D085D" w:rsidRDefault="003D085D" w:rsidP="0024254C">
            <w:pPr>
              <w:jc w:val="center"/>
              <w:rPr>
                <w:b/>
                <w:bCs/>
                <w:sz w:val="20"/>
              </w:rPr>
            </w:pPr>
            <w:r>
              <w:rPr>
                <w:b/>
                <w:bCs/>
                <w:sz w:val="20"/>
              </w:rPr>
              <w:t>Lyčių lygybės mat-mens kodas</w:t>
            </w:r>
          </w:p>
        </w:tc>
        <w:tc>
          <w:tcPr>
            <w:tcW w:w="1149" w:type="dxa"/>
            <w:vAlign w:val="center"/>
          </w:tcPr>
          <w:p w14:paraId="0DA60445" w14:textId="77777777" w:rsidR="003D085D" w:rsidRDefault="003D085D" w:rsidP="0024254C">
            <w:pPr>
              <w:jc w:val="center"/>
              <w:rPr>
                <w:b/>
                <w:sz w:val="20"/>
              </w:rPr>
            </w:pPr>
            <w:r>
              <w:rPr>
                <w:b/>
                <w:sz w:val="20"/>
              </w:rPr>
              <w:t>Nepanau-dotos Ekonomi-kos gaivinimo ir atsparumo didinimo priemonės lėšos</w:t>
            </w:r>
          </w:p>
          <w:p w14:paraId="34FE92C6" w14:textId="77777777" w:rsidR="003D085D" w:rsidRDefault="003D085D" w:rsidP="0024254C">
            <w:pPr>
              <w:jc w:val="center"/>
              <w:rPr>
                <w:b/>
                <w:bCs/>
                <w:sz w:val="20"/>
              </w:rPr>
            </w:pPr>
            <w:r>
              <w:rPr>
                <w:b/>
                <w:sz w:val="20"/>
              </w:rPr>
              <w:t>(Taip / Ne)</w:t>
            </w:r>
          </w:p>
        </w:tc>
      </w:tr>
      <w:tr w:rsidR="003D085D" w14:paraId="652131F5" w14:textId="77777777" w:rsidTr="0024254C">
        <w:trPr>
          <w:trHeight w:val="278"/>
        </w:trPr>
        <w:tc>
          <w:tcPr>
            <w:tcW w:w="1110" w:type="dxa"/>
            <w:tcMar>
              <w:left w:w="28" w:type="dxa"/>
              <w:right w:w="28" w:type="dxa"/>
            </w:tcMar>
          </w:tcPr>
          <w:p w14:paraId="440B357D" w14:textId="57B3020F" w:rsidR="003D085D" w:rsidRDefault="003D085D" w:rsidP="0024254C">
            <w:pPr>
              <w:ind w:firstLine="48"/>
              <w:jc w:val="center"/>
              <w:rPr>
                <w:i/>
                <w:sz w:val="18"/>
                <w:szCs w:val="18"/>
              </w:rPr>
            </w:pPr>
            <w:r>
              <w:rPr>
                <w:i/>
                <w:sz w:val="18"/>
                <w:szCs w:val="18"/>
              </w:rPr>
              <w:t xml:space="preserve"> </w:t>
            </w:r>
            <w:r w:rsidRPr="00DB551E">
              <w:rPr>
                <w:sz w:val="20"/>
              </w:rPr>
              <w:t xml:space="preserve">Naudojimosi elektroninės atpažinties </w:t>
            </w:r>
            <w:r w:rsidRPr="00DB551E">
              <w:rPr>
                <w:sz w:val="20"/>
              </w:rPr>
              <w:lastRenderedPageBreak/>
              <w:t xml:space="preserve">priemonėmis skatinimas </w:t>
            </w:r>
            <w:r>
              <w:rPr>
                <w:sz w:val="20"/>
              </w:rPr>
              <w:t>Vidurio ir vakarų Lietuvos regione</w:t>
            </w:r>
          </w:p>
        </w:tc>
        <w:tc>
          <w:tcPr>
            <w:tcW w:w="1125" w:type="dxa"/>
            <w:tcMar>
              <w:left w:w="28" w:type="dxa"/>
              <w:right w:w="28" w:type="dxa"/>
            </w:tcMar>
          </w:tcPr>
          <w:p w14:paraId="7D0FE30F" w14:textId="77777777" w:rsidR="003D085D" w:rsidRPr="00DB551E" w:rsidRDefault="003D085D" w:rsidP="0024254C">
            <w:pPr>
              <w:jc w:val="center"/>
              <w:rPr>
                <w:bCs/>
                <w:iCs/>
                <w:sz w:val="20"/>
                <w:lang w:bidi="lt-LT"/>
              </w:rPr>
            </w:pPr>
            <w:r w:rsidRPr="00DB551E">
              <w:rPr>
                <w:bCs/>
                <w:iCs/>
                <w:sz w:val="20"/>
                <w:lang w:bidi="lt-LT"/>
              </w:rPr>
              <w:lastRenderedPageBreak/>
              <w:t xml:space="preserve">2021–2027 metų Europos </w:t>
            </w:r>
            <w:r w:rsidRPr="00DB551E">
              <w:rPr>
                <w:bCs/>
                <w:iCs/>
                <w:sz w:val="20"/>
                <w:lang w:bidi="lt-LT"/>
              </w:rPr>
              <w:lastRenderedPageBreak/>
              <w:t>Sąjungos fondų investicijų programa</w:t>
            </w:r>
          </w:p>
          <w:p w14:paraId="6586B0CE" w14:textId="77777777" w:rsidR="003D085D" w:rsidRDefault="003D085D" w:rsidP="0024254C">
            <w:pPr>
              <w:jc w:val="center"/>
              <w:rPr>
                <w:b/>
                <w:i/>
                <w:sz w:val="18"/>
                <w:szCs w:val="18"/>
              </w:rPr>
            </w:pPr>
            <w:r w:rsidRPr="00DB551E">
              <w:rPr>
                <w:bCs/>
                <w:iCs/>
                <w:sz w:val="20"/>
                <w:lang w:bidi="lt-LT"/>
              </w:rPr>
              <w:t>(toliau – Investicijų programa)</w:t>
            </w:r>
          </w:p>
        </w:tc>
        <w:tc>
          <w:tcPr>
            <w:tcW w:w="1236" w:type="dxa"/>
            <w:tcMar>
              <w:left w:w="28" w:type="dxa"/>
              <w:right w:w="28" w:type="dxa"/>
            </w:tcMar>
          </w:tcPr>
          <w:p w14:paraId="7B39C080" w14:textId="77777777" w:rsidR="003D085D" w:rsidRDefault="003D085D" w:rsidP="0024254C">
            <w:pPr>
              <w:jc w:val="center"/>
              <w:rPr>
                <w:i/>
                <w:sz w:val="18"/>
                <w:szCs w:val="18"/>
              </w:rPr>
            </w:pPr>
            <w:r w:rsidRPr="00DB551E">
              <w:rPr>
                <w:sz w:val="20"/>
              </w:rPr>
              <w:lastRenderedPageBreak/>
              <w:t>1</w:t>
            </w:r>
          </w:p>
        </w:tc>
        <w:tc>
          <w:tcPr>
            <w:tcW w:w="1134" w:type="dxa"/>
            <w:tcMar>
              <w:left w:w="28" w:type="dxa"/>
              <w:right w:w="28" w:type="dxa"/>
            </w:tcMar>
          </w:tcPr>
          <w:p w14:paraId="719ADD64" w14:textId="77777777" w:rsidR="003D085D" w:rsidRDefault="003D085D" w:rsidP="0024254C">
            <w:pPr>
              <w:jc w:val="center"/>
              <w:rPr>
                <w:sz w:val="18"/>
                <w:szCs w:val="18"/>
              </w:rPr>
            </w:pPr>
            <w:r w:rsidRPr="00DB551E">
              <w:rPr>
                <w:bCs/>
                <w:iCs/>
                <w:sz w:val="20"/>
                <w:lang w:bidi="lt-LT"/>
              </w:rPr>
              <w:t>1.2. Pasinaudoti skaitmenini</w:t>
            </w:r>
            <w:r w:rsidRPr="00DB551E">
              <w:rPr>
                <w:bCs/>
                <w:iCs/>
                <w:sz w:val="20"/>
                <w:lang w:bidi="lt-LT"/>
              </w:rPr>
              <w:lastRenderedPageBreak/>
              <w:t>mo teikiama nauda piliečiams, įmonėms, mokslinių tyrimų organizacijoms</w:t>
            </w:r>
          </w:p>
        </w:tc>
        <w:tc>
          <w:tcPr>
            <w:tcW w:w="1134" w:type="dxa"/>
            <w:tcMar>
              <w:left w:w="28" w:type="dxa"/>
              <w:right w:w="28" w:type="dxa"/>
            </w:tcMar>
          </w:tcPr>
          <w:p w14:paraId="5D2C3EEF" w14:textId="77777777" w:rsidR="003D085D" w:rsidRDefault="003D085D" w:rsidP="0024254C">
            <w:pPr>
              <w:jc w:val="center"/>
              <w:rPr>
                <w:i/>
                <w:sz w:val="18"/>
                <w:szCs w:val="18"/>
              </w:rPr>
            </w:pPr>
            <w:r w:rsidRPr="00DB551E">
              <w:rPr>
                <w:sz w:val="20"/>
              </w:rPr>
              <w:lastRenderedPageBreak/>
              <w:t xml:space="preserve">5.1. Naudojimosi elektroninės </w:t>
            </w:r>
            <w:r w:rsidRPr="00DB551E">
              <w:rPr>
                <w:sz w:val="20"/>
              </w:rPr>
              <w:lastRenderedPageBreak/>
              <w:t>atpažinties priemonėmis skatinimas Sostinės regione</w:t>
            </w:r>
          </w:p>
        </w:tc>
        <w:tc>
          <w:tcPr>
            <w:tcW w:w="1457" w:type="dxa"/>
            <w:tcMar>
              <w:left w:w="28" w:type="dxa"/>
              <w:right w:w="28" w:type="dxa"/>
            </w:tcMar>
          </w:tcPr>
          <w:p w14:paraId="05774F8A" w14:textId="77777777" w:rsidR="003D085D" w:rsidRDefault="003D085D" w:rsidP="0024254C">
            <w:pPr>
              <w:jc w:val="center"/>
              <w:rPr>
                <w:i/>
                <w:sz w:val="18"/>
                <w:szCs w:val="18"/>
              </w:rPr>
            </w:pPr>
            <w:r w:rsidRPr="00DB551E">
              <w:rPr>
                <w:sz w:val="20"/>
              </w:rPr>
              <w:lastRenderedPageBreak/>
              <w:t>016</w:t>
            </w:r>
          </w:p>
        </w:tc>
        <w:tc>
          <w:tcPr>
            <w:tcW w:w="1344" w:type="dxa"/>
            <w:tcMar>
              <w:left w:w="28" w:type="dxa"/>
              <w:right w:w="28" w:type="dxa"/>
            </w:tcMar>
          </w:tcPr>
          <w:p w14:paraId="397FAF4E" w14:textId="2E8D185A" w:rsidR="003D085D" w:rsidRDefault="003D085D" w:rsidP="0024254C">
            <w:pPr>
              <w:jc w:val="center"/>
              <w:rPr>
                <w:i/>
                <w:sz w:val="18"/>
                <w:szCs w:val="18"/>
              </w:rPr>
            </w:pPr>
            <w:r>
              <w:rPr>
                <w:sz w:val="20"/>
              </w:rPr>
              <w:t xml:space="preserve">Vidurio ir vakarų </w:t>
            </w:r>
            <w:r>
              <w:rPr>
                <w:sz w:val="20"/>
              </w:rPr>
              <w:lastRenderedPageBreak/>
              <w:t>Lietuvos regionas</w:t>
            </w:r>
            <w:r>
              <w:rPr>
                <w:i/>
                <w:sz w:val="18"/>
                <w:szCs w:val="18"/>
              </w:rPr>
              <w:t xml:space="preserve"> </w:t>
            </w:r>
          </w:p>
        </w:tc>
        <w:tc>
          <w:tcPr>
            <w:tcW w:w="1080" w:type="dxa"/>
            <w:tcMar>
              <w:left w:w="28" w:type="dxa"/>
              <w:right w:w="28" w:type="dxa"/>
            </w:tcMar>
          </w:tcPr>
          <w:p w14:paraId="72751275" w14:textId="77777777" w:rsidR="003D085D" w:rsidRPr="00DB551E" w:rsidRDefault="003D085D" w:rsidP="0024254C">
            <w:pPr>
              <w:jc w:val="center"/>
              <w:rPr>
                <w:bCs/>
                <w:iCs/>
                <w:sz w:val="20"/>
                <w:lang w:bidi="lt-LT"/>
              </w:rPr>
            </w:pPr>
            <w:r w:rsidRPr="00DB551E">
              <w:rPr>
                <w:bCs/>
                <w:iCs/>
                <w:sz w:val="20"/>
                <w:lang w:bidi="lt-LT"/>
              </w:rPr>
              <w:lastRenderedPageBreak/>
              <w:t>01 – Dotacija</w:t>
            </w:r>
          </w:p>
          <w:p w14:paraId="10520B84" w14:textId="77777777" w:rsidR="003D085D" w:rsidRDefault="003D085D" w:rsidP="0024254C">
            <w:pPr>
              <w:jc w:val="center"/>
              <w:rPr>
                <w:i/>
                <w:sz w:val="18"/>
                <w:szCs w:val="18"/>
              </w:rPr>
            </w:pPr>
          </w:p>
        </w:tc>
        <w:tc>
          <w:tcPr>
            <w:tcW w:w="1432" w:type="dxa"/>
            <w:tcMar>
              <w:left w:w="28" w:type="dxa"/>
              <w:right w:w="28" w:type="dxa"/>
            </w:tcMar>
          </w:tcPr>
          <w:p w14:paraId="369087EB" w14:textId="77777777" w:rsidR="003D085D" w:rsidRPr="00DB551E" w:rsidRDefault="003D085D" w:rsidP="0024254C">
            <w:pPr>
              <w:jc w:val="center"/>
              <w:rPr>
                <w:bCs/>
                <w:iCs/>
                <w:sz w:val="20"/>
                <w:lang w:bidi="lt-LT"/>
              </w:rPr>
            </w:pPr>
            <w:r w:rsidRPr="00DB551E">
              <w:rPr>
                <w:bCs/>
                <w:iCs/>
                <w:sz w:val="20"/>
                <w:lang w:bidi="lt-LT"/>
              </w:rPr>
              <w:t>33 – Nesiorientuojant į teritoriškumą</w:t>
            </w:r>
          </w:p>
          <w:p w14:paraId="61BB085A" w14:textId="77777777" w:rsidR="003D085D" w:rsidRPr="00DB551E" w:rsidRDefault="003D085D" w:rsidP="0024254C">
            <w:pPr>
              <w:jc w:val="center"/>
              <w:rPr>
                <w:bCs/>
                <w:iCs/>
                <w:sz w:val="20"/>
                <w:lang w:bidi="lt-LT"/>
              </w:rPr>
            </w:pPr>
          </w:p>
          <w:p w14:paraId="5F3C578F" w14:textId="77777777" w:rsidR="003D085D" w:rsidRDefault="003D085D" w:rsidP="0024254C">
            <w:pPr>
              <w:jc w:val="center"/>
              <w:rPr>
                <w:sz w:val="18"/>
                <w:szCs w:val="18"/>
              </w:rPr>
            </w:pPr>
          </w:p>
        </w:tc>
        <w:tc>
          <w:tcPr>
            <w:tcW w:w="963" w:type="dxa"/>
            <w:tcMar>
              <w:left w:w="28" w:type="dxa"/>
              <w:right w:w="28" w:type="dxa"/>
            </w:tcMar>
          </w:tcPr>
          <w:p w14:paraId="28F7F440" w14:textId="77777777" w:rsidR="003D085D" w:rsidRDefault="003D085D" w:rsidP="0024254C">
            <w:pPr>
              <w:jc w:val="center"/>
              <w:rPr>
                <w:sz w:val="18"/>
                <w:szCs w:val="18"/>
              </w:rPr>
            </w:pPr>
            <w:r w:rsidRPr="00DB551E">
              <w:rPr>
                <w:bCs/>
                <w:iCs/>
                <w:sz w:val="20"/>
                <w:lang w:bidi="lt-LT"/>
              </w:rPr>
              <w:lastRenderedPageBreak/>
              <w:t>26 – kitos neapibrėžt</w:t>
            </w:r>
            <w:r w:rsidRPr="00DB551E">
              <w:rPr>
                <w:bCs/>
                <w:iCs/>
                <w:sz w:val="20"/>
                <w:lang w:bidi="lt-LT"/>
              </w:rPr>
              <w:lastRenderedPageBreak/>
              <w:t>os paslaugos</w:t>
            </w:r>
          </w:p>
        </w:tc>
        <w:tc>
          <w:tcPr>
            <w:tcW w:w="1132" w:type="dxa"/>
            <w:tcMar>
              <w:left w:w="28" w:type="dxa"/>
              <w:right w:w="28" w:type="dxa"/>
            </w:tcMar>
          </w:tcPr>
          <w:p w14:paraId="4B61F2EC" w14:textId="77777777" w:rsidR="003D085D" w:rsidRPr="00DB551E" w:rsidRDefault="003D085D" w:rsidP="0024254C">
            <w:pPr>
              <w:jc w:val="center"/>
              <w:rPr>
                <w:i/>
                <w:sz w:val="20"/>
              </w:rPr>
            </w:pPr>
            <w:r w:rsidRPr="00DB551E">
              <w:rPr>
                <w:i/>
                <w:sz w:val="20"/>
              </w:rPr>
              <w:lastRenderedPageBreak/>
              <w:t>-</w:t>
            </w:r>
          </w:p>
          <w:p w14:paraId="07B12001" w14:textId="77777777" w:rsidR="003D085D" w:rsidRDefault="003D085D" w:rsidP="0024254C">
            <w:pPr>
              <w:jc w:val="center"/>
              <w:rPr>
                <w:i/>
                <w:iCs/>
                <w:sz w:val="18"/>
                <w:szCs w:val="18"/>
              </w:rPr>
            </w:pPr>
          </w:p>
        </w:tc>
        <w:tc>
          <w:tcPr>
            <w:tcW w:w="859" w:type="dxa"/>
            <w:tcMar>
              <w:left w:w="28" w:type="dxa"/>
              <w:right w:w="28" w:type="dxa"/>
            </w:tcMar>
          </w:tcPr>
          <w:p w14:paraId="312578CB" w14:textId="77777777" w:rsidR="003D085D" w:rsidRPr="00DB551E" w:rsidRDefault="003D085D" w:rsidP="0024254C">
            <w:pPr>
              <w:jc w:val="center"/>
              <w:rPr>
                <w:bCs/>
                <w:iCs/>
                <w:sz w:val="20"/>
                <w:lang w:bidi="lt-LT"/>
              </w:rPr>
            </w:pPr>
            <w:r w:rsidRPr="00DB551E">
              <w:rPr>
                <w:bCs/>
                <w:iCs/>
                <w:sz w:val="20"/>
                <w:lang w:bidi="lt-LT"/>
              </w:rPr>
              <w:t xml:space="preserve">03 – Neutralumas </w:t>
            </w:r>
            <w:r w:rsidRPr="00DB551E">
              <w:rPr>
                <w:bCs/>
                <w:iCs/>
                <w:sz w:val="20"/>
                <w:lang w:bidi="lt-LT"/>
              </w:rPr>
              <w:lastRenderedPageBreak/>
              <w:t>lyties požiūriu</w:t>
            </w:r>
          </w:p>
          <w:p w14:paraId="0597C097" w14:textId="77777777" w:rsidR="003D085D" w:rsidRDefault="003D085D" w:rsidP="0024254C">
            <w:pPr>
              <w:jc w:val="center"/>
              <w:rPr>
                <w:i/>
                <w:iCs/>
                <w:sz w:val="18"/>
                <w:szCs w:val="18"/>
              </w:rPr>
            </w:pPr>
          </w:p>
        </w:tc>
        <w:tc>
          <w:tcPr>
            <w:tcW w:w="1149" w:type="dxa"/>
          </w:tcPr>
          <w:p w14:paraId="29C42737" w14:textId="77777777" w:rsidR="003D085D" w:rsidRPr="003A23B1" w:rsidRDefault="003D085D" w:rsidP="0024254C">
            <w:pPr>
              <w:jc w:val="center"/>
              <w:rPr>
                <w:sz w:val="18"/>
                <w:szCs w:val="18"/>
              </w:rPr>
            </w:pPr>
            <w:r w:rsidRPr="003A23B1">
              <w:rPr>
                <w:sz w:val="18"/>
                <w:szCs w:val="18"/>
              </w:rPr>
              <w:lastRenderedPageBreak/>
              <w:t>Ne</w:t>
            </w:r>
          </w:p>
        </w:tc>
      </w:tr>
    </w:tbl>
    <w:p w14:paraId="265CB769" w14:textId="77777777" w:rsidR="00524481" w:rsidRDefault="00524481">
      <w:pPr>
        <w:jc w:val="both"/>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4099"/>
      </w:tblGrid>
      <w:tr w:rsidR="003D085D" w14:paraId="64BBC37A" w14:textId="77777777" w:rsidTr="00202170">
        <w:trPr>
          <w:trHeight w:val="405"/>
        </w:trPr>
        <w:tc>
          <w:tcPr>
            <w:tcW w:w="3688" w:type="dxa"/>
            <w:shd w:val="clear" w:color="auto" w:fill="auto"/>
            <w:vAlign w:val="center"/>
          </w:tcPr>
          <w:p w14:paraId="45900616" w14:textId="77777777" w:rsidR="003D085D" w:rsidRDefault="003D085D" w:rsidP="0024254C">
            <w:pPr>
              <w:jc w:val="center"/>
              <w:rPr>
                <w:sz w:val="18"/>
                <w:szCs w:val="18"/>
              </w:rPr>
            </w:pPr>
            <w:r>
              <w:rPr>
                <w:sz w:val="22"/>
                <w:szCs w:val="22"/>
              </w:rPr>
              <w:t>Rodiklio pavadinimas</w:t>
            </w:r>
          </w:p>
        </w:tc>
        <w:tc>
          <w:tcPr>
            <w:tcW w:w="3688" w:type="dxa"/>
            <w:shd w:val="clear" w:color="auto" w:fill="auto"/>
            <w:vAlign w:val="center"/>
          </w:tcPr>
          <w:p w14:paraId="414646CB" w14:textId="77777777" w:rsidR="003D085D" w:rsidRDefault="003D085D" w:rsidP="0024254C">
            <w:pPr>
              <w:jc w:val="center"/>
              <w:rPr>
                <w:sz w:val="18"/>
                <w:szCs w:val="18"/>
              </w:rPr>
            </w:pPr>
            <w:r>
              <w:rPr>
                <w:sz w:val="22"/>
                <w:szCs w:val="22"/>
              </w:rPr>
              <w:t>Rodiklio kodas</w:t>
            </w:r>
          </w:p>
        </w:tc>
        <w:tc>
          <w:tcPr>
            <w:tcW w:w="3688" w:type="dxa"/>
            <w:shd w:val="clear" w:color="auto" w:fill="auto"/>
            <w:vAlign w:val="center"/>
          </w:tcPr>
          <w:p w14:paraId="4016BA8E" w14:textId="77777777" w:rsidR="003D085D" w:rsidRDefault="003D085D" w:rsidP="0024254C">
            <w:pPr>
              <w:jc w:val="center"/>
              <w:rPr>
                <w:sz w:val="18"/>
                <w:szCs w:val="18"/>
              </w:rPr>
            </w:pPr>
            <w:r>
              <w:rPr>
                <w:sz w:val="22"/>
                <w:szCs w:val="22"/>
              </w:rPr>
              <w:t>Matavimo vienetai</w:t>
            </w:r>
          </w:p>
        </w:tc>
        <w:tc>
          <w:tcPr>
            <w:tcW w:w="4099" w:type="dxa"/>
            <w:shd w:val="clear" w:color="auto" w:fill="auto"/>
            <w:vAlign w:val="center"/>
          </w:tcPr>
          <w:p w14:paraId="42FFA723" w14:textId="77777777" w:rsidR="003D085D" w:rsidRDefault="003D085D" w:rsidP="0024254C">
            <w:pPr>
              <w:jc w:val="center"/>
              <w:rPr>
                <w:sz w:val="18"/>
                <w:szCs w:val="18"/>
              </w:rPr>
            </w:pPr>
            <w:r>
              <w:rPr>
                <w:sz w:val="22"/>
                <w:szCs w:val="22"/>
              </w:rPr>
              <w:t>Siektina reikšmė ir pasiekimo data</w:t>
            </w:r>
          </w:p>
        </w:tc>
      </w:tr>
      <w:tr w:rsidR="003D085D" w14:paraId="396814D3" w14:textId="77777777" w:rsidTr="00202170">
        <w:trPr>
          <w:trHeight w:val="710"/>
        </w:trPr>
        <w:tc>
          <w:tcPr>
            <w:tcW w:w="3688" w:type="dxa"/>
            <w:shd w:val="clear" w:color="auto" w:fill="auto"/>
            <w:vAlign w:val="center"/>
          </w:tcPr>
          <w:p w14:paraId="12471064" w14:textId="77777777" w:rsidR="003D085D" w:rsidRDefault="003D085D" w:rsidP="0024254C">
            <w:pPr>
              <w:jc w:val="center"/>
              <w:rPr>
                <w:iCs/>
                <w:sz w:val="20"/>
              </w:rPr>
            </w:pPr>
            <w:r w:rsidRPr="007B39FC">
              <w:rPr>
                <w:iCs/>
                <w:sz w:val="20"/>
              </w:rPr>
              <w:t>Viešosios institucijos, kurioms suteikta parama skaitmeninėms paslaugoms, produktams ir procesams kurti</w:t>
            </w:r>
          </w:p>
          <w:p w14:paraId="4B4C837A" w14:textId="4E2723CA" w:rsidR="003D085D" w:rsidRDefault="003D085D" w:rsidP="0024254C">
            <w:pPr>
              <w:jc w:val="center"/>
              <w:rPr>
                <w:sz w:val="22"/>
                <w:szCs w:val="22"/>
              </w:rPr>
            </w:pPr>
            <w:r>
              <w:rPr>
                <w:iCs/>
                <w:sz w:val="20"/>
              </w:rPr>
              <w:t>(</w:t>
            </w:r>
            <w:r>
              <w:rPr>
                <w:sz w:val="20"/>
              </w:rPr>
              <w:t>Vidurio ir vakarų Lietuvos regionas</w:t>
            </w:r>
            <w:r>
              <w:rPr>
                <w:iCs/>
                <w:sz w:val="20"/>
              </w:rPr>
              <w:t>)</w:t>
            </w:r>
          </w:p>
        </w:tc>
        <w:tc>
          <w:tcPr>
            <w:tcW w:w="3688" w:type="dxa"/>
            <w:shd w:val="clear" w:color="auto" w:fill="auto"/>
            <w:vAlign w:val="center"/>
          </w:tcPr>
          <w:p w14:paraId="515CAD2C" w14:textId="77777777" w:rsidR="003D085D" w:rsidRDefault="003D085D" w:rsidP="0024254C">
            <w:pPr>
              <w:jc w:val="center"/>
              <w:rPr>
                <w:color w:val="000000"/>
                <w:sz w:val="20"/>
                <w:shd w:val="clear" w:color="auto" w:fill="FFFFFF"/>
              </w:rPr>
            </w:pPr>
            <w:r w:rsidRPr="008F33F6">
              <w:rPr>
                <w:color w:val="000000"/>
                <w:sz w:val="20"/>
                <w:shd w:val="clear" w:color="auto" w:fill="FFFFFF"/>
              </w:rPr>
              <w:t>P-05-002-01-07-08-06</w:t>
            </w:r>
          </w:p>
          <w:p w14:paraId="6B6C4042" w14:textId="77777777" w:rsidR="003D085D" w:rsidRPr="008F33F6" w:rsidRDefault="003D085D" w:rsidP="0024254C">
            <w:pPr>
              <w:jc w:val="center"/>
              <w:rPr>
                <w:sz w:val="20"/>
              </w:rPr>
            </w:pPr>
            <w:r>
              <w:rPr>
                <w:color w:val="000000"/>
                <w:sz w:val="20"/>
              </w:rPr>
              <w:t>(P.B.2.0014)</w:t>
            </w:r>
          </w:p>
        </w:tc>
        <w:tc>
          <w:tcPr>
            <w:tcW w:w="3688" w:type="dxa"/>
            <w:shd w:val="clear" w:color="auto" w:fill="auto"/>
            <w:vAlign w:val="center"/>
          </w:tcPr>
          <w:p w14:paraId="32EA048F" w14:textId="77777777" w:rsidR="003D085D" w:rsidRPr="008F33F6" w:rsidRDefault="003D085D" w:rsidP="0024254C">
            <w:pPr>
              <w:jc w:val="center"/>
              <w:rPr>
                <w:sz w:val="20"/>
              </w:rPr>
            </w:pPr>
            <w:r w:rsidRPr="008F33F6">
              <w:rPr>
                <w:color w:val="000000"/>
                <w:sz w:val="20"/>
                <w:shd w:val="clear" w:color="auto" w:fill="FFFFFF"/>
              </w:rPr>
              <w:t>Viešosios institucijos</w:t>
            </w:r>
          </w:p>
        </w:tc>
        <w:tc>
          <w:tcPr>
            <w:tcW w:w="4099" w:type="dxa"/>
            <w:shd w:val="clear" w:color="auto" w:fill="auto"/>
            <w:vAlign w:val="center"/>
          </w:tcPr>
          <w:p w14:paraId="56BDC108" w14:textId="4DD0C00B" w:rsidR="003D085D" w:rsidRDefault="00202170" w:rsidP="0024254C">
            <w:pPr>
              <w:jc w:val="center"/>
              <w:rPr>
                <w:sz w:val="20"/>
              </w:rPr>
            </w:pPr>
            <w:r>
              <w:rPr>
                <w:sz w:val="20"/>
              </w:rPr>
              <w:t>8</w:t>
            </w:r>
          </w:p>
          <w:p w14:paraId="48A33D00" w14:textId="77777777" w:rsidR="003D085D" w:rsidRPr="00DB551E" w:rsidRDefault="003D085D" w:rsidP="0024254C">
            <w:pPr>
              <w:jc w:val="center"/>
              <w:rPr>
                <w:sz w:val="20"/>
              </w:rPr>
            </w:pPr>
            <w:r>
              <w:rPr>
                <w:sz w:val="20"/>
              </w:rPr>
              <w:t>(2029)</w:t>
            </w:r>
          </w:p>
        </w:tc>
      </w:tr>
      <w:tr w:rsidR="003D085D" w14:paraId="61909F54" w14:textId="77777777" w:rsidTr="00202170">
        <w:trPr>
          <w:trHeight w:val="725"/>
        </w:trPr>
        <w:tc>
          <w:tcPr>
            <w:tcW w:w="3688" w:type="dxa"/>
          </w:tcPr>
          <w:p w14:paraId="68F3A4BD" w14:textId="1EF5CF07" w:rsidR="003D085D" w:rsidRPr="00F4202D" w:rsidRDefault="003D085D" w:rsidP="0024254C">
            <w:pPr>
              <w:ind w:left="-57" w:right="-57"/>
              <w:jc w:val="center"/>
              <w:rPr>
                <w:sz w:val="20"/>
              </w:rPr>
            </w:pPr>
            <w:r w:rsidRPr="0033699E">
              <w:rPr>
                <w:iCs/>
                <w:sz w:val="20"/>
              </w:rPr>
              <w:t>Naujų ir patobulintų viešųjų skaitmeninių paslaugų, produktų ir procesų naudotojai</w:t>
            </w:r>
            <w:r>
              <w:rPr>
                <w:iCs/>
                <w:sz w:val="20"/>
              </w:rPr>
              <w:t xml:space="preserve"> (</w:t>
            </w:r>
            <w:r>
              <w:rPr>
                <w:sz w:val="20"/>
              </w:rPr>
              <w:t>Vidurio ir vakarų Lietuvos regionas</w:t>
            </w:r>
            <w:r>
              <w:rPr>
                <w:iCs/>
                <w:sz w:val="20"/>
              </w:rPr>
              <w:t>)</w:t>
            </w:r>
          </w:p>
        </w:tc>
        <w:tc>
          <w:tcPr>
            <w:tcW w:w="3688" w:type="dxa"/>
            <w:vAlign w:val="center"/>
          </w:tcPr>
          <w:p w14:paraId="6603C871" w14:textId="77777777" w:rsidR="003D085D" w:rsidRDefault="003D085D" w:rsidP="0024254C">
            <w:pPr>
              <w:jc w:val="center"/>
              <w:rPr>
                <w:color w:val="000000"/>
                <w:sz w:val="20"/>
                <w:shd w:val="clear" w:color="auto" w:fill="FFFFFF"/>
              </w:rPr>
            </w:pPr>
            <w:r w:rsidRPr="008F33F6">
              <w:rPr>
                <w:color w:val="000000"/>
                <w:sz w:val="20"/>
                <w:shd w:val="clear" w:color="auto" w:fill="FFFFFF"/>
              </w:rPr>
              <w:t>R-05-002-01-07-08-02</w:t>
            </w:r>
          </w:p>
          <w:p w14:paraId="3A2D7277" w14:textId="77777777" w:rsidR="003D085D" w:rsidRPr="008F33F6" w:rsidRDefault="003D085D" w:rsidP="0024254C">
            <w:pPr>
              <w:jc w:val="center"/>
              <w:rPr>
                <w:i/>
                <w:iCs/>
                <w:sz w:val="20"/>
              </w:rPr>
            </w:pPr>
            <w:r>
              <w:rPr>
                <w:color w:val="000000"/>
                <w:sz w:val="20"/>
              </w:rPr>
              <w:t>(R.B.2.2011)</w:t>
            </w:r>
          </w:p>
        </w:tc>
        <w:tc>
          <w:tcPr>
            <w:tcW w:w="3688" w:type="dxa"/>
            <w:vAlign w:val="center"/>
          </w:tcPr>
          <w:p w14:paraId="7C8D09C8" w14:textId="77777777" w:rsidR="003D085D" w:rsidRPr="008F33F6" w:rsidRDefault="003D085D" w:rsidP="0024254C">
            <w:pPr>
              <w:jc w:val="center"/>
              <w:rPr>
                <w:i/>
                <w:iCs/>
                <w:sz w:val="20"/>
              </w:rPr>
            </w:pPr>
            <w:r w:rsidRPr="008F33F6">
              <w:rPr>
                <w:color w:val="000000"/>
                <w:sz w:val="20"/>
                <w:shd w:val="clear" w:color="auto" w:fill="FFFFFF"/>
              </w:rPr>
              <w:t>Metinis vartotojų skaičius</w:t>
            </w:r>
          </w:p>
        </w:tc>
        <w:tc>
          <w:tcPr>
            <w:tcW w:w="4099" w:type="dxa"/>
            <w:vAlign w:val="center"/>
          </w:tcPr>
          <w:p w14:paraId="536757C6" w14:textId="77777777" w:rsidR="00202170" w:rsidRDefault="00202170" w:rsidP="0024254C">
            <w:pPr>
              <w:jc w:val="center"/>
              <w:rPr>
                <w:color w:val="000000"/>
                <w:sz w:val="20"/>
              </w:rPr>
            </w:pPr>
            <w:r>
              <w:rPr>
                <w:color w:val="000000"/>
                <w:sz w:val="20"/>
              </w:rPr>
              <w:t xml:space="preserve">242 899 </w:t>
            </w:r>
          </w:p>
          <w:p w14:paraId="7A712475" w14:textId="4027D6C7" w:rsidR="003D085D" w:rsidRDefault="003D085D" w:rsidP="0024254C">
            <w:pPr>
              <w:jc w:val="center"/>
              <w:rPr>
                <w:i/>
                <w:iCs/>
                <w:sz w:val="22"/>
                <w:szCs w:val="22"/>
              </w:rPr>
            </w:pPr>
            <w:r>
              <w:rPr>
                <w:color w:val="000000"/>
                <w:sz w:val="20"/>
              </w:rPr>
              <w:t>(2029)</w:t>
            </w:r>
          </w:p>
        </w:tc>
      </w:tr>
    </w:tbl>
    <w:p w14:paraId="4C2622F3" w14:textId="77777777" w:rsidR="003D085D" w:rsidRDefault="003D085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202170" w14:paraId="1C6A5F91" w14:textId="77777777" w:rsidTr="0024254C">
        <w:trPr>
          <w:trHeight w:val="298"/>
        </w:trPr>
        <w:tc>
          <w:tcPr>
            <w:tcW w:w="15158" w:type="dxa"/>
          </w:tcPr>
          <w:p w14:paraId="5EE543E4" w14:textId="77777777" w:rsidR="00202170" w:rsidRDefault="00202170" w:rsidP="0024254C">
            <w:pPr>
              <w:jc w:val="both"/>
              <w:rPr>
                <w:szCs w:val="24"/>
              </w:rPr>
            </w:pPr>
            <w:r>
              <w:rPr>
                <w:szCs w:val="24"/>
              </w:rPr>
              <w:t>Ministerijos stebėsenos rodiklių aprašymo kortelės</w:t>
            </w:r>
          </w:p>
        </w:tc>
      </w:tr>
      <w:tr w:rsidR="00202170" w14:paraId="4CE64773" w14:textId="77777777" w:rsidTr="0024254C">
        <w:trPr>
          <w:trHeight w:val="315"/>
        </w:trPr>
        <w:tc>
          <w:tcPr>
            <w:tcW w:w="15158" w:type="dxa"/>
          </w:tcPr>
          <w:p w14:paraId="37E0FA12" w14:textId="77777777" w:rsidR="00202170" w:rsidRPr="00524481" w:rsidRDefault="00202170" w:rsidP="0024254C">
            <w:pPr>
              <w:pStyle w:val="Heading1"/>
              <w:shd w:val="clear" w:color="auto" w:fill="FFFFFF"/>
              <w:spacing w:before="0"/>
              <w:rPr>
                <w:rFonts w:ascii="Times New Roman" w:eastAsia="Times New Roman" w:hAnsi="Times New Roman" w:cs="Times New Roman"/>
                <w:color w:val="auto"/>
                <w:sz w:val="22"/>
                <w:szCs w:val="22"/>
              </w:rPr>
            </w:pPr>
            <w:r w:rsidRPr="00524481">
              <w:rPr>
                <w:rFonts w:ascii="Times New Roman" w:eastAsia="Times New Roman" w:hAnsi="Times New Roman" w:cs="Times New Roman"/>
                <w:color w:val="auto"/>
                <w:sz w:val="24"/>
                <w:szCs w:val="24"/>
              </w:rPr>
              <w:t>Nuoroda į Lietuvos Respublikos ekonomikos ir inovacijų ministerijos interneto svetainės skiltyje „Pažangos priemonė Nr. 05-002-01-07-08. Kurti technologinius sprendimus ir įrankius, leidžiančius saugiai naudotis paslaugomis</w:t>
            </w:r>
            <w:r>
              <w:rPr>
                <w:rFonts w:ascii="Times New Roman" w:eastAsia="Times New Roman" w:hAnsi="Times New Roman" w:cs="Times New Roman"/>
                <w:color w:val="auto"/>
                <w:sz w:val="24"/>
                <w:szCs w:val="24"/>
              </w:rPr>
              <w:t xml:space="preserve">“ </w:t>
            </w:r>
            <w:r w:rsidRPr="00AC7530">
              <w:rPr>
                <w:rFonts w:ascii="Times New Roman" w:eastAsia="Times New Roman" w:hAnsi="Times New Roman" w:cs="Times New Roman"/>
                <w:color w:val="auto"/>
                <w:sz w:val="24"/>
                <w:szCs w:val="24"/>
              </w:rPr>
              <w:t>pateiktus stebėsenos rodiklių aprašymu</w:t>
            </w:r>
            <w:r>
              <w:rPr>
                <w:rFonts w:ascii="Times New Roman" w:eastAsia="Times New Roman" w:hAnsi="Times New Roman" w:cs="Times New Roman"/>
                <w:color w:val="auto"/>
                <w:sz w:val="24"/>
                <w:szCs w:val="24"/>
              </w:rPr>
              <w:t xml:space="preserve">s </w:t>
            </w:r>
            <w:hyperlink r:id="rId19" w:history="1">
              <w:r w:rsidRPr="003E518F">
                <w:rPr>
                  <w:rStyle w:val="Hyperlink"/>
                  <w:rFonts w:ascii="Times New Roman" w:eastAsia="Times New Roman" w:hAnsi="Times New Roman" w:cs="Times New Roman"/>
                  <w:sz w:val="24"/>
                  <w:szCs w:val="24"/>
                </w:rPr>
                <w:t>https://eimin.lrv.lt/uploads/eimin/documents/files/05-002-01-07-08.zip</w:t>
              </w:r>
            </w:hyperlink>
            <w:r>
              <w:rPr>
                <w:rFonts w:ascii="Times New Roman" w:eastAsia="Times New Roman" w:hAnsi="Times New Roman" w:cs="Times New Roman"/>
                <w:color w:val="auto"/>
                <w:sz w:val="24"/>
                <w:szCs w:val="24"/>
              </w:rPr>
              <w:t xml:space="preserve"> </w:t>
            </w:r>
          </w:p>
        </w:tc>
      </w:tr>
    </w:tbl>
    <w:p w14:paraId="4B783DBC" w14:textId="77777777" w:rsidR="00202170" w:rsidRDefault="00202170">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0E6AF8" w14:paraId="12FD5B8D" w14:textId="77777777">
        <w:tc>
          <w:tcPr>
            <w:tcW w:w="15134" w:type="dxa"/>
          </w:tcPr>
          <w:p w14:paraId="549C8093" w14:textId="77777777" w:rsidR="000E6AF8" w:rsidRDefault="00B92EBB">
            <w:pPr>
              <w:rPr>
                <w:b/>
                <w:szCs w:val="24"/>
              </w:rPr>
            </w:pPr>
            <w:r>
              <w:rPr>
                <w:b/>
                <w:szCs w:val="24"/>
              </w:rPr>
              <w:t>SPECIALIEJI FINANSAVIMO REIKALAVIMAI</w:t>
            </w:r>
          </w:p>
        </w:tc>
      </w:tr>
      <w:tr w:rsidR="000E6AF8" w14:paraId="55EB3CDD" w14:textId="77777777">
        <w:tc>
          <w:tcPr>
            <w:tcW w:w="15134" w:type="dxa"/>
          </w:tcPr>
          <w:p w14:paraId="1CADE307" w14:textId="77777777" w:rsidR="000E6AF8" w:rsidRDefault="00B92EBB">
            <w:pPr>
              <w:rPr>
                <w:b/>
                <w:bCs/>
                <w:szCs w:val="24"/>
              </w:rPr>
            </w:pPr>
            <w:r>
              <w:rPr>
                <w:b/>
                <w:bCs/>
                <w:szCs w:val="24"/>
              </w:rPr>
              <w:t>1. Taikomi teisės aktai</w:t>
            </w:r>
          </w:p>
        </w:tc>
      </w:tr>
      <w:tr w:rsidR="000E6AF8" w:rsidRPr="006906AF" w14:paraId="3250B446" w14:textId="77777777">
        <w:tc>
          <w:tcPr>
            <w:tcW w:w="15134" w:type="dxa"/>
          </w:tcPr>
          <w:p w14:paraId="08DE742D" w14:textId="77777777" w:rsidR="00323AE6" w:rsidRPr="006906AF" w:rsidRDefault="00323AE6" w:rsidP="00323AE6">
            <w:pPr>
              <w:pStyle w:val="ListParagraph"/>
              <w:tabs>
                <w:tab w:val="left" w:pos="458"/>
              </w:tabs>
              <w:spacing w:after="0" w:line="240" w:lineRule="auto"/>
              <w:ind w:left="34"/>
              <w:jc w:val="both"/>
              <w:rPr>
                <w:rFonts w:eastAsiaTheme="minorEastAsia"/>
                <w:iCs/>
                <w:szCs w:val="24"/>
                <w:lang w:eastAsia="lt-LT"/>
              </w:rPr>
            </w:pPr>
            <w:r w:rsidRPr="006906AF">
              <w:rPr>
                <w:rFonts w:eastAsiaTheme="minorEastAsia"/>
                <w:iCs/>
                <w:szCs w:val="24"/>
                <w:lang w:eastAsia="lt-LT"/>
              </w:rPr>
              <w:t xml:space="preserve">1.1. Teisės aktai, kuriais vadovaujamasi rengiant, teikiant ir vertinant projekto įgyvendinimo planą (toliau – PĮP), priimant sprendimą dėl projekto finansavimo, sudarant projekto sutartį ir įgyvendinant projektą, finansuojamą pagal 2021–2030 metų Lietuvos Respublikos ekonomikos ir inovacijų ministerijos valstybės skaitmeninimo plėtros programos pažangos priemonės Nr. 05-002-01-07-08 „Kurti technologinius sprendimus ir įrankius, leidžiančius saugiai ir patogiai naudotis paslaugomis“ veiklos „Naudojimosi elektroninės atpažinties priemonėmis skatinimas“ projektų finansavimo sąlygų aprašą (toliau – PFSA): </w:t>
            </w:r>
          </w:p>
          <w:p w14:paraId="591B906D" w14:textId="77777777"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1.1.1. 2021 m. birželio 24 d. Europos Parlamento ir Tarybos reglamentas (ES) 2021/1058 dėl Europos regioninės plėtros fondo ir Sanglaudos fondo.</w:t>
            </w:r>
          </w:p>
          <w:p w14:paraId="11809AA4" w14:textId="77777777"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 xml:space="preserve">1.1.2.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w:t>
            </w:r>
            <w:r w:rsidRPr="006906AF">
              <w:rPr>
                <w:rFonts w:eastAsiaTheme="minorEastAsia"/>
                <w:iCs/>
                <w:szCs w:val="24"/>
                <w:lang w:eastAsia="lt-LT"/>
              </w:rPr>
              <w:lastRenderedPageBreak/>
              <w:t>bei Prieglobsčio, migracijos ir integracijos fondo, Vidaus saugumo fondo ir Sienų valdymo ir vizų politikos finansinės paramos priemonės taisyklės, su visais pakeitimais.</w:t>
            </w:r>
          </w:p>
          <w:p w14:paraId="0DB92E6B" w14:textId="77777777"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1.1.3. 2018 m. spalio 2 d. Europos Parlamento ir Tarybos reglamentas (ES) 2018/1724, kuriuo sukuriami bendrieji skaitmeniniai vartai, skirti suteikti prieigą prie informacijos, procedūrų ir pagalbos bei problemų sprendimo paslaugų ir kuriuo iš dalies keičiamas Reglamentas (ES) Nr. 1024/2012.</w:t>
            </w:r>
          </w:p>
          <w:p w14:paraId="14367220" w14:textId="77777777"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1.1.4. 2014 m. liepos 23 d. Europos Parlamento ir Tarybos reglamentas (ES) Nr. 910/2014 dėl elektroninės atpažinties ir elektroninių operacijų patikimumo užtikrinimo paslaugų vidaus rinkoje, kuriuo panaikinama direktyva 1999/93/EB.</w:t>
            </w:r>
          </w:p>
          <w:p w14:paraId="07C4F265" w14:textId="77777777"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1.1.5. 2015 m. rugsėjo 8 d. Europos Komisijos įgyvendinimo reglamentas (ES) 2015/1502, kuriuo pagal Europos Parlamento ir Tarybos reglamento (ES) Nr. 910/2014 dėl elektroninės atpažinties ir elektroninių operacijų patikimumo užtikrinimo paslaugų vidaus rinkoje 8 straipsnio 3 dalį nustatomos minimalios techninės specifikacijos ir procedūros dėl elektroninės atpažinties priemonių saugumo užtikrinimo lygių.</w:t>
            </w:r>
          </w:p>
          <w:p w14:paraId="2993CC15" w14:textId="77777777"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1.1.6. 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visais pakeitimais.</w:t>
            </w:r>
          </w:p>
          <w:p w14:paraId="26090EBB" w14:textId="77777777" w:rsidR="00323AE6" w:rsidRPr="006906AF" w:rsidRDefault="00323AE6" w:rsidP="00323AE6">
            <w:pPr>
              <w:rPr>
                <w:rFonts w:eastAsiaTheme="minorEastAsia"/>
                <w:iCs/>
                <w:szCs w:val="24"/>
                <w:lang w:eastAsia="lt-LT"/>
              </w:rPr>
            </w:pPr>
            <w:r w:rsidRPr="006906AF">
              <w:rPr>
                <w:rFonts w:eastAsiaTheme="minorEastAsia"/>
                <w:iCs/>
                <w:szCs w:val="24"/>
                <w:lang w:eastAsia="lt-LT"/>
              </w:rPr>
              <w:t>1.1.7. Lietuvos Respublikos elektroninės atpažinties ir elektroninių operacijų patikimumo užtikrinimo paslaugų įstatymas</w:t>
            </w:r>
          </w:p>
          <w:p w14:paraId="4486F240" w14:textId="77777777" w:rsidR="00323AE6" w:rsidRDefault="00323AE6" w:rsidP="00323AE6">
            <w:pPr>
              <w:jc w:val="both"/>
              <w:rPr>
                <w:rFonts w:eastAsiaTheme="minorEastAsia"/>
                <w:iCs/>
                <w:szCs w:val="24"/>
                <w:lang w:eastAsia="lt-LT"/>
              </w:rPr>
            </w:pPr>
            <w:r w:rsidRPr="006906AF">
              <w:rPr>
                <w:rFonts w:eastAsiaTheme="minorEastAsia"/>
                <w:iCs/>
                <w:szCs w:val="24"/>
                <w:lang w:eastAsia="lt-LT"/>
              </w:rPr>
              <w:t>1.1.8. Lietuvos Respublikos strateginio valdymo įstatymas.</w:t>
            </w:r>
          </w:p>
          <w:p w14:paraId="52E4FA70" w14:textId="0D7F355D" w:rsidR="00644CDB" w:rsidRPr="006906AF" w:rsidRDefault="00644CDB" w:rsidP="00323AE6">
            <w:pPr>
              <w:jc w:val="both"/>
              <w:rPr>
                <w:rFonts w:eastAsiaTheme="minorEastAsia"/>
                <w:iCs/>
                <w:szCs w:val="24"/>
                <w:lang w:eastAsia="lt-LT"/>
              </w:rPr>
            </w:pPr>
            <w:r>
              <w:rPr>
                <w:rFonts w:eastAsiaTheme="minorEastAsia"/>
                <w:iCs/>
                <w:szCs w:val="24"/>
                <w:lang w:eastAsia="lt-LT"/>
              </w:rPr>
              <w:t>1.1.9. Lietuvos Respublikos valstybės informacinių išteklių valdymo įstatymas.</w:t>
            </w:r>
          </w:p>
          <w:p w14:paraId="080864AF" w14:textId="15D5C2E3"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w:t>
            </w:r>
            <w:r w:rsidR="00644CDB">
              <w:rPr>
                <w:rFonts w:eastAsiaTheme="minorEastAsia"/>
                <w:iCs/>
                <w:szCs w:val="24"/>
                <w:lang w:eastAsia="lt-LT"/>
              </w:rPr>
              <w:t>10</w:t>
            </w:r>
            <w:r w:rsidRPr="006906AF">
              <w:rPr>
                <w:rFonts w:eastAsiaTheme="minorEastAsia"/>
                <w:iCs/>
                <w:szCs w:val="24"/>
                <w:lang w:eastAsia="lt-LT"/>
              </w:rPr>
              <w:t>. 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w:t>
            </w:r>
          </w:p>
          <w:p w14:paraId="450B4279" w14:textId="44A24EB7"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w:t>
            </w:r>
            <w:r w:rsidR="00644CDB">
              <w:rPr>
                <w:rFonts w:eastAsiaTheme="minorEastAsia"/>
                <w:iCs/>
                <w:szCs w:val="24"/>
                <w:lang w:eastAsia="lt-LT"/>
              </w:rPr>
              <w:t>11</w:t>
            </w:r>
            <w:r w:rsidRPr="006906AF">
              <w:rPr>
                <w:rFonts w:eastAsiaTheme="minorEastAsia"/>
                <w:iCs/>
                <w:szCs w:val="24"/>
                <w:lang w:eastAsia="lt-LT"/>
              </w:rPr>
              <w:t>. Strateginio valdymo metodika, patvirtinta Lietuvos Respublikos Vyriausybės 2021 m. balandžio 28 d. nutarimu Nr. 292 „Dėl Strateginio valdymo metodikos patvirtinimo“.</w:t>
            </w:r>
          </w:p>
          <w:p w14:paraId="5C01FEF0" w14:textId="21B28A90"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1.1.1</w:t>
            </w:r>
            <w:r w:rsidR="00F35AC9">
              <w:rPr>
                <w:rFonts w:eastAsiaTheme="minorEastAsia"/>
                <w:iCs/>
                <w:szCs w:val="24"/>
                <w:lang w:eastAsia="lt-LT"/>
              </w:rPr>
              <w:t>2</w:t>
            </w:r>
            <w:r w:rsidRPr="006906AF">
              <w:rPr>
                <w:rFonts w:eastAsiaTheme="minorEastAsia"/>
                <w:iCs/>
                <w:szCs w:val="24"/>
                <w:lang w:eastAsia="lt-LT"/>
              </w:rPr>
              <w:t>. Vadovaujančiosios, administruojančiosios ir audito institucijų funkcijų, įgyvendinant Ekonomikos gaivinimo ir atsparumo didinimo planą „Naujos kartos Lietuva“, paskirstymo taisyklės, patvirtintos Lietuvos Respublikos Vyriausybės 2020 m. lapkričio 25 d. nutarimu Nr. 1322 „Dėl pasirengimo administruoti Europos Sąjungos lėšas ir jų administravimo“.</w:t>
            </w:r>
          </w:p>
          <w:p w14:paraId="539E1501" w14:textId="597A861C"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1.1.1</w:t>
            </w:r>
            <w:r w:rsidR="00F35AC9">
              <w:rPr>
                <w:rFonts w:eastAsiaTheme="minorEastAsia"/>
                <w:iCs/>
                <w:szCs w:val="24"/>
                <w:lang w:eastAsia="lt-LT"/>
              </w:rPr>
              <w:t>3</w:t>
            </w:r>
            <w:r w:rsidRPr="006906AF">
              <w:rPr>
                <w:rFonts w:eastAsiaTheme="minorEastAsia"/>
                <w:iCs/>
                <w:szCs w:val="24"/>
                <w:lang w:eastAsia="lt-LT"/>
              </w:rPr>
              <w:t>. Lietuvos Respublikos Vyriausybės 2016 m. sausio 6 d. nutarimas Nr. 5 „Dėl Sostinės regiono ir Vidurio ir vakarų Lietuvos regiono sudarymo“.</w:t>
            </w:r>
          </w:p>
          <w:p w14:paraId="72989CB4" w14:textId="4C77CB2B"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1.1.1</w:t>
            </w:r>
            <w:r w:rsidR="00F35AC9">
              <w:rPr>
                <w:rFonts w:eastAsiaTheme="minorEastAsia"/>
                <w:iCs/>
                <w:szCs w:val="24"/>
                <w:lang w:eastAsia="lt-LT"/>
              </w:rPr>
              <w:t>4</w:t>
            </w:r>
            <w:r w:rsidRPr="006906AF">
              <w:rPr>
                <w:rFonts w:eastAsiaTheme="minorEastAsia"/>
                <w:iCs/>
                <w:szCs w:val="24"/>
                <w:lang w:eastAsia="lt-LT"/>
              </w:rPr>
              <w:t>.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63C0A152" w14:textId="2ABA1926"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1.1.1</w:t>
            </w:r>
            <w:r w:rsidR="00F35AC9">
              <w:rPr>
                <w:rFonts w:eastAsiaTheme="minorEastAsia"/>
                <w:iCs/>
                <w:szCs w:val="24"/>
                <w:lang w:eastAsia="lt-LT"/>
              </w:rPr>
              <w:t>5</w:t>
            </w:r>
            <w:r w:rsidRPr="006906AF">
              <w:rPr>
                <w:rFonts w:eastAsiaTheme="minorEastAsia"/>
                <w:iCs/>
                <w:szCs w:val="24"/>
                <w:lang w:eastAsia="lt-LT"/>
              </w:rPr>
              <w:t xml:space="preserve">. Projektų administravimo ir finansavimo taisyklės, patvirtintos Lietuvos Respublikos finansų ministro 2022 m. birželio 22 d. įsakymu </w:t>
            </w:r>
            <w:r w:rsidRPr="006906AF">
              <w:rPr>
                <w:rFonts w:eastAsiaTheme="minorEastAsia"/>
                <w:iCs/>
                <w:szCs w:val="24"/>
                <w:lang w:eastAsia="lt-LT"/>
              </w:rPr>
              <w:br/>
              <w:t>Nr.  1K-237 „Dėl 2021–2027 metų Europos Sąjungos fondų investicijų programos ir Ekonomikos gaivinimo ir atsparumo didinimo plano „Naujos kartos Lietuva“ įgyvendinimo“ (toliau – Projektų administravimo ir finansavimo taisyklės).</w:t>
            </w:r>
          </w:p>
          <w:p w14:paraId="6FF9B169" w14:textId="46339674"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lastRenderedPageBreak/>
              <w:t>1.1.1</w:t>
            </w:r>
            <w:r w:rsidR="00E75CE3">
              <w:rPr>
                <w:rFonts w:eastAsiaTheme="minorEastAsia"/>
                <w:iCs/>
                <w:szCs w:val="24"/>
                <w:lang w:eastAsia="lt-LT"/>
              </w:rPr>
              <w:t>6</w:t>
            </w:r>
            <w:r w:rsidRPr="006906AF">
              <w:rPr>
                <w:rFonts w:eastAsiaTheme="minorEastAsia"/>
                <w:iCs/>
                <w:szCs w:val="24"/>
                <w:lang w:eastAsia="lt-LT"/>
              </w:rPr>
              <w:t xml:space="preserve">. Stebėsenos rodiklių nustatymo ir skaičiavimo aprašas, patvirtintas Lietuvos Respublikos finansų ministro 2022 m. birželio 22 d. įsakymu </w:t>
            </w:r>
            <w:r w:rsidRPr="006906AF">
              <w:rPr>
                <w:rFonts w:eastAsiaTheme="minorEastAsia"/>
                <w:iCs/>
                <w:szCs w:val="24"/>
                <w:lang w:eastAsia="lt-LT"/>
              </w:rPr>
              <w:br/>
              <w:t>Nr. 1K-237 „Dėl 2021–2027 metų Europos Sąjungos fondų investicijų programos ir Ekonomikos gaivinimo ir atsparumo didinimo plano „Naujos kartos Lietuva“ įgyvendinimo“.</w:t>
            </w:r>
          </w:p>
          <w:p w14:paraId="5917F531" w14:textId="77777777"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 xml:space="preserve">1.2. PFSA vartojamos sąvokos: </w:t>
            </w:r>
          </w:p>
          <w:p w14:paraId="07262FF2" w14:textId="77777777" w:rsidR="00323AE6" w:rsidRPr="006906AF" w:rsidRDefault="00323AE6" w:rsidP="00323AE6">
            <w:pPr>
              <w:jc w:val="both"/>
              <w:rPr>
                <w:rFonts w:eastAsiaTheme="minorEastAsia"/>
                <w:iCs/>
                <w:szCs w:val="24"/>
                <w:lang w:eastAsia="lt-LT"/>
              </w:rPr>
            </w:pPr>
            <w:r>
              <w:rPr>
                <w:rFonts w:eastAsiaTheme="minorEastAsia"/>
                <w:iCs/>
                <w:szCs w:val="24"/>
                <w:lang w:eastAsia="lt-LT"/>
              </w:rPr>
              <w:t xml:space="preserve">1.2.1. </w:t>
            </w:r>
            <w:r w:rsidRPr="00E75CE3">
              <w:rPr>
                <w:rFonts w:eastAsiaTheme="minorEastAsia"/>
                <w:b/>
                <w:bCs/>
                <w:iCs/>
                <w:szCs w:val="24"/>
                <w:lang w:eastAsia="lt-LT"/>
              </w:rPr>
              <w:t>Nacionaliniu ir (arba) ES lygiu strategiškai reikšmingos skaitmeninės paslaugos</w:t>
            </w:r>
            <w:r w:rsidRPr="006906AF">
              <w:rPr>
                <w:rFonts w:eastAsiaTheme="minorEastAsia"/>
                <w:iCs/>
                <w:szCs w:val="24"/>
                <w:lang w:eastAsia="lt-LT"/>
              </w:rPr>
              <w:t xml:space="preserve"> </w:t>
            </w:r>
            <w:r>
              <w:rPr>
                <w:rFonts w:eastAsiaTheme="minorEastAsia"/>
                <w:iCs/>
                <w:szCs w:val="24"/>
                <w:lang w:eastAsia="lt-LT"/>
              </w:rPr>
              <w:t>–</w:t>
            </w:r>
            <w:r w:rsidRPr="00B72841">
              <w:rPr>
                <w:rFonts w:eastAsiaTheme="minorEastAsia"/>
                <w:iCs/>
                <w:szCs w:val="24"/>
                <w:lang w:eastAsia="lt-LT"/>
              </w:rPr>
              <w:t xml:space="preserve"> </w:t>
            </w:r>
            <w:r>
              <w:rPr>
                <w:rFonts w:eastAsiaTheme="minorEastAsia"/>
                <w:iCs/>
                <w:szCs w:val="24"/>
                <w:lang w:eastAsia="lt-LT"/>
              </w:rPr>
              <w:t xml:space="preserve">elektroninės paslaugos, </w:t>
            </w:r>
            <w:r w:rsidRPr="00970F52">
              <w:rPr>
                <w:rFonts w:eastAsiaTheme="minorEastAsia"/>
                <w:iCs/>
                <w:szCs w:val="24"/>
                <w:lang w:eastAsia="lt-LT"/>
              </w:rPr>
              <w:t>nurodytos 2018 m. spalio 2 d. Europos Parlamento ir Tarybos reglamento (ES) 2018/1724, kuriuo sukuriami bendrieji skaitmeniniai vartai, skirti suteikti prieigą prie informacijos, procedūrų ir pagalbos bei problemų sprendimo paslaugų, ir kuriuo iš dalies keičiamas Reglamentas (ES) Nr. 1024/ 2012, II priede</w:t>
            </w:r>
            <w:r>
              <w:rPr>
                <w:rFonts w:eastAsiaTheme="minorEastAsia"/>
                <w:iCs/>
                <w:szCs w:val="24"/>
                <w:lang w:eastAsia="lt-LT"/>
              </w:rPr>
              <w:t xml:space="preserve"> (</w:t>
            </w:r>
            <w:r w:rsidRPr="006906AF">
              <w:rPr>
                <w:rFonts w:eastAsiaTheme="minorEastAsia"/>
                <w:iCs/>
                <w:szCs w:val="24"/>
                <w:lang w:eastAsia="lt-LT"/>
              </w:rPr>
              <w:t>„Gimimas“, „Gyvenamoji vieta“, „Studijos“, „Darbas“, „Persikėlimas“, „Pensija“, „Verslo pradėjimas, valdymas ir veiklos nutraukimas“)</w:t>
            </w:r>
            <w:r w:rsidRPr="00970F52">
              <w:rPr>
                <w:rFonts w:eastAsiaTheme="minorEastAsia"/>
                <w:iCs/>
                <w:szCs w:val="24"/>
                <w:lang w:eastAsia="lt-LT"/>
              </w:rPr>
              <w:t>.</w:t>
            </w:r>
          </w:p>
          <w:p w14:paraId="241F5573" w14:textId="441FAAEB" w:rsidR="00AD27E3" w:rsidRDefault="00323AE6" w:rsidP="00323AE6">
            <w:pPr>
              <w:jc w:val="both"/>
              <w:rPr>
                <w:rFonts w:eastAsiaTheme="minorEastAsia"/>
                <w:iCs/>
                <w:szCs w:val="24"/>
                <w:lang w:eastAsia="lt-LT"/>
              </w:rPr>
            </w:pPr>
            <w:r w:rsidRPr="006906AF">
              <w:rPr>
                <w:rFonts w:eastAsiaTheme="minorEastAsia"/>
                <w:iCs/>
                <w:szCs w:val="24"/>
                <w:lang w:eastAsia="lt-LT"/>
              </w:rPr>
              <w:t>1.2.2.</w:t>
            </w:r>
            <w:r w:rsidR="00E75CE3">
              <w:rPr>
                <w:rFonts w:eastAsiaTheme="minorEastAsia"/>
                <w:iCs/>
                <w:szCs w:val="24"/>
                <w:lang w:eastAsia="lt-LT"/>
              </w:rPr>
              <w:t xml:space="preserve"> </w:t>
            </w:r>
            <w:r w:rsidRPr="00AD27E3">
              <w:rPr>
                <w:rFonts w:eastAsiaTheme="minorEastAsia"/>
                <w:b/>
                <w:bCs/>
                <w:iCs/>
                <w:szCs w:val="24"/>
                <w:lang w:eastAsia="lt-LT"/>
              </w:rPr>
              <w:t>Mažai naudojamos arba rinkoje neegzistuojančios elektroninės atpažinties priemonės ir patikimumo užtikrinimo paslaugos</w:t>
            </w:r>
            <w:r w:rsidRPr="006906AF">
              <w:rPr>
                <w:rFonts w:eastAsiaTheme="minorEastAsia"/>
                <w:iCs/>
                <w:szCs w:val="24"/>
                <w:lang w:eastAsia="lt-LT"/>
              </w:rPr>
              <w:t xml:space="preserve"> –  paslauga, kai ją teikia 1 kvalifikuotų patikimumo užtikrinimo paslaugų teikėjas, įtrauktas į  kvalifikuotų teikėjų ir kvalifikuotų paslaugų nacionalinį patikimą sąrašą, vadovaujantis 2018 m. birželio 21 d. Lietuvos Respublikos ryšių reguliavimo tarnybos direktoriaus įsakymu Nr. 1V-588 „Dėl kvalifikuotų patikimumo užtikrinimo paslaugų teikėjų ir kvalifikuotų patikimumo užtikrinimo paslaugų statuso suteikimo ir jų įrašymo į nacionalinį patikimą sąrašą bei kvalifikuotų patikimumo užtikrinimo paslaugų teikėjų veiklos ataskaitų teikimo tvarkos aprašo patvirtinimo“.</w:t>
            </w:r>
          </w:p>
          <w:p w14:paraId="5307BDED" w14:textId="77777777" w:rsidR="00E75CE3" w:rsidRDefault="00AD27E3" w:rsidP="00323AE6">
            <w:pPr>
              <w:jc w:val="both"/>
              <w:rPr>
                <w:rFonts w:eastAsiaTheme="minorEastAsia"/>
                <w:iCs/>
                <w:szCs w:val="24"/>
                <w:lang w:eastAsia="lt-LT"/>
              </w:rPr>
            </w:pPr>
            <w:r>
              <w:rPr>
                <w:rFonts w:eastAsiaTheme="minorEastAsia"/>
                <w:iCs/>
                <w:szCs w:val="24"/>
                <w:lang w:eastAsia="lt-LT"/>
              </w:rPr>
              <w:t xml:space="preserve">1.2.3. </w:t>
            </w:r>
            <w:r w:rsidR="00323AE6" w:rsidRPr="00AD27E3">
              <w:rPr>
                <w:rFonts w:eastAsiaTheme="minorEastAsia"/>
                <w:b/>
                <w:bCs/>
                <w:iCs/>
                <w:szCs w:val="24"/>
                <w:lang w:eastAsia="lt-LT"/>
              </w:rPr>
              <w:t>Rinkoje neegzistuojanti kvalifikuota patikimumo užtikrinimo paslauga</w:t>
            </w:r>
            <w:r>
              <w:rPr>
                <w:rFonts w:eastAsiaTheme="minorEastAsia"/>
                <w:iCs/>
                <w:szCs w:val="24"/>
                <w:lang w:eastAsia="lt-LT"/>
              </w:rPr>
              <w:t xml:space="preserve"> – paslauga,</w:t>
            </w:r>
            <w:r w:rsidR="00323AE6" w:rsidRPr="006906AF">
              <w:rPr>
                <w:rFonts w:eastAsiaTheme="minorEastAsia"/>
                <w:iCs/>
                <w:szCs w:val="24"/>
                <w:lang w:eastAsia="lt-LT"/>
              </w:rPr>
              <w:t xml:space="preserve"> kai jos neteikia nei vienas kvalifikuotų patikimumo užtikrinimo paslaugų teikėjas</w:t>
            </w:r>
            <w:r>
              <w:rPr>
                <w:rFonts w:eastAsiaTheme="minorEastAsia"/>
                <w:iCs/>
                <w:szCs w:val="24"/>
                <w:lang w:eastAsia="lt-LT"/>
              </w:rPr>
              <w:t xml:space="preserve">, </w:t>
            </w:r>
            <w:r w:rsidRPr="006906AF">
              <w:rPr>
                <w:rFonts w:eastAsiaTheme="minorEastAsia"/>
                <w:iCs/>
                <w:szCs w:val="24"/>
                <w:lang w:eastAsia="lt-LT"/>
              </w:rPr>
              <w:t>įtrauktas į  kvalifikuotų teikėjų ir kvalifikuotų paslaugų nacionalinį patikimą sąrašą, vadovaujantis 2018 m. birželio 21 d. Lietuvos Respublikos ryšių reguliavimo tarnybos direktoriaus įsakymu Nr. 1V-588 „Dėl kvalifikuotų patikimumo užtikrinimo paslaugų teikėjų ir kvalifikuotų patikimumo užtikrinimo paslaugų statuso suteikimo ir jų įrašymo į nacionalinį patikimą sąrašą bei kvalifikuotų patikimumo užtikrinimo paslaugų teikėjų veiklos ataskaitų teikimo tvarkos aprašo patvirtinimo“.</w:t>
            </w:r>
          </w:p>
          <w:p w14:paraId="3C8AC267" w14:textId="6B0DFCBE" w:rsidR="006906AF" w:rsidRPr="006906AF" w:rsidRDefault="006906AF" w:rsidP="00323AE6">
            <w:pPr>
              <w:jc w:val="both"/>
              <w:rPr>
                <w:rFonts w:eastAsiaTheme="minorEastAsia"/>
                <w:iCs/>
                <w:szCs w:val="24"/>
                <w:lang w:eastAsia="lt-LT"/>
              </w:rPr>
            </w:pPr>
            <w:r>
              <w:t>1.2.</w:t>
            </w:r>
            <w:r w:rsidR="00644CDB">
              <w:t>4</w:t>
            </w:r>
            <w:r>
              <w:t xml:space="preserve">. </w:t>
            </w:r>
            <w:r w:rsidRPr="009325C7">
              <w:t xml:space="preserve">Kitos PFSA vartojamos sąvokos suprantamos taip, kaip </w:t>
            </w:r>
            <w:r>
              <w:t xml:space="preserve">jos </w:t>
            </w:r>
            <w:r w:rsidRPr="009325C7">
              <w:t>apibrėžtos PFSA 1.1 papunktyje nurodytuose teisės aktuose</w:t>
            </w:r>
            <w:r w:rsidR="00E75CE3">
              <w:t>.</w:t>
            </w:r>
          </w:p>
        </w:tc>
      </w:tr>
      <w:tr w:rsidR="000E6AF8" w14:paraId="48A0DB90" w14:textId="77777777">
        <w:tc>
          <w:tcPr>
            <w:tcW w:w="15134" w:type="dxa"/>
          </w:tcPr>
          <w:p w14:paraId="5D20A683" w14:textId="6E131D4E" w:rsidR="000E6AF8" w:rsidRDefault="00B92EBB">
            <w:pPr>
              <w:rPr>
                <w:b/>
                <w:szCs w:val="24"/>
              </w:rPr>
            </w:pPr>
            <w:r>
              <w:rPr>
                <w:b/>
                <w:szCs w:val="24"/>
              </w:rPr>
              <w:lastRenderedPageBreak/>
              <w:t>2. Reikalavimai projektams, pareiškėjams ir partneriams</w:t>
            </w:r>
          </w:p>
        </w:tc>
      </w:tr>
      <w:tr w:rsidR="000E6AF8" w14:paraId="13A47066" w14:textId="77777777">
        <w:tc>
          <w:tcPr>
            <w:tcW w:w="15134" w:type="dxa"/>
          </w:tcPr>
          <w:p w14:paraId="37E358FA" w14:textId="11E1A04C" w:rsidR="006906AF" w:rsidRPr="00AD27E3" w:rsidRDefault="00D40AC0" w:rsidP="006906AF">
            <w:pPr>
              <w:jc w:val="both"/>
              <w:rPr>
                <w:szCs w:val="24"/>
              </w:rPr>
            </w:pPr>
            <w:r>
              <w:rPr>
                <w:szCs w:val="24"/>
              </w:rPr>
              <w:t xml:space="preserve">2.1. </w:t>
            </w:r>
            <w:r w:rsidR="006906AF" w:rsidRPr="00CB057A">
              <w:rPr>
                <w:szCs w:val="24"/>
              </w:rPr>
              <w:t>Remiama veikla:</w:t>
            </w:r>
            <w:r w:rsidR="006906AF" w:rsidRPr="00B740E0">
              <w:rPr>
                <w:szCs w:val="24"/>
              </w:rPr>
              <w:t xml:space="preserve"> </w:t>
            </w:r>
            <w:r w:rsidR="006906AF">
              <w:rPr>
                <w:szCs w:val="24"/>
              </w:rPr>
              <w:t>„</w:t>
            </w:r>
            <w:r w:rsidR="006906AF" w:rsidRPr="00B740E0">
              <w:rPr>
                <w:szCs w:val="24"/>
              </w:rPr>
              <w:t>Naudojimosi elektroninės atpažinties priemonėmis skatinimas</w:t>
            </w:r>
            <w:r w:rsidR="006906AF">
              <w:rPr>
                <w:szCs w:val="24"/>
              </w:rPr>
              <w:t>“ (poveiklės – „</w:t>
            </w:r>
            <w:r w:rsidR="006906AF" w:rsidRPr="001A5046">
              <w:rPr>
                <w:szCs w:val="24"/>
              </w:rPr>
              <w:t>Naudojimosi elektroninės atpažinties priemonėmis skatinimas Sostinės regione“ ir „Naudojimosi elektroninės atpažinties priemonėmis skatinimas Vidurio ir vakarų Lietuvos regione“)</w:t>
            </w:r>
            <w:r w:rsidR="006906AF">
              <w:rPr>
                <w:szCs w:val="24"/>
              </w:rPr>
              <w:t xml:space="preserve">. Projektu bus modifikuojamos strategiškai reikšmingos skaitmeninės paslaugos į jas integruojant ir ne mažiau kaip </w:t>
            </w:r>
            <w:r w:rsidR="006906AF" w:rsidRPr="00C77339">
              <w:rPr>
                <w:szCs w:val="24"/>
              </w:rPr>
              <w:t>5</w:t>
            </w:r>
            <w:r w:rsidR="006906AF">
              <w:rPr>
                <w:szCs w:val="24"/>
              </w:rPr>
              <w:t xml:space="preserve"> metus naudojant, inovatyvius sprendimus ar įrankius </w:t>
            </w:r>
            <w:r w:rsidR="006906AF" w:rsidRPr="00C96F81">
              <w:rPr>
                <w:rFonts w:eastAsiaTheme="minorEastAsia"/>
                <w:iCs/>
                <w:szCs w:val="24"/>
                <w:lang w:eastAsia="lt-LT"/>
              </w:rPr>
              <w:t>- mažai naudojamas arba rinkoje neegzistuojančias elektroninės atpažinties priemones ir patikimumo užtikrinimo paslaugas</w:t>
            </w:r>
            <w:r w:rsidR="00AD27E3">
              <w:rPr>
                <w:rFonts w:eastAsiaTheme="minorEastAsia"/>
                <w:iCs/>
                <w:szCs w:val="24"/>
                <w:lang w:eastAsia="lt-LT"/>
              </w:rPr>
              <w:t xml:space="preserve"> (</w:t>
            </w:r>
            <w:r w:rsidR="006906AF">
              <w:rPr>
                <w:szCs w:val="24"/>
              </w:rPr>
              <w:t>perkama</w:t>
            </w:r>
            <w:r w:rsidR="006906AF" w:rsidRPr="00C96F81">
              <w:t xml:space="preserve"> paslaug</w:t>
            </w:r>
            <w:r w:rsidR="006906AF">
              <w:t>a</w:t>
            </w:r>
            <w:r w:rsidR="006906AF" w:rsidRPr="00C96F81">
              <w:t xml:space="preserve"> dėl </w:t>
            </w:r>
            <w:r w:rsidR="006906AF" w:rsidRPr="00C96F81">
              <w:rPr>
                <w:rFonts w:eastAsiaTheme="minorEastAsia"/>
                <w:iCs/>
                <w:szCs w:val="24"/>
                <w:lang w:eastAsia="lt-LT"/>
              </w:rPr>
              <w:t>nacionaliniu ir (arba) ES lygiu strategiškai reikšmingų skaitmenin</w:t>
            </w:r>
            <w:r w:rsidR="006906AF">
              <w:rPr>
                <w:rFonts w:eastAsiaTheme="minorEastAsia"/>
                <w:iCs/>
                <w:szCs w:val="24"/>
                <w:lang w:eastAsia="lt-LT"/>
              </w:rPr>
              <w:t>ės</w:t>
            </w:r>
            <w:r w:rsidR="006906AF" w:rsidRPr="00C96F81">
              <w:rPr>
                <w:rFonts w:eastAsiaTheme="minorEastAsia"/>
                <w:iCs/>
                <w:szCs w:val="24"/>
                <w:lang w:eastAsia="lt-LT"/>
              </w:rPr>
              <w:t xml:space="preserve"> paslaugų modifikavim</w:t>
            </w:r>
            <w:r w:rsidR="0045440F">
              <w:rPr>
                <w:rFonts w:eastAsiaTheme="minorEastAsia"/>
                <w:iCs/>
                <w:szCs w:val="24"/>
                <w:lang w:eastAsia="lt-LT"/>
              </w:rPr>
              <w:t>o</w:t>
            </w:r>
            <w:r w:rsidR="006906AF" w:rsidRPr="00C96F81">
              <w:rPr>
                <w:rFonts w:eastAsiaTheme="minorEastAsia"/>
                <w:iCs/>
                <w:szCs w:val="24"/>
                <w:lang w:eastAsia="lt-LT"/>
              </w:rPr>
              <w:t xml:space="preserve"> integruojant ir ne trumpiau kaip 5 metus naudojant inovatyvius technologinius  sprendimus ir (ar) įrankius - mažai naudojamas arba rinkoje neegzistuojančias elektroninės atpažinties priemones ir patikimumo užtikrinimo paslaugas.</w:t>
            </w:r>
            <w:r>
              <w:rPr>
                <w:rFonts w:eastAsiaTheme="minorEastAsia"/>
                <w:iCs/>
                <w:szCs w:val="24"/>
                <w:lang w:eastAsia="lt-LT"/>
              </w:rPr>
              <w:t>)</w:t>
            </w:r>
          </w:p>
          <w:p w14:paraId="27D93A46" w14:textId="77777777" w:rsidR="006906AF" w:rsidRPr="00D1594C" w:rsidRDefault="006906AF" w:rsidP="006906AF">
            <w:pPr>
              <w:jc w:val="both"/>
              <w:rPr>
                <w:szCs w:val="24"/>
              </w:rPr>
            </w:pPr>
            <w:r w:rsidRPr="00D1594C">
              <w:rPr>
                <w:szCs w:val="24"/>
              </w:rPr>
              <w:t>2.</w:t>
            </w:r>
            <w:r>
              <w:rPr>
                <w:szCs w:val="24"/>
              </w:rPr>
              <w:t>2</w:t>
            </w:r>
            <w:r w:rsidRPr="00D1594C">
              <w:rPr>
                <w:szCs w:val="24"/>
              </w:rPr>
              <w:t xml:space="preserve">. </w:t>
            </w:r>
            <w:r w:rsidRPr="001327FD">
              <w:rPr>
                <w:szCs w:val="24"/>
              </w:rPr>
              <w:t>Pareiškėjams keliami reikalavimai</w:t>
            </w:r>
            <w:r w:rsidRPr="00D1594C">
              <w:rPr>
                <w:szCs w:val="24"/>
              </w:rPr>
              <w:t>:</w:t>
            </w:r>
          </w:p>
          <w:p w14:paraId="539D65E5" w14:textId="17CF489F" w:rsidR="006906AF" w:rsidRPr="00D1594C" w:rsidRDefault="006906AF" w:rsidP="006906AF">
            <w:pPr>
              <w:jc w:val="both"/>
              <w:rPr>
                <w:szCs w:val="24"/>
              </w:rPr>
            </w:pPr>
            <w:r w:rsidRPr="00D1594C">
              <w:rPr>
                <w:szCs w:val="24"/>
              </w:rPr>
              <w:t>2.</w:t>
            </w:r>
            <w:r>
              <w:rPr>
                <w:szCs w:val="24"/>
              </w:rPr>
              <w:t>2</w:t>
            </w:r>
            <w:r w:rsidRPr="00D1594C">
              <w:rPr>
                <w:szCs w:val="24"/>
              </w:rPr>
              <w:t>.1. Galimi pareiškėjai –</w:t>
            </w:r>
            <w:r w:rsidR="00DB6766">
              <w:rPr>
                <w:szCs w:val="24"/>
              </w:rPr>
              <w:t xml:space="preserve"> valstybės informacinės sistemos</w:t>
            </w:r>
            <w:r w:rsidR="001A434A">
              <w:rPr>
                <w:szCs w:val="24"/>
              </w:rPr>
              <w:t xml:space="preserve"> ar valstybės registro</w:t>
            </w:r>
            <w:r w:rsidR="00DB6766">
              <w:rPr>
                <w:szCs w:val="24"/>
              </w:rPr>
              <w:t xml:space="preserve"> valdytojai ir tvarkytojai.</w:t>
            </w:r>
            <w:r w:rsidRPr="00D1594C">
              <w:rPr>
                <w:szCs w:val="24"/>
              </w:rPr>
              <w:t xml:space="preserve"> </w:t>
            </w:r>
          </w:p>
          <w:p w14:paraId="585AF38F" w14:textId="5E964DE4" w:rsidR="006906AF" w:rsidRPr="00D1594C" w:rsidRDefault="006906AF" w:rsidP="006906AF">
            <w:pPr>
              <w:jc w:val="both"/>
              <w:rPr>
                <w:szCs w:val="24"/>
              </w:rPr>
            </w:pPr>
            <w:r w:rsidRPr="00D1594C">
              <w:rPr>
                <w:szCs w:val="24"/>
              </w:rPr>
              <w:t>2.</w:t>
            </w:r>
            <w:r>
              <w:rPr>
                <w:szCs w:val="24"/>
              </w:rPr>
              <w:t>2.</w:t>
            </w:r>
            <w:r w:rsidRPr="00D1594C">
              <w:rPr>
                <w:szCs w:val="24"/>
              </w:rPr>
              <w:t xml:space="preserve">2. Projekto partneriai </w:t>
            </w:r>
            <w:r w:rsidRPr="004100AD">
              <w:rPr>
                <w:szCs w:val="24"/>
              </w:rPr>
              <w:t>–</w:t>
            </w:r>
            <w:r w:rsidRPr="00D1594C">
              <w:rPr>
                <w:szCs w:val="24"/>
              </w:rPr>
              <w:t xml:space="preserve"> </w:t>
            </w:r>
            <w:r w:rsidRPr="00C52820">
              <w:rPr>
                <w:szCs w:val="24"/>
              </w:rPr>
              <w:t>viešieji juridiniai asmenys</w:t>
            </w:r>
            <w:r>
              <w:rPr>
                <w:szCs w:val="24"/>
              </w:rPr>
              <w:t>.</w:t>
            </w:r>
          </w:p>
          <w:p w14:paraId="343E87F9" w14:textId="77777777" w:rsidR="006906AF" w:rsidRPr="00D1594C" w:rsidRDefault="006906AF" w:rsidP="006906AF">
            <w:pPr>
              <w:jc w:val="both"/>
              <w:rPr>
                <w:szCs w:val="24"/>
              </w:rPr>
            </w:pPr>
            <w:r w:rsidRPr="00D1594C">
              <w:rPr>
                <w:szCs w:val="24"/>
              </w:rPr>
              <w:t>2.</w:t>
            </w:r>
            <w:r>
              <w:rPr>
                <w:szCs w:val="24"/>
              </w:rPr>
              <w:t>2</w:t>
            </w:r>
            <w:r w:rsidRPr="00D1594C">
              <w:rPr>
                <w:szCs w:val="24"/>
              </w:rPr>
              <w:t>.3. Vienas pareiškėjas gali pateikti tik vieną PĮP</w:t>
            </w:r>
            <w:r>
              <w:rPr>
                <w:szCs w:val="24"/>
              </w:rPr>
              <w:t>, p</w:t>
            </w:r>
            <w:r w:rsidRPr="004435B1">
              <w:rPr>
                <w:szCs w:val="24"/>
              </w:rPr>
              <w:t>arengtą pagal Projektų administravimo ir finansavimo taisyklių 1 priede pateiktą formą</w:t>
            </w:r>
            <w:r>
              <w:rPr>
                <w:szCs w:val="24"/>
              </w:rPr>
              <w:t>.</w:t>
            </w:r>
          </w:p>
          <w:p w14:paraId="018FC1FA" w14:textId="2325CE7B" w:rsidR="006906AF" w:rsidRPr="00D40AC0" w:rsidRDefault="006906AF" w:rsidP="006906AF">
            <w:pPr>
              <w:jc w:val="both"/>
            </w:pPr>
            <w:r w:rsidRPr="0098678E">
              <w:rPr>
                <w:szCs w:val="24"/>
              </w:rPr>
              <w:t>2.</w:t>
            </w:r>
            <w:r>
              <w:rPr>
                <w:szCs w:val="24"/>
              </w:rPr>
              <w:t>2</w:t>
            </w:r>
            <w:r w:rsidRPr="0098678E">
              <w:rPr>
                <w:szCs w:val="24"/>
              </w:rPr>
              <w:t>.</w:t>
            </w:r>
            <w:r w:rsidRPr="005B6D7D">
              <w:rPr>
                <w:szCs w:val="24"/>
              </w:rPr>
              <w:t>4</w:t>
            </w:r>
            <w:r w:rsidRPr="0098678E">
              <w:rPr>
                <w:szCs w:val="24"/>
              </w:rPr>
              <w:t xml:space="preserve">. </w:t>
            </w:r>
            <w:r w:rsidRPr="007D399F">
              <w:t>Finansavimas gali būti skiriamas pareiškėjams visose srityse, išskyrus Reglamento (ES) 2021/1058 7 straipsnio 1–6 dalyse nustatytus atvejus</w:t>
            </w:r>
            <w:r>
              <w:t>.</w:t>
            </w:r>
          </w:p>
          <w:p w14:paraId="031151DE" w14:textId="77777777" w:rsidR="006906AF" w:rsidRPr="00D1594C" w:rsidRDefault="006906AF" w:rsidP="006906AF">
            <w:pPr>
              <w:jc w:val="both"/>
              <w:rPr>
                <w:szCs w:val="24"/>
              </w:rPr>
            </w:pPr>
            <w:r w:rsidRPr="00D1594C">
              <w:rPr>
                <w:szCs w:val="24"/>
              </w:rPr>
              <w:lastRenderedPageBreak/>
              <w:t>2.</w:t>
            </w:r>
            <w:r>
              <w:rPr>
                <w:szCs w:val="24"/>
              </w:rPr>
              <w:t>3</w:t>
            </w:r>
            <w:r w:rsidRPr="00D1594C">
              <w:rPr>
                <w:szCs w:val="24"/>
              </w:rPr>
              <w:t xml:space="preserve">. </w:t>
            </w:r>
            <w:r w:rsidRPr="007D3562">
              <w:rPr>
                <w:szCs w:val="24"/>
              </w:rPr>
              <w:t>Projektams keliami reikalavimai:</w:t>
            </w:r>
          </w:p>
          <w:p w14:paraId="4A7E598C" w14:textId="04660A0A" w:rsidR="006906AF" w:rsidRPr="00440A53" w:rsidRDefault="006906AF" w:rsidP="006906AF">
            <w:pPr>
              <w:tabs>
                <w:tab w:val="left" w:pos="711"/>
              </w:tabs>
              <w:jc w:val="both"/>
              <w:rPr>
                <w:szCs w:val="24"/>
              </w:rPr>
            </w:pPr>
            <w:r w:rsidRPr="00440A53">
              <w:rPr>
                <w:szCs w:val="24"/>
              </w:rPr>
              <w:t>2.3.1. Projektų veiklos gali būti įgyvendinamos Sostinės ir (arba) Vidurio ir vakarų Lietuvos regionuose. Projektų išlaidos priskiriamos vienam arba abiem 2021–2027 metų Europos Sąjungos fondų investicijų programos įgyvendinimo regionams vadovaujantis Projektų administravimo ir finansavimo taisyklių 296 punktu ir 2021–2027 metų Europos Sąjungos fondų Investicijų programos projektų išlaidų paskirstymo regionams rekomendacijo</w:t>
            </w:r>
            <w:r>
              <w:rPr>
                <w:szCs w:val="24"/>
              </w:rPr>
              <w:t>mis</w:t>
            </w:r>
            <w:r w:rsidRPr="00440A53">
              <w:rPr>
                <w:szCs w:val="24"/>
              </w:rPr>
              <w:t xml:space="preserve">, kurios skelbiamos </w:t>
            </w:r>
            <w:r w:rsidRPr="00D3090E">
              <w:rPr>
                <w:szCs w:val="24"/>
              </w:rPr>
              <w:t>ES investicijų fondų interneto svetainėje</w:t>
            </w:r>
            <w:r w:rsidRPr="00440A53">
              <w:rPr>
                <w:szCs w:val="24"/>
              </w:rPr>
              <w:t xml:space="preserve">  </w:t>
            </w:r>
            <w:hyperlink r:id="rId20" w:history="1">
              <w:r w:rsidR="008F3DC9" w:rsidRPr="009D7C0C">
                <w:t>https://2021.esinvesticijos.lt/dokumentai/2021-2027-metu-europos-sajungos-fondu-investiciju-programos-projektu-islaidu-paskirstymo-regionams-rekomendacijos</w:t>
              </w:r>
            </w:hyperlink>
            <w:r w:rsidR="00D40AC0">
              <w:t>.</w:t>
            </w:r>
          </w:p>
          <w:p w14:paraId="6C3E1B48" w14:textId="509A3676" w:rsidR="006906AF" w:rsidRDefault="006906AF" w:rsidP="006906AF">
            <w:pPr>
              <w:jc w:val="both"/>
              <w:rPr>
                <w:szCs w:val="24"/>
              </w:rPr>
            </w:pPr>
            <w:r w:rsidRPr="00D1594C">
              <w:rPr>
                <w:szCs w:val="24"/>
              </w:rPr>
              <w:t>2.</w:t>
            </w:r>
            <w:r>
              <w:rPr>
                <w:szCs w:val="24"/>
              </w:rPr>
              <w:t>3</w:t>
            </w:r>
            <w:r w:rsidRPr="00D1594C">
              <w:rPr>
                <w:szCs w:val="24"/>
              </w:rPr>
              <w:t>.</w:t>
            </w:r>
            <w:r w:rsidRPr="009E100E">
              <w:rPr>
                <w:szCs w:val="24"/>
              </w:rPr>
              <w:t>2</w:t>
            </w:r>
            <w:r w:rsidRPr="00D1594C">
              <w:rPr>
                <w:szCs w:val="24"/>
              </w:rPr>
              <w:t xml:space="preserve">. Projektų veiklų įgyvendinimo trukmė turi būti ne ilgesnė kaip </w:t>
            </w:r>
            <w:r w:rsidRPr="00D40AC0">
              <w:rPr>
                <w:szCs w:val="24"/>
              </w:rPr>
              <w:t>36</w:t>
            </w:r>
            <w:r>
              <w:rPr>
                <w:szCs w:val="24"/>
              </w:rPr>
              <w:t xml:space="preserve"> </w:t>
            </w:r>
            <w:r w:rsidRPr="00D1594C">
              <w:rPr>
                <w:szCs w:val="24"/>
              </w:rPr>
              <w:t>mėnesi</w:t>
            </w:r>
            <w:r>
              <w:rPr>
                <w:szCs w:val="24"/>
              </w:rPr>
              <w:t>ai</w:t>
            </w:r>
            <w:r w:rsidRPr="00D1594C">
              <w:rPr>
                <w:szCs w:val="24"/>
              </w:rPr>
              <w:t xml:space="preserve"> nuo iš </w:t>
            </w:r>
            <w:r>
              <w:rPr>
                <w:szCs w:val="24"/>
              </w:rPr>
              <w:t>Europos Sąjungos (toliau – ES)</w:t>
            </w:r>
            <w:r w:rsidRPr="00D1594C">
              <w:rPr>
                <w:szCs w:val="24"/>
              </w:rPr>
              <w:t xml:space="preserve"> fondų </w:t>
            </w:r>
            <w:r>
              <w:rPr>
                <w:szCs w:val="24"/>
              </w:rPr>
              <w:t>investicijų</w:t>
            </w:r>
            <w:r w:rsidRPr="00D1594C">
              <w:rPr>
                <w:szCs w:val="24"/>
              </w:rPr>
              <w:t xml:space="preserve"> lėšų bendrai finansuojamo projekto sutarties pasirašymo dienos. Dėl objektyvių priežasčių, kurių projekto vykdytojas negalėjo numatyti PĮP pateikimo ir vertinimo metu, projekt</w:t>
            </w:r>
            <w:r>
              <w:rPr>
                <w:szCs w:val="24"/>
              </w:rPr>
              <w:t>ų</w:t>
            </w:r>
            <w:r w:rsidRPr="00D1594C">
              <w:rPr>
                <w:szCs w:val="24"/>
              </w:rPr>
              <w:t xml:space="preserve"> veiklų įgyvendinimo laikotarpis gali būti pratęstas</w:t>
            </w:r>
            <w:r w:rsidRPr="00162E00">
              <w:rPr>
                <w:szCs w:val="24"/>
              </w:rPr>
              <w:t xml:space="preserve"> Projektų administravimo ir finansavimo taisyklių IV skyriaus antra</w:t>
            </w:r>
            <w:r>
              <w:rPr>
                <w:szCs w:val="24"/>
              </w:rPr>
              <w:t>ja</w:t>
            </w:r>
            <w:r w:rsidRPr="00162E00">
              <w:rPr>
                <w:szCs w:val="24"/>
              </w:rPr>
              <w:t>me skirsnyje nustatyta tvarka, bet ne ilgiau kaip iki PFSA 2.3.</w:t>
            </w:r>
            <w:r w:rsidR="000F6745">
              <w:rPr>
                <w:szCs w:val="24"/>
              </w:rPr>
              <w:t xml:space="preserve">10 </w:t>
            </w:r>
            <w:r w:rsidRPr="00162E00">
              <w:rPr>
                <w:szCs w:val="24"/>
              </w:rPr>
              <w:t>papunktyje nurodyto termino</w:t>
            </w:r>
            <w:r>
              <w:rPr>
                <w:szCs w:val="24"/>
              </w:rPr>
              <w:t>.</w:t>
            </w:r>
          </w:p>
          <w:p w14:paraId="69A37B48" w14:textId="0F0393F7" w:rsidR="008F3DC9" w:rsidRPr="00925780" w:rsidRDefault="008F3DC9" w:rsidP="008F3DC9">
            <w:pPr>
              <w:tabs>
                <w:tab w:val="left" w:pos="34"/>
                <w:tab w:val="left" w:pos="426"/>
                <w:tab w:val="left" w:pos="709"/>
                <w:tab w:val="left" w:pos="885"/>
              </w:tabs>
              <w:jc w:val="both"/>
              <w:rPr>
                <w:bCs/>
                <w:iCs/>
                <w:szCs w:val="24"/>
              </w:rPr>
            </w:pPr>
            <w:r w:rsidRPr="00925780">
              <w:rPr>
                <w:szCs w:val="24"/>
              </w:rPr>
              <w:t>2.3</w:t>
            </w:r>
            <w:r w:rsidR="009F1263">
              <w:rPr>
                <w:szCs w:val="24"/>
              </w:rPr>
              <w:t xml:space="preserve">.3. </w:t>
            </w:r>
            <w:r>
              <w:t>Jeigu projektas įgyvendinamas su partneriu (-iais), partnerystė projekte turi būti pagrįsta, teikti naudą ir prisidėti prie projekto tikslo įgyvendinimo ir iki PĮP pateikimo turi būti sudaryta jungtinės veiklos (partnerystės) sutartis. Jungtinės veiklos (partnerystės) sutartį pasirašo pareiškėjas ir partneris (-iai). Jungtinės veiklos (partnerystės) sutartyje turi būti aiškiai išdėstyti šalių įsipareigojimai ir teisės įgyvendinamo projekto atžvilgiu (nurodytas kiekvienos šalies finansinis ir dalykinis indėlis į projektą, kokias veiklas vykdys kiekviena šalis, projekto rezultatai ir kt.) ir šalių atsakomybė, taip pat įsipareigojimai laikytis šių pagrindinių geros partnerystės praktikos taisyklių:</w:t>
            </w:r>
          </w:p>
          <w:p w14:paraId="3FBD7743" w14:textId="698FE374" w:rsidR="008F3DC9" w:rsidRPr="009F1263" w:rsidRDefault="009F1263" w:rsidP="009F1263">
            <w:pPr>
              <w:pStyle w:val="ListParagraph"/>
              <w:numPr>
                <w:ilvl w:val="3"/>
                <w:numId w:val="2"/>
              </w:numPr>
              <w:tabs>
                <w:tab w:val="left" w:pos="426"/>
                <w:tab w:val="left" w:pos="567"/>
                <w:tab w:val="left" w:pos="732"/>
                <w:tab w:val="left" w:pos="885"/>
              </w:tabs>
              <w:jc w:val="both"/>
              <w:rPr>
                <w:iCs/>
                <w:szCs w:val="24"/>
              </w:rPr>
            </w:pPr>
            <w:r>
              <w:rPr>
                <w:iCs/>
                <w:szCs w:val="24"/>
              </w:rPr>
              <w:t xml:space="preserve"> </w:t>
            </w:r>
            <w:r w:rsidR="008F3DC9" w:rsidRPr="009F1263">
              <w:rPr>
                <w:iCs/>
                <w:szCs w:val="24"/>
              </w:rPr>
              <w:t xml:space="preserve">partneris (-iai) turi būti perskaitęs </w:t>
            </w:r>
            <w:r w:rsidR="008F3DC9" w:rsidRPr="009F1263">
              <w:rPr>
                <w:szCs w:val="24"/>
              </w:rPr>
              <w:t xml:space="preserve">PĮP </w:t>
            </w:r>
            <w:r w:rsidR="008F3DC9" w:rsidRPr="009F1263">
              <w:rPr>
                <w:iCs/>
                <w:szCs w:val="24"/>
              </w:rPr>
              <w:t>ir susipažinęs su savo teisėmis ir pareigomis įgyvendinant projektą;</w:t>
            </w:r>
          </w:p>
          <w:p w14:paraId="36406431" w14:textId="77777777" w:rsidR="009F1263" w:rsidRDefault="009F1263" w:rsidP="009F1263">
            <w:pPr>
              <w:pStyle w:val="ListParagraph"/>
              <w:numPr>
                <w:ilvl w:val="3"/>
                <w:numId w:val="2"/>
              </w:numPr>
              <w:tabs>
                <w:tab w:val="left" w:pos="426"/>
                <w:tab w:val="left" w:pos="567"/>
                <w:tab w:val="left" w:pos="709"/>
                <w:tab w:val="left" w:pos="885"/>
              </w:tabs>
              <w:spacing w:after="0" w:line="240" w:lineRule="auto"/>
              <w:jc w:val="both"/>
              <w:rPr>
                <w:iCs/>
                <w:szCs w:val="24"/>
              </w:rPr>
            </w:pPr>
            <w:r>
              <w:rPr>
                <w:iCs/>
                <w:szCs w:val="24"/>
              </w:rPr>
              <w:t xml:space="preserve"> </w:t>
            </w:r>
            <w:r w:rsidR="008F3DC9" w:rsidRPr="009F1263">
              <w:rPr>
                <w:iCs/>
                <w:szCs w:val="24"/>
              </w:rPr>
              <w:t>įgyvendindamas projektą projekto vykdytojas privalo reguliariai konsultuotis su partneriu (-iais) ir nuolat jį informuoti apie projekto įgyvendinimo</w:t>
            </w:r>
          </w:p>
          <w:p w14:paraId="629513B7" w14:textId="35E89246" w:rsidR="008F3DC9" w:rsidRPr="009F1263" w:rsidRDefault="008F3DC9" w:rsidP="009F1263">
            <w:pPr>
              <w:tabs>
                <w:tab w:val="left" w:pos="426"/>
                <w:tab w:val="left" w:pos="567"/>
                <w:tab w:val="left" w:pos="709"/>
                <w:tab w:val="left" w:pos="885"/>
              </w:tabs>
              <w:jc w:val="both"/>
              <w:rPr>
                <w:iCs/>
                <w:szCs w:val="24"/>
              </w:rPr>
            </w:pPr>
            <w:r w:rsidRPr="009F1263">
              <w:rPr>
                <w:iCs/>
                <w:szCs w:val="24"/>
              </w:rPr>
              <w:t>eigą;</w:t>
            </w:r>
          </w:p>
          <w:p w14:paraId="5E2D122C" w14:textId="77777777" w:rsidR="009F1263" w:rsidRDefault="008F3DC9" w:rsidP="009F1263">
            <w:pPr>
              <w:pStyle w:val="ListParagraph"/>
              <w:numPr>
                <w:ilvl w:val="3"/>
                <w:numId w:val="2"/>
              </w:numPr>
              <w:tabs>
                <w:tab w:val="left" w:pos="426"/>
                <w:tab w:val="left" w:pos="567"/>
                <w:tab w:val="left" w:pos="709"/>
                <w:tab w:val="left" w:pos="885"/>
              </w:tabs>
              <w:spacing w:after="0" w:line="240" w:lineRule="auto"/>
              <w:jc w:val="both"/>
              <w:rPr>
                <w:iCs/>
                <w:szCs w:val="24"/>
              </w:rPr>
            </w:pPr>
            <w:r w:rsidRPr="009F1263">
              <w:rPr>
                <w:iCs/>
                <w:szCs w:val="24"/>
              </w:rPr>
              <w:t>visi PĮP pakeitimai, turintys įtakos partnerio (-ių) įsipareigojimams ir teisėms, prieš kreipiantis į Administruojančiąją instituciją, pirmiausia turi būti</w:t>
            </w:r>
          </w:p>
          <w:p w14:paraId="0C222D2C" w14:textId="45F4DF73" w:rsidR="008F3DC9" w:rsidRPr="009F1263" w:rsidRDefault="008F3DC9" w:rsidP="009F1263">
            <w:pPr>
              <w:tabs>
                <w:tab w:val="left" w:pos="426"/>
                <w:tab w:val="left" w:pos="567"/>
                <w:tab w:val="left" w:pos="709"/>
                <w:tab w:val="left" w:pos="885"/>
              </w:tabs>
              <w:jc w:val="both"/>
              <w:rPr>
                <w:iCs/>
                <w:szCs w:val="24"/>
              </w:rPr>
            </w:pPr>
            <w:r w:rsidRPr="009F1263">
              <w:rPr>
                <w:iCs/>
                <w:szCs w:val="24"/>
              </w:rPr>
              <w:t>suderinti su partneriu (-iais).</w:t>
            </w:r>
          </w:p>
          <w:p w14:paraId="25A98E92" w14:textId="47B7EE14" w:rsidR="006906AF" w:rsidRPr="005B6D7D" w:rsidRDefault="006906AF" w:rsidP="009F1263">
            <w:pPr>
              <w:jc w:val="both"/>
              <w:rPr>
                <w:strike/>
                <w:szCs w:val="24"/>
              </w:rPr>
            </w:pPr>
            <w:r w:rsidRPr="007D3562">
              <w:rPr>
                <w:szCs w:val="24"/>
              </w:rPr>
              <w:t>2.3.</w:t>
            </w:r>
            <w:r w:rsidR="009F1263">
              <w:rPr>
                <w:szCs w:val="24"/>
              </w:rPr>
              <w:t>4</w:t>
            </w:r>
            <w:r w:rsidRPr="007D3562">
              <w:rPr>
                <w:szCs w:val="24"/>
              </w:rPr>
              <w:t>.</w:t>
            </w:r>
            <w:r>
              <w:rPr>
                <w:szCs w:val="24"/>
              </w:rPr>
              <w:t xml:space="preserve"> </w:t>
            </w:r>
            <w:r w:rsidRPr="004A2821">
              <w:rPr>
                <w:szCs w:val="24"/>
              </w:rPr>
              <w:t>Projekt</w:t>
            </w:r>
            <w:r>
              <w:rPr>
                <w:szCs w:val="24"/>
              </w:rPr>
              <w:t>ams</w:t>
            </w:r>
            <w:r w:rsidRPr="004A2821">
              <w:rPr>
                <w:szCs w:val="24"/>
              </w:rPr>
              <w:t xml:space="preserve"> taikomi visi pirmiau</w:t>
            </w:r>
            <w:r>
              <w:rPr>
                <w:szCs w:val="24"/>
              </w:rPr>
              <w:t xml:space="preserve"> PFSA</w:t>
            </w:r>
            <w:r w:rsidRPr="004A2821">
              <w:rPr>
                <w:szCs w:val="24"/>
              </w:rPr>
              <w:t xml:space="preserve"> </w:t>
            </w:r>
            <w:r>
              <w:rPr>
                <w:szCs w:val="24"/>
              </w:rPr>
              <w:t>išvardyti</w:t>
            </w:r>
            <w:r w:rsidRPr="004A2821">
              <w:rPr>
                <w:szCs w:val="24"/>
              </w:rPr>
              <w:t xml:space="preserve"> rodikliai, kurių metodiniai skaičiavimo aprašai skelbiami kartu su kvietimu</w:t>
            </w:r>
            <w:r>
              <w:rPr>
                <w:szCs w:val="24"/>
              </w:rPr>
              <w:t xml:space="preserve"> teikti PĮP</w:t>
            </w:r>
            <w:r w:rsidRPr="004A2821">
              <w:rPr>
                <w:szCs w:val="24"/>
              </w:rPr>
              <w:t>. Projekto vykdytojui nepasiekus rodiklių reikšmių, nurodytų projekto sutartyje, taikomos Projektų administravimo ir finansavimo taisyklių IV skyriaus penktojo skirsnio 171–178 punktų nuostatos.</w:t>
            </w:r>
          </w:p>
          <w:p w14:paraId="74CF42CA" w14:textId="763548A8" w:rsidR="006906AF" w:rsidRPr="00E87C48" w:rsidRDefault="006906AF" w:rsidP="006906AF">
            <w:pPr>
              <w:jc w:val="both"/>
              <w:rPr>
                <w:strike/>
                <w:szCs w:val="24"/>
              </w:rPr>
            </w:pPr>
            <w:r w:rsidRPr="00D1594C">
              <w:rPr>
                <w:szCs w:val="24"/>
              </w:rPr>
              <w:t>2.</w:t>
            </w:r>
            <w:r>
              <w:rPr>
                <w:szCs w:val="24"/>
              </w:rPr>
              <w:t>3</w:t>
            </w:r>
            <w:r w:rsidRPr="00D1594C">
              <w:rPr>
                <w:szCs w:val="24"/>
              </w:rPr>
              <w:t>.</w:t>
            </w:r>
            <w:r w:rsidR="009F1263">
              <w:rPr>
                <w:szCs w:val="24"/>
              </w:rPr>
              <w:t>5</w:t>
            </w:r>
            <w:r w:rsidRPr="00D1594C">
              <w:rPr>
                <w:szCs w:val="24"/>
              </w:rPr>
              <w:t xml:space="preserve">. Pagal </w:t>
            </w:r>
            <w:r>
              <w:rPr>
                <w:szCs w:val="24"/>
              </w:rPr>
              <w:t>PFSA</w:t>
            </w:r>
            <w:r w:rsidRPr="00D1594C">
              <w:rPr>
                <w:szCs w:val="24"/>
              </w:rPr>
              <w:t xml:space="preserve"> projektams įgyvendinti skiriama iki </w:t>
            </w:r>
            <w:r>
              <w:rPr>
                <w:szCs w:val="24"/>
              </w:rPr>
              <w:t>8 000</w:t>
            </w:r>
            <w:r w:rsidRPr="009E100E">
              <w:rPr>
                <w:szCs w:val="24"/>
              </w:rPr>
              <w:t xml:space="preserve"> 000,00 (</w:t>
            </w:r>
            <w:r>
              <w:rPr>
                <w:szCs w:val="24"/>
              </w:rPr>
              <w:t>aštuonių milijonų</w:t>
            </w:r>
            <w:r w:rsidRPr="009E100E">
              <w:rPr>
                <w:szCs w:val="24"/>
              </w:rPr>
              <w:t xml:space="preserve">) </w:t>
            </w:r>
            <w:r w:rsidRPr="00D1594C">
              <w:rPr>
                <w:szCs w:val="24"/>
              </w:rPr>
              <w:t>eurų</w:t>
            </w:r>
            <w:r>
              <w:rPr>
                <w:szCs w:val="24"/>
              </w:rPr>
              <w:t xml:space="preserve"> Investicijų programos </w:t>
            </w:r>
            <w:r w:rsidRPr="00D1594C">
              <w:rPr>
                <w:szCs w:val="24"/>
              </w:rPr>
              <w:t>lėšų</w:t>
            </w:r>
            <w:r>
              <w:rPr>
                <w:szCs w:val="24"/>
              </w:rPr>
              <w:t xml:space="preserve">. Iki 4 000 </w:t>
            </w:r>
            <w:r w:rsidRPr="00497512">
              <w:rPr>
                <w:szCs w:val="24"/>
              </w:rPr>
              <w:t>000,00 (</w:t>
            </w:r>
            <w:r>
              <w:rPr>
                <w:szCs w:val="24"/>
              </w:rPr>
              <w:t>keturių</w:t>
            </w:r>
            <w:r w:rsidRPr="00497512">
              <w:rPr>
                <w:szCs w:val="24"/>
              </w:rPr>
              <w:t xml:space="preserve"> </w:t>
            </w:r>
            <w:r>
              <w:rPr>
                <w:szCs w:val="24"/>
              </w:rPr>
              <w:t>milijonų</w:t>
            </w:r>
            <w:r w:rsidRPr="00497512">
              <w:rPr>
                <w:szCs w:val="24"/>
              </w:rPr>
              <w:t>) eurų</w:t>
            </w:r>
            <w:r>
              <w:rPr>
                <w:szCs w:val="24"/>
              </w:rPr>
              <w:t xml:space="preserve"> skiriama projektams įgyvendinti Sostinės regione ir i</w:t>
            </w:r>
            <w:r w:rsidRPr="00497512">
              <w:rPr>
                <w:szCs w:val="24"/>
              </w:rPr>
              <w:t>ki</w:t>
            </w:r>
            <w:r>
              <w:rPr>
                <w:szCs w:val="24"/>
              </w:rPr>
              <w:t xml:space="preserve"> 4 000</w:t>
            </w:r>
            <w:r w:rsidRPr="00497512">
              <w:rPr>
                <w:szCs w:val="24"/>
              </w:rPr>
              <w:t xml:space="preserve"> 000,00 (</w:t>
            </w:r>
            <w:r>
              <w:rPr>
                <w:szCs w:val="24"/>
              </w:rPr>
              <w:t>keturių milijonų</w:t>
            </w:r>
            <w:r w:rsidRPr="00497512">
              <w:rPr>
                <w:szCs w:val="24"/>
              </w:rPr>
              <w:t xml:space="preserve">) eurų </w:t>
            </w:r>
            <w:r w:rsidRPr="00214CCF">
              <w:rPr>
                <w:szCs w:val="24"/>
              </w:rPr>
              <w:t>–</w:t>
            </w:r>
            <w:r>
              <w:rPr>
                <w:szCs w:val="24"/>
              </w:rPr>
              <w:t xml:space="preserve"> </w:t>
            </w:r>
            <w:r w:rsidRPr="00497512">
              <w:rPr>
                <w:szCs w:val="24"/>
              </w:rPr>
              <w:t>Vidurio ir vakarų Lietuvos regione</w:t>
            </w:r>
            <w:r>
              <w:rPr>
                <w:szCs w:val="24"/>
              </w:rPr>
              <w:t>.</w:t>
            </w:r>
            <w:r>
              <w:t xml:space="preserve"> </w:t>
            </w:r>
            <w:r w:rsidRPr="001A0AA8">
              <w:rPr>
                <w:szCs w:val="24"/>
              </w:rPr>
              <w:t xml:space="preserve">Atitinkamai projektų atranka atliekama formuojant dvi atskiras konkursines eiles (Sostinės regionui ir Vidurio ir vakarų Lietuvos regionui), </w:t>
            </w:r>
            <w:r w:rsidRPr="00F730E1">
              <w:rPr>
                <w:szCs w:val="24"/>
              </w:rPr>
              <w:t>lėšos tarp regionų perskirstomos nebus</w:t>
            </w:r>
            <w:r w:rsidRPr="001A0AA8">
              <w:rPr>
                <w:szCs w:val="24"/>
              </w:rPr>
              <w:t>.</w:t>
            </w:r>
            <w:r>
              <w:rPr>
                <w:szCs w:val="24"/>
              </w:rPr>
              <w:t xml:space="preserve"> </w:t>
            </w:r>
            <w:r w:rsidRPr="00D1594C">
              <w:rPr>
                <w:szCs w:val="24"/>
              </w:rPr>
              <w:t xml:space="preserve">Jeigu paskelbus </w:t>
            </w:r>
            <w:r>
              <w:rPr>
                <w:szCs w:val="24"/>
              </w:rPr>
              <w:t>k</w:t>
            </w:r>
            <w:r w:rsidRPr="00D1594C">
              <w:rPr>
                <w:szCs w:val="24"/>
              </w:rPr>
              <w:t>vietimą</w:t>
            </w:r>
            <w:r>
              <w:rPr>
                <w:szCs w:val="24"/>
              </w:rPr>
              <w:t xml:space="preserve"> teikti PĮP</w:t>
            </w:r>
            <w:r w:rsidRPr="00D1594C">
              <w:rPr>
                <w:szCs w:val="24"/>
              </w:rPr>
              <w:t xml:space="preserve"> pagal teigiamai įvertintus ir vertinamus PĮP prašoma skirti finansavimo lėšų suma yra didesnė negu </w:t>
            </w:r>
            <w:r>
              <w:rPr>
                <w:szCs w:val="24"/>
              </w:rPr>
              <w:t>k</w:t>
            </w:r>
            <w:r w:rsidRPr="00D1594C">
              <w:rPr>
                <w:szCs w:val="24"/>
              </w:rPr>
              <w:t xml:space="preserve">vietimui </w:t>
            </w:r>
            <w:r>
              <w:rPr>
                <w:szCs w:val="24"/>
              </w:rPr>
              <w:t xml:space="preserve">teikti PĮP </w:t>
            </w:r>
            <w:r w:rsidRPr="00D1594C">
              <w:rPr>
                <w:szCs w:val="24"/>
              </w:rPr>
              <w:t xml:space="preserve">skirta lėšų suma, administruojančioji institucija gali teikti pasiūlymą </w:t>
            </w:r>
            <w:r w:rsidRPr="008F77E5">
              <w:rPr>
                <w:szCs w:val="24"/>
              </w:rPr>
              <w:t xml:space="preserve">Lietuvos Respublikos ekonomikos ir inovacijų ministerijai (toliau – Ministerija) dėl </w:t>
            </w:r>
            <w:r>
              <w:rPr>
                <w:szCs w:val="24"/>
              </w:rPr>
              <w:t>k</w:t>
            </w:r>
            <w:r w:rsidRPr="008F77E5">
              <w:rPr>
                <w:szCs w:val="24"/>
              </w:rPr>
              <w:t>vietime</w:t>
            </w:r>
            <w:r>
              <w:rPr>
                <w:szCs w:val="24"/>
              </w:rPr>
              <w:t xml:space="preserve"> teikti PĮP</w:t>
            </w:r>
            <w:r w:rsidRPr="008F77E5">
              <w:rPr>
                <w:szCs w:val="24"/>
              </w:rPr>
              <w:t xml:space="preserve"> numatytos finansavimo sumos padidinimo. Ministerijos pritarimu pagal </w:t>
            </w:r>
            <w:r>
              <w:rPr>
                <w:szCs w:val="24"/>
              </w:rPr>
              <w:t>k</w:t>
            </w:r>
            <w:r w:rsidRPr="008F77E5">
              <w:rPr>
                <w:szCs w:val="24"/>
              </w:rPr>
              <w:t xml:space="preserve">vietimą </w:t>
            </w:r>
            <w:r w:rsidRPr="00EB28E2">
              <w:rPr>
                <w:szCs w:val="24"/>
              </w:rPr>
              <w:t>teikti PĮP</w:t>
            </w:r>
            <w:r w:rsidRPr="008F77E5">
              <w:rPr>
                <w:szCs w:val="24"/>
              </w:rPr>
              <w:t xml:space="preserve"> numatyta skirti lėšų suma gali būti padidinta, neviršijant </w:t>
            </w:r>
            <w:r w:rsidRPr="001002AD">
              <w:rPr>
                <w:bCs/>
                <w:szCs w:val="24"/>
              </w:rPr>
              <w:t>2021–2030 metų Lietuvos Respublikos ekonomikos ir inovacijų ministerijos valstybės skaitmeninimo plėtros programos pažangos</w:t>
            </w:r>
            <w:r>
              <w:rPr>
                <w:bCs/>
                <w:szCs w:val="24"/>
              </w:rPr>
              <w:t xml:space="preserve"> </w:t>
            </w:r>
            <w:r w:rsidRPr="001002AD">
              <w:rPr>
                <w:bCs/>
                <w:szCs w:val="24"/>
              </w:rPr>
              <w:t>priemon</w:t>
            </w:r>
            <w:r>
              <w:rPr>
                <w:bCs/>
                <w:szCs w:val="24"/>
              </w:rPr>
              <w:t xml:space="preserve">ės </w:t>
            </w:r>
            <w:r w:rsidRPr="001002AD">
              <w:rPr>
                <w:szCs w:val="24"/>
                <w:lang w:eastAsia="lt-LT"/>
              </w:rPr>
              <w:t>Nr.</w:t>
            </w:r>
            <w:r w:rsidRPr="001002AD">
              <w:rPr>
                <w:i/>
                <w:szCs w:val="24"/>
                <w:lang w:eastAsia="lt-LT"/>
              </w:rPr>
              <w:t xml:space="preserve"> </w:t>
            </w:r>
            <w:r w:rsidRPr="001002AD">
              <w:rPr>
                <w:szCs w:val="24"/>
              </w:rPr>
              <w:t>05-002-01-07-08 „Kurti technologinius sprendimus ir įrankius, leidžiančius saugiai ir patogiai naudotis paslaugomis“</w:t>
            </w:r>
            <w:r w:rsidRPr="0031299E">
              <w:rPr>
                <w:szCs w:val="24"/>
              </w:rPr>
              <w:t xml:space="preserve"> aprašo </w:t>
            </w:r>
            <w:r>
              <w:rPr>
                <w:szCs w:val="24"/>
              </w:rPr>
              <w:t xml:space="preserve"> III skyriaus 5</w:t>
            </w:r>
            <w:r w:rsidRPr="00E87C48">
              <w:rPr>
                <w:szCs w:val="24"/>
              </w:rPr>
              <w:t xml:space="preserve"> </w:t>
            </w:r>
            <w:r>
              <w:rPr>
                <w:szCs w:val="24"/>
              </w:rPr>
              <w:t>punkte</w:t>
            </w:r>
            <w:r w:rsidRPr="003C260F">
              <w:rPr>
                <w:szCs w:val="24"/>
              </w:rPr>
              <w:t xml:space="preserve"> </w:t>
            </w:r>
            <w:r w:rsidRPr="00EB28E2">
              <w:rPr>
                <w:szCs w:val="24"/>
              </w:rPr>
              <w:t>nurodyt</w:t>
            </w:r>
            <w:r>
              <w:rPr>
                <w:szCs w:val="24"/>
              </w:rPr>
              <w:t xml:space="preserve">oms </w:t>
            </w:r>
            <w:r w:rsidRPr="00EB28E2">
              <w:rPr>
                <w:szCs w:val="24"/>
              </w:rPr>
              <w:t>v</w:t>
            </w:r>
            <w:r w:rsidRPr="008F77E5">
              <w:rPr>
                <w:szCs w:val="24"/>
              </w:rPr>
              <w:t>eikl</w:t>
            </w:r>
            <w:r>
              <w:rPr>
                <w:szCs w:val="24"/>
              </w:rPr>
              <w:t>oms</w:t>
            </w:r>
            <w:r w:rsidRPr="008F77E5">
              <w:rPr>
                <w:szCs w:val="24"/>
              </w:rPr>
              <w:t xml:space="preserve"> skirtos lėšų sumo</w:t>
            </w:r>
            <w:r w:rsidRPr="003D3931">
              <w:rPr>
                <w:szCs w:val="24"/>
              </w:rPr>
              <w:t>s</w:t>
            </w:r>
            <w:r>
              <w:rPr>
                <w:szCs w:val="24"/>
              </w:rPr>
              <w:t>.</w:t>
            </w:r>
          </w:p>
          <w:p w14:paraId="4E4231B9" w14:textId="75315B99" w:rsidR="006906AF" w:rsidRDefault="006906AF" w:rsidP="006906AF">
            <w:pPr>
              <w:jc w:val="both"/>
              <w:rPr>
                <w:szCs w:val="24"/>
              </w:rPr>
            </w:pPr>
            <w:r w:rsidRPr="00D1594C">
              <w:rPr>
                <w:szCs w:val="24"/>
              </w:rPr>
              <w:lastRenderedPageBreak/>
              <w:t>2.</w:t>
            </w:r>
            <w:r>
              <w:rPr>
                <w:szCs w:val="24"/>
              </w:rPr>
              <w:t>3</w:t>
            </w:r>
            <w:r w:rsidRPr="00D1594C">
              <w:rPr>
                <w:szCs w:val="24"/>
              </w:rPr>
              <w:t>.</w:t>
            </w:r>
            <w:r w:rsidR="009F1263">
              <w:rPr>
                <w:szCs w:val="24"/>
              </w:rPr>
              <w:t>6</w:t>
            </w:r>
            <w:r w:rsidRPr="00D1594C">
              <w:rPr>
                <w:szCs w:val="24"/>
              </w:rPr>
              <w:t>. Didžiausia galima projektui skirti finansavimo lėšų suma yra</w:t>
            </w:r>
            <w:r>
              <w:rPr>
                <w:szCs w:val="24"/>
              </w:rPr>
              <w:t xml:space="preserve"> 1 500 </w:t>
            </w:r>
            <w:r w:rsidRPr="009E100E">
              <w:rPr>
                <w:szCs w:val="24"/>
              </w:rPr>
              <w:t>000</w:t>
            </w:r>
            <w:r>
              <w:rPr>
                <w:szCs w:val="24"/>
              </w:rPr>
              <w:t>,00</w:t>
            </w:r>
            <w:r w:rsidRPr="00D1594C">
              <w:rPr>
                <w:szCs w:val="24"/>
              </w:rPr>
              <w:t xml:space="preserve"> (</w:t>
            </w:r>
            <w:r>
              <w:rPr>
                <w:szCs w:val="24"/>
              </w:rPr>
              <w:t>vienas milijonas penki šimtai</w:t>
            </w:r>
            <w:r w:rsidRPr="00D1594C">
              <w:rPr>
                <w:szCs w:val="24"/>
              </w:rPr>
              <w:t xml:space="preserve"> tūkstančių</w:t>
            </w:r>
            <w:r>
              <w:rPr>
                <w:szCs w:val="24"/>
              </w:rPr>
              <w:t>)</w:t>
            </w:r>
            <w:r w:rsidRPr="00D1594C">
              <w:rPr>
                <w:szCs w:val="24"/>
              </w:rPr>
              <w:t xml:space="preserve"> eurų, mažiausia galima projektui skirti finansavimo lėšų suma </w:t>
            </w:r>
            <w:r w:rsidRPr="007D3562">
              <w:rPr>
                <w:szCs w:val="24"/>
              </w:rPr>
              <w:t>–</w:t>
            </w:r>
            <w:r w:rsidRPr="00D1594C">
              <w:rPr>
                <w:szCs w:val="24"/>
              </w:rPr>
              <w:t xml:space="preserve"> </w:t>
            </w:r>
            <w:r>
              <w:rPr>
                <w:szCs w:val="24"/>
              </w:rPr>
              <w:t>50</w:t>
            </w:r>
            <w:r w:rsidRPr="009E100E">
              <w:rPr>
                <w:szCs w:val="24"/>
              </w:rPr>
              <w:t>0 000</w:t>
            </w:r>
            <w:r>
              <w:rPr>
                <w:szCs w:val="24"/>
              </w:rPr>
              <w:t xml:space="preserve">,00 </w:t>
            </w:r>
            <w:r w:rsidRPr="00D1594C">
              <w:rPr>
                <w:szCs w:val="24"/>
              </w:rPr>
              <w:t>(</w:t>
            </w:r>
            <w:r>
              <w:rPr>
                <w:szCs w:val="24"/>
              </w:rPr>
              <w:t>penki šimtai tūkstančių)</w:t>
            </w:r>
            <w:r w:rsidRPr="00D1594C">
              <w:rPr>
                <w:szCs w:val="24"/>
              </w:rPr>
              <w:t xml:space="preserve"> eurų</w:t>
            </w:r>
            <w:r>
              <w:rPr>
                <w:szCs w:val="24"/>
              </w:rPr>
              <w:t>.</w:t>
            </w:r>
          </w:p>
          <w:p w14:paraId="5C7A673D" w14:textId="4728364B" w:rsidR="006906AF" w:rsidRDefault="006906AF" w:rsidP="006906AF">
            <w:pPr>
              <w:jc w:val="both"/>
              <w:rPr>
                <w:szCs w:val="24"/>
              </w:rPr>
            </w:pPr>
            <w:r>
              <w:rPr>
                <w:szCs w:val="24"/>
              </w:rPr>
              <w:t>2.3.</w:t>
            </w:r>
            <w:r w:rsidR="009F1263">
              <w:rPr>
                <w:szCs w:val="24"/>
              </w:rPr>
              <w:t>7</w:t>
            </w:r>
            <w:r>
              <w:rPr>
                <w:szCs w:val="24"/>
              </w:rPr>
              <w:t xml:space="preserve">. </w:t>
            </w:r>
            <w:r w:rsidRPr="003B745B">
              <w:rPr>
                <w:szCs w:val="24"/>
              </w:rPr>
              <w:t>Didžiausi</w:t>
            </w:r>
            <w:r>
              <w:rPr>
                <w:szCs w:val="24"/>
              </w:rPr>
              <w:t>ą</w:t>
            </w:r>
            <w:r w:rsidRPr="003B745B">
              <w:rPr>
                <w:szCs w:val="24"/>
              </w:rPr>
              <w:t xml:space="preserve"> galim</w:t>
            </w:r>
            <w:r>
              <w:rPr>
                <w:szCs w:val="24"/>
              </w:rPr>
              <w:t>ą</w:t>
            </w:r>
            <w:r w:rsidRPr="003B745B">
              <w:rPr>
                <w:szCs w:val="24"/>
              </w:rPr>
              <w:t xml:space="preserve"> projekto finansuojam</w:t>
            </w:r>
            <w:r>
              <w:rPr>
                <w:szCs w:val="24"/>
              </w:rPr>
              <w:t>ąją</w:t>
            </w:r>
            <w:r w:rsidRPr="003B745B">
              <w:rPr>
                <w:szCs w:val="24"/>
              </w:rPr>
              <w:t xml:space="preserve"> dal</w:t>
            </w:r>
            <w:r>
              <w:rPr>
                <w:szCs w:val="24"/>
              </w:rPr>
              <w:t>į sudaro</w:t>
            </w:r>
            <w:r w:rsidRPr="00CA497B">
              <w:rPr>
                <w:szCs w:val="24"/>
              </w:rPr>
              <w:t xml:space="preserve"> </w:t>
            </w:r>
            <w:r w:rsidRPr="00E457A2">
              <w:rPr>
                <w:szCs w:val="24"/>
              </w:rPr>
              <w:t xml:space="preserve">iki </w:t>
            </w:r>
            <w:r>
              <w:rPr>
                <w:szCs w:val="24"/>
              </w:rPr>
              <w:t>100</w:t>
            </w:r>
            <w:r w:rsidRPr="00E457A2">
              <w:rPr>
                <w:szCs w:val="24"/>
              </w:rPr>
              <w:t xml:space="preserve"> </w:t>
            </w:r>
            <w:r>
              <w:rPr>
                <w:szCs w:val="24"/>
              </w:rPr>
              <w:t>proc.</w:t>
            </w:r>
            <w:r w:rsidRPr="00E457A2">
              <w:rPr>
                <w:szCs w:val="24"/>
              </w:rPr>
              <w:t xml:space="preserve"> visų tinkamų finansuoti projekto išlaidų</w:t>
            </w:r>
            <w:r w:rsidR="000F6745">
              <w:rPr>
                <w:szCs w:val="24"/>
              </w:rPr>
              <w:t>.</w:t>
            </w:r>
          </w:p>
          <w:p w14:paraId="5ED7719D" w14:textId="74DC575E" w:rsidR="006906AF" w:rsidRDefault="006906AF" w:rsidP="006906AF">
            <w:pPr>
              <w:jc w:val="both"/>
              <w:rPr>
                <w:szCs w:val="24"/>
              </w:rPr>
            </w:pPr>
            <w:r w:rsidRPr="00187E78">
              <w:rPr>
                <w:szCs w:val="24"/>
              </w:rPr>
              <w:t>2.3.</w:t>
            </w:r>
            <w:r w:rsidR="009F1263">
              <w:rPr>
                <w:szCs w:val="24"/>
              </w:rPr>
              <w:t>8</w:t>
            </w:r>
            <w:r w:rsidRPr="00187E78">
              <w:rPr>
                <w:szCs w:val="24"/>
              </w:rPr>
              <w:t xml:space="preserve">. </w:t>
            </w:r>
            <w:bookmarkStart w:id="3" w:name="_Hlk119323255"/>
            <w:r w:rsidRPr="00D1594C">
              <w:rPr>
                <w:szCs w:val="24"/>
              </w:rPr>
              <w:t>Projektų atranka atliekama konkurso būdu</w:t>
            </w:r>
            <w:r>
              <w:rPr>
                <w:szCs w:val="24"/>
              </w:rPr>
              <w:t xml:space="preserve">. </w:t>
            </w:r>
          </w:p>
          <w:p w14:paraId="0A2E87CE" w14:textId="4410AE21" w:rsidR="006906AF" w:rsidRPr="00187E78" w:rsidRDefault="006906AF" w:rsidP="006906AF">
            <w:pPr>
              <w:jc w:val="both"/>
              <w:rPr>
                <w:szCs w:val="24"/>
              </w:rPr>
            </w:pPr>
            <w:bookmarkStart w:id="4" w:name="_Hlk128141187"/>
            <w:r>
              <w:rPr>
                <w:szCs w:val="24"/>
              </w:rPr>
              <w:t>2.3.</w:t>
            </w:r>
            <w:r w:rsidR="009F1263">
              <w:rPr>
                <w:szCs w:val="24"/>
              </w:rPr>
              <w:t>9</w:t>
            </w:r>
            <w:r>
              <w:rPr>
                <w:szCs w:val="24"/>
              </w:rPr>
              <w:t xml:space="preserve">. </w:t>
            </w:r>
            <w:r w:rsidRPr="00BB421E">
              <w:rPr>
                <w:szCs w:val="24"/>
              </w:rPr>
              <w:t xml:space="preserve">Projekto veiklos turi būti pradėtos įgyvendinti ne vėliau kaip per </w:t>
            </w:r>
            <w:r>
              <w:rPr>
                <w:szCs w:val="24"/>
              </w:rPr>
              <w:t>3</w:t>
            </w:r>
            <w:r w:rsidRPr="00BB421E">
              <w:rPr>
                <w:szCs w:val="24"/>
              </w:rPr>
              <w:t xml:space="preserve"> mėnesius nuo projekto sutarties pasirašymo dienos.</w:t>
            </w:r>
            <w:bookmarkEnd w:id="4"/>
          </w:p>
          <w:bookmarkEnd w:id="3"/>
          <w:p w14:paraId="361C8F4D" w14:textId="148C224F" w:rsidR="006906AF" w:rsidRDefault="006906AF" w:rsidP="006906AF">
            <w:pPr>
              <w:jc w:val="both"/>
              <w:rPr>
                <w:szCs w:val="24"/>
              </w:rPr>
            </w:pPr>
            <w:r w:rsidRPr="00D1594C">
              <w:rPr>
                <w:szCs w:val="24"/>
              </w:rPr>
              <w:t>2.</w:t>
            </w:r>
            <w:r>
              <w:rPr>
                <w:szCs w:val="24"/>
              </w:rPr>
              <w:t>3</w:t>
            </w:r>
            <w:r w:rsidRPr="00D1594C">
              <w:rPr>
                <w:szCs w:val="24"/>
              </w:rPr>
              <w:t>.</w:t>
            </w:r>
            <w:r w:rsidR="009F1263">
              <w:rPr>
                <w:szCs w:val="24"/>
              </w:rPr>
              <w:t>10</w:t>
            </w:r>
            <w:r w:rsidRPr="00D1594C">
              <w:rPr>
                <w:szCs w:val="24"/>
              </w:rPr>
              <w:t xml:space="preserve">. </w:t>
            </w:r>
            <w:r w:rsidRPr="00187E78">
              <w:rPr>
                <w:szCs w:val="24"/>
              </w:rPr>
              <w:t>Projekt</w:t>
            </w:r>
            <w:r>
              <w:rPr>
                <w:szCs w:val="24"/>
              </w:rPr>
              <w:t>ų</w:t>
            </w:r>
            <w:r w:rsidRPr="00187E78">
              <w:rPr>
                <w:szCs w:val="24"/>
              </w:rPr>
              <w:t xml:space="preserve"> veiklos turi būti baigtos ne vėliau kaip iki 2029 m. </w:t>
            </w:r>
            <w:r>
              <w:rPr>
                <w:szCs w:val="24"/>
              </w:rPr>
              <w:t xml:space="preserve">rugsėjo </w:t>
            </w:r>
            <w:r w:rsidRPr="00187E78">
              <w:rPr>
                <w:szCs w:val="24"/>
              </w:rPr>
              <w:t>1 d.</w:t>
            </w:r>
          </w:p>
          <w:p w14:paraId="00B24FEC" w14:textId="2A1C3CF0" w:rsidR="006906AF" w:rsidRDefault="006906AF" w:rsidP="006906AF">
            <w:pPr>
              <w:jc w:val="both"/>
              <w:rPr>
                <w:szCs w:val="24"/>
              </w:rPr>
            </w:pPr>
            <w:r w:rsidRPr="00D1594C">
              <w:rPr>
                <w:szCs w:val="24"/>
              </w:rPr>
              <w:t>2.</w:t>
            </w:r>
            <w:r>
              <w:rPr>
                <w:szCs w:val="24"/>
              </w:rPr>
              <w:t>3</w:t>
            </w:r>
            <w:r w:rsidRPr="00D1594C">
              <w:rPr>
                <w:szCs w:val="24"/>
              </w:rPr>
              <w:t>.</w:t>
            </w:r>
            <w:r>
              <w:rPr>
                <w:szCs w:val="24"/>
              </w:rPr>
              <w:t>1</w:t>
            </w:r>
            <w:r w:rsidR="009F1263">
              <w:rPr>
                <w:szCs w:val="24"/>
              </w:rPr>
              <w:t>1</w:t>
            </w:r>
            <w:r w:rsidRPr="00D1594C">
              <w:rPr>
                <w:szCs w:val="24"/>
              </w:rPr>
              <w:t>.</w:t>
            </w:r>
            <w:r>
              <w:rPr>
                <w:szCs w:val="24"/>
              </w:rPr>
              <w:t xml:space="preserve"> </w:t>
            </w:r>
            <w:r w:rsidRPr="002224ED">
              <w:rPr>
                <w:szCs w:val="24"/>
              </w:rPr>
              <w:t xml:space="preserve">Pareiškėjai ir projektai turi atitikti bendruosius projektų atrankos kriterijus, kurių sąrašas ir vertinimo metodika nustatyti Projektų administravimo ir finansavimo taisyklių 2 priede, ir atitikti PFSA </w:t>
            </w:r>
            <w:r w:rsidR="00306A00">
              <w:rPr>
                <w:szCs w:val="24"/>
              </w:rPr>
              <w:t>9</w:t>
            </w:r>
            <w:r w:rsidRPr="002224ED">
              <w:rPr>
                <w:szCs w:val="24"/>
              </w:rPr>
              <w:t xml:space="preserve"> punkte nustatytus specialiuosius kriterijus, patvirtintus 2021–2027 metų Europos Sąjungos fondų investicijų veiksmų programos stebėsenos komiteto </w:t>
            </w:r>
            <w:r w:rsidRPr="000F6745">
              <w:rPr>
                <w:szCs w:val="24"/>
              </w:rPr>
              <w:t xml:space="preserve">2023 m. </w:t>
            </w:r>
            <w:r w:rsidR="000F6745">
              <w:rPr>
                <w:szCs w:val="24"/>
              </w:rPr>
              <w:t>x</w:t>
            </w:r>
            <w:r w:rsidRPr="000F6745">
              <w:rPr>
                <w:szCs w:val="24"/>
              </w:rPr>
              <w:t xml:space="preserve">  d. posėdžio protokoliniu sprendimu Nr.</w:t>
            </w:r>
            <w:r w:rsidRPr="002224ED">
              <w:rPr>
                <w:szCs w:val="24"/>
              </w:rPr>
              <w:t xml:space="preserve"> </w:t>
            </w:r>
            <w:r w:rsidR="000F6745">
              <w:rPr>
                <w:szCs w:val="24"/>
              </w:rPr>
              <w:t>x.</w:t>
            </w:r>
            <w:r w:rsidRPr="002224ED">
              <w:rPr>
                <w:szCs w:val="24"/>
              </w:rPr>
              <w:t xml:space="preserve"> Už atitiktį prioritetiniams projektų atrankos kriterijams projektams skiriami balai, kaip nustatyta PFSA 6 punkte</w:t>
            </w:r>
            <w:r>
              <w:rPr>
                <w:szCs w:val="24"/>
              </w:rPr>
              <w:t>.</w:t>
            </w:r>
          </w:p>
          <w:p w14:paraId="53B0C722" w14:textId="10D33365" w:rsidR="006906AF" w:rsidRDefault="006906AF" w:rsidP="006906AF">
            <w:pPr>
              <w:jc w:val="both"/>
              <w:rPr>
                <w:szCs w:val="24"/>
              </w:rPr>
            </w:pPr>
            <w:r>
              <w:rPr>
                <w:szCs w:val="24"/>
              </w:rPr>
              <w:t>2</w:t>
            </w:r>
            <w:r w:rsidRPr="00D85803">
              <w:rPr>
                <w:szCs w:val="24"/>
              </w:rPr>
              <w:t>.3.</w:t>
            </w:r>
            <w:r>
              <w:rPr>
                <w:szCs w:val="24"/>
              </w:rPr>
              <w:t>1</w:t>
            </w:r>
            <w:r w:rsidR="009F1263">
              <w:rPr>
                <w:szCs w:val="24"/>
              </w:rPr>
              <w:t>2</w:t>
            </w:r>
            <w:r w:rsidRPr="00D85803">
              <w:rPr>
                <w:szCs w:val="24"/>
              </w:rPr>
              <w:t>. Projekt</w:t>
            </w:r>
            <w:r>
              <w:rPr>
                <w:szCs w:val="24"/>
              </w:rPr>
              <w:t>ų</w:t>
            </w:r>
            <w:r w:rsidRPr="00D85803">
              <w:rPr>
                <w:szCs w:val="24"/>
              </w:rPr>
              <w:t xml:space="preserve"> veiklos negali būti finansuotos ar finansuojamos iš kitų Lietuvos Respublikos valstybės biudžeto ir (arba) savivaldybių biudžetų, kitų piniginių išteklių, kuriais disponuoja valstybė ir (ar) savivaldybės, ES fondų, kitų ES finansinės paramos priemonių ar kitos tarptautinės paramos lėšų ir kurioms apmokėti skyrus ES fondų investicijų lėšų jos būtų pripažintos tinkamomis finansuoti ir (arba) apmokėtos daugiau nei vieną kartą, įskaitant </w:t>
            </w:r>
            <w:r w:rsidRPr="001F3D69">
              <w:rPr>
                <w:i/>
                <w:iCs/>
                <w:szCs w:val="24"/>
              </w:rPr>
              <w:t>de minimis</w:t>
            </w:r>
            <w:r w:rsidRPr="001F3D69">
              <w:rPr>
                <w:szCs w:val="24"/>
              </w:rPr>
              <w:t xml:space="preserve"> pagalbą.</w:t>
            </w:r>
            <w:r>
              <w:rPr>
                <w:szCs w:val="24"/>
              </w:rPr>
              <w:t xml:space="preserve"> </w:t>
            </w:r>
          </w:p>
          <w:p w14:paraId="3FD4383F" w14:textId="11677419" w:rsidR="006906AF" w:rsidRDefault="006906AF" w:rsidP="006906AF">
            <w:pPr>
              <w:shd w:val="clear" w:color="auto" w:fill="FFFFFF" w:themeFill="background1"/>
              <w:jc w:val="both"/>
              <w:rPr>
                <w:szCs w:val="24"/>
              </w:rPr>
            </w:pPr>
            <w:r>
              <w:rPr>
                <w:szCs w:val="24"/>
              </w:rPr>
              <w:t>2.3.1</w:t>
            </w:r>
            <w:r w:rsidR="009F1263">
              <w:rPr>
                <w:szCs w:val="24"/>
              </w:rPr>
              <w:t>3</w:t>
            </w:r>
            <w:r>
              <w:rPr>
                <w:szCs w:val="24"/>
              </w:rPr>
              <w:t xml:space="preserve">. </w:t>
            </w:r>
            <w:r w:rsidRPr="001C6404">
              <w:rPr>
                <w:szCs w:val="24"/>
              </w:rPr>
              <w:t>Projekto išlaidos gali būti patirtos iki projekto sutarties pasirašymo, neprieštaraujant Projektų administravimo ir finansavimo taisyklių 294.2.</w:t>
            </w:r>
            <w:r>
              <w:rPr>
                <w:szCs w:val="24"/>
              </w:rPr>
              <w:t>1</w:t>
            </w:r>
            <w:r w:rsidRPr="001C6404">
              <w:rPr>
                <w:szCs w:val="24"/>
              </w:rPr>
              <w:t>. papunkčio nuostatoms</w:t>
            </w:r>
            <w:r>
              <w:rPr>
                <w:szCs w:val="24"/>
              </w:rPr>
              <w:t>.</w:t>
            </w:r>
          </w:p>
          <w:p w14:paraId="133C8183" w14:textId="48DDA4B8" w:rsidR="00113703" w:rsidRPr="00E6734C" w:rsidRDefault="006906AF" w:rsidP="006906AF">
            <w:pPr>
              <w:shd w:val="clear" w:color="auto" w:fill="FFFFFF" w:themeFill="background1"/>
              <w:jc w:val="both"/>
              <w:rPr>
                <w:szCs w:val="24"/>
              </w:rPr>
            </w:pPr>
            <w:r>
              <w:rPr>
                <w:szCs w:val="24"/>
              </w:rPr>
              <w:t>2.3.1</w:t>
            </w:r>
            <w:r w:rsidR="009F1263">
              <w:rPr>
                <w:szCs w:val="24"/>
              </w:rPr>
              <w:t>4</w:t>
            </w:r>
            <w:r>
              <w:rPr>
                <w:szCs w:val="24"/>
              </w:rPr>
              <w:t xml:space="preserve">. </w:t>
            </w:r>
            <w:r w:rsidRPr="00D8514A">
              <w:rPr>
                <w:szCs w:val="24"/>
              </w:rPr>
              <w:t>3 metai po projekto įgyvendinimo pabaigos privaloma viešinti projektų įgyvendinimo rezultatus</w:t>
            </w:r>
            <w:r>
              <w:rPr>
                <w:szCs w:val="24"/>
              </w:rPr>
              <w:t>, siekiant užtikrinti teikiamų elektroninių paslaugų prieinamumą ir platesnį naudojimą.</w:t>
            </w:r>
          </w:p>
          <w:p w14:paraId="54C544C6" w14:textId="79DD8E79" w:rsidR="006906AF" w:rsidRPr="00D8514A" w:rsidRDefault="006906AF" w:rsidP="00076332">
            <w:pPr>
              <w:tabs>
                <w:tab w:val="left" w:pos="589"/>
              </w:tabs>
              <w:jc w:val="both"/>
              <w:rPr>
                <w:szCs w:val="24"/>
              </w:rPr>
            </w:pPr>
            <w:r w:rsidRPr="00D8514A">
              <w:rPr>
                <w:szCs w:val="24"/>
              </w:rPr>
              <w:t>2.</w:t>
            </w:r>
            <w:r w:rsidR="00076332">
              <w:rPr>
                <w:szCs w:val="24"/>
              </w:rPr>
              <w:t>4</w:t>
            </w:r>
            <w:r w:rsidRPr="00D8514A">
              <w:rPr>
                <w:szCs w:val="24"/>
              </w:rPr>
              <w:t>.</w:t>
            </w:r>
            <w:r>
              <w:t xml:space="preserve"> </w:t>
            </w:r>
            <w:r w:rsidRPr="00EE355D">
              <w:rPr>
                <w:szCs w:val="24"/>
              </w:rPr>
              <w:tab/>
              <w:t>Kartu su PĮP Administruojančiajai institucijai turi būti pateikti šie dokumentai</w:t>
            </w:r>
            <w:r>
              <w:rPr>
                <w:szCs w:val="24"/>
              </w:rPr>
              <w:t>:</w:t>
            </w:r>
          </w:p>
          <w:p w14:paraId="3AFD635F" w14:textId="1B95B305" w:rsidR="006906AF" w:rsidRDefault="006906AF" w:rsidP="00480F86">
            <w:pPr>
              <w:tabs>
                <w:tab w:val="left" w:pos="30"/>
                <w:tab w:val="left" w:pos="426"/>
                <w:tab w:val="left" w:pos="567"/>
                <w:tab w:val="left" w:pos="885"/>
              </w:tabs>
              <w:jc w:val="both"/>
              <w:rPr>
                <w:iCs/>
                <w:szCs w:val="24"/>
              </w:rPr>
            </w:pPr>
            <w:r w:rsidRPr="00F64855">
              <w:rPr>
                <w:color w:val="000000" w:themeColor="text1"/>
                <w:szCs w:val="24"/>
              </w:rPr>
              <w:t>2.</w:t>
            </w:r>
            <w:r w:rsidR="00A06657">
              <w:rPr>
                <w:color w:val="000000" w:themeColor="text1"/>
                <w:szCs w:val="24"/>
              </w:rPr>
              <w:t>4</w:t>
            </w:r>
            <w:r w:rsidRPr="00F64855">
              <w:rPr>
                <w:color w:val="000000" w:themeColor="text1"/>
                <w:szCs w:val="24"/>
              </w:rPr>
              <w:t>.1.</w:t>
            </w:r>
            <w:r w:rsidRPr="00F64855">
              <w:rPr>
                <w:szCs w:val="24"/>
              </w:rPr>
              <w:t xml:space="preserve"> Partnerio (-ių) deklaracija, užpildyta pagal Projektų administravimo ir finansavimo taisyklių 1 priedo </w:t>
            </w:r>
            <w:r w:rsidRPr="00F64855">
              <w:rPr>
                <w:szCs w:val="24"/>
                <w:shd w:val="clear" w:color="auto" w:fill="FFFFFF"/>
              </w:rPr>
              <w:t>1 pried</w:t>
            </w:r>
            <w:r w:rsidRPr="00F64855">
              <w:rPr>
                <w:szCs w:val="24"/>
              </w:rPr>
              <w:t>e pateiktą formą (taikoma, jei projektas bus įgyvendinamas su partneriu (-iais); </w:t>
            </w:r>
            <w:r w:rsidRPr="009C0BA4">
              <w:rPr>
                <w:iCs/>
                <w:szCs w:val="24"/>
              </w:rPr>
              <w:t> </w:t>
            </w:r>
          </w:p>
          <w:p w14:paraId="25DA0F00" w14:textId="4E69B212" w:rsidR="006906AF" w:rsidRDefault="006906AF" w:rsidP="006906AF">
            <w:pPr>
              <w:tabs>
                <w:tab w:val="left" w:pos="30"/>
                <w:tab w:val="left" w:pos="426"/>
                <w:tab w:val="left" w:pos="567"/>
                <w:tab w:val="left" w:pos="885"/>
              </w:tabs>
              <w:jc w:val="both"/>
              <w:rPr>
                <w:szCs w:val="24"/>
              </w:rPr>
            </w:pPr>
            <w:r>
              <w:rPr>
                <w:iCs/>
                <w:szCs w:val="24"/>
              </w:rPr>
              <w:t>2.</w:t>
            </w:r>
            <w:r w:rsidR="00A06657">
              <w:rPr>
                <w:iCs/>
                <w:szCs w:val="24"/>
              </w:rPr>
              <w:t>4</w:t>
            </w:r>
            <w:r>
              <w:rPr>
                <w:iCs/>
                <w:szCs w:val="24"/>
              </w:rPr>
              <w:t xml:space="preserve">.2 </w:t>
            </w:r>
            <w:r w:rsidRPr="00F64855">
              <w:rPr>
                <w:szCs w:val="24"/>
              </w:rPr>
              <w:t xml:space="preserve">informacija apie projekto biudžeto paskirstymą pagal pareiškėjus ir partnerį (-ius), užpildyta pagal Projektų administravimo ir finansavimo taisyklių 1 priedo </w:t>
            </w:r>
            <w:r w:rsidRPr="00F64855">
              <w:rPr>
                <w:szCs w:val="24"/>
                <w:shd w:val="clear" w:color="auto" w:fill="FFFFFF"/>
              </w:rPr>
              <w:t>2 pried</w:t>
            </w:r>
            <w:r w:rsidRPr="00F64855">
              <w:rPr>
                <w:szCs w:val="24"/>
              </w:rPr>
              <w:t>ą (taikoma, jei projektas bus įgyvendinamas su partneriu (-iais);</w:t>
            </w:r>
          </w:p>
          <w:p w14:paraId="29C0CDFA" w14:textId="6192B065" w:rsidR="000E316F" w:rsidRPr="005635DD" w:rsidRDefault="000E316F" w:rsidP="000E316F">
            <w:pPr>
              <w:jc w:val="both"/>
              <w:rPr>
                <w:rFonts w:eastAsia="Calibri"/>
                <w:b/>
                <w:bCs/>
              </w:rPr>
            </w:pPr>
            <w:r w:rsidRPr="00744B7A">
              <w:t>2.4.</w:t>
            </w:r>
            <w:r>
              <w:t>3</w:t>
            </w:r>
            <w:r w:rsidRPr="00744B7A">
              <w:t xml:space="preserve">. </w:t>
            </w:r>
            <w:r>
              <w:t xml:space="preserve">laisvos formos pareiškėjo deklaraciją, kurioje pareiškėjas patvirtina pagal PFSA 1 priede pateiktą informaciją </w:t>
            </w:r>
            <w:r>
              <w:rPr>
                <w:szCs w:val="24"/>
              </w:rPr>
              <w:t>p</w:t>
            </w:r>
            <w:r w:rsidRPr="00B973F7">
              <w:rPr>
                <w:szCs w:val="24"/>
              </w:rPr>
              <w:t>rojekt</w:t>
            </w:r>
            <w:r>
              <w:rPr>
                <w:szCs w:val="24"/>
              </w:rPr>
              <w:t>o</w:t>
            </w:r>
            <w:r w:rsidRPr="00B973F7">
              <w:rPr>
                <w:szCs w:val="24"/>
              </w:rPr>
              <w:t xml:space="preserve"> atitikt</w:t>
            </w:r>
            <w:r>
              <w:rPr>
                <w:szCs w:val="24"/>
              </w:rPr>
              <w:t>į</w:t>
            </w:r>
            <w:r w:rsidRPr="00B973F7">
              <w:rPr>
                <w:szCs w:val="24"/>
              </w:rPr>
              <w:t xml:space="preserve"> reikšmingos žalos nedarymo </w:t>
            </w:r>
            <w:r>
              <w:rPr>
                <w:szCs w:val="24"/>
              </w:rPr>
              <w:t>HP</w:t>
            </w:r>
            <w:r w:rsidRPr="00B973F7">
              <w:rPr>
                <w:szCs w:val="24"/>
              </w:rPr>
              <w:t xml:space="preserve"> vertinimo reikalavima</w:t>
            </w:r>
            <w:r>
              <w:rPr>
                <w:szCs w:val="24"/>
              </w:rPr>
              <w:t xml:space="preserve">ms ir patvirtina PFSA </w:t>
            </w:r>
            <w:r w:rsidRPr="005635DD">
              <w:rPr>
                <w:szCs w:val="24"/>
              </w:rPr>
              <w:t>1</w:t>
            </w:r>
            <w:r>
              <w:rPr>
                <w:szCs w:val="24"/>
              </w:rPr>
              <w:t xml:space="preserve"> priede nurodytų dokumentų turėjimą, kuriuos, paprašius </w:t>
            </w:r>
            <w:r w:rsidR="00076332">
              <w:rPr>
                <w:szCs w:val="24"/>
              </w:rPr>
              <w:t>A</w:t>
            </w:r>
            <w:r>
              <w:rPr>
                <w:szCs w:val="24"/>
              </w:rPr>
              <w:t>dministruojančiajai institucijai, galėtų pateikti vertinimui.</w:t>
            </w:r>
          </w:p>
          <w:p w14:paraId="397E4486" w14:textId="43AFB876" w:rsidR="006906AF" w:rsidRDefault="006906AF" w:rsidP="006906AF">
            <w:pPr>
              <w:jc w:val="both"/>
              <w:rPr>
                <w:szCs w:val="24"/>
                <w:lang w:eastAsia="lt-LT"/>
              </w:rPr>
            </w:pPr>
            <w:r>
              <w:rPr>
                <w:color w:val="000000" w:themeColor="text1"/>
                <w:szCs w:val="24"/>
              </w:rPr>
              <w:t>2.4.</w:t>
            </w:r>
            <w:r w:rsidR="00A06657">
              <w:rPr>
                <w:color w:val="000000" w:themeColor="text1"/>
                <w:szCs w:val="24"/>
              </w:rPr>
              <w:t>4.</w:t>
            </w:r>
            <w:r>
              <w:rPr>
                <w:color w:val="000000" w:themeColor="text1"/>
                <w:szCs w:val="24"/>
              </w:rPr>
              <w:t xml:space="preserve"> </w:t>
            </w:r>
            <w:r w:rsidRPr="00B04013">
              <w:rPr>
                <w:color w:val="000000"/>
                <w:szCs w:val="24"/>
              </w:rPr>
              <w:t xml:space="preserve">Užpildytą </w:t>
            </w:r>
            <w:r>
              <w:rPr>
                <w:color w:val="000000"/>
                <w:szCs w:val="24"/>
              </w:rPr>
              <w:t>PFSA</w:t>
            </w:r>
            <w:r w:rsidRPr="00B04013">
              <w:rPr>
                <w:color w:val="000000"/>
                <w:szCs w:val="24"/>
              </w:rPr>
              <w:t xml:space="preserve"> </w:t>
            </w:r>
            <w:r>
              <w:rPr>
                <w:color w:val="000000"/>
              </w:rPr>
              <w:t>2</w:t>
            </w:r>
            <w:r w:rsidRPr="00B04013">
              <w:rPr>
                <w:color w:val="000000"/>
                <w:szCs w:val="24"/>
              </w:rPr>
              <w:t xml:space="preserve"> priedą, kuriame pateikiama </w:t>
            </w:r>
            <w:r>
              <w:rPr>
                <w:szCs w:val="24"/>
                <w:lang w:eastAsia="lt-LT"/>
              </w:rPr>
              <w:t xml:space="preserve">informacija, </w:t>
            </w:r>
            <w:r w:rsidRPr="00B04013">
              <w:rPr>
                <w:szCs w:val="24"/>
                <w:lang w:eastAsia="lt-LT"/>
              </w:rPr>
              <w:t>reikalinga projekto</w:t>
            </w:r>
            <w:r w:rsidRPr="00335125">
              <w:rPr>
                <w:szCs w:val="24"/>
                <w:lang w:eastAsia="lt-LT"/>
              </w:rPr>
              <w:t xml:space="preserve"> atitikčiai projektų</w:t>
            </w:r>
            <w:r>
              <w:rPr>
                <w:szCs w:val="24"/>
                <w:lang w:eastAsia="lt-LT"/>
              </w:rPr>
              <w:t xml:space="preserve"> atrankos kriterijams įvertinti.</w:t>
            </w:r>
            <w:r w:rsidRPr="001B688B">
              <w:rPr>
                <w:szCs w:val="24"/>
                <w:lang w:eastAsia="lt-LT"/>
              </w:rPr>
              <w:t xml:space="preserve"> </w:t>
            </w:r>
          </w:p>
          <w:p w14:paraId="3C179422" w14:textId="21BE871B" w:rsidR="006906AF" w:rsidRPr="00076332" w:rsidRDefault="0091211C" w:rsidP="00076332">
            <w:pPr>
              <w:jc w:val="both"/>
              <w:rPr>
                <w:color w:val="000000" w:themeColor="text1"/>
                <w:szCs w:val="24"/>
              </w:rPr>
            </w:pPr>
            <w:r>
              <w:rPr>
                <w:szCs w:val="24"/>
                <w:lang w:eastAsia="lt-LT"/>
              </w:rPr>
              <w:t>2.4.5. Užpildytą PFSA 3 priedą dėl valstybės pagalbos kriterijų.</w:t>
            </w:r>
          </w:p>
          <w:p w14:paraId="6F9AB2D1" w14:textId="6E02639D" w:rsidR="006906AF" w:rsidRPr="00076332" w:rsidRDefault="006906AF" w:rsidP="00076332">
            <w:pPr>
              <w:tabs>
                <w:tab w:val="left" w:pos="172"/>
                <w:tab w:val="left" w:pos="426"/>
                <w:tab w:val="left" w:pos="597"/>
                <w:tab w:val="left" w:pos="885"/>
                <w:tab w:val="left" w:pos="1168"/>
              </w:tabs>
              <w:jc w:val="both"/>
              <w:rPr>
                <w:szCs w:val="24"/>
              </w:rPr>
            </w:pPr>
            <w:r w:rsidRPr="007F6688">
              <w:rPr>
                <w:color w:val="000000"/>
              </w:rPr>
              <w:t>2.4.</w:t>
            </w:r>
            <w:r w:rsidR="00513598">
              <w:rPr>
                <w:color w:val="000000"/>
              </w:rPr>
              <w:t>6</w:t>
            </w:r>
            <w:r w:rsidRPr="0088413D">
              <w:rPr>
                <w:bCs/>
                <w:iCs/>
              </w:rPr>
              <w:t xml:space="preserve"> </w:t>
            </w:r>
            <w:r>
              <w:rPr>
                <w:bCs/>
                <w:iCs/>
              </w:rPr>
              <w:t>I</w:t>
            </w:r>
            <w:r>
              <w:rPr>
                <w:rStyle w:val="ui-provider"/>
                <w:rFonts w:eastAsiaTheme="minorHAnsi"/>
              </w:rPr>
              <w:t>nvesticijų projektą, parengtą</w:t>
            </w:r>
            <w:r w:rsidRPr="0088413D">
              <w:rPr>
                <w:rStyle w:val="ui-provider"/>
                <w:rFonts w:eastAsiaTheme="minorHAnsi"/>
              </w:rPr>
              <w:t xml:space="preserve"> pagal </w:t>
            </w:r>
            <w:r w:rsidR="00076332">
              <w:rPr>
                <w:rStyle w:val="ui-provider"/>
                <w:rFonts w:eastAsiaTheme="minorHAnsi"/>
              </w:rPr>
              <w:t>A</w:t>
            </w:r>
            <w:r w:rsidRPr="0088413D">
              <w:rPr>
                <w:rStyle w:val="ui-provider"/>
                <w:rFonts w:eastAsiaTheme="minorHAnsi"/>
              </w:rPr>
              <w:t>dministruojančiosios</w:t>
            </w:r>
            <w:r w:rsidRPr="00FB2566">
              <w:rPr>
                <w:rStyle w:val="ui-provider"/>
                <w:rFonts w:eastAsiaTheme="minorHAnsi"/>
              </w:rPr>
              <w:t xml:space="preserve"> institucijos direktoriaus tvirtinamą Investicijų projektų rengimo metodiką, kuri paskelbta Administruojančiosios institucijos interneto svetainėje adresu </w:t>
            </w:r>
            <w:hyperlink r:id="rId21" w:history="1">
              <w:r w:rsidRPr="00D4744C">
                <w:rPr>
                  <w:rStyle w:val="Hyperlink"/>
                </w:rPr>
                <w:t>https://www.cpva.lt/pletros-programu-portfelio-metodines-pagalbos-centras/dokumentai/dokumentai/796/act883?sqid=829b3670a8452304456736b16855dcdda444bdcb</w:t>
              </w:r>
            </w:hyperlink>
            <w:r w:rsidRPr="007F6688">
              <w:rPr>
                <w:iCs/>
                <w:szCs w:val="24"/>
              </w:rPr>
              <w:t xml:space="preserve"> (taikoma, jeigu</w:t>
            </w:r>
            <w:r w:rsidRPr="0088413D">
              <w:rPr>
                <w:color w:val="1F497D"/>
              </w:rPr>
              <w:t xml:space="preserve"> </w:t>
            </w:r>
            <w:r w:rsidRPr="00076332">
              <w:t xml:space="preserve">įgyvendinant projektą planuojama investicijų į ilgalaikio materialiojo ir nematerialiojo turto, reikalingo viešosioms paslaugoms, kaip jos apibrėžtos Viešojo administravimo įstatyme, teikti ir </w:t>
            </w:r>
            <w:r w:rsidRPr="00076332">
              <w:lastRenderedPageBreak/>
              <w:t>(arba)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w:t>
            </w:r>
          </w:p>
          <w:p w14:paraId="2FFE2958" w14:textId="152F96AE" w:rsidR="006906AF" w:rsidRPr="001C6404" w:rsidRDefault="006906AF" w:rsidP="006906AF">
            <w:pPr>
              <w:tabs>
                <w:tab w:val="left" w:pos="426"/>
              </w:tabs>
              <w:jc w:val="both"/>
              <w:rPr>
                <w:bCs/>
                <w:iCs/>
                <w:szCs w:val="22"/>
              </w:rPr>
            </w:pPr>
            <w:r w:rsidRPr="001C6404">
              <w:rPr>
                <w:bCs/>
                <w:iCs/>
                <w:szCs w:val="22"/>
              </w:rPr>
              <w:t>2.</w:t>
            </w:r>
            <w:r>
              <w:rPr>
                <w:bCs/>
                <w:iCs/>
                <w:szCs w:val="22"/>
              </w:rPr>
              <w:t>4.</w:t>
            </w:r>
            <w:r w:rsidR="00513598">
              <w:rPr>
                <w:bCs/>
                <w:iCs/>
                <w:szCs w:val="22"/>
              </w:rPr>
              <w:t>7</w:t>
            </w:r>
            <w:r>
              <w:rPr>
                <w:bCs/>
                <w:iCs/>
                <w:szCs w:val="22"/>
              </w:rPr>
              <w:t xml:space="preserve">. </w:t>
            </w:r>
            <w:r w:rsidRPr="001C6404">
              <w:rPr>
                <w:bCs/>
                <w:iCs/>
                <w:szCs w:val="22"/>
              </w:rPr>
              <w:t>projekto išlaidų pagrindimo dokument</w:t>
            </w:r>
            <w:r>
              <w:rPr>
                <w:bCs/>
                <w:iCs/>
                <w:szCs w:val="22"/>
              </w:rPr>
              <w:t>us</w:t>
            </w:r>
            <w:r w:rsidRPr="001C6404">
              <w:rPr>
                <w:bCs/>
                <w:iCs/>
                <w:szCs w:val="22"/>
              </w:rPr>
              <w:t xml:space="preserve">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programinei įrangai kurti, modernizuoti, grindžiamos komerciniais pasiūlymais, juose turi būti detaliai, atsižvelgiant į programinės įrangos kūrimo etapus, nurodyta kaina, kūrimo laikas, būtini specialistai, jų įkainiai, išorinių sąsajų skaičius, įvertintos numatomos naudoti programinės įrangos licencijos, jų kaina ir pan.);</w:t>
            </w:r>
          </w:p>
          <w:p w14:paraId="4484D94E" w14:textId="0F266D93" w:rsidR="006906AF" w:rsidRDefault="006906AF" w:rsidP="006906AF">
            <w:pPr>
              <w:jc w:val="both"/>
            </w:pPr>
            <w:r>
              <w:t>2.4.</w:t>
            </w:r>
            <w:r w:rsidR="00513598">
              <w:t>8</w:t>
            </w:r>
            <w:r w:rsidRPr="001C6404">
              <w:t>. darbo užmokesčio išlaidų pagrindimo dokument</w:t>
            </w:r>
            <w:r>
              <w:t>us</w:t>
            </w:r>
            <w:r w:rsidRPr="001C6404">
              <w:t xml:space="preserve"> (veiklų sąrašas, kuriame turi būti nurodytos projektą vykdančių asmenų darbo valandos įgyvendinant projektą, valandinis įkainis, jo pagrindimas). Sudarant projekto biudžetą ir nustatant dėl projektą vykdančių asmenų, kurie yra projekto vykdytojo darbuotojai ar planuojami įdarbinti nauji darbuotojai, galimas patirti išlaidas, būtina remtis dabartiniu darbo užmokesčiu, taikomu analogiškoms tos institucijos pareigybėms. Turi būti pateikti darbo užmokesčio įkainio pagrindimo dokumentai, pavyzdžiui, 2–3 mėnesių analogiškos pareigybės nuasmenintas darbo užmokesčio apskaičiavimo žiniaraštis, įrodantis darbo užmokesčio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5D0329C8" w14:textId="48F2B127" w:rsidR="006906AF" w:rsidRPr="00BB421E" w:rsidRDefault="000C45D6" w:rsidP="006906AF">
            <w:pPr>
              <w:tabs>
                <w:tab w:val="left" w:pos="26"/>
                <w:tab w:val="left" w:pos="731"/>
              </w:tabs>
              <w:jc w:val="both"/>
              <w:rPr>
                <w:szCs w:val="24"/>
              </w:rPr>
            </w:pPr>
            <w:r>
              <w:rPr>
                <w:color w:val="000000"/>
              </w:rPr>
              <w:t>2.5.</w:t>
            </w:r>
            <w:r w:rsidR="006906AF">
              <w:rPr>
                <w:color w:val="000000"/>
              </w:rPr>
              <w:t xml:space="preserve"> </w:t>
            </w:r>
            <w:r w:rsidR="006906AF" w:rsidRPr="00BB421E">
              <w:rPr>
                <w:color w:val="000000"/>
              </w:rPr>
              <w:t xml:space="preserve">Papildomi </w:t>
            </w:r>
            <w:r w:rsidR="006906AF">
              <w:rPr>
                <w:color w:val="000000"/>
              </w:rPr>
              <w:t xml:space="preserve">projekto </w:t>
            </w:r>
            <w:r w:rsidR="006906AF" w:rsidRPr="00BB421E">
              <w:rPr>
                <w:color w:val="000000"/>
              </w:rPr>
              <w:t xml:space="preserve">matomumo reikalavimai, kurie nenumatyti Projektų administravimo ir finansavimo taisyklėse, </w:t>
            </w:r>
            <w:r w:rsidR="006906AF">
              <w:rPr>
                <w:color w:val="000000"/>
              </w:rPr>
              <w:t>nustatyti PFSA 2.3.1</w:t>
            </w:r>
            <w:r w:rsidR="00306A00">
              <w:rPr>
                <w:color w:val="000000"/>
              </w:rPr>
              <w:t>4</w:t>
            </w:r>
            <w:r w:rsidR="006906AF">
              <w:rPr>
                <w:color w:val="000000"/>
              </w:rPr>
              <w:t xml:space="preserve"> papunktyje</w:t>
            </w:r>
            <w:r w:rsidR="006906AF" w:rsidRPr="00BB421E">
              <w:rPr>
                <w:color w:val="000000"/>
              </w:rPr>
              <w:t>.</w:t>
            </w:r>
          </w:p>
          <w:p w14:paraId="5D66B373" w14:textId="2183053A" w:rsidR="006906AF" w:rsidRPr="00BB421E" w:rsidRDefault="006906AF" w:rsidP="006906AF">
            <w:pPr>
              <w:tabs>
                <w:tab w:val="left" w:pos="26"/>
                <w:tab w:val="left" w:pos="731"/>
              </w:tabs>
              <w:jc w:val="both"/>
              <w:rPr>
                <w:szCs w:val="24"/>
              </w:rPr>
            </w:pPr>
            <w:r w:rsidRPr="00BB421E">
              <w:rPr>
                <w:color w:val="000000" w:themeColor="text1"/>
              </w:rPr>
              <w:t>2.</w:t>
            </w:r>
            <w:r w:rsidR="000C45D6">
              <w:rPr>
                <w:color w:val="000000" w:themeColor="text1"/>
              </w:rPr>
              <w:t>6.</w:t>
            </w:r>
            <w:r w:rsidR="00306A00">
              <w:rPr>
                <w:color w:val="000000" w:themeColor="text1"/>
              </w:rPr>
              <w:t xml:space="preserve"> </w:t>
            </w:r>
            <w:r w:rsidRPr="00BB421E">
              <w:rPr>
                <w:color w:val="000000" w:themeColor="text1"/>
              </w:rPr>
              <w:t>Informavimas apie projektą</w:t>
            </w:r>
            <w:r>
              <w:rPr>
                <w:color w:val="000000" w:themeColor="text1"/>
              </w:rPr>
              <w:t xml:space="preserve"> ir komunikacija</w:t>
            </w:r>
            <w:r w:rsidRPr="00BB421E">
              <w:rPr>
                <w:color w:val="000000" w:themeColor="text1"/>
              </w:rPr>
              <w:t xml:space="preserve"> atliekam</w:t>
            </w:r>
            <w:r>
              <w:rPr>
                <w:color w:val="000000" w:themeColor="text1"/>
              </w:rPr>
              <w:t>i</w:t>
            </w:r>
            <w:r w:rsidRPr="00BB421E">
              <w:rPr>
                <w:color w:val="000000" w:themeColor="text1"/>
              </w:rPr>
              <w:t xml:space="preserve"> Projektų administravimo ir finansavimo taisyklių VIII skyriaus pirmajame skirsnyje nustatyta tvarka.</w:t>
            </w:r>
          </w:p>
          <w:p w14:paraId="12EFC6A5" w14:textId="3A6C56AA" w:rsidR="000E6AF8" w:rsidRDefault="006906AF" w:rsidP="00306A00">
            <w:pPr>
              <w:jc w:val="both"/>
              <w:rPr>
                <w:i/>
                <w:iCs/>
                <w:sz w:val="22"/>
                <w:szCs w:val="22"/>
              </w:rPr>
            </w:pPr>
            <w:r w:rsidRPr="00BB421E">
              <w:rPr>
                <w:rFonts w:eastAsia="Calibri"/>
                <w:szCs w:val="24"/>
              </w:rPr>
              <w:t>2.</w:t>
            </w:r>
            <w:r w:rsidR="000C45D6">
              <w:rPr>
                <w:rFonts w:eastAsia="Calibri"/>
                <w:szCs w:val="24"/>
              </w:rPr>
              <w:t>7.</w:t>
            </w:r>
            <w:r w:rsidR="00306A00">
              <w:rPr>
                <w:rFonts w:eastAsia="Calibri"/>
                <w:szCs w:val="24"/>
              </w:rPr>
              <w:t xml:space="preserve"> </w:t>
            </w:r>
            <w:r w:rsidRPr="00BB421E">
              <w:rPr>
                <w:rFonts w:eastAsia="Calibri"/>
                <w:szCs w:val="24"/>
              </w:rPr>
              <w:t xml:space="preserve">Visi su projekto įgyvendinimu susiję dokumentai turi būti saugomi Projektų administravimo ir finansavimo taisyklių </w:t>
            </w:r>
            <w:r w:rsidRPr="00BB421E">
              <w:rPr>
                <w:szCs w:val="24"/>
                <w:lang w:eastAsia="lt-LT"/>
              </w:rPr>
              <w:t xml:space="preserve">VIII skyriaus </w:t>
            </w:r>
            <w:r w:rsidRPr="00BB421E">
              <w:rPr>
                <w:rFonts w:eastAsia="Calibri"/>
                <w:szCs w:val="24"/>
              </w:rPr>
              <w:t>šeštajame skirsnyje nustatyta tvarka ir terminais</w:t>
            </w:r>
            <w:r w:rsidRPr="00BB421E">
              <w:rPr>
                <w:rFonts w:eastAsia="Calibri"/>
                <w:szCs w:val="24"/>
                <w:shd w:val="clear" w:color="auto" w:fill="FFFFFF"/>
              </w:rPr>
              <w:t>.</w:t>
            </w:r>
          </w:p>
        </w:tc>
      </w:tr>
      <w:tr w:rsidR="000E6AF8" w14:paraId="02372446" w14:textId="77777777">
        <w:tc>
          <w:tcPr>
            <w:tcW w:w="15134" w:type="dxa"/>
          </w:tcPr>
          <w:p w14:paraId="2678C555" w14:textId="401EE914" w:rsidR="000E6AF8" w:rsidRDefault="00B92EBB">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0E6AF8" w14:paraId="6526F0B8" w14:textId="77777777" w:rsidTr="006906AF">
        <w:trPr>
          <w:trHeight w:val="336"/>
        </w:trPr>
        <w:tc>
          <w:tcPr>
            <w:tcW w:w="15134" w:type="dxa"/>
          </w:tcPr>
          <w:p w14:paraId="57C96B51" w14:textId="520EF00D" w:rsidR="000E6AF8" w:rsidRPr="006906AF" w:rsidRDefault="006906AF" w:rsidP="00306A00">
            <w:pPr>
              <w:jc w:val="both"/>
              <w:rPr>
                <w:sz w:val="22"/>
                <w:szCs w:val="22"/>
              </w:rPr>
            </w:pPr>
            <w:r w:rsidRPr="00480F86">
              <w:rPr>
                <w:szCs w:val="24"/>
              </w:rPr>
              <w:t>Netaikoma.</w:t>
            </w:r>
          </w:p>
        </w:tc>
      </w:tr>
      <w:tr w:rsidR="000E6AF8" w14:paraId="42201B8B" w14:textId="77777777">
        <w:trPr>
          <w:trHeight w:val="285"/>
        </w:trPr>
        <w:tc>
          <w:tcPr>
            <w:tcW w:w="15134" w:type="dxa"/>
          </w:tcPr>
          <w:p w14:paraId="6AA7CAE8" w14:textId="71D4CA0E" w:rsidR="000E6AF8" w:rsidRDefault="00B92EBB">
            <w:pPr>
              <w:rPr>
                <w:b/>
                <w:szCs w:val="24"/>
              </w:rPr>
            </w:pPr>
            <w:r>
              <w:rPr>
                <w:b/>
                <w:szCs w:val="24"/>
              </w:rPr>
              <w:t>4. Projekto tikslinės grupės</w:t>
            </w:r>
          </w:p>
        </w:tc>
      </w:tr>
      <w:tr w:rsidR="000E6AF8" w14:paraId="6C723048" w14:textId="77777777">
        <w:trPr>
          <w:trHeight w:val="285"/>
        </w:trPr>
        <w:tc>
          <w:tcPr>
            <w:tcW w:w="15134" w:type="dxa"/>
          </w:tcPr>
          <w:p w14:paraId="35C89E6B" w14:textId="07B832EA" w:rsidR="000E6AF8" w:rsidRPr="00EB287A" w:rsidRDefault="00EB287A" w:rsidP="00EB287A">
            <w:pPr>
              <w:pStyle w:val="Default"/>
              <w:jc w:val="both"/>
            </w:pPr>
            <w:r w:rsidRPr="00EB287A">
              <w:t>MVĮ, specialiųjų poreikių turintys žmonės, neurbanizuotų vietovių (nutolusių nuo centrų) gyventojai, viešojo sektoriaus darbuotojai; viešojo sektoriaus institucijos ir įstaigos, gyvenantys ir dirbantys užsienyje asmenys.</w:t>
            </w:r>
          </w:p>
        </w:tc>
      </w:tr>
      <w:tr w:rsidR="000E6AF8" w14:paraId="3B5D296B" w14:textId="77777777">
        <w:trPr>
          <w:trHeight w:val="285"/>
        </w:trPr>
        <w:tc>
          <w:tcPr>
            <w:tcW w:w="15134" w:type="dxa"/>
          </w:tcPr>
          <w:p w14:paraId="73B329F2" w14:textId="26E55465" w:rsidR="000E6AF8" w:rsidRDefault="00B92EBB">
            <w:pPr>
              <w:rPr>
                <w:sz w:val="22"/>
                <w:szCs w:val="22"/>
              </w:rPr>
            </w:pPr>
            <w:r>
              <w:rPr>
                <w:b/>
                <w:szCs w:val="24"/>
              </w:rPr>
              <w:t>5</w:t>
            </w:r>
            <w:r>
              <w:rPr>
                <w:szCs w:val="24"/>
              </w:rPr>
              <w:t xml:space="preserve">. </w:t>
            </w:r>
            <w:r>
              <w:rPr>
                <w:b/>
                <w:szCs w:val="24"/>
              </w:rPr>
              <w:t>Horizontaliųjų principų (toliau – HP) reikalavimai</w:t>
            </w:r>
          </w:p>
        </w:tc>
      </w:tr>
      <w:tr w:rsidR="000E6AF8" w14:paraId="337DAD82" w14:textId="77777777">
        <w:tc>
          <w:tcPr>
            <w:tcW w:w="15134" w:type="dxa"/>
          </w:tcPr>
          <w:p w14:paraId="339EAE6E" w14:textId="77777777" w:rsidR="0068187C" w:rsidRDefault="0068187C" w:rsidP="0068187C">
            <w:pPr>
              <w:jc w:val="both"/>
              <w:rPr>
                <w:szCs w:val="24"/>
              </w:rPr>
            </w:pPr>
            <w:r w:rsidRPr="00A546F1">
              <w:rPr>
                <w:szCs w:val="24"/>
              </w:rPr>
              <w:t>Neutralus – projektas negali daryti neigiamo</w:t>
            </w:r>
            <w:r>
              <w:rPr>
                <w:szCs w:val="24"/>
              </w:rPr>
              <w:t xml:space="preserve"> poveikio</w:t>
            </w:r>
            <w:r w:rsidRPr="00A546F1">
              <w:rPr>
                <w:szCs w:val="24"/>
              </w:rPr>
              <w:t xml:space="preserve"> </w:t>
            </w:r>
            <w:r>
              <w:rPr>
                <w:szCs w:val="24"/>
              </w:rPr>
              <w:t>HP</w:t>
            </w:r>
            <w:r w:rsidRPr="00A546F1">
              <w:rPr>
                <w:szCs w:val="24"/>
              </w:rPr>
              <w:t>.</w:t>
            </w:r>
          </w:p>
          <w:p w14:paraId="69967A90" w14:textId="77777777" w:rsidR="0068187C" w:rsidRPr="00A546F1" w:rsidRDefault="0068187C" w:rsidP="0068187C">
            <w:pPr>
              <w:jc w:val="both"/>
              <w:rPr>
                <w:szCs w:val="24"/>
              </w:rPr>
            </w:pPr>
            <w:r w:rsidRPr="00B973F7">
              <w:rPr>
                <w:szCs w:val="24"/>
              </w:rPr>
              <w:t xml:space="preserve">Projektų atitikties reikšmingos žalos nedarymo </w:t>
            </w:r>
            <w:r>
              <w:rPr>
                <w:szCs w:val="24"/>
              </w:rPr>
              <w:t>HP</w:t>
            </w:r>
            <w:r w:rsidRPr="00B973F7">
              <w:rPr>
                <w:szCs w:val="24"/>
              </w:rPr>
              <w:t xml:space="preserve"> vertinimo reikalavimai pateikiami PFSA</w:t>
            </w:r>
            <w:r>
              <w:rPr>
                <w:szCs w:val="24"/>
              </w:rPr>
              <w:t xml:space="preserve"> </w:t>
            </w:r>
            <w:r w:rsidRPr="00B973F7">
              <w:rPr>
                <w:szCs w:val="24"/>
              </w:rPr>
              <w:t>1</w:t>
            </w:r>
            <w:r>
              <w:rPr>
                <w:szCs w:val="24"/>
              </w:rPr>
              <w:t xml:space="preserve"> priede</w:t>
            </w:r>
            <w:r w:rsidRPr="00B973F7">
              <w:rPr>
                <w:szCs w:val="24"/>
              </w:rPr>
              <w:t>.</w:t>
            </w:r>
          </w:p>
          <w:p w14:paraId="4CE8E6E4" w14:textId="77777777" w:rsidR="0068187C" w:rsidRPr="00D97546" w:rsidRDefault="0068187C" w:rsidP="0068187C">
            <w:pPr>
              <w:jc w:val="both"/>
              <w:rPr>
                <w:szCs w:val="24"/>
              </w:rPr>
            </w:pPr>
            <w:r>
              <w:rPr>
                <w:szCs w:val="24"/>
              </w:rPr>
              <w:t>Veiklos</w:t>
            </w:r>
            <w:r w:rsidRPr="000E3DF0">
              <w:rPr>
                <w:szCs w:val="24"/>
              </w:rPr>
              <w:t xml:space="preserve"> </w:t>
            </w:r>
            <w:r>
              <w:rPr>
                <w:szCs w:val="24"/>
              </w:rPr>
              <w:t>„</w:t>
            </w:r>
            <w:r w:rsidRPr="00B740E0">
              <w:rPr>
                <w:szCs w:val="24"/>
              </w:rPr>
              <w:t>Naudojimosi elektroninės atpažinties priemonėmis skatinimas</w:t>
            </w:r>
            <w:r>
              <w:rPr>
                <w:szCs w:val="24"/>
              </w:rPr>
              <w:t>“ poveiklės „</w:t>
            </w:r>
            <w:r w:rsidRPr="001A5046">
              <w:rPr>
                <w:szCs w:val="24"/>
              </w:rPr>
              <w:t>Naudojimosi elektroninės atpažinties priemonėmis skatinimas Sostinės regione“ ir „Naudojimosi elektroninės atpažinties priemonėmis skatinimas Vidurio ir vakarų Lietuvos regione“</w:t>
            </w:r>
            <w:r w:rsidRPr="005B6D7D">
              <w:rPr>
                <w:szCs w:val="24"/>
              </w:rPr>
              <w:t xml:space="preserve">, </w:t>
            </w:r>
            <w:r w:rsidRPr="00D97546">
              <w:rPr>
                <w:szCs w:val="24"/>
              </w:rPr>
              <w:t xml:space="preserve">vadovaujantis </w:t>
            </w:r>
            <w:r w:rsidRPr="00E718E5">
              <w:rPr>
                <w:szCs w:val="24"/>
              </w:rPr>
              <w:t xml:space="preserve">2021 m. vasario 18 d. </w:t>
            </w:r>
            <w:r w:rsidRPr="00D97546">
              <w:rPr>
                <w:szCs w:val="24"/>
              </w:rPr>
              <w:t xml:space="preserve">Europos Komisijos </w:t>
            </w:r>
            <w:r w:rsidRPr="00E718E5">
              <w:rPr>
                <w:szCs w:val="24"/>
              </w:rPr>
              <w:t xml:space="preserve">pranešimu 2021/C 58/01 </w:t>
            </w:r>
            <w:r w:rsidRPr="00D97546">
              <w:rPr>
                <w:szCs w:val="24"/>
              </w:rPr>
              <w:t>patvirtintomis Reikšmingos žalos nedarymo principo taikymo pagal Ekonomikos atsparumo ir didinimo priemonės reglamentą techninėmis gairėmis, atitinka reikšmingos žalos nedarymo principą, nes neturi neigiamo numatomo poveikio 6 aplinkos tikslams, nurodytiems 2020</w:t>
            </w:r>
            <w:r>
              <w:rPr>
                <w:szCs w:val="24"/>
              </w:rPr>
              <w:t> </w:t>
            </w:r>
            <w:r w:rsidRPr="00D97546">
              <w:rPr>
                <w:szCs w:val="24"/>
              </w:rPr>
              <w:t xml:space="preserve">m. birželio 18 d. Europos Parlamento ir Tarybos reglamento (ES) 2020/852 dėl sistemos tvariam investavimui palengvinti sukūrimo, kuriuo iš dalies </w:t>
            </w:r>
            <w:r w:rsidRPr="00D97546">
              <w:rPr>
                <w:szCs w:val="24"/>
              </w:rPr>
              <w:lastRenderedPageBreak/>
              <w:t>keičiamas Reglamentas (ES) 2019/2088, 17 straipsnyje, arba numatomas jų poveikis yra nereikšmingas, t. y. nedaro tiesioginio ir pirminio netiesioginio poveikio per visą gyvavimo ciklą.</w:t>
            </w:r>
          </w:p>
          <w:p w14:paraId="0E5023E4" w14:textId="2FBA7578" w:rsidR="000E6AF8" w:rsidRDefault="0068187C">
            <w:pPr>
              <w:jc w:val="both"/>
              <w:rPr>
                <w:i/>
                <w:iCs/>
                <w:sz w:val="22"/>
                <w:szCs w:val="22"/>
              </w:rPr>
            </w:pPr>
            <w:bookmarkStart w:id="5" w:name="_Hlk119395392"/>
            <w:bookmarkStart w:id="6"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5"/>
            <w:r>
              <w:rPr>
                <w:szCs w:val="24"/>
              </w:rPr>
              <w:t xml:space="preserve">. </w:t>
            </w:r>
            <w:r w:rsidRPr="00D97546">
              <w:rPr>
                <w:szCs w:val="24"/>
              </w:rPr>
              <w:t>Projekte neturi būti numatyta veiksmų, kurie turėtų neigiamą poveikį įgyvendinant HP.</w:t>
            </w:r>
            <w:bookmarkEnd w:id="6"/>
          </w:p>
        </w:tc>
      </w:tr>
      <w:tr w:rsidR="000E6AF8" w14:paraId="08B2F7CE" w14:textId="77777777">
        <w:tc>
          <w:tcPr>
            <w:tcW w:w="15134" w:type="dxa"/>
          </w:tcPr>
          <w:p w14:paraId="7776193C" w14:textId="27421141" w:rsidR="000E6AF8" w:rsidRDefault="00B92EBB">
            <w:pPr>
              <w:spacing w:line="259" w:lineRule="auto"/>
              <w:jc w:val="both"/>
              <w:rPr>
                <w:b/>
                <w:iCs/>
                <w:szCs w:val="24"/>
              </w:rPr>
            </w:pPr>
            <w:r>
              <w:rPr>
                <w:b/>
                <w:iCs/>
                <w:szCs w:val="24"/>
              </w:rPr>
              <w:lastRenderedPageBreak/>
              <w:t>6. Europos Sąjungos pagrindinių teisių chartijos (toliau – Chartija) reikalavimai</w:t>
            </w:r>
          </w:p>
        </w:tc>
      </w:tr>
      <w:tr w:rsidR="000E6AF8" w14:paraId="2E9D5191" w14:textId="77777777">
        <w:tc>
          <w:tcPr>
            <w:tcW w:w="15134" w:type="dxa"/>
          </w:tcPr>
          <w:p w14:paraId="54D9479E" w14:textId="625F381A" w:rsidR="000E6AF8" w:rsidRDefault="0068187C">
            <w:pPr>
              <w:jc w:val="both"/>
              <w:rPr>
                <w:i/>
                <w:iCs/>
                <w:sz w:val="22"/>
                <w:szCs w:val="22"/>
              </w:rPr>
            </w:pPr>
            <w:r w:rsidRPr="00D75E5C">
              <w:rPr>
                <w:iCs/>
                <w:szCs w:val="24"/>
              </w:rPr>
              <w:t>Projektas neturi pažeisti</w:t>
            </w:r>
            <w:r w:rsidRPr="00D1594C">
              <w:rPr>
                <w:iCs/>
                <w:szCs w:val="24"/>
              </w:rPr>
              <w:t xml:space="preserve"> </w:t>
            </w:r>
            <w:r>
              <w:rPr>
                <w:iCs/>
                <w:szCs w:val="24"/>
              </w:rPr>
              <w:t>C</w:t>
            </w:r>
            <w:r w:rsidRPr="00D1594C">
              <w:rPr>
                <w:iCs/>
                <w:szCs w:val="24"/>
              </w:rPr>
              <w:t>hartijos pagrindinių teisių: orumo; asmenų, privataus ir šeimos gyvenimo, sąžinės ir</w:t>
            </w:r>
            <w:r w:rsidRPr="00592D03">
              <w:rPr>
                <w:i/>
                <w:szCs w:val="24"/>
              </w:rPr>
              <w:t xml:space="preserve"> </w:t>
            </w:r>
            <w:r w:rsidRPr="00D1594C">
              <w:rPr>
                <w:iCs/>
                <w:szCs w:val="24"/>
              </w:rPr>
              <w:t>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r w:rsidRPr="00592D03">
              <w:rPr>
                <w:i/>
                <w:szCs w:val="24"/>
              </w:rPr>
              <w:t xml:space="preserve">  </w:t>
            </w:r>
          </w:p>
        </w:tc>
      </w:tr>
      <w:tr w:rsidR="000E6AF8" w14:paraId="411A6EC1" w14:textId="77777777">
        <w:tc>
          <w:tcPr>
            <w:tcW w:w="15134" w:type="dxa"/>
          </w:tcPr>
          <w:p w14:paraId="644EE0FE" w14:textId="1520C834" w:rsidR="000E6AF8" w:rsidRDefault="00B92EBB">
            <w:pPr>
              <w:rPr>
                <w:b/>
                <w:szCs w:val="24"/>
              </w:rPr>
            </w:pPr>
            <w:r>
              <w:rPr>
                <w:b/>
                <w:szCs w:val="24"/>
              </w:rPr>
              <w:t>7. Apskritis, kurioje gali būti įgyvendinami projektai</w:t>
            </w:r>
          </w:p>
        </w:tc>
      </w:tr>
      <w:tr w:rsidR="000E6AF8" w14:paraId="5D536B2D" w14:textId="77777777">
        <w:tc>
          <w:tcPr>
            <w:tcW w:w="15134" w:type="dxa"/>
          </w:tcPr>
          <w:p w14:paraId="2E17ACF8" w14:textId="5C00DC00" w:rsidR="000E6AF8" w:rsidRDefault="00480F86">
            <w:pPr>
              <w:jc w:val="both"/>
              <w:rPr>
                <w:i/>
                <w:sz w:val="22"/>
                <w:szCs w:val="22"/>
              </w:rPr>
            </w:pPr>
            <w:r w:rsidRPr="00480F86">
              <w:rPr>
                <w:sz w:val="22"/>
                <w:szCs w:val="22"/>
              </w:rPr>
              <w:t>Netaikoma</w:t>
            </w:r>
            <w:r>
              <w:rPr>
                <w:sz w:val="22"/>
                <w:szCs w:val="22"/>
              </w:rPr>
              <w:t>.</w:t>
            </w:r>
          </w:p>
        </w:tc>
      </w:tr>
      <w:tr w:rsidR="000E6AF8" w14:paraId="0DF7DED1" w14:textId="77777777">
        <w:tc>
          <w:tcPr>
            <w:tcW w:w="15134" w:type="dxa"/>
          </w:tcPr>
          <w:p w14:paraId="64438951" w14:textId="006EC143" w:rsidR="000E6AF8" w:rsidRDefault="00B92EBB">
            <w:pPr>
              <w:jc w:val="both"/>
              <w:rPr>
                <w:szCs w:val="24"/>
              </w:rPr>
            </w:pPr>
            <w:r>
              <w:rPr>
                <w:b/>
                <w:szCs w:val="24"/>
              </w:rPr>
              <w:t>8.</w:t>
            </w:r>
            <w:r>
              <w:rPr>
                <w:szCs w:val="24"/>
              </w:rPr>
              <w:t xml:space="preserve"> </w:t>
            </w:r>
            <w:r>
              <w:rPr>
                <w:b/>
                <w:szCs w:val="24"/>
              </w:rPr>
              <w:t>Reikalavimai valstybės pagalbai (kurie nėra nurodyti kituose Aprašo punktuose)</w:t>
            </w:r>
          </w:p>
        </w:tc>
      </w:tr>
      <w:tr w:rsidR="000E6AF8" w14:paraId="5B77D7F9" w14:textId="77777777">
        <w:tc>
          <w:tcPr>
            <w:tcW w:w="15134" w:type="dxa"/>
          </w:tcPr>
          <w:p w14:paraId="571E7A4B" w14:textId="1B57541D" w:rsidR="00113703" w:rsidRDefault="00306A00" w:rsidP="00F406F9">
            <w:pPr>
              <w:jc w:val="both"/>
              <w:rPr>
                <w:szCs w:val="24"/>
              </w:rPr>
            </w:pPr>
            <w:bookmarkStart w:id="7" w:name="_Hlk135385207"/>
            <w:r>
              <w:rPr>
                <w:szCs w:val="24"/>
              </w:rPr>
              <w:t xml:space="preserve">8.1. </w:t>
            </w:r>
            <w:r w:rsidR="00F406F9">
              <w:rPr>
                <w:szCs w:val="24"/>
              </w:rPr>
              <w:t xml:space="preserve">Pagal Aprašą valstybės pagalba, kaip ji apibrėžta Sutarties dėl Europos Sąjungos veikimo 107 straipsnyje, ir </w:t>
            </w:r>
            <w:r w:rsidR="00F406F9">
              <w:rPr>
                <w:i/>
                <w:iCs/>
                <w:szCs w:val="24"/>
              </w:rPr>
              <w:t>de minimis</w:t>
            </w:r>
            <w:r w:rsidR="00F406F9">
              <w:rPr>
                <w:szCs w:val="24"/>
              </w:rPr>
              <w:t xml:space="preserve"> pagalba, kuri atitinka 2013 m. gruodžio 18 d. Komisijos reglamento </w:t>
            </w:r>
            <w:r w:rsidR="00F406F9" w:rsidRPr="00CB4501">
              <w:rPr>
                <w:szCs w:val="24"/>
              </w:rPr>
              <w:t xml:space="preserve">(ES) Nr. 1407/2013 </w:t>
            </w:r>
            <w:r w:rsidR="00F406F9">
              <w:rPr>
                <w:szCs w:val="24"/>
              </w:rPr>
              <w:t xml:space="preserve">dėl Sutarties dėl Europos Sąjungos veikimo 107 ir 108 straipsnių taikymo </w:t>
            </w:r>
            <w:r w:rsidR="00F406F9">
              <w:rPr>
                <w:i/>
                <w:iCs/>
                <w:szCs w:val="24"/>
              </w:rPr>
              <w:t>de minimis</w:t>
            </w:r>
            <w:r w:rsidR="00F406F9">
              <w:rPr>
                <w:szCs w:val="24"/>
              </w:rPr>
              <w:t xml:space="preserve"> pagalbai nuostatas, neteikiama. </w:t>
            </w:r>
          </w:p>
          <w:p w14:paraId="3DCC236D" w14:textId="61A6939B" w:rsidR="000E6AF8" w:rsidRPr="00306A00" w:rsidRDefault="00306A00">
            <w:pPr>
              <w:jc w:val="both"/>
              <w:rPr>
                <w:szCs w:val="24"/>
              </w:rPr>
            </w:pPr>
            <w:r>
              <w:rPr>
                <w:szCs w:val="24"/>
              </w:rPr>
              <w:t xml:space="preserve">8.2. </w:t>
            </w:r>
            <w:r w:rsidR="00B93EB7" w:rsidRPr="00B93EB7">
              <w:rPr>
                <w:szCs w:val="24"/>
              </w:rPr>
              <w:t>Pareiškėjas, užpildydamas PFSA 3 priedą, patvirtina, kad jam teikiamas finansavimas nėra valstybės pagalba. Jei Administruojanti institucija, atlikusi PĮP vertinimą, nustato, kad skiriamas finansavimas atitinka visus valstybės pagalbos požymius, paraiška yra atmetama</w:t>
            </w:r>
            <w:r w:rsidR="0091211C">
              <w:rPr>
                <w:szCs w:val="24"/>
              </w:rPr>
              <w:t>.</w:t>
            </w:r>
            <w:bookmarkEnd w:id="7"/>
          </w:p>
        </w:tc>
      </w:tr>
      <w:tr w:rsidR="000E6AF8" w14:paraId="7D53C4A6" w14:textId="77777777">
        <w:tc>
          <w:tcPr>
            <w:tcW w:w="15134" w:type="dxa"/>
          </w:tcPr>
          <w:p w14:paraId="1FA56152" w14:textId="2D1FE7D5" w:rsidR="000E6AF8" w:rsidRDefault="00B92EBB">
            <w:pPr>
              <w:ind w:left="426" w:hanging="426"/>
              <w:jc w:val="both"/>
              <w:rPr>
                <w:szCs w:val="24"/>
              </w:rPr>
            </w:pPr>
            <w:r>
              <w:rPr>
                <w:b/>
                <w:szCs w:val="24"/>
              </w:rPr>
              <w:t>9.</w:t>
            </w:r>
            <w:r>
              <w:rPr>
                <w:szCs w:val="24"/>
              </w:rPr>
              <w:t xml:space="preserve"> </w:t>
            </w:r>
            <w:r>
              <w:rPr>
                <w:b/>
                <w:szCs w:val="24"/>
              </w:rPr>
              <w:t>Projektų atrankos kriterijai</w:t>
            </w:r>
          </w:p>
          <w:p w14:paraId="269355EA" w14:textId="1CA678A2" w:rsidR="000E6AF8" w:rsidRDefault="00B92EBB">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0E6AF8" w14:paraId="2C1B2136" w14:textId="77777777">
        <w:trPr>
          <w:trHeight w:val="704"/>
        </w:trPr>
        <w:tc>
          <w:tcPr>
            <w:tcW w:w="15134" w:type="dxa"/>
          </w:tcPr>
          <w:p w14:paraId="11AC21EC" w14:textId="77777777" w:rsidR="000E6AF8" w:rsidRDefault="00B92EBB">
            <w:pPr>
              <w:jc w:val="both"/>
              <w:rPr>
                <w:i/>
                <w:sz w:val="22"/>
                <w:szCs w:val="22"/>
              </w:rPr>
            </w:pPr>
            <w:r>
              <w:rPr>
                <w:i/>
                <w:sz w:val="22"/>
                <w:szCs w:val="22"/>
              </w:rPr>
              <w:t>Jeigu taikoma, nurodomi projektų specialieji ir (arba) prioritetiniai atrankos kriterijai bei jų vertinimo metodika.</w:t>
            </w:r>
          </w:p>
          <w:tbl>
            <w:tblPr>
              <w:tblW w:w="14876" w:type="dxa"/>
              <w:tblLayout w:type="fixed"/>
              <w:tblLook w:val="00A0" w:firstRow="1" w:lastRow="0" w:firstColumn="1" w:lastColumn="0" w:noHBand="0" w:noVBand="0"/>
            </w:tblPr>
            <w:tblGrid>
              <w:gridCol w:w="697"/>
              <w:gridCol w:w="2070"/>
              <w:gridCol w:w="2070"/>
              <w:gridCol w:w="2071"/>
              <w:gridCol w:w="2070"/>
              <w:gridCol w:w="2071"/>
              <w:gridCol w:w="652"/>
              <w:gridCol w:w="2750"/>
              <w:gridCol w:w="425"/>
            </w:tblGrid>
            <w:tr w:rsidR="000E6AF8" w14:paraId="13FB4ABE" w14:textId="77777777" w:rsidTr="00611435">
              <w:tc>
                <w:tcPr>
                  <w:tcW w:w="697"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39E19E7" w14:textId="77777777" w:rsidR="000E6AF8" w:rsidRDefault="00B92EBB">
                  <w:pPr>
                    <w:jc w:val="center"/>
                    <w:rPr>
                      <w:b/>
                      <w:bCs/>
                      <w:sz w:val="22"/>
                      <w:szCs w:val="22"/>
                    </w:rPr>
                  </w:pPr>
                  <w:r>
                    <w:rPr>
                      <w:b/>
                      <w:bCs/>
                      <w:sz w:val="22"/>
                      <w:szCs w:val="22"/>
                    </w:rPr>
                    <w:t>Eil.</w:t>
                  </w:r>
                </w:p>
                <w:p w14:paraId="33546B1E" w14:textId="77777777" w:rsidR="000E6AF8" w:rsidRDefault="00B92EBB">
                  <w:pPr>
                    <w:jc w:val="center"/>
                    <w:rPr>
                      <w:b/>
                      <w:bCs/>
                      <w:sz w:val="22"/>
                      <w:szCs w:val="22"/>
                    </w:rPr>
                  </w:pPr>
                  <w:r>
                    <w:rPr>
                      <w:b/>
                      <w:bCs/>
                      <w:sz w:val="22"/>
                      <w:szCs w:val="22"/>
                    </w:rPr>
                    <w:t>Nr.</w:t>
                  </w:r>
                </w:p>
              </w:tc>
              <w:tc>
                <w:tcPr>
                  <w:tcW w:w="207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89E1A37" w14:textId="77777777" w:rsidR="000E6AF8" w:rsidRDefault="00B92EBB">
                  <w:pPr>
                    <w:jc w:val="center"/>
                    <w:rPr>
                      <w:b/>
                      <w:bCs/>
                      <w:sz w:val="22"/>
                      <w:szCs w:val="22"/>
                    </w:rPr>
                  </w:pPr>
                  <w:r>
                    <w:rPr>
                      <w:b/>
                      <w:bCs/>
                      <w:sz w:val="22"/>
                      <w:szCs w:val="22"/>
                    </w:rPr>
                    <w:t>Kriterijaus tipas</w:t>
                  </w:r>
                </w:p>
              </w:tc>
              <w:tc>
                <w:tcPr>
                  <w:tcW w:w="207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4609249" w14:textId="77777777" w:rsidR="000E6AF8" w:rsidRDefault="00B92EBB">
                  <w:pPr>
                    <w:jc w:val="center"/>
                    <w:rPr>
                      <w:b/>
                      <w:bCs/>
                      <w:sz w:val="22"/>
                      <w:szCs w:val="22"/>
                    </w:rPr>
                  </w:pPr>
                  <w:r>
                    <w:rPr>
                      <w:b/>
                      <w:bCs/>
                      <w:sz w:val="22"/>
                      <w:szCs w:val="22"/>
                    </w:rPr>
                    <w:t>Kriterijus</w:t>
                  </w:r>
                </w:p>
              </w:tc>
              <w:tc>
                <w:tcPr>
                  <w:tcW w:w="207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7D8E059" w14:textId="77777777" w:rsidR="000E6AF8" w:rsidRDefault="00B92EBB">
                  <w:pPr>
                    <w:jc w:val="center"/>
                    <w:rPr>
                      <w:b/>
                      <w:bCs/>
                      <w:sz w:val="22"/>
                      <w:szCs w:val="22"/>
                    </w:rPr>
                  </w:pPr>
                  <w:r>
                    <w:rPr>
                      <w:b/>
                      <w:bCs/>
                      <w:sz w:val="22"/>
                      <w:szCs w:val="22"/>
                    </w:rPr>
                    <w:t>Kriterijaus vertinimo metodas</w:t>
                  </w:r>
                </w:p>
              </w:tc>
              <w:tc>
                <w:tcPr>
                  <w:tcW w:w="207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6238A7B" w14:textId="77777777" w:rsidR="000E6AF8" w:rsidRDefault="00B92EBB">
                  <w:pPr>
                    <w:jc w:val="center"/>
                    <w:rPr>
                      <w:b/>
                      <w:bCs/>
                      <w:sz w:val="22"/>
                      <w:szCs w:val="22"/>
                    </w:rPr>
                  </w:pPr>
                  <w:r>
                    <w:rPr>
                      <w:b/>
                      <w:bCs/>
                      <w:sz w:val="22"/>
                      <w:szCs w:val="22"/>
                    </w:rPr>
                    <w:t>Didžiausias galimas kriterijaus balas</w:t>
                  </w:r>
                </w:p>
              </w:tc>
              <w:tc>
                <w:tcPr>
                  <w:tcW w:w="207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C84437C" w14:textId="77777777" w:rsidR="000E6AF8" w:rsidRDefault="00B92EBB">
                  <w:pPr>
                    <w:jc w:val="center"/>
                    <w:rPr>
                      <w:b/>
                      <w:bCs/>
                      <w:sz w:val="22"/>
                      <w:szCs w:val="22"/>
                    </w:rPr>
                  </w:pPr>
                  <w:r>
                    <w:rPr>
                      <w:b/>
                      <w:bCs/>
                      <w:sz w:val="22"/>
                      <w:szCs w:val="22"/>
                    </w:rPr>
                    <w:t>Kriterijaus svorio koeficientas</w:t>
                  </w:r>
                </w:p>
                <w:p w14:paraId="291DCBBB" w14:textId="77777777" w:rsidR="000E6AF8" w:rsidRDefault="00B92EBB">
                  <w:pPr>
                    <w:jc w:val="center"/>
                    <w:rPr>
                      <w:b/>
                      <w:bCs/>
                      <w:sz w:val="20"/>
                    </w:rPr>
                  </w:pPr>
                  <w:r>
                    <w:rPr>
                      <w:b/>
                      <w:bCs/>
                      <w:sz w:val="20"/>
                    </w:rPr>
                    <w:t>(</w:t>
                  </w:r>
                  <w:r>
                    <w:rPr>
                      <w:b/>
                      <w:bCs/>
                      <w:i/>
                      <w:sz w:val="20"/>
                    </w:rPr>
                    <w:t>jei taikoma</w:t>
                  </w:r>
                  <w:r>
                    <w:rPr>
                      <w:b/>
                      <w:bCs/>
                      <w:sz w:val="20"/>
                    </w:rPr>
                    <w:t>)</w:t>
                  </w:r>
                </w:p>
              </w:tc>
              <w:tc>
                <w:tcPr>
                  <w:tcW w:w="3827" w:type="dxa"/>
                  <w:gridSpan w:val="3"/>
                  <w:tcBorders>
                    <w:top w:val="single" w:sz="6" w:space="0" w:color="000000"/>
                    <w:left w:val="single" w:sz="6" w:space="0" w:color="000000"/>
                    <w:bottom w:val="single" w:sz="6" w:space="0" w:color="000000"/>
                    <w:right w:val="single" w:sz="6" w:space="0" w:color="000000"/>
                  </w:tcBorders>
                  <w:shd w:val="clear" w:color="auto" w:fill="C0E1FF"/>
                  <w:vAlign w:val="center"/>
                </w:tcPr>
                <w:p w14:paraId="771D9D1F" w14:textId="77777777" w:rsidR="000E6AF8" w:rsidRDefault="00B92EBB">
                  <w:pPr>
                    <w:jc w:val="center"/>
                    <w:rPr>
                      <w:bCs/>
                      <w:sz w:val="22"/>
                      <w:szCs w:val="22"/>
                    </w:rPr>
                  </w:pPr>
                  <w:r>
                    <w:rPr>
                      <w:b/>
                      <w:bCs/>
                      <w:sz w:val="22"/>
                      <w:szCs w:val="22"/>
                    </w:rPr>
                    <w:t>Didžiausias galimas kriterijaus balas, kai nustatomas svorio koeficientas</w:t>
                  </w:r>
                </w:p>
                <w:p w14:paraId="4621A672" w14:textId="77777777" w:rsidR="000E6AF8" w:rsidRDefault="00B92EBB">
                  <w:pPr>
                    <w:jc w:val="center"/>
                    <w:rPr>
                      <w:bCs/>
                      <w:sz w:val="20"/>
                    </w:rPr>
                  </w:pPr>
                  <w:r>
                    <w:rPr>
                      <w:b/>
                      <w:bCs/>
                      <w:sz w:val="20"/>
                    </w:rPr>
                    <w:t>(</w:t>
                  </w:r>
                  <w:r>
                    <w:rPr>
                      <w:b/>
                      <w:bCs/>
                      <w:i/>
                      <w:sz w:val="20"/>
                    </w:rPr>
                    <w:t>jei nustatomas svorio koeficientas, šioje skiltyje nurodomas didžiausias galimas kriterijaus balas, padaugintas iš svorio koeficiento)</w:t>
                  </w:r>
                </w:p>
              </w:tc>
            </w:tr>
            <w:tr w:rsidR="000E6AF8" w14:paraId="46A5B5EA" w14:textId="77777777" w:rsidTr="00611435">
              <w:tc>
                <w:tcPr>
                  <w:tcW w:w="697" w:type="dxa"/>
                  <w:tcBorders>
                    <w:top w:val="single" w:sz="6" w:space="0" w:color="000000"/>
                    <w:left w:val="single" w:sz="6" w:space="0" w:color="000000"/>
                    <w:bottom w:val="single" w:sz="6" w:space="0" w:color="000000"/>
                    <w:right w:val="single" w:sz="6" w:space="0" w:color="000000"/>
                  </w:tcBorders>
                </w:tcPr>
                <w:p w14:paraId="2A6F2102" w14:textId="77777777" w:rsidR="000E6AF8" w:rsidRDefault="00B92EBB">
                  <w:pPr>
                    <w:jc w:val="both"/>
                    <w:rPr>
                      <w:i/>
                      <w:iCs/>
                      <w:szCs w:val="24"/>
                    </w:rPr>
                  </w:pPr>
                  <w:r>
                    <w:rPr>
                      <w:i/>
                      <w:iCs/>
                      <w:szCs w:val="24"/>
                    </w:rPr>
                    <w:t>1</w:t>
                  </w:r>
                </w:p>
              </w:tc>
              <w:tc>
                <w:tcPr>
                  <w:tcW w:w="2070" w:type="dxa"/>
                  <w:tcBorders>
                    <w:top w:val="single" w:sz="6" w:space="0" w:color="000000"/>
                    <w:left w:val="single" w:sz="6" w:space="0" w:color="000000"/>
                    <w:bottom w:val="single" w:sz="6" w:space="0" w:color="000000"/>
                    <w:right w:val="single" w:sz="6" w:space="0" w:color="000000"/>
                  </w:tcBorders>
                </w:tcPr>
                <w:p w14:paraId="0452163B" w14:textId="5170A222" w:rsidR="000E6AF8" w:rsidRDefault="000970DE">
                  <w:pPr>
                    <w:jc w:val="both"/>
                    <w:rPr>
                      <w:i/>
                      <w:iCs/>
                      <w:szCs w:val="24"/>
                    </w:rPr>
                  </w:pPr>
                  <w:r w:rsidRPr="007567C1">
                    <w:rPr>
                      <w:i/>
                      <w:iCs/>
                      <w:szCs w:val="24"/>
                    </w:rPr>
                    <w:t>Specialusis</w:t>
                  </w:r>
                </w:p>
              </w:tc>
              <w:tc>
                <w:tcPr>
                  <w:tcW w:w="2070" w:type="dxa"/>
                  <w:tcBorders>
                    <w:top w:val="single" w:sz="6" w:space="0" w:color="000000"/>
                    <w:left w:val="single" w:sz="6" w:space="0" w:color="000000"/>
                    <w:bottom w:val="single" w:sz="6" w:space="0" w:color="000000"/>
                    <w:right w:val="single" w:sz="6" w:space="0" w:color="000000"/>
                  </w:tcBorders>
                </w:tcPr>
                <w:p w14:paraId="5C2B9A5E" w14:textId="547C0B53" w:rsidR="000E6AF8" w:rsidRDefault="000970DE">
                  <w:pPr>
                    <w:jc w:val="both"/>
                    <w:rPr>
                      <w:i/>
                      <w:iCs/>
                      <w:szCs w:val="24"/>
                    </w:rPr>
                  </w:pPr>
                  <w:r w:rsidRPr="00137B9B">
                    <w:rPr>
                      <w:bCs/>
                      <w:i/>
                      <w:szCs w:val="24"/>
                      <w:lang w:eastAsia="lt-LT"/>
                    </w:rPr>
                    <w:t>P</w:t>
                  </w:r>
                  <w:r w:rsidRPr="00137B9B">
                    <w:rPr>
                      <w:rFonts w:eastAsiaTheme="minorEastAsia"/>
                      <w:bCs/>
                      <w:i/>
                      <w:szCs w:val="24"/>
                      <w:lang w:eastAsia="lt-LT"/>
                    </w:rPr>
                    <w:t xml:space="preserve">rojektu modifikuojamos nacionaliniu ir (arba) Europos </w:t>
                  </w:r>
                  <w:r w:rsidRPr="00137B9B">
                    <w:rPr>
                      <w:rFonts w:eastAsiaTheme="minorEastAsia"/>
                      <w:bCs/>
                      <w:i/>
                      <w:szCs w:val="24"/>
                      <w:lang w:eastAsia="lt-LT"/>
                    </w:rPr>
                    <w:lastRenderedPageBreak/>
                    <w:t xml:space="preserve">Sąjungos (toliau – ES) lygiu strategiškai reikšmingos skaitmeninės paslaugos į jas integruojant ir ne trumpiau kaip 5 metus naudojant inovatyvius technologinius  sprendimus ir (ar) įrankius - mažai naudojamas arba rinkoje neegzistuojančias elektroninės atpažinties priemones ir patikimumo užtikrinimo paslaugas.  </w:t>
                  </w:r>
                </w:p>
              </w:tc>
              <w:tc>
                <w:tcPr>
                  <w:tcW w:w="2071" w:type="dxa"/>
                  <w:tcBorders>
                    <w:top w:val="single" w:sz="6" w:space="0" w:color="000000"/>
                    <w:left w:val="single" w:sz="6" w:space="0" w:color="000000"/>
                    <w:bottom w:val="single" w:sz="6" w:space="0" w:color="000000"/>
                    <w:right w:val="single" w:sz="6" w:space="0" w:color="000000"/>
                  </w:tcBorders>
                </w:tcPr>
                <w:p w14:paraId="503B60BF" w14:textId="77777777" w:rsidR="004F535E" w:rsidRPr="00137B9B" w:rsidRDefault="004F535E" w:rsidP="004F535E">
                  <w:pPr>
                    <w:widowControl w:val="0"/>
                    <w:jc w:val="both"/>
                    <w:textAlignment w:val="baseline"/>
                    <w:rPr>
                      <w:rFonts w:eastAsiaTheme="minorEastAsia"/>
                      <w:bCs/>
                      <w:i/>
                      <w:szCs w:val="24"/>
                      <w:lang w:eastAsia="lt-LT"/>
                    </w:rPr>
                  </w:pPr>
                  <w:r w:rsidRPr="00137B9B">
                    <w:rPr>
                      <w:rFonts w:eastAsiaTheme="minorEastAsia"/>
                      <w:bCs/>
                      <w:i/>
                      <w:szCs w:val="24"/>
                      <w:lang w:eastAsia="lt-LT"/>
                    </w:rPr>
                    <w:lastRenderedPageBreak/>
                    <w:t xml:space="preserve">Vertinama, ar inovatyvūs technologiniai sprendimai ir (ar) </w:t>
                  </w:r>
                  <w:r w:rsidRPr="00137B9B">
                    <w:rPr>
                      <w:rFonts w:eastAsiaTheme="minorEastAsia"/>
                      <w:bCs/>
                      <w:i/>
                      <w:szCs w:val="24"/>
                      <w:lang w:eastAsia="lt-LT"/>
                    </w:rPr>
                    <w:lastRenderedPageBreak/>
                    <w:t xml:space="preserve">įrankiai bus integruoti tose skaitmeninėse paslaugose, kurios yra strategiškai reikšmingos nacionaliniu ir (ar) ES lygiu ir naudojami ne trumpiau kaip 5 metus. </w:t>
                  </w:r>
                </w:p>
                <w:p w14:paraId="10FB62F8" w14:textId="77777777" w:rsidR="004F535E" w:rsidRPr="00137B9B" w:rsidRDefault="004F535E" w:rsidP="004F535E">
                  <w:pPr>
                    <w:widowControl w:val="0"/>
                    <w:jc w:val="both"/>
                    <w:textAlignment w:val="baseline"/>
                    <w:rPr>
                      <w:rFonts w:eastAsiaTheme="minorEastAsia"/>
                      <w:bCs/>
                      <w:i/>
                      <w:szCs w:val="24"/>
                      <w:lang w:eastAsia="lt-LT"/>
                    </w:rPr>
                  </w:pPr>
                  <w:r w:rsidRPr="00137B9B">
                    <w:rPr>
                      <w:rFonts w:eastAsiaTheme="minorEastAsia"/>
                      <w:bCs/>
                      <w:i/>
                      <w:szCs w:val="24"/>
                      <w:lang w:eastAsia="lt-LT"/>
                    </w:rPr>
                    <w:t xml:space="preserve">Vertinama ar nurodytas sprendimas/įrankis bus integruojamas į vieną ar kelias nurodytų sričių el. paslaugas: „Gimimas“, „Gyvenamoji vieta“, „Studijos“, „Darbas“, „Persikėlimas“, „Pensija“, „Verslo pradėjimas, valdymas ir veiklos nutraukimas“, kurios nurodytos 2018 m. spalio 2 d. Europos Parlamento ir Tarybos </w:t>
                  </w:r>
                  <w:r w:rsidRPr="00137B9B">
                    <w:rPr>
                      <w:rFonts w:eastAsiaTheme="minorEastAsia"/>
                      <w:bCs/>
                      <w:i/>
                      <w:szCs w:val="24"/>
                      <w:lang w:eastAsia="lt-LT"/>
                    </w:rPr>
                    <w:lastRenderedPageBreak/>
                    <w:t xml:space="preserve">reglamento (ES) 2018/1724, kuriuo sukuriami bendrieji skaitmeniniai vartai, skirti suteikti prieigą prie informacijos, procedūrų ir pagalbos bei problemų sprendimo paslaugų, ir kuriuo iš dalies keičiamas Reglamentas (ES) Nr. 1024/ 2012, II priede. </w:t>
                  </w:r>
                </w:p>
                <w:p w14:paraId="0FCDE630" w14:textId="171086EF" w:rsidR="000E6AF8" w:rsidRDefault="004F535E" w:rsidP="004F535E">
                  <w:pPr>
                    <w:jc w:val="both"/>
                    <w:rPr>
                      <w:i/>
                      <w:iCs/>
                      <w:szCs w:val="24"/>
                    </w:rPr>
                  </w:pPr>
                  <w:r w:rsidRPr="00137B9B">
                    <w:rPr>
                      <w:rFonts w:eastAsiaTheme="minorEastAsia"/>
                      <w:bCs/>
                      <w:i/>
                      <w:szCs w:val="24"/>
                      <w:lang w:eastAsia="lt-LT"/>
                    </w:rPr>
                    <w:t xml:space="preserve">Vertinama pagal pareiškėjo pateiktą aprašymą, kuriame konkrečiai detalizuota, kaip inovatyvus technologinis sprendimas ir (ar) įrankis bus integruotas į strategiškai reikšmingą skaitmeninę paslaugą (-as). Paaiškinime taip </w:t>
                  </w:r>
                  <w:r w:rsidRPr="00137B9B">
                    <w:rPr>
                      <w:rFonts w:eastAsiaTheme="minorEastAsia"/>
                      <w:bCs/>
                      <w:i/>
                      <w:szCs w:val="24"/>
                      <w:lang w:eastAsia="lt-LT"/>
                    </w:rPr>
                    <w:lastRenderedPageBreak/>
                    <w:t>pat turi būti nurodyti argumentai, kodėl skaitmeninė paslauga, į kurią bus integruotas inovatyvus technologinis sprendimas ir (ar) įrankis, priskirtina prie strategiškai reikšmingos nacionaliniu ar ES lygiu skaitmeninės paslaugos</w:t>
                  </w:r>
                </w:p>
              </w:tc>
              <w:tc>
                <w:tcPr>
                  <w:tcW w:w="2070" w:type="dxa"/>
                  <w:tcBorders>
                    <w:top w:val="single" w:sz="6" w:space="0" w:color="000000"/>
                    <w:left w:val="single" w:sz="6" w:space="0" w:color="000000"/>
                    <w:bottom w:val="single" w:sz="6" w:space="0" w:color="000000"/>
                    <w:right w:val="single" w:sz="6" w:space="0" w:color="000000"/>
                  </w:tcBorders>
                </w:tcPr>
                <w:p w14:paraId="69047156" w14:textId="59211326" w:rsidR="000E6AF8" w:rsidRDefault="004F535E" w:rsidP="004F535E">
                  <w:pPr>
                    <w:jc w:val="center"/>
                    <w:rPr>
                      <w:i/>
                      <w:iCs/>
                      <w:szCs w:val="24"/>
                    </w:rPr>
                  </w:pPr>
                  <w:r>
                    <w:rPr>
                      <w:i/>
                      <w:iCs/>
                      <w:szCs w:val="24"/>
                    </w:rPr>
                    <w:lastRenderedPageBreak/>
                    <w:t>-</w:t>
                  </w:r>
                </w:p>
              </w:tc>
              <w:tc>
                <w:tcPr>
                  <w:tcW w:w="2071" w:type="dxa"/>
                  <w:tcBorders>
                    <w:top w:val="single" w:sz="6" w:space="0" w:color="000000"/>
                    <w:left w:val="single" w:sz="6" w:space="0" w:color="000000"/>
                    <w:bottom w:val="single" w:sz="6" w:space="0" w:color="000000"/>
                    <w:right w:val="single" w:sz="6" w:space="0" w:color="000000"/>
                  </w:tcBorders>
                </w:tcPr>
                <w:p w14:paraId="6A7CEF65" w14:textId="4B940F23" w:rsidR="000E6AF8" w:rsidRDefault="004F535E" w:rsidP="004F535E">
                  <w:pPr>
                    <w:jc w:val="center"/>
                    <w:rPr>
                      <w:i/>
                      <w:iCs/>
                      <w:szCs w:val="24"/>
                    </w:rPr>
                  </w:pPr>
                  <w:r>
                    <w:rPr>
                      <w:i/>
                      <w:iCs/>
                      <w:szCs w:val="24"/>
                    </w:rPr>
                    <w:t>-</w:t>
                  </w:r>
                </w:p>
              </w:tc>
              <w:tc>
                <w:tcPr>
                  <w:tcW w:w="3827" w:type="dxa"/>
                  <w:gridSpan w:val="3"/>
                  <w:tcBorders>
                    <w:top w:val="single" w:sz="6" w:space="0" w:color="000000"/>
                    <w:left w:val="single" w:sz="6" w:space="0" w:color="000000"/>
                    <w:bottom w:val="single" w:sz="6" w:space="0" w:color="000000"/>
                    <w:right w:val="single" w:sz="6" w:space="0" w:color="000000"/>
                  </w:tcBorders>
                </w:tcPr>
                <w:p w14:paraId="55F8D8E5" w14:textId="7E7288C7" w:rsidR="000E6AF8" w:rsidRDefault="004F535E" w:rsidP="004F535E">
                  <w:pPr>
                    <w:jc w:val="center"/>
                    <w:rPr>
                      <w:i/>
                      <w:iCs/>
                      <w:szCs w:val="24"/>
                    </w:rPr>
                  </w:pPr>
                  <w:r>
                    <w:rPr>
                      <w:i/>
                      <w:iCs/>
                      <w:szCs w:val="24"/>
                    </w:rPr>
                    <w:t>-</w:t>
                  </w:r>
                </w:p>
              </w:tc>
            </w:tr>
            <w:tr w:rsidR="000E6AF8" w14:paraId="3EFF4182" w14:textId="77777777" w:rsidTr="00611435">
              <w:tc>
                <w:tcPr>
                  <w:tcW w:w="697" w:type="dxa"/>
                  <w:tcBorders>
                    <w:top w:val="single" w:sz="6" w:space="0" w:color="000000"/>
                    <w:left w:val="single" w:sz="6" w:space="0" w:color="000000"/>
                    <w:bottom w:val="single" w:sz="6" w:space="0" w:color="000000"/>
                    <w:right w:val="single" w:sz="6" w:space="0" w:color="000000"/>
                  </w:tcBorders>
                </w:tcPr>
                <w:p w14:paraId="5E409AFD" w14:textId="77777777" w:rsidR="000E6AF8" w:rsidRDefault="00B92EBB">
                  <w:pPr>
                    <w:jc w:val="both"/>
                    <w:rPr>
                      <w:i/>
                      <w:iCs/>
                      <w:szCs w:val="24"/>
                    </w:rPr>
                  </w:pPr>
                  <w:r>
                    <w:rPr>
                      <w:i/>
                      <w:iCs/>
                      <w:szCs w:val="24"/>
                    </w:rPr>
                    <w:lastRenderedPageBreak/>
                    <w:t>2</w:t>
                  </w:r>
                </w:p>
              </w:tc>
              <w:tc>
                <w:tcPr>
                  <w:tcW w:w="2070" w:type="dxa"/>
                  <w:tcBorders>
                    <w:top w:val="single" w:sz="6" w:space="0" w:color="000000"/>
                    <w:left w:val="single" w:sz="6" w:space="0" w:color="000000"/>
                    <w:bottom w:val="single" w:sz="6" w:space="0" w:color="000000"/>
                    <w:right w:val="single" w:sz="6" w:space="0" w:color="000000"/>
                  </w:tcBorders>
                </w:tcPr>
                <w:p w14:paraId="6F86B29A" w14:textId="53E0085E" w:rsidR="000E6AF8" w:rsidRDefault="004F535E">
                  <w:pPr>
                    <w:jc w:val="both"/>
                    <w:rPr>
                      <w:i/>
                      <w:iCs/>
                      <w:szCs w:val="24"/>
                    </w:rPr>
                  </w:pPr>
                  <w:r>
                    <w:rPr>
                      <w:i/>
                      <w:iCs/>
                      <w:szCs w:val="24"/>
                    </w:rPr>
                    <w:t>Prioritetinis</w:t>
                  </w:r>
                </w:p>
              </w:tc>
              <w:tc>
                <w:tcPr>
                  <w:tcW w:w="2070" w:type="dxa"/>
                  <w:tcBorders>
                    <w:top w:val="single" w:sz="6" w:space="0" w:color="000000"/>
                    <w:left w:val="single" w:sz="6" w:space="0" w:color="000000"/>
                    <w:bottom w:val="single" w:sz="6" w:space="0" w:color="000000"/>
                    <w:right w:val="single" w:sz="6" w:space="0" w:color="000000"/>
                  </w:tcBorders>
                </w:tcPr>
                <w:p w14:paraId="1D7E9DDB" w14:textId="3B57DD4D" w:rsidR="000E6AF8" w:rsidRDefault="004F535E">
                  <w:pPr>
                    <w:jc w:val="both"/>
                    <w:rPr>
                      <w:i/>
                      <w:iCs/>
                      <w:szCs w:val="24"/>
                    </w:rPr>
                  </w:pPr>
                  <w:r w:rsidRPr="00137B9B">
                    <w:rPr>
                      <w:bCs/>
                      <w:i/>
                      <w:szCs w:val="24"/>
                      <w:lang w:eastAsia="lt-LT"/>
                    </w:rPr>
                    <w:t xml:space="preserve">Projektu integruojami į nacionaliniu ir (arba) ES lygiu strategiškai reikšmingas skaitmenines paslaugas inovatyvūs technologiniai sprendimai ir (ar) įrankiai, kurie paskatins rinkoje labai mažai naudojamų arba rinkoje neegzistuojančių </w:t>
                  </w:r>
                  <w:r w:rsidRPr="00137B9B">
                    <w:rPr>
                      <w:bCs/>
                      <w:i/>
                      <w:szCs w:val="24"/>
                      <w:lang w:eastAsia="lt-LT"/>
                    </w:rPr>
                    <w:lastRenderedPageBreak/>
                    <w:t>kvalifikuotų patikimumo užtikrinimo paslaugų vystymą.</w:t>
                  </w:r>
                </w:p>
              </w:tc>
              <w:tc>
                <w:tcPr>
                  <w:tcW w:w="2071" w:type="dxa"/>
                  <w:tcBorders>
                    <w:top w:val="single" w:sz="6" w:space="0" w:color="000000"/>
                    <w:left w:val="single" w:sz="6" w:space="0" w:color="000000"/>
                    <w:bottom w:val="single" w:sz="6" w:space="0" w:color="000000"/>
                    <w:right w:val="single" w:sz="6" w:space="0" w:color="000000"/>
                  </w:tcBorders>
                </w:tcPr>
                <w:p w14:paraId="0C6DABD1" w14:textId="77777777" w:rsidR="004F535E" w:rsidRPr="00137B9B" w:rsidRDefault="004F535E" w:rsidP="004F535E">
                  <w:pPr>
                    <w:jc w:val="both"/>
                    <w:rPr>
                      <w:bCs/>
                      <w:i/>
                      <w:szCs w:val="24"/>
                      <w:lang w:eastAsia="lt-LT"/>
                    </w:rPr>
                  </w:pPr>
                  <w:r w:rsidRPr="00137B9B">
                    <w:rPr>
                      <w:bCs/>
                      <w:i/>
                      <w:szCs w:val="24"/>
                      <w:lang w:eastAsia="lt-LT"/>
                    </w:rPr>
                    <w:lastRenderedPageBreak/>
                    <w:t xml:space="preserve">Vertinama, ar projektu integruojami į nacionaliniu ir (arba) ES lygiu strategiškai reikšmingas skaitmenines paslaugas inovatyvūs technologiniai sprendimai ir (ar) įrankiai, kurie paskatins Lietuvos rinkoje labai mažai naudojamų ar rinkoje </w:t>
                  </w:r>
                  <w:r w:rsidRPr="00137B9B">
                    <w:rPr>
                      <w:bCs/>
                      <w:i/>
                      <w:szCs w:val="24"/>
                      <w:lang w:eastAsia="lt-LT"/>
                    </w:rPr>
                    <w:lastRenderedPageBreak/>
                    <w:t xml:space="preserve">neegzistuojančių kvalifikuotų patikimumo užtikrinimo paslaugų vystymą. Labai mažai naudojama kvalifikuota patikimumo užtikrinimo paslauga, kai ją teikia tik 1 kvalifikuotas patikimumo užtikrinimo paslaugų teikėjas, įtrauktas į  Lietuvos nacionalinį patikimą sąrašą, vadovaujantis 2018 m. birželio 21 d. Lietuvos Respublikos ryšių reguliavimo tarnybos direktoriaus įsakymu Nr. 1V-588 „Dėl kvalifikuotų patikimumo užtikrinimo </w:t>
                  </w:r>
                  <w:r w:rsidRPr="00137B9B">
                    <w:rPr>
                      <w:bCs/>
                      <w:i/>
                      <w:szCs w:val="24"/>
                      <w:lang w:eastAsia="lt-LT"/>
                    </w:rPr>
                    <w:lastRenderedPageBreak/>
                    <w:t>paslaugų teikėjų ir kvalifikuotų patikimumo užtikrinimo paslaugų statuso suteikimo ir jų įrašymo į nacionalinį patikimą sąrašą bei kvalifikuotų patikimumo užtikrinimo paslaugų teikėjų veiklos ataskaitų teikimo tvarkos aprašo patvirtinimo“. Nenaudojama kvalifikuota patikimumo užtikrinimo paslauga, kai jos neteikia nei vienas Lietuvos kvalifikuotas patikimumo užtikrinimo paslaugų teikėjas.</w:t>
                  </w:r>
                </w:p>
                <w:p w14:paraId="66651BB5" w14:textId="77777777" w:rsidR="004F535E" w:rsidRPr="00137B9B" w:rsidRDefault="004F535E" w:rsidP="004F535E">
                  <w:pPr>
                    <w:jc w:val="both"/>
                    <w:rPr>
                      <w:bCs/>
                      <w:i/>
                      <w:szCs w:val="24"/>
                      <w:lang w:eastAsia="lt-LT"/>
                    </w:rPr>
                  </w:pPr>
                  <w:r w:rsidRPr="00137B9B">
                    <w:rPr>
                      <w:bCs/>
                      <w:i/>
                      <w:szCs w:val="24"/>
                      <w:lang w:eastAsia="lt-LT"/>
                    </w:rPr>
                    <w:t xml:space="preserve">Informacija apie tai, kokiems Lietuvos Respublikoje </w:t>
                  </w:r>
                  <w:r w:rsidRPr="00137B9B">
                    <w:rPr>
                      <w:bCs/>
                      <w:i/>
                      <w:szCs w:val="24"/>
                      <w:lang w:eastAsia="lt-LT"/>
                    </w:rPr>
                    <w:lastRenderedPageBreak/>
                    <w:t xml:space="preserve">įsisteigusiems patikimumo užtikrinimo paslaugų teikėjams ir jų teikiamoms patikimumo užtikrinimo paslaugoms yra suteiktas kvalifikuotas statusas, tikrinama Lietuvos Respublikos ryšių reguliavimo tarnybos administruojamame nacionaliniame patikimame sąraše, skelbiamame interneto svetainėje </w:t>
                  </w:r>
                  <w:hyperlink r:id="rId22" w:history="1">
                    <w:r w:rsidRPr="00137B9B">
                      <w:rPr>
                        <w:bCs/>
                        <w:i/>
                        <w:szCs w:val="24"/>
                        <w:lang w:eastAsia="lt-LT"/>
                      </w:rPr>
                      <w:t>https://elektroninisparasas.lt/lietuvos-patikimas-sarasas/</w:t>
                    </w:r>
                  </w:hyperlink>
                  <w:r w:rsidRPr="00137B9B">
                    <w:rPr>
                      <w:bCs/>
                      <w:i/>
                      <w:szCs w:val="24"/>
                      <w:lang w:eastAsia="lt-LT"/>
                    </w:rPr>
                    <w:t>.</w:t>
                  </w:r>
                </w:p>
                <w:p w14:paraId="1D7AA138" w14:textId="4FE4E417" w:rsidR="000E6AF8" w:rsidRDefault="004F535E" w:rsidP="004F535E">
                  <w:pPr>
                    <w:jc w:val="both"/>
                    <w:rPr>
                      <w:i/>
                      <w:iCs/>
                      <w:szCs w:val="24"/>
                    </w:rPr>
                  </w:pPr>
                  <w:r w:rsidRPr="00137B9B">
                    <w:rPr>
                      <w:bCs/>
                      <w:i/>
                      <w:szCs w:val="24"/>
                      <w:lang w:eastAsia="lt-LT"/>
                    </w:rPr>
                    <w:t xml:space="preserve">5 balai skiriami projektams, , kuriais numatoma integruoti Lietuvos rinkoje neegzistuojančias kvalifikuotas </w:t>
                  </w:r>
                  <w:r w:rsidRPr="00137B9B">
                    <w:rPr>
                      <w:bCs/>
                      <w:i/>
                      <w:szCs w:val="24"/>
                      <w:lang w:eastAsia="lt-LT"/>
                    </w:rPr>
                    <w:lastRenderedPageBreak/>
                    <w:t>patikimumo užtikrinimo paslaugas, 3 balai skiriami projektams, kuriais numatoma integruoti labai mažai naudojamas kvalifikuotas patikimumo užtikrinimo paslaugas, 0 balų skiriama projektams, kuriais numatoma integruoti rinkoje aktyviai naudojamas  kvalifikuotas patikimumo užtikrinimo paslaugas</w:t>
                  </w:r>
                </w:p>
              </w:tc>
              <w:tc>
                <w:tcPr>
                  <w:tcW w:w="2070" w:type="dxa"/>
                  <w:tcBorders>
                    <w:top w:val="single" w:sz="6" w:space="0" w:color="000000"/>
                    <w:left w:val="single" w:sz="6" w:space="0" w:color="000000"/>
                    <w:bottom w:val="single" w:sz="6" w:space="0" w:color="000000"/>
                    <w:right w:val="single" w:sz="6" w:space="0" w:color="000000"/>
                  </w:tcBorders>
                </w:tcPr>
                <w:p w14:paraId="04879FD7" w14:textId="3AAE8C92" w:rsidR="000E6AF8" w:rsidRDefault="004F535E">
                  <w:pPr>
                    <w:jc w:val="both"/>
                    <w:rPr>
                      <w:i/>
                      <w:iCs/>
                      <w:szCs w:val="24"/>
                    </w:rPr>
                  </w:pPr>
                  <w:r>
                    <w:rPr>
                      <w:i/>
                      <w:iCs/>
                      <w:szCs w:val="24"/>
                    </w:rPr>
                    <w:lastRenderedPageBreak/>
                    <w:t>5</w:t>
                  </w:r>
                  <w:r w:rsidR="00CD6D9D">
                    <w:rPr>
                      <w:i/>
                      <w:iCs/>
                      <w:szCs w:val="24"/>
                    </w:rPr>
                    <w:t xml:space="preserve"> </w:t>
                  </w:r>
                  <w:r w:rsidR="00CD6D9D">
                    <w:rPr>
                      <w:i/>
                      <w:iCs/>
                      <w:szCs w:val="24"/>
                      <w:lang w:val="ru-RU"/>
                    </w:rPr>
                    <w:t>(</w:t>
                  </w:r>
                  <w:r w:rsidR="00CD6D9D">
                    <w:rPr>
                      <w:i/>
                      <w:iCs/>
                      <w:szCs w:val="24"/>
                      <w:lang w:val="en-US"/>
                    </w:rPr>
                    <w:t>Y</w:t>
                  </w:r>
                  <w:r w:rsidR="00CD6D9D">
                    <w:rPr>
                      <w:i/>
                      <w:iCs/>
                      <w:sz w:val="16"/>
                      <w:szCs w:val="24"/>
                      <w:lang w:val="ru-RU"/>
                    </w:rPr>
                    <w:t>1</w:t>
                  </w:r>
                  <w:r w:rsidR="00CD6D9D">
                    <w:rPr>
                      <w:i/>
                      <w:iCs/>
                      <w:szCs w:val="24"/>
                      <w:lang w:val="en-US"/>
                    </w:rPr>
                    <w:t>)</w:t>
                  </w:r>
                </w:p>
              </w:tc>
              <w:tc>
                <w:tcPr>
                  <w:tcW w:w="2071" w:type="dxa"/>
                  <w:tcBorders>
                    <w:top w:val="single" w:sz="6" w:space="0" w:color="000000"/>
                    <w:left w:val="single" w:sz="6" w:space="0" w:color="000000"/>
                    <w:bottom w:val="single" w:sz="6" w:space="0" w:color="000000"/>
                    <w:right w:val="single" w:sz="6" w:space="0" w:color="000000"/>
                  </w:tcBorders>
                </w:tcPr>
                <w:p w14:paraId="620B9AF3" w14:textId="77BC1C51" w:rsidR="000E6AF8" w:rsidRDefault="00CD6D9D">
                  <w:pPr>
                    <w:jc w:val="both"/>
                    <w:rPr>
                      <w:i/>
                      <w:iCs/>
                      <w:szCs w:val="24"/>
                    </w:rPr>
                  </w:pPr>
                  <w:r>
                    <w:rPr>
                      <w:i/>
                      <w:iCs/>
                      <w:szCs w:val="24"/>
                    </w:rPr>
                    <w:t xml:space="preserve">10 </w:t>
                  </w:r>
                  <w:r>
                    <w:rPr>
                      <w:i/>
                      <w:iCs/>
                      <w:szCs w:val="24"/>
                      <w:lang w:val="ru-RU"/>
                    </w:rPr>
                    <w:t>(</w:t>
                  </w:r>
                  <w:r>
                    <w:rPr>
                      <w:i/>
                      <w:iCs/>
                      <w:szCs w:val="24"/>
                    </w:rPr>
                    <w:t>S</w:t>
                  </w:r>
                  <w:r>
                    <w:rPr>
                      <w:i/>
                      <w:iCs/>
                      <w:sz w:val="16"/>
                      <w:szCs w:val="24"/>
                      <w:lang w:val="ru-RU"/>
                    </w:rPr>
                    <w:t>1</w:t>
                  </w:r>
                  <w:r>
                    <w:rPr>
                      <w:i/>
                      <w:iCs/>
                      <w:szCs w:val="24"/>
                      <w:lang w:val="en-US"/>
                    </w:rPr>
                    <w:t>)</w:t>
                  </w:r>
                </w:p>
              </w:tc>
              <w:tc>
                <w:tcPr>
                  <w:tcW w:w="3827" w:type="dxa"/>
                  <w:gridSpan w:val="3"/>
                  <w:tcBorders>
                    <w:top w:val="single" w:sz="6" w:space="0" w:color="000000"/>
                    <w:left w:val="single" w:sz="6" w:space="0" w:color="000000"/>
                    <w:bottom w:val="single" w:sz="6" w:space="0" w:color="000000"/>
                    <w:right w:val="single" w:sz="6" w:space="0" w:color="000000"/>
                  </w:tcBorders>
                </w:tcPr>
                <w:p w14:paraId="72443DAE" w14:textId="13C7B9ED" w:rsidR="000E6AF8" w:rsidRDefault="00CD6D9D">
                  <w:pPr>
                    <w:jc w:val="both"/>
                    <w:rPr>
                      <w:i/>
                      <w:iCs/>
                      <w:szCs w:val="24"/>
                    </w:rPr>
                  </w:pPr>
                  <w:r>
                    <w:rPr>
                      <w:i/>
                      <w:iCs/>
                      <w:szCs w:val="24"/>
                    </w:rPr>
                    <w:t>50</w:t>
                  </w:r>
                </w:p>
              </w:tc>
            </w:tr>
            <w:tr w:rsidR="00EA075B" w14:paraId="592A6B61" w14:textId="77777777" w:rsidTr="00611435">
              <w:tc>
                <w:tcPr>
                  <w:tcW w:w="697" w:type="dxa"/>
                  <w:tcBorders>
                    <w:top w:val="single" w:sz="6" w:space="0" w:color="000000"/>
                    <w:left w:val="single" w:sz="6" w:space="0" w:color="000000"/>
                    <w:bottom w:val="single" w:sz="6" w:space="0" w:color="000000"/>
                    <w:right w:val="single" w:sz="6" w:space="0" w:color="000000"/>
                  </w:tcBorders>
                </w:tcPr>
                <w:p w14:paraId="052FFB0E" w14:textId="709B694C" w:rsidR="00EA075B" w:rsidRDefault="00EA075B" w:rsidP="00EA075B">
                  <w:pPr>
                    <w:jc w:val="both"/>
                    <w:rPr>
                      <w:i/>
                      <w:iCs/>
                      <w:szCs w:val="24"/>
                    </w:rPr>
                  </w:pPr>
                  <w:r>
                    <w:rPr>
                      <w:i/>
                      <w:iCs/>
                      <w:szCs w:val="24"/>
                    </w:rPr>
                    <w:lastRenderedPageBreak/>
                    <w:t>3</w:t>
                  </w:r>
                </w:p>
              </w:tc>
              <w:tc>
                <w:tcPr>
                  <w:tcW w:w="2070" w:type="dxa"/>
                  <w:tcBorders>
                    <w:top w:val="single" w:sz="6" w:space="0" w:color="000000"/>
                    <w:left w:val="single" w:sz="6" w:space="0" w:color="000000"/>
                    <w:bottom w:val="single" w:sz="6" w:space="0" w:color="000000"/>
                    <w:right w:val="single" w:sz="6" w:space="0" w:color="000000"/>
                  </w:tcBorders>
                </w:tcPr>
                <w:p w14:paraId="1CBF0455" w14:textId="4C1702DD" w:rsidR="00EA075B" w:rsidRDefault="00EA075B" w:rsidP="00EA075B">
                  <w:pPr>
                    <w:jc w:val="both"/>
                    <w:rPr>
                      <w:i/>
                      <w:iCs/>
                      <w:szCs w:val="24"/>
                    </w:rPr>
                  </w:pPr>
                  <w:r>
                    <w:rPr>
                      <w:i/>
                      <w:iCs/>
                      <w:szCs w:val="24"/>
                    </w:rPr>
                    <w:t>Prioritetinis</w:t>
                  </w:r>
                </w:p>
              </w:tc>
              <w:tc>
                <w:tcPr>
                  <w:tcW w:w="2070" w:type="dxa"/>
                  <w:tcBorders>
                    <w:top w:val="single" w:sz="6" w:space="0" w:color="000000"/>
                    <w:left w:val="single" w:sz="6" w:space="0" w:color="000000"/>
                    <w:bottom w:val="single" w:sz="6" w:space="0" w:color="000000"/>
                    <w:right w:val="single" w:sz="6" w:space="0" w:color="000000"/>
                  </w:tcBorders>
                </w:tcPr>
                <w:p w14:paraId="6715E5DA" w14:textId="7CCB4737" w:rsidR="00EA075B" w:rsidRPr="00497A68" w:rsidRDefault="00EA075B" w:rsidP="00EA075B">
                  <w:pPr>
                    <w:jc w:val="both"/>
                    <w:rPr>
                      <w:rFonts w:eastAsiaTheme="minorEastAsia"/>
                      <w:bCs/>
                      <w:i/>
                      <w:szCs w:val="24"/>
                      <w:lang w:eastAsia="lt-LT"/>
                    </w:rPr>
                  </w:pPr>
                  <w:r w:rsidRPr="00497A68">
                    <w:rPr>
                      <w:rFonts w:eastAsiaTheme="minorEastAsia"/>
                      <w:bCs/>
                      <w:i/>
                      <w:szCs w:val="24"/>
                      <w:lang w:eastAsia="lt-LT"/>
                    </w:rPr>
                    <w:t>Projektu modifikuojamos kelios nacionaliniu ir (arba)</w:t>
                  </w:r>
                  <w:r w:rsidRPr="00497A68" w:rsidDel="00B12717">
                    <w:rPr>
                      <w:rFonts w:eastAsiaTheme="minorEastAsia"/>
                      <w:bCs/>
                      <w:i/>
                      <w:szCs w:val="24"/>
                      <w:lang w:eastAsia="lt-LT"/>
                    </w:rPr>
                    <w:t xml:space="preserve"> </w:t>
                  </w:r>
                  <w:r w:rsidRPr="00497A68">
                    <w:rPr>
                      <w:rFonts w:eastAsiaTheme="minorEastAsia"/>
                      <w:bCs/>
                      <w:i/>
                      <w:szCs w:val="24"/>
                      <w:lang w:eastAsia="lt-LT"/>
                    </w:rPr>
                    <w:t xml:space="preserve">ES lygiu strategiškai reikšmingos skaitmeninės paslaugos į jas integruojant inovatyvius </w:t>
                  </w:r>
                  <w:r w:rsidRPr="00497A68">
                    <w:rPr>
                      <w:rFonts w:eastAsiaTheme="minorEastAsia"/>
                      <w:bCs/>
                      <w:i/>
                      <w:szCs w:val="24"/>
                      <w:lang w:eastAsia="lt-LT"/>
                    </w:rPr>
                    <w:lastRenderedPageBreak/>
                    <w:t>technologinius sprendimus ir (ar) įrankius - mažai naudojamas arba rinkoje neegzistuojančias elektroninės atpažinties ar kvalifikuotas patikimumo užtikrinimo paslaugas.</w:t>
                  </w:r>
                </w:p>
              </w:tc>
              <w:tc>
                <w:tcPr>
                  <w:tcW w:w="2071" w:type="dxa"/>
                  <w:tcBorders>
                    <w:top w:val="single" w:sz="6" w:space="0" w:color="000000"/>
                    <w:left w:val="single" w:sz="6" w:space="0" w:color="000000"/>
                    <w:bottom w:val="single" w:sz="6" w:space="0" w:color="000000"/>
                    <w:right w:val="single" w:sz="6" w:space="0" w:color="000000"/>
                  </w:tcBorders>
                </w:tcPr>
                <w:p w14:paraId="4E1FC625" w14:textId="64405929" w:rsidR="00EA075B" w:rsidRPr="00497A68" w:rsidRDefault="00EA075B" w:rsidP="00EA075B">
                  <w:pPr>
                    <w:jc w:val="both"/>
                    <w:rPr>
                      <w:rFonts w:eastAsiaTheme="minorEastAsia"/>
                      <w:bCs/>
                      <w:i/>
                      <w:szCs w:val="24"/>
                      <w:lang w:eastAsia="lt-LT"/>
                    </w:rPr>
                  </w:pPr>
                  <w:r w:rsidRPr="00497A68">
                    <w:rPr>
                      <w:rFonts w:eastAsiaTheme="minorEastAsia"/>
                      <w:bCs/>
                      <w:i/>
                      <w:szCs w:val="24"/>
                      <w:lang w:eastAsia="lt-LT"/>
                    </w:rPr>
                    <w:lastRenderedPageBreak/>
                    <w:t xml:space="preserve">Vertinama, ar elektroninės atpažinties ir patikimumo užtikrinimo technologiniai sprendimai ir (ar) įrankiai bus integruojami į kelias nacionaliniu </w:t>
                  </w:r>
                  <w:r w:rsidRPr="00497A68">
                    <w:rPr>
                      <w:rFonts w:eastAsiaTheme="minorEastAsia"/>
                      <w:bCs/>
                      <w:i/>
                      <w:szCs w:val="24"/>
                      <w:lang w:eastAsia="lt-LT"/>
                    </w:rPr>
                    <w:lastRenderedPageBreak/>
                    <w:t xml:space="preserve">ir  (arba) ES lygiu strategiškai reikšmingas skaitmenines paslaugas. Vertinama pagal pareiškėjo pateiktą aprašymą, kuriame susiejama skaitmeninės paslaugos naudojimas su sprendimu ir (ar) įrankiu. Jei elektroninės atpažinties ir patikimumo užtikrinimo technologiniai sprendimai ir (ar) įrankiai integruojami į daugiau kaip 3 strategiškai reikšmingas paslaugas, skiriama 5 balai, jei į 3-2 – 3 balai, jei į 1 – </w:t>
                  </w:r>
                  <w:r>
                    <w:rPr>
                      <w:rFonts w:eastAsiaTheme="minorEastAsia"/>
                      <w:bCs/>
                      <w:i/>
                      <w:szCs w:val="24"/>
                      <w:lang w:eastAsia="lt-LT"/>
                    </w:rPr>
                    <w:t>0</w:t>
                  </w:r>
                  <w:r w:rsidRPr="00497A68">
                    <w:rPr>
                      <w:rFonts w:eastAsiaTheme="minorEastAsia"/>
                      <w:bCs/>
                      <w:i/>
                      <w:szCs w:val="24"/>
                      <w:lang w:eastAsia="lt-LT"/>
                    </w:rPr>
                    <w:t xml:space="preserve"> bal</w:t>
                  </w:r>
                  <w:r>
                    <w:rPr>
                      <w:rFonts w:eastAsiaTheme="minorEastAsia"/>
                      <w:bCs/>
                      <w:i/>
                      <w:szCs w:val="24"/>
                      <w:lang w:eastAsia="lt-LT"/>
                    </w:rPr>
                    <w:t>ų</w:t>
                  </w:r>
                </w:p>
              </w:tc>
              <w:tc>
                <w:tcPr>
                  <w:tcW w:w="2070" w:type="dxa"/>
                  <w:tcBorders>
                    <w:top w:val="single" w:sz="6" w:space="0" w:color="000000"/>
                    <w:left w:val="single" w:sz="6" w:space="0" w:color="000000"/>
                    <w:bottom w:val="single" w:sz="6" w:space="0" w:color="000000"/>
                    <w:right w:val="single" w:sz="6" w:space="0" w:color="000000"/>
                  </w:tcBorders>
                </w:tcPr>
                <w:p w14:paraId="34014D23" w14:textId="0F0606E5" w:rsidR="00EA075B" w:rsidRDefault="00EA075B" w:rsidP="00EA075B">
                  <w:pPr>
                    <w:jc w:val="both"/>
                    <w:rPr>
                      <w:i/>
                      <w:iCs/>
                      <w:szCs w:val="24"/>
                    </w:rPr>
                  </w:pPr>
                  <w:r>
                    <w:rPr>
                      <w:i/>
                      <w:iCs/>
                      <w:szCs w:val="24"/>
                    </w:rPr>
                    <w:lastRenderedPageBreak/>
                    <w:t>5 (Y</w:t>
                  </w:r>
                  <w:r>
                    <w:rPr>
                      <w:i/>
                      <w:iCs/>
                      <w:szCs w:val="24"/>
                      <w:vertAlign w:val="subscript"/>
                    </w:rPr>
                    <w:t>2</w:t>
                  </w:r>
                  <w:r>
                    <w:rPr>
                      <w:i/>
                      <w:iCs/>
                      <w:szCs w:val="24"/>
                    </w:rPr>
                    <w:t>)</w:t>
                  </w:r>
                </w:p>
              </w:tc>
              <w:tc>
                <w:tcPr>
                  <w:tcW w:w="2071" w:type="dxa"/>
                  <w:tcBorders>
                    <w:top w:val="single" w:sz="6" w:space="0" w:color="000000"/>
                    <w:left w:val="single" w:sz="6" w:space="0" w:color="000000"/>
                    <w:bottom w:val="single" w:sz="6" w:space="0" w:color="000000"/>
                    <w:right w:val="single" w:sz="6" w:space="0" w:color="000000"/>
                  </w:tcBorders>
                </w:tcPr>
                <w:p w14:paraId="30F90D6F" w14:textId="7543397C" w:rsidR="00EA075B" w:rsidRDefault="00EA075B" w:rsidP="00EA075B">
                  <w:pPr>
                    <w:jc w:val="both"/>
                    <w:rPr>
                      <w:i/>
                      <w:iCs/>
                      <w:szCs w:val="24"/>
                    </w:rPr>
                  </w:pPr>
                  <w:r>
                    <w:rPr>
                      <w:i/>
                      <w:iCs/>
                      <w:szCs w:val="24"/>
                    </w:rPr>
                    <w:t>5 (S</w:t>
                  </w:r>
                  <w:r>
                    <w:rPr>
                      <w:i/>
                      <w:iCs/>
                      <w:szCs w:val="24"/>
                      <w:vertAlign w:val="subscript"/>
                    </w:rPr>
                    <w:t>2</w:t>
                  </w:r>
                  <w:r>
                    <w:rPr>
                      <w:i/>
                      <w:iCs/>
                      <w:szCs w:val="24"/>
                    </w:rPr>
                    <w:t>)</w:t>
                  </w:r>
                </w:p>
              </w:tc>
              <w:tc>
                <w:tcPr>
                  <w:tcW w:w="3827" w:type="dxa"/>
                  <w:gridSpan w:val="3"/>
                  <w:tcBorders>
                    <w:top w:val="single" w:sz="6" w:space="0" w:color="000000"/>
                    <w:left w:val="single" w:sz="6" w:space="0" w:color="000000"/>
                    <w:bottom w:val="single" w:sz="6" w:space="0" w:color="000000"/>
                    <w:right w:val="single" w:sz="6" w:space="0" w:color="000000"/>
                  </w:tcBorders>
                </w:tcPr>
                <w:p w14:paraId="5D852D5F" w14:textId="2F013007" w:rsidR="00EA075B" w:rsidRDefault="00EA075B" w:rsidP="00EA075B">
                  <w:pPr>
                    <w:jc w:val="both"/>
                    <w:rPr>
                      <w:i/>
                      <w:iCs/>
                      <w:szCs w:val="24"/>
                    </w:rPr>
                  </w:pPr>
                  <w:r>
                    <w:rPr>
                      <w:i/>
                      <w:iCs/>
                      <w:szCs w:val="24"/>
                    </w:rPr>
                    <w:t>25</w:t>
                  </w:r>
                </w:p>
              </w:tc>
            </w:tr>
            <w:tr w:rsidR="000E6AF8" w14:paraId="021FEA45" w14:textId="77777777" w:rsidTr="00611435">
              <w:tc>
                <w:tcPr>
                  <w:tcW w:w="697" w:type="dxa"/>
                  <w:tcBorders>
                    <w:top w:val="single" w:sz="6" w:space="0" w:color="000000"/>
                    <w:left w:val="single" w:sz="6" w:space="0" w:color="000000"/>
                    <w:bottom w:val="single" w:sz="6" w:space="0" w:color="000000"/>
                    <w:right w:val="single" w:sz="6" w:space="0" w:color="000000"/>
                  </w:tcBorders>
                </w:tcPr>
                <w:p w14:paraId="6180F775" w14:textId="63C7C781" w:rsidR="000E6AF8" w:rsidRDefault="007575F4">
                  <w:pPr>
                    <w:jc w:val="both"/>
                    <w:rPr>
                      <w:i/>
                      <w:iCs/>
                      <w:szCs w:val="24"/>
                    </w:rPr>
                  </w:pPr>
                  <w:r>
                    <w:rPr>
                      <w:i/>
                      <w:iCs/>
                      <w:szCs w:val="24"/>
                    </w:rPr>
                    <w:t>4</w:t>
                  </w:r>
                </w:p>
              </w:tc>
              <w:tc>
                <w:tcPr>
                  <w:tcW w:w="2070" w:type="dxa"/>
                  <w:tcBorders>
                    <w:top w:val="single" w:sz="6" w:space="0" w:color="000000"/>
                    <w:left w:val="single" w:sz="6" w:space="0" w:color="000000"/>
                    <w:bottom w:val="single" w:sz="6" w:space="0" w:color="000000"/>
                    <w:right w:val="single" w:sz="6" w:space="0" w:color="000000"/>
                  </w:tcBorders>
                </w:tcPr>
                <w:p w14:paraId="2BA23E8A" w14:textId="3969F895" w:rsidR="000E6AF8" w:rsidRDefault="007575F4">
                  <w:pPr>
                    <w:jc w:val="both"/>
                    <w:rPr>
                      <w:i/>
                      <w:iCs/>
                      <w:szCs w:val="24"/>
                    </w:rPr>
                  </w:pPr>
                  <w:r>
                    <w:rPr>
                      <w:i/>
                      <w:iCs/>
                      <w:szCs w:val="24"/>
                    </w:rPr>
                    <w:t>Prioritetinis</w:t>
                  </w:r>
                </w:p>
              </w:tc>
              <w:tc>
                <w:tcPr>
                  <w:tcW w:w="2070" w:type="dxa"/>
                  <w:tcBorders>
                    <w:top w:val="single" w:sz="6" w:space="0" w:color="000000"/>
                    <w:left w:val="single" w:sz="6" w:space="0" w:color="000000"/>
                    <w:bottom w:val="single" w:sz="6" w:space="0" w:color="000000"/>
                    <w:right w:val="single" w:sz="6" w:space="0" w:color="000000"/>
                  </w:tcBorders>
                </w:tcPr>
                <w:p w14:paraId="0A45F15A" w14:textId="374E48EB" w:rsidR="000E6AF8" w:rsidRDefault="007575F4">
                  <w:pPr>
                    <w:jc w:val="both"/>
                    <w:rPr>
                      <w:i/>
                      <w:iCs/>
                      <w:szCs w:val="24"/>
                    </w:rPr>
                  </w:pPr>
                  <w:r w:rsidRPr="003C42AA">
                    <w:rPr>
                      <w:i/>
                      <w:iCs/>
                      <w:szCs w:val="24"/>
                      <w:lang w:eastAsia="lt-LT"/>
                    </w:rPr>
                    <w:t xml:space="preserve">Projektu modifikuojama nacionaliniu ir </w:t>
                  </w:r>
                  <w:r w:rsidRPr="003C42AA">
                    <w:rPr>
                      <w:i/>
                      <w:iCs/>
                      <w:szCs w:val="24"/>
                      <w:lang w:eastAsia="lt-LT"/>
                    </w:rPr>
                    <w:lastRenderedPageBreak/>
                    <w:t>(arba) ES lygiu strategiškai reikšminga skaitmeninė paslauga į ją integruojant kelių skirtingų tipų inovatyvius technologinius sprendimus ir (ar) įrankius - mažai naudojamas arba rinkoje neegzistuojančias elektroninės atpažinties ar kvalifikuotas patikimumo užtikrinimo paslaugas.</w:t>
                  </w:r>
                </w:p>
              </w:tc>
              <w:tc>
                <w:tcPr>
                  <w:tcW w:w="2071" w:type="dxa"/>
                  <w:tcBorders>
                    <w:top w:val="single" w:sz="6" w:space="0" w:color="000000"/>
                    <w:left w:val="single" w:sz="6" w:space="0" w:color="000000"/>
                    <w:bottom w:val="single" w:sz="6" w:space="0" w:color="000000"/>
                    <w:right w:val="single" w:sz="6" w:space="0" w:color="000000"/>
                  </w:tcBorders>
                </w:tcPr>
                <w:p w14:paraId="67D4F18A" w14:textId="77777777" w:rsidR="007575F4" w:rsidRPr="00376EBF" w:rsidRDefault="007575F4" w:rsidP="007575F4">
                  <w:pPr>
                    <w:jc w:val="both"/>
                    <w:rPr>
                      <w:rFonts w:eastAsiaTheme="minorEastAsia"/>
                      <w:i/>
                      <w:iCs/>
                      <w:szCs w:val="24"/>
                      <w:lang w:eastAsia="lt-LT"/>
                    </w:rPr>
                  </w:pPr>
                  <w:r w:rsidRPr="00376EBF">
                    <w:rPr>
                      <w:rFonts w:eastAsiaTheme="minorEastAsia"/>
                      <w:i/>
                      <w:iCs/>
                      <w:szCs w:val="24"/>
                      <w:lang w:eastAsia="lt-LT"/>
                    </w:rPr>
                    <w:lastRenderedPageBreak/>
                    <w:t xml:space="preserve">Vertinama, ar į nacionaliniu ir (arba) ES lygiu </w:t>
                  </w:r>
                  <w:r w:rsidRPr="00376EBF">
                    <w:rPr>
                      <w:rFonts w:eastAsiaTheme="minorEastAsia"/>
                      <w:i/>
                      <w:iCs/>
                      <w:szCs w:val="24"/>
                      <w:lang w:eastAsia="lt-LT"/>
                    </w:rPr>
                    <w:lastRenderedPageBreak/>
                    <w:t>strategiškai reikšmingą skaitmeninę paslaugą integruojami keli elektroninės atpažinties ir patikimumo užtikrinimo technologiniai sprendimai ir (ar) įrankiai. Vertinama pagal pareiškėjo pateiktą aprašymą, kuriame susiejama skaitmeninės paslaugos naudojimas su sprendimais ir (ar) įrankiais.</w:t>
                  </w:r>
                </w:p>
                <w:p w14:paraId="3848CC88" w14:textId="6F432DEC" w:rsidR="000E6AF8" w:rsidRDefault="007575F4" w:rsidP="007575F4">
                  <w:pPr>
                    <w:jc w:val="both"/>
                    <w:rPr>
                      <w:i/>
                      <w:iCs/>
                      <w:szCs w:val="24"/>
                    </w:rPr>
                  </w:pPr>
                  <w:r w:rsidRPr="00376EBF">
                    <w:rPr>
                      <w:rFonts w:eastAsiaTheme="minorEastAsia"/>
                      <w:i/>
                      <w:iCs/>
                      <w:szCs w:val="24"/>
                      <w:lang w:eastAsia="lt-LT"/>
                    </w:rPr>
                    <w:t xml:space="preserve">5 balai skiriami projektams, kuriuose į nacionaliniu ir (arba) ES lygiu strategiškai reikšmingą skaitmeninę paslaugą bus integruojami 3 ir daugiau </w:t>
                  </w:r>
                  <w:r w:rsidRPr="00376EBF">
                    <w:rPr>
                      <w:rFonts w:eastAsiaTheme="minorEastAsia"/>
                      <w:i/>
                      <w:iCs/>
                      <w:szCs w:val="24"/>
                      <w:lang w:eastAsia="lt-LT"/>
                    </w:rPr>
                    <w:lastRenderedPageBreak/>
                    <w:t xml:space="preserve">elektroninės atpažinties ir patikimumo užtikrinimo technologiniai sprendimai ir (ar) įrankiai, 3 balai skiriami projektams, kuriuose į nacionaliniu ir (arba) ES lygiu strategiškai reikšmingą skaitmeninę paslaugą bus integruojami 2 elektroninės atpažinties ir patikimumo užtikrinimo technologiniai sprendimai ir (ar) įrankiai, 1 balas bus skiriamas projektams, kuriuose į nacionaliniu ir (arba) ES lygiu strategiškai reikšmingą skaitmeninę </w:t>
                  </w:r>
                  <w:r w:rsidRPr="00376EBF">
                    <w:rPr>
                      <w:rFonts w:eastAsiaTheme="minorEastAsia"/>
                      <w:i/>
                      <w:iCs/>
                      <w:szCs w:val="24"/>
                      <w:lang w:eastAsia="lt-LT"/>
                    </w:rPr>
                    <w:lastRenderedPageBreak/>
                    <w:t>paslaugą bus integruojamas 1 elektroninės atpažinties ir patikimumo užtikrinimo technologinis sprendimas ir (ar) įrankis.</w:t>
                  </w:r>
                </w:p>
              </w:tc>
              <w:tc>
                <w:tcPr>
                  <w:tcW w:w="2070" w:type="dxa"/>
                  <w:tcBorders>
                    <w:top w:val="single" w:sz="6" w:space="0" w:color="000000"/>
                    <w:left w:val="single" w:sz="6" w:space="0" w:color="000000"/>
                    <w:bottom w:val="single" w:sz="6" w:space="0" w:color="000000"/>
                    <w:right w:val="single" w:sz="6" w:space="0" w:color="000000"/>
                  </w:tcBorders>
                </w:tcPr>
                <w:p w14:paraId="5BDB5825" w14:textId="5EB093CC" w:rsidR="000E6AF8" w:rsidRPr="00F713D9" w:rsidRDefault="00F713D9">
                  <w:pPr>
                    <w:jc w:val="both"/>
                    <w:rPr>
                      <w:i/>
                      <w:iCs/>
                      <w:szCs w:val="24"/>
                    </w:rPr>
                  </w:pPr>
                  <w:r>
                    <w:rPr>
                      <w:i/>
                      <w:iCs/>
                      <w:szCs w:val="24"/>
                    </w:rPr>
                    <w:lastRenderedPageBreak/>
                    <w:t>5 (Y</w:t>
                  </w:r>
                  <w:r w:rsidR="00EA075B">
                    <w:rPr>
                      <w:i/>
                      <w:iCs/>
                      <w:szCs w:val="24"/>
                      <w:vertAlign w:val="subscript"/>
                    </w:rPr>
                    <w:t>3</w:t>
                  </w:r>
                  <w:r>
                    <w:rPr>
                      <w:i/>
                      <w:iCs/>
                      <w:szCs w:val="24"/>
                    </w:rPr>
                    <w:t>)</w:t>
                  </w:r>
                </w:p>
              </w:tc>
              <w:tc>
                <w:tcPr>
                  <w:tcW w:w="2071" w:type="dxa"/>
                  <w:tcBorders>
                    <w:top w:val="single" w:sz="6" w:space="0" w:color="000000"/>
                    <w:left w:val="single" w:sz="6" w:space="0" w:color="000000"/>
                    <w:bottom w:val="single" w:sz="6" w:space="0" w:color="000000"/>
                    <w:right w:val="single" w:sz="6" w:space="0" w:color="000000"/>
                  </w:tcBorders>
                </w:tcPr>
                <w:p w14:paraId="08D15C03" w14:textId="4EF2106B" w:rsidR="000E6AF8" w:rsidRPr="00F713D9" w:rsidRDefault="00F713D9">
                  <w:pPr>
                    <w:jc w:val="both"/>
                    <w:rPr>
                      <w:i/>
                      <w:iCs/>
                      <w:szCs w:val="24"/>
                    </w:rPr>
                  </w:pPr>
                  <w:r>
                    <w:rPr>
                      <w:i/>
                      <w:iCs/>
                      <w:szCs w:val="24"/>
                    </w:rPr>
                    <w:t>5 (</w:t>
                  </w:r>
                  <w:r w:rsidR="00EA075B">
                    <w:rPr>
                      <w:i/>
                      <w:iCs/>
                      <w:szCs w:val="24"/>
                    </w:rPr>
                    <w:t>S</w:t>
                  </w:r>
                  <w:r w:rsidR="00EA075B">
                    <w:rPr>
                      <w:i/>
                      <w:iCs/>
                      <w:szCs w:val="24"/>
                      <w:vertAlign w:val="subscript"/>
                    </w:rPr>
                    <w:t>3</w:t>
                  </w:r>
                  <w:r>
                    <w:rPr>
                      <w:i/>
                      <w:iCs/>
                      <w:szCs w:val="24"/>
                    </w:rPr>
                    <w:t>)</w:t>
                  </w:r>
                </w:p>
              </w:tc>
              <w:tc>
                <w:tcPr>
                  <w:tcW w:w="3827" w:type="dxa"/>
                  <w:gridSpan w:val="3"/>
                  <w:tcBorders>
                    <w:top w:val="single" w:sz="6" w:space="0" w:color="000000"/>
                    <w:left w:val="single" w:sz="6" w:space="0" w:color="000000"/>
                    <w:bottom w:val="single" w:sz="6" w:space="0" w:color="000000"/>
                    <w:right w:val="single" w:sz="6" w:space="0" w:color="000000"/>
                  </w:tcBorders>
                </w:tcPr>
                <w:p w14:paraId="62C38706" w14:textId="0780CEF5" w:rsidR="000E6AF8" w:rsidRDefault="00F713D9">
                  <w:pPr>
                    <w:jc w:val="both"/>
                    <w:rPr>
                      <w:i/>
                      <w:iCs/>
                      <w:szCs w:val="24"/>
                    </w:rPr>
                  </w:pPr>
                  <w:r>
                    <w:rPr>
                      <w:i/>
                      <w:iCs/>
                      <w:szCs w:val="24"/>
                    </w:rPr>
                    <w:t>25</w:t>
                  </w:r>
                </w:p>
              </w:tc>
            </w:tr>
            <w:tr w:rsidR="00611435" w:rsidRPr="007567C1" w14:paraId="1C79044A" w14:textId="77777777" w:rsidTr="00611435">
              <w:trPr>
                <w:gridAfter w:val="1"/>
                <w:wAfter w:w="425" w:type="dxa"/>
              </w:trPr>
              <w:tc>
                <w:tcPr>
                  <w:tcW w:w="11701" w:type="dxa"/>
                  <w:gridSpan w:val="7"/>
                  <w:tcBorders>
                    <w:top w:val="single" w:sz="6" w:space="0" w:color="000000"/>
                    <w:left w:val="single" w:sz="6" w:space="0" w:color="000000"/>
                    <w:bottom w:val="single" w:sz="6" w:space="0" w:color="000000"/>
                    <w:right w:val="single" w:sz="6" w:space="0" w:color="000000"/>
                  </w:tcBorders>
                </w:tcPr>
                <w:p w14:paraId="013316D2" w14:textId="77777777" w:rsidR="00611435" w:rsidRPr="007567C1" w:rsidRDefault="00611435" w:rsidP="00611435">
                  <w:pPr>
                    <w:jc w:val="both"/>
                    <w:rPr>
                      <w:i/>
                      <w:iCs/>
                      <w:szCs w:val="24"/>
                    </w:rPr>
                  </w:pPr>
                  <w:r w:rsidRPr="007567C1">
                    <w:rPr>
                      <w:color w:val="000000"/>
                      <w:szCs w:val="24"/>
                    </w:rPr>
                    <w:lastRenderedPageBreak/>
                    <w:t>Minimali privaloma surinkti balų suma</w:t>
                  </w:r>
                </w:p>
              </w:tc>
              <w:tc>
                <w:tcPr>
                  <w:tcW w:w="2750" w:type="dxa"/>
                  <w:tcBorders>
                    <w:top w:val="single" w:sz="6" w:space="0" w:color="000000"/>
                    <w:left w:val="single" w:sz="6" w:space="0" w:color="000000"/>
                    <w:bottom w:val="single" w:sz="6" w:space="0" w:color="000000"/>
                    <w:right w:val="single" w:sz="6" w:space="0" w:color="000000"/>
                  </w:tcBorders>
                </w:tcPr>
                <w:p w14:paraId="1FFF33F5" w14:textId="18CAE7A0" w:rsidR="00611435" w:rsidRPr="007567C1" w:rsidRDefault="000A5341" w:rsidP="00611435">
                  <w:pPr>
                    <w:jc w:val="both"/>
                    <w:rPr>
                      <w:i/>
                      <w:iCs/>
                      <w:szCs w:val="24"/>
                    </w:rPr>
                  </w:pPr>
                  <w:r>
                    <w:rPr>
                      <w:i/>
                      <w:iCs/>
                      <w:szCs w:val="24"/>
                    </w:rPr>
                    <w:t>3</w:t>
                  </w:r>
                  <w:r w:rsidR="00611435">
                    <w:rPr>
                      <w:i/>
                      <w:iCs/>
                      <w:szCs w:val="24"/>
                    </w:rPr>
                    <w:t>5</w:t>
                  </w:r>
                </w:p>
              </w:tc>
            </w:tr>
            <w:tr w:rsidR="00611435" w:rsidRPr="007567C1" w14:paraId="089E2C14" w14:textId="77777777" w:rsidTr="00611435">
              <w:trPr>
                <w:gridAfter w:val="1"/>
                <w:wAfter w:w="425" w:type="dxa"/>
              </w:trPr>
              <w:tc>
                <w:tcPr>
                  <w:tcW w:w="11701" w:type="dxa"/>
                  <w:gridSpan w:val="7"/>
                  <w:tcBorders>
                    <w:top w:val="single" w:sz="6" w:space="0" w:color="000000"/>
                    <w:left w:val="single" w:sz="6" w:space="0" w:color="000000"/>
                    <w:bottom w:val="single" w:sz="6" w:space="0" w:color="000000"/>
                    <w:right w:val="single" w:sz="6" w:space="0" w:color="000000"/>
                  </w:tcBorders>
                </w:tcPr>
                <w:p w14:paraId="69A65865" w14:textId="77777777" w:rsidR="00611435" w:rsidRPr="007567C1" w:rsidRDefault="00611435" w:rsidP="00611435">
                  <w:pPr>
                    <w:jc w:val="both"/>
                    <w:rPr>
                      <w:i/>
                      <w:iCs/>
                      <w:szCs w:val="24"/>
                    </w:rPr>
                  </w:pPr>
                  <w:r w:rsidRPr="007567C1">
                    <w:rPr>
                      <w:color w:val="000000"/>
                      <w:szCs w:val="24"/>
                    </w:rPr>
                    <w:t>Maksimali galima balų suma (apvalinama iki sveiko skaičiaus)</w:t>
                  </w:r>
                </w:p>
              </w:tc>
              <w:tc>
                <w:tcPr>
                  <w:tcW w:w="2750" w:type="dxa"/>
                  <w:tcBorders>
                    <w:top w:val="single" w:sz="6" w:space="0" w:color="000000"/>
                    <w:left w:val="single" w:sz="6" w:space="0" w:color="000000"/>
                    <w:bottom w:val="single" w:sz="6" w:space="0" w:color="000000"/>
                    <w:right w:val="single" w:sz="6" w:space="0" w:color="000000"/>
                  </w:tcBorders>
                </w:tcPr>
                <w:p w14:paraId="2D9A0428" w14:textId="77777777" w:rsidR="00611435" w:rsidRPr="007567C1" w:rsidRDefault="00611435" w:rsidP="00611435">
                  <w:pPr>
                    <w:jc w:val="both"/>
                    <w:rPr>
                      <w:i/>
                      <w:iCs/>
                      <w:szCs w:val="24"/>
                    </w:rPr>
                  </w:pPr>
                  <w:r w:rsidRPr="007567C1">
                    <w:rPr>
                      <w:i/>
                      <w:iCs/>
                      <w:szCs w:val="24"/>
                    </w:rPr>
                    <w:t>100</w:t>
                  </w:r>
                </w:p>
              </w:tc>
            </w:tr>
            <w:tr w:rsidR="00611435" w:rsidRPr="007567C1" w14:paraId="54E04938" w14:textId="77777777" w:rsidTr="00611435">
              <w:trPr>
                <w:gridAfter w:val="1"/>
                <w:wAfter w:w="425" w:type="dxa"/>
              </w:trPr>
              <w:tc>
                <w:tcPr>
                  <w:tcW w:w="11701" w:type="dxa"/>
                  <w:gridSpan w:val="7"/>
                  <w:tcBorders>
                    <w:top w:val="single" w:sz="6" w:space="0" w:color="000000"/>
                    <w:left w:val="single" w:sz="6" w:space="0" w:color="000000"/>
                    <w:bottom w:val="single" w:sz="6" w:space="0" w:color="000000"/>
                    <w:right w:val="single" w:sz="6" w:space="0" w:color="000000"/>
                  </w:tcBorders>
                </w:tcPr>
                <w:p w14:paraId="370DC1ED" w14:textId="77777777" w:rsidR="00611435" w:rsidRPr="007567C1" w:rsidRDefault="00611435" w:rsidP="00611435">
                  <w:pPr>
                    <w:jc w:val="both"/>
                    <w:rPr>
                      <w:color w:val="000000"/>
                      <w:szCs w:val="24"/>
                    </w:rPr>
                  </w:pPr>
                  <w:r w:rsidRPr="007567C1">
                    <w:rPr>
                      <w:color w:val="000000"/>
                      <w:szCs w:val="24"/>
                    </w:rPr>
                    <w:t>Balas apskaičiuojamas pagal formulę, kurioje P – projekto surinktas balų skaičius, Y – kriterijaus gautas vertinimo balas ir S – kriterijui suteiktas svorio koeficientas:</w:t>
                  </w:r>
                </w:p>
                <w:p w14:paraId="25D55F97" w14:textId="77777777" w:rsidR="00611435" w:rsidRPr="007567C1" w:rsidRDefault="00611435" w:rsidP="00611435">
                  <w:pPr>
                    <w:jc w:val="both"/>
                    <w:rPr>
                      <w:i/>
                      <w:iCs/>
                      <w:szCs w:val="24"/>
                    </w:rPr>
                  </w:pPr>
                  <w:r w:rsidRPr="007567C1">
                    <w:rPr>
                      <w:color w:val="000000"/>
                      <w:szCs w:val="24"/>
                    </w:rPr>
                    <w:t>P = Y</w:t>
                  </w:r>
                  <w:r w:rsidRPr="007567C1">
                    <w:rPr>
                      <w:color w:val="000000"/>
                      <w:szCs w:val="24"/>
                      <w:vertAlign w:val="subscript"/>
                    </w:rPr>
                    <w:t>1</w:t>
                  </w:r>
                  <w:r w:rsidRPr="007567C1">
                    <w:rPr>
                      <w:color w:val="000000"/>
                      <w:szCs w:val="24"/>
                    </w:rPr>
                    <w:t xml:space="preserve"> * S</w:t>
                  </w:r>
                  <w:r w:rsidRPr="007567C1">
                    <w:rPr>
                      <w:color w:val="000000"/>
                      <w:szCs w:val="24"/>
                      <w:vertAlign w:val="subscript"/>
                    </w:rPr>
                    <w:t>1</w:t>
                  </w:r>
                  <w:r w:rsidRPr="007567C1">
                    <w:rPr>
                      <w:color w:val="000000"/>
                      <w:szCs w:val="24"/>
                    </w:rPr>
                    <w:t xml:space="preserve"> + Y</w:t>
                  </w:r>
                  <w:r w:rsidRPr="007567C1">
                    <w:rPr>
                      <w:color w:val="000000"/>
                      <w:szCs w:val="24"/>
                      <w:vertAlign w:val="subscript"/>
                    </w:rPr>
                    <w:t>2</w:t>
                  </w:r>
                  <w:r w:rsidRPr="007567C1">
                    <w:rPr>
                      <w:color w:val="000000"/>
                      <w:szCs w:val="24"/>
                    </w:rPr>
                    <w:t xml:space="preserve"> * S</w:t>
                  </w:r>
                  <w:r w:rsidRPr="007567C1">
                    <w:rPr>
                      <w:color w:val="000000"/>
                      <w:szCs w:val="24"/>
                      <w:vertAlign w:val="subscript"/>
                    </w:rPr>
                    <w:t>2</w:t>
                  </w:r>
                  <w:r w:rsidRPr="007567C1">
                    <w:rPr>
                      <w:color w:val="000000"/>
                      <w:szCs w:val="24"/>
                    </w:rPr>
                    <w:t xml:space="preserve"> </w:t>
                  </w:r>
                  <w:r>
                    <w:rPr>
                      <w:color w:val="000000"/>
                      <w:szCs w:val="24"/>
                      <w:lang w:val="ru-RU"/>
                    </w:rPr>
                    <w:t xml:space="preserve">+ </w:t>
                  </w:r>
                  <w:r w:rsidRPr="007567C1">
                    <w:rPr>
                      <w:color w:val="000000"/>
                      <w:szCs w:val="24"/>
                    </w:rPr>
                    <w:t>Y</w:t>
                  </w:r>
                  <w:r>
                    <w:rPr>
                      <w:color w:val="000000"/>
                      <w:szCs w:val="24"/>
                      <w:vertAlign w:val="subscript"/>
                    </w:rPr>
                    <w:t>3</w:t>
                  </w:r>
                  <w:r w:rsidRPr="007567C1">
                    <w:rPr>
                      <w:color w:val="000000"/>
                      <w:szCs w:val="24"/>
                    </w:rPr>
                    <w:t xml:space="preserve"> * S</w:t>
                  </w:r>
                  <w:r>
                    <w:rPr>
                      <w:color w:val="000000"/>
                      <w:szCs w:val="24"/>
                      <w:vertAlign w:val="subscript"/>
                    </w:rPr>
                    <w:t>3</w:t>
                  </w:r>
                  <w:r w:rsidRPr="007567C1">
                    <w:rPr>
                      <w:color w:val="000000"/>
                      <w:szCs w:val="24"/>
                    </w:rPr>
                    <w:t xml:space="preserve"> </w:t>
                  </w:r>
                </w:p>
              </w:tc>
              <w:tc>
                <w:tcPr>
                  <w:tcW w:w="2750" w:type="dxa"/>
                  <w:tcBorders>
                    <w:top w:val="single" w:sz="6" w:space="0" w:color="000000"/>
                    <w:left w:val="single" w:sz="6" w:space="0" w:color="000000"/>
                    <w:bottom w:val="single" w:sz="6" w:space="0" w:color="000000"/>
                    <w:right w:val="single" w:sz="6" w:space="0" w:color="000000"/>
                  </w:tcBorders>
                </w:tcPr>
                <w:p w14:paraId="05C0EA11" w14:textId="77777777" w:rsidR="00611435" w:rsidRPr="007567C1" w:rsidRDefault="00611435" w:rsidP="00611435">
                  <w:pPr>
                    <w:jc w:val="both"/>
                    <w:rPr>
                      <w:i/>
                      <w:iCs/>
                      <w:szCs w:val="24"/>
                    </w:rPr>
                  </w:pPr>
                </w:p>
              </w:tc>
            </w:tr>
            <w:tr w:rsidR="00611435" w:rsidRPr="007567C1" w14:paraId="4AC12AF4" w14:textId="77777777" w:rsidTr="00611435">
              <w:trPr>
                <w:gridAfter w:val="1"/>
                <w:wAfter w:w="425" w:type="dxa"/>
              </w:trPr>
              <w:tc>
                <w:tcPr>
                  <w:tcW w:w="14451" w:type="dxa"/>
                  <w:gridSpan w:val="8"/>
                  <w:tcBorders>
                    <w:top w:val="single" w:sz="6" w:space="0" w:color="000000"/>
                    <w:left w:val="single" w:sz="6" w:space="0" w:color="000000"/>
                    <w:bottom w:val="single" w:sz="6" w:space="0" w:color="000000"/>
                    <w:right w:val="single" w:sz="6" w:space="0" w:color="000000"/>
                  </w:tcBorders>
                </w:tcPr>
                <w:p w14:paraId="3B65C847" w14:textId="09F5CFF8" w:rsidR="00611435" w:rsidRPr="007567C1" w:rsidRDefault="00611435" w:rsidP="00611435">
                  <w:pPr>
                    <w:jc w:val="both"/>
                    <w:rPr>
                      <w:szCs w:val="24"/>
                    </w:rPr>
                  </w:pPr>
                  <w:r w:rsidRPr="007567C1">
                    <w:rPr>
                      <w:szCs w:val="24"/>
                    </w:rPr>
                    <w:t xml:space="preserve">Jei projektas vertinimo metu nesurenka PFSA </w:t>
                  </w:r>
                  <w:r w:rsidR="000A5341">
                    <w:rPr>
                      <w:szCs w:val="24"/>
                    </w:rPr>
                    <w:t>9</w:t>
                  </w:r>
                  <w:r w:rsidRPr="007567C1">
                    <w:rPr>
                      <w:szCs w:val="24"/>
                    </w:rPr>
                    <w:t xml:space="preserve"> punkte nurodytos minimalios balų sumos, PĮP atmetamas. </w:t>
                  </w:r>
                  <w:r w:rsidRPr="007567C1">
                    <w:t>Kai projektams, surinkusiems vienodą galutinį balų skaičių, nepakanka pagal kvietimą teikti PĮP skirtos finansavimo lėšų sumos</w:t>
                  </w:r>
                  <w:r w:rsidRPr="007567C1">
                    <w:rPr>
                      <w:szCs w:val="24"/>
                    </w:rPr>
                    <w:t>, pirmenybė teikiama projektams, surinkusiems daugiau balų pagal pirmąjį PFSA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w:t>
                  </w:r>
                  <w:r w:rsidRPr="007567C1">
                    <w:t>Projektai, kuriems rekomenduojama skirti finansavimą“ pagal PĮP pateikimo laiką.</w:t>
                  </w:r>
                </w:p>
              </w:tc>
            </w:tr>
          </w:tbl>
          <w:p w14:paraId="1D6AFA90" w14:textId="723BF86D" w:rsidR="000E6AF8" w:rsidRDefault="000E6AF8">
            <w:pPr>
              <w:jc w:val="both"/>
              <w:rPr>
                <w:i/>
                <w:sz w:val="22"/>
                <w:szCs w:val="22"/>
              </w:rPr>
            </w:pPr>
          </w:p>
        </w:tc>
      </w:tr>
      <w:tr w:rsidR="000E6AF8" w14:paraId="1D4C8D0E" w14:textId="77777777">
        <w:trPr>
          <w:trHeight w:val="309"/>
        </w:trPr>
        <w:tc>
          <w:tcPr>
            <w:tcW w:w="15134" w:type="dxa"/>
          </w:tcPr>
          <w:p w14:paraId="518959F2" w14:textId="3088F416" w:rsidR="000E6AF8" w:rsidRDefault="00B92EBB" w:rsidP="008D7492">
            <w:pPr>
              <w:jc w:val="both"/>
              <w:rPr>
                <w:i/>
                <w:sz w:val="22"/>
                <w:szCs w:val="22"/>
              </w:rPr>
            </w:pPr>
            <w:r>
              <w:rPr>
                <w:b/>
                <w:szCs w:val="22"/>
              </w:rPr>
              <w:lastRenderedPageBreak/>
              <w:t>10.</w:t>
            </w:r>
            <w:r>
              <w:rPr>
                <w:szCs w:val="22"/>
              </w:rPr>
              <w:t xml:space="preserve"> </w:t>
            </w:r>
            <w:r>
              <w:rPr>
                <w:b/>
                <w:szCs w:val="22"/>
              </w:rPr>
              <w:t xml:space="preserve">Jungtinio projekto projektų atrankos kriterijai </w:t>
            </w:r>
          </w:p>
        </w:tc>
      </w:tr>
      <w:tr w:rsidR="000E6AF8" w14:paraId="6EC432CB" w14:textId="77777777" w:rsidTr="00627CAA">
        <w:trPr>
          <w:trHeight w:val="251"/>
        </w:trPr>
        <w:tc>
          <w:tcPr>
            <w:tcW w:w="15134" w:type="dxa"/>
          </w:tcPr>
          <w:p w14:paraId="35ADFCB3" w14:textId="2F611FE3" w:rsidR="000E6AF8" w:rsidRPr="00627CAA" w:rsidRDefault="00627CAA">
            <w:pPr>
              <w:jc w:val="both"/>
              <w:rPr>
                <w:iCs/>
                <w:sz w:val="22"/>
                <w:szCs w:val="22"/>
              </w:rPr>
            </w:pPr>
            <w:r w:rsidRPr="00627CAA">
              <w:rPr>
                <w:iCs/>
                <w:sz w:val="22"/>
                <w:szCs w:val="22"/>
              </w:rPr>
              <w:t>Netaikoma.</w:t>
            </w:r>
          </w:p>
        </w:tc>
      </w:tr>
      <w:tr w:rsidR="000E6AF8" w14:paraId="0B3B981D" w14:textId="77777777">
        <w:tc>
          <w:tcPr>
            <w:tcW w:w="15134" w:type="dxa"/>
          </w:tcPr>
          <w:p w14:paraId="77DD98CB" w14:textId="66E6B9EA" w:rsidR="000E6AF8" w:rsidRDefault="00B92EBB">
            <w:pPr>
              <w:rPr>
                <w:szCs w:val="24"/>
              </w:rPr>
            </w:pPr>
            <w:r>
              <w:rPr>
                <w:b/>
                <w:szCs w:val="24"/>
              </w:rPr>
              <w:t>11.</w:t>
            </w:r>
            <w:r>
              <w:rPr>
                <w:szCs w:val="24"/>
              </w:rPr>
              <w:t xml:space="preserve"> </w:t>
            </w:r>
            <w:r>
              <w:rPr>
                <w:b/>
                <w:szCs w:val="24"/>
              </w:rPr>
              <w:t>Reikalavimai įgyvendinus projektų veiklas</w:t>
            </w:r>
          </w:p>
        </w:tc>
      </w:tr>
      <w:tr w:rsidR="000E6AF8" w14:paraId="318D32D0" w14:textId="77777777">
        <w:tc>
          <w:tcPr>
            <w:tcW w:w="15134" w:type="dxa"/>
          </w:tcPr>
          <w:p w14:paraId="08474776" w14:textId="36381331" w:rsidR="000E6AF8" w:rsidRDefault="00F406F9">
            <w:pPr>
              <w:jc w:val="both"/>
              <w:rPr>
                <w:i/>
                <w:sz w:val="22"/>
                <w:szCs w:val="22"/>
              </w:rPr>
            </w:pPr>
            <w:r w:rsidRPr="002D4A7C">
              <w:rPr>
                <w:iCs/>
                <w:szCs w:val="24"/>
              </w:rPr>
              <w:t>PFSA 2.3.1</w:t>
            </w:r>
            <w:r w:rsidR="00A06657">
              <w:rPr>
                <w:iCs/>
                <w:szCs w:val="24"/>
              </w:rPr>
              <w:t>4</w:t>
            </w:r>
            <w:r w:rsidRPr="002D4A7C">
              <w:rPr>
                <w:iCs/>
                <w:szCs w:val="24"/>
              </w:rPr>
              <w:t xml:space="preserve"> papunktyje nustatomas papildomas reikalavimas dėl projektų rezultatų viešinimo po projektų įgyvendinimo</w:t>
            </w:r>
            <w:r w:rsidR="000A5341">
              <w:rPr>
                <w:iCs/>
                <w:szCs w:val="24"/>
              </w:rPr>
              <w:t>.</w:t>
            </w:r>
          </w:p>
        </w:tc>
      </w:tr>
      <w:tr w:rsidR="000E6AF8" w14:paraId="76E350FC" w14:textId="77777777">
        <w:tc>
          <w:tcPr>
            <w:tcW w:w="15134" w:type="dxa"/>
          </w:tcPr>
          <w:p w14:paraId="10E33134" w14:textId="1D788C31" w:rsidR="000E6AF8" w:rsidRDefault="00B92EBB">
            <w:pPr>
              <w:rPr>
                <w:szCs w:val="24"/>
              </w:rPr>
            </w:pPr>
            <w:r>
              <w:rPr>
                <w:b/>
                <w:szCs w:val="24"/>
              </w:rPr>
              <w:t>12.</w:t>
            </w:r>
            <w:r>
              <w:rPr>
                <w:szCs w:val="24"/>
              </w:rPr>
              <w:t xml:space="preserve"> </w:t>
            </w:r>
            <w:r>
              <w:rPr>
                <w:b/>
                <w:szCs w:val="24"/>
              </w:rPr>
              <w:t>Kiti reikalavimai</w:t>
            </w:r>
          </w:p>
        </w:tc>
      </w:tr>
      <w:tr w:rsidR="000E6AF8" w14:paraId="2A47AD37" w14:textId="77777777">
        <w:tc>
          <w:tcPr>
            <w:tcW w:w="15134" w:type="dxa"/>
          </w:tcPr>
          <w:p w14:paraId="6D5D2B01" w14:textId="73B2EACD" w:rsidR="000E6AF8" w:rsidRDefault="000B63F7">
            <w:pPr>
              <w:tabs>
                <w:tab w:val="left" w:pos="1134"/>
              </w:tabs>
              <w:jc w:val="both"/>
              <w:rPr>
                <w:i/>
                <w:sz w:val="22"/>
                <w:szCs w:val="22"/>
              </w:rPr>
            </w:pPr>
            <w:r>
              <w:rPr>
                <w:i/>
                <w:sz w:val="22"/>
                <w:szCs w:val="22"/>
              </w:rPr>
              <w:t xml:space="preserve"> </w:t>
            </w:r>
            <w:r w:rsidRPr="000B63F7">
              <w:rPr>
                <w:iCs/>
                <w:sz w:val="22"/>
                <w:szCs w:val="22"/>
              </w:rPr>
              <w:t>Netaikoma.</w:t>
            </w:r>
            <w:r>
              <w:rPr>
                <w:i/>
                <w:sz w:val="22"/>
                <w:szCs w:val="22"/>
              </w:rPr>
              <w:t xml:space="preserve"> </w:t>
            </w:r>
          </w:p>
        </w:tc>
      </w:tr>
      <w:tr w:rsidR="000E6AF8" w14:paraId="41DB09FF" w14:textId="77777777">
        <w:tc>
          <w:tcPr>
            <w:tcW w:w="15134" w:type="dxa"/>
          </w:tcPr>
          <w:p w14:paraId="1ACCE788" w14:textId="77777777" w:rsidR="000E6AF8" w:rsidRDefault="00B92EBB">
            <w:pPr>
              <w:rPr>
                <w:b/>
                <w:szCs w:val="24"/>
              </w:rPr>
            </w:pPr>
            <w:r>
              <w:rPr>
                <w:b/>
                <w:szCs w:val="24"/>
              </w:rPr>
              <w:t>IŠLAIDŲ TINKAMUMO FINANSUOTI REIKALAVIMAI</w:t>
            </w:r>
          </w:p>
        </w:tc>
      </w:tr>
      <w:tr w:rsidR="000E6AF8" w14:paraId="3471268F" w14:textId="77777777">
        <w:tc>
          <w:tcPr>
            <w:tcW w:w="15134" w:type="dxa"/>
          </w:tcPr>
          <w:p w14:paraId="0B1B6151" w14:textId="084A502E" w:rsidR="000E6AF8" w:rsidRDefault="00B92EBB">
            <w:pPr>
              <w:jc w:val="both"/>
              <w:rPr>
                <w:b/>
                <w:szCs w:val="24"/>
              </w:rPr>
            </w:pPr>
            <w:r>
              <w:rPr>
                <w:b/>
                <w:szCs w:val="24"/>
              </w:rPr>
              <w:t>13. Išlaidų tinkamumo finansuoti reikalavimai</w:t>
            </w:r>
          </w:p>
        </w:tc>
      </w:tr>
      <w:tr w:rsidR="000E6AF8" w14:paraId="173C6C3E" w14:textId="77777777">
        <w:tc>
          <w:tcPr>
            <w:tcW w:w="15134" w:type="dxa"/>
          </w:tcPr>
          <w:p w14:paraId="6756E607" w14:textId="16A3D3AF" w:rsidR="000B63F7" w:rsidRDefault="000A5341" w:rsidP="000B63F7">
            <w:pPr>
              <w:jc w:val="both"/>
              <w:rPr>
                <w:szCs w:val="24"/>
              </w:rPr>
            </w:pPr>
            <w:r>
              <w:rPr>
                <w:szCs w:val="24"/>
              </w:rPr>
              <w:t>13</w:t>
            </w:r>
            <w:r w:rsidR="000B63F7" w:rsidRPr="00D1594C">
              <w:rPr>
                <w:szCs w:val="24"/>
              </w:rPr>
              <w:t xml:space="preserve">.1. </w:t>
            </w:r>
            <w:r w:rsidR="000B63F7" w:rsidRPr="001365A3">
              <w:rPr>
                <w:szCs w:val="24"/>
              </w:rPr>
              <w:t>Projekto išlaidos turi atitikti Projektų administravimo ir finansavimo taisykl</w:t>
            </w:r>
            <w:r w:rsidR="000B63F7">
              <w:rPr>
                <w:szCs w:val="24"/>
              </w:rPr>
              <w:t xml:space="preserve">ių </w:t>
            </w:r>
            <w:r w:rsidR="000B63F7">
              <w:t xml:space="preserve"> </w:t>
            </w:r>
            <w:r w:rsidR="000B63F7" w:rsidRPr="00BC2049">
              <w:rPr>
                <w:szCs w:val="24"/>
              </w:rPr>
              <w:t xml:space="preserve">VII skyriuje </w:t>
            </w:r>
            <w:r w:rsidR="000B63F7" w:rsidRPr="001365A3">
              <w:rPr>
                <w:szCs w:val="24"/>
              </w:rPr>
              <w:t>išdėstytus projekto išlaidoms taikomus reikalavimus.</w:t>
            </w:r>
            <w:r w:rsidR="000B63F7">
              <w:t xml:space="preserve"> </w:t>
            </w:r>
          </w:p>
          <w:p w14:paraId="0BC39727" w14:textId="76A5A9E4" w:rsidR="000B63F7" w:rsidRPr="00741409" w:rsidRDefault="000A5341" w:rsidP="000B63F7">
            <w:pPr>
              <w:jc w:val="both"/>
              <w:rPr>
                <w:szCs w:val="24"/>
              </w:rPr>
            </w:pPr>
            <w:r>
              <w:rPr>
                <w:szCs w:val="24"/>
              </w:rPr>
              <w:t>13</w:t>
            </w:r>
            <w:r w:rsidR="000B63F7" w:rsidRPr="00741409">
              <w:rPr>
                <w:szCs w:val="24"/>
              </w:rPr>
              <w:t>.</w:t>
            </w:r>
            <w:r w:rsidR="000B63F7" w:rsidRPr="009E100E">
              <w:rPr>
                <w:szCs w:val="24"/>
              </w:rPr>
              <w:t>2</w:t>
            </w:r>
            <w:r w:rsidR="000B63F7" w:rsidRPr="00741409">
              <w:rPr>
                <w:szCs w:val="24"/>
              </w:rPr>
              <w:t>. Pareiškėjas savo iniciatyva ir savo ir (arba) kitų šaltinių lėšomis gali prisidėti prie projekto įgyvendinimo didesne lėšų suma, nei reikalaujama.</w:t>
            </w:r>
          </w:p>
          <w:p w14:paraId="698A6944" w14:textId="1ABDCB2C" w:rsidR="000B63F7" w:rsidRPr="00741409" w:rsidRDefault="000A5341" w:rsidP="000B63F7">
            <w:pPr>
              <w:jc w:val="both"/>
              <w:rPr>
                <w:szCs w:val="24"/>
              </w:rPr>
            </w:pPr>
            <w:r>
              <w:rPr>
                <w:szCs w:val="24"/>
              </w:rPr>
              <w:t>13</w:t>
            </w:r>
            <w:r w:rsidR="000B63F7" w:rsidRPr="00741409">
              <w:rPr>
                <w:szCs w:val="24"/>
              </w:rPr>
              <w:t>.</w:t>
            </w:r>
            <w:r w:rsidR="000B63F7">
              <w:rPr>
                <w:szCs w:val="24"/>
              </w:rPr>
              <w:t>3</w:t>
            </w:r>
            <w:r w:rsidR="000B63F7" w:rsidRPr="00741409">
              <w:rPr>
                <w:szCs w:val="24"/>
              </w:rPr>
              <w:t>. Projekto tinkamų finansuoti išlaidų dalis, kurios nepadengia projektui skiriamo finansavimo lėšos, turi būti finansuojama iš projekto vykdytojo lėšų.</w:t>
            </w:r>
          </w:p>
          <w:p w14:paraId="7DF53515" w14:textId="48D4840F" w:rsidR="000B63F7" w:rsidRDefault="007E5311" w:rsidP="000B63F7">
            <w:pPr>
              <w:jc w:val="both"/>
              <w:rPr>
                <w:szCs w:val="24"/>
              </w:rPr>
            </w:pPr>
            <w:r>
              <w:rPr>
                <w:szCs w:val="24"/>
              </w:rPr>
              <w:t>13</w:t>
            </w:r>
            <w:r w:rsidR="000B63F7" w:rsidRPr="00741409">
              <w:rPr>
                <w:szCs w:val="24"/>
              </w:rPr>
              <w:t>.</w:t>
            </w:r>
            <w:r w:rsidR="000B63F7">
              <w:rPr>
                <w:szCs w:val="24"/>
              </w:rPr>
              <w:t>4</w:t>
            </w:r>
            <w:r w:rsidR="000B63F7" w:rsidRPr="00741409">
              <w:rPr>
                <w:szCs w:val="24"/>
              </w:rPr>
              <w:t>. Kryžminis finansavimas netaikomas.</w:t>
            </w:r>
          </w:p>
          <w:p w14:paraId="43026F99" w14:textId="3C68446C" w:rsidR="000B63F7" w:rsidRPr="000B63F7" w:rsidRDefault="007E5311" w:rsidP="000B63F7">
            <w:pPr>
              <w:jc w:val="both"/>
            </w:pPr>
            <w:r>
              <w:lastRenderedPageBreak/>
              <w:t>13</w:t>
            </w:r>
            <w:r w:rsidR="000B63F7" w:rsidRPr="000B63F7">
              <w:t>.5. Netinkamos finansuoti projekto išlaidos:</w:t>
            </w:r>
          </w:p>
          <w:p w14:paraId="4F801BEB" w14:textId="7482BB01" w:rsidR="000B63F7" w:rsidRPr="000B63F7" w:rsidRDefault="007E5311" w:rsidP="000B63F7">
            <w:pPr>
              <w:jc w:val="both"/>
            </w:pPr>
            <w:r>
              <w:t>13</w:t>
            </w:r>
            <w:r w:rsidR="000B63F7" w:rsidRPr="000B63F7">
              <w:t>.5.1. įgyvendinant projektą naudojamo ilgalaikio turto nusidėvėjimo (amortizacijos) sąnaudos;</w:t>
            </w:r>
          </w:p>
          <w:p w14:paraId="00BBF053" w14:textId="0EE87384" w:rsidR="000B63F7" w:rsidRPr="000B63F7" w:rsidRDefault="007E5311" w:rsidP="000B63F7">
            <w:pPr>
              <w:jc w:val="both"/>
            </w:pPr>
            <w:r>
              <w:t>13</w:t>
            </w:r>
            <w:r w:rsidR="000B63F7" w:rsidRPr="000B63F7">
              <w:t>.5.2. nepiniginis projekto vykdytojo/ar projekto partnerio įnašas;</w:t>
            </w:r>
          </w:p>
          <w:p w14:paraId="1F1B814B" w14:textId="30CAB363" w:rsidR="00C7322A" w:rsidRPr="00C7322A" w:rsidRDefault="007E5311" w:rsidP="00F65DD4">
            <w:pPr>
              <w:rPr>
                <w:lang w:eastAsia="lt-LT"/>
              </w:rPr>
            </w:pPr>
            <w:r w:rsidRPr="00C7322A">
              <w:t>13</w:t>
            </w:r>
            <w:r w:rsidR="000B63F7" w:rsidRPr="00C7322A">
              <w:t>.5.3. infrastruktūros ir programinės ar kitokios įrangos, kuri yra arba bus teikiama valstybės informacinių technologijų infrastruktūroje, įsigijimo, šios infrastruktūros konsolidavimo ir optimizavimo procese dalyvaujančioms institucijoms išlaidos</w:t>
            </w:r>
            <w:r w:rsidR="00C7322A" w:rsidRPr="00C7322A">
              <w:t xml:space="preserve">, kaip tai numatyta 2015 m. gegužės 13 d. Lietuvos Respublikos Vyriausybės nutarime Nr. </w:t>
            </w:r>
            <w:r w:rsidR="000B63F7" w:rsidRPr="00C7322A">
              <w:t>498</w:t>
            </w:r>
            <w:r w:rsidR="00C7322A" w:rsidRPr="00C7322A">
              <w:t xml:space="preserve"> „</w:t>
            </w:r>
            <w:r w:rsidR="00F65DD4">
              <w:rPr>
                <w:lang w:eastAsia="lt-LT"/>
              </w:rPr>
              <w:t>Dė</w:t>
            </w:r>
            <w:r w:rsidR="00C7322A" w:rsidRPr="00C7322A">
              <w:rPr>
                <w:lang w:eastAsia="lt-LT"/>
              </w:rPr>
              <w:t>l valstybės informacinių technologijų infrastruktūros konsolidavimo ir jos valdymo optimizavimo</w:t>
            </w:r>
            <w:r w:rsidR="00F65DD4">
              <w:rPr>
                <w:lang w:eastAsia="lt-LT"/>
              </w:rPr>
              <w:t>“ (toliau –  LRV nutarimas Nr. 498);</w:t>
            </w:r>
          </w:p>
          <w:p w14:paraId="114C63C5" w14:textId="4D473DB3" w:rsidR="000B63F7" w:rsidRPr="000B63F7" w:rsidRDefault="007E5311" w:rsidP="00F65DD4">
            <w:pPr>
              <w:jc w:val="both"/>
            </w:pPr>
            <w:r>
              <w:t>13</w:t>
            </w:r>
            <w:r w:rsidR="000B63F7" w:rsidRPr="000B63F7">
              <w:t xml:space="preserve">.5.4. informacinių technologijų paslaugų teikėjo centralizuotai teikiamų informacinių technologijų paslaugų, numatytų </w:t>
            </w:r>
            <w:r w:rsidR="00F65DD4">
              <w:t>LRV n</w:t>
            </w:r>
            <w:r w:rsidR="000B63F7" w:rsidRPr="000B63F7">
              <w:t>utarime Nr. 498, apmokėjimo išlaidos;</w:t>
            </w:r>
          </w:p>
          <w:p w14:paraId="5DE437C5" w14:textId="47E51393" w:rsidR="000E6AF8" w:rsidRDefault="007E5311" w:rsidP="007E5311">
            <w:pPr>
              <w:jc w:val="both"/>
              <w:rPr>
                <w:sz w:val="22"/>
                <w:szCs w:val="22"/>
              </w:rPr>
            </w:pPr>
            <w:r>
              <w:t>13</w:t>
            </w:r>
            <w:r w:rsidR="000B63F7" w:rsidRPr="000B63F7">
              <w:t>.5.5. baldai</w:t>
            </w:r>
            <w:r>
              <w:t>.</w:t>
            </w:r>
          </w:p>
        </w:tc>
      </w:tr>
      <w:tr w:rsidR="000E6AF8" w14:paraId="2404C283" w14:textId="77777777">
        <w:trPr>
          <w:trHeight w:val="349"/>
        </w:trPr>
        <w:tc>
          <w:tcPr>
            <w:tcW w:w="15134" w:type="dxa"/>
          </w:tcPr>
          <w:p w14:paraId="04113AAD" w14:textId="1AF4C75C" w:rsidR="000E6AF8" w:rsidRDefault="00B92EBB">
            <w:pPr>
              <w:jc w:val="both"/>
              <w:rPr>
                <w:szCs w:val="24"/>
              </w:rPr>
            </w:pPr>
            <w:r>
              <w:rPr>
                <w:b/>
                <w:szCs w:val="24"/>
              </w:rPr>
              <w:lastRenderedPageBreak/>
              <w:t>14.</w:t>
            </w:r>
            <w:r>
              <w:rPr>
                <w:szCs w:val="24"/>
              </w:rPr>
              <w:t xml:space="preserve"> </w:t>
            </w:r>
            <w:r>
              <w:rPr>
                <w:b/>
                <w:szCs w:val="24"/>
              </w:rPr>
              <w:t>Projektų veiklų ir jungtinio projekto projektų įgyvendinimui taikomi supaprastintai apmokamų išlaidų dydžiai</w:t>
            </w:r>
          </w:p>
        </w:tc>
      </w:tr>
      <w:tr w:rsidR="000E6AF8" w14:paraId="047E8380" w14:textId="77777777">
        <w:tc>
          <w:tcPr>
            <w:tcW w:w="15134" w:type="dxa"/>
          </w:tcPr>
          <w:p w14:paraId="3593DC7D" w14:textId="3901F6CC" w:rsidR="000E6AF8" w:rsidRPr="008D7492" w:rsidRDefault="000B63F7">
            <w:pPr>
              <w:jc w:val="both"/>
              <w:rPr>
                <w:sz w:val="22"/>
                <w:szCs w:val="22"/>
              </w:rPr>
            </w:pPr>
            <w:r w:rsidRPr="00C77339">
              <w:rPr>
                <w:sz w:val="22"/>
                <w:szCs w:val="22"/>
              </w:rPr>
              <w:t>Netaikoma.</w:t>
            </w:r>
          </w:p>
        </w:tc>
      </w:tr>
    </w:tbl>
    <w:p w14:paraId="0487820C" w14:textId="77777777" w:rsidR="000E6AF8" w:rsidRDefault="000E6AF8">
      <w:pPr>
        <w:spacing w:line="276" w:lineRule="auto"/>
        <w:jc w:val="center"/>
        <w:rPr>
          <w:rFonts w:eastAsia="Calibri"/>
          <w:sz w:val="22"/>
          <w:szCs w:val="22"/>
        </w:rPr>
      </w:pPr>
    </w:p>
    <w:p w14:paraId="5D94B0D8" w14:textId="77777777" w:rsidR="000E6AF8" w:rsidRDefault="000E6AF8">
      <w:pPr>
        <w:rPr>
          <w:sz w:val="18"/>
          <w:szCs w:val="18"/>
        </w:rPr>
      </w:pPr>
    </w:p>
    <w:p w14:paraId="2C5127EF" w14:textId="77777777" w:rsidR="000E6AF8" w:rsidRDefault="00B92EBB">
      <w:pPr>
        <w:spacing w:line="276" w:lineRule="auto"/>
        <w:jc w:val="center"/>
        <w:rPr>
          <w:rFonts w:eastAsia="Calibri"/>
          <w:szCs w:val="24"/>
        </w:rPr>
      </w:pPr>
      <w:r>
        <w:rPr>
          <w:rFonts w:eastAsia="Calibri"/>
          <w:szCs w:val="24"/>
        </w:rPr>
        <w:t>________________</w:t>
      </w:r>
    </w:p>
    <w:p w14:paraId="3496AEDC" w14:textId="77777777" w:rsidR="00237697" w:rsidRDefault="00237697" w:rsidP="00237697">
      <w:pPr>
        <w:rPr>
          <w:rFonts w:eastAsia="Calibri"/>
          <w:szCs w:val="24"/>
        </w:rPr>
      </w:pPr>
    </w:p>
    <w:p w14:paraId="1F5ADAE4" w14:textId="7B8C1193" w:rsidR="00237697" w:rsidRDefault="00237697" w:rsidP="00237697">
      <w:pPr>
        <w:tabs>
          <w:tab w:val="left" w:pos="8040"/>
        </w:tabs>
        <w:rPr>
          <w:szCs w:val="24"/>
        </w:rPr>
      </w:pPr>
      <w:r>
        <w:rPr>
          <w:szCs w:val="24"/>
        </w:rPr>
        <w:tab/>
      </w:r>
    </w:p>
    <w:p w14:paraId="5D4A79BA" w14:textId="77777777" w:rsidR="00237697" w:rsidRDefault="00237697" w:rsidP="00237697">
      <w:pPr>
        <w:tabs>
          <w:tab w:val="left" w:pos="8040"/>
        </w:tabs>
        <w:rPr>
          <w:szCs w:val="24"/>
        </w:rPr>
      </w:pPr>
    </w:p>
    <w:p w14:paraId="08DBF061" w14:textId="77777777" w:rsidR="00237697" w:rsidRDefault="00237697" w:rsidP="00237697">
      <w:pPr>
        <w:tabs>
          <w:tab w:val="left" w:pos="8040"/>
        </w:tabs>
        <w:rPr>
          <w:szCs w:val="24"/>
        </w:rPr>
      </w:pPr>
    </w:p>
    <w:p w14:paraId="6F7F5A87" w14:textId="77777777" w:rsidR="00237697" w:rsidRDefault="00237697" w:rsidP="00237697">
      <w:pPr>
        <w:tabs>
          <w:tab w:val="left" w:pos="8040"/>
        </w:tabs>
        <w:rPr>
          <w:szCs w:val="24"/>
        </w:rPr>
      </w:pPr>
    </w:p>
    <w:p w14:paraId="563968F2" w14:textId="77777777" w:rsidR="00237697" w:rsidRDefault="00237697" w:rsidP="00237697">
      <w:pPr>
        <w:tabs>
          <w:tab w:val="left" w:pos="8040"/>
        </w:tabs>
        <w:rPr>
          <w:szCs w:val="24"/>
        </w:rPr>
      </w:pPr>
    </w:p>
    <w:p w14:paraId="4CA55596" w14:textId="77777777" w:rsidR="00237697" w:rsidRDefault="00237697" w:rsidP="00237697">
      <w:pPr>
        <w:tabs>
          <w:tab w:val="left" w:pos="8040"/>
        </w:tabs>
        <w:rPr>
          <w:szCs w:val="24"/>
        </w:rPr>
      </w:pPr>
    </w:p>
    <w:p w14:paraId="64164F4B" w14:textId="77777777" w:rsidR="008D7492" w:rsidRDefault="008D7492" w:rsidP="00237697">
      <w:pPr>
        <w:tabs>
          <w:tab w:val="left" w:pos="8040"/>
        </w:tabs>
        <w:rPr>
          <w:szCs w:val="24"/>
        </w:rPr>
      </w:pPr>
    </w:p>
    <w:p w14:paraId="0E54C4D0" w14:textId="77777777" w:rsidR="008D7492" w:rsidRDefault="008D7492" w:rsidP="00237697">
      <w:pPr>
        <w:tabs>
          <w:tab w:val="left" w:pos="8040"/>
        </w:tabs>
        <w:rPr>
          <w:szCs w:val="24"/>
        </w:rPr>
      </w:pPr>
    </w:p>
    <w:p w14:paraId="7A8FB26E" w14:textId="77777777" w:rsidR="008D7492" w:rsidRDefault="008D7492" w:rsidP="00237697">
      <w:pPr>
        <w:tabs>
          <w:tab w:val="left" w:pos="8040"/>
        </w:tabs>
        <w:rPr>
          <w:szCs w:val="24"/>
        </w:rPr>
      </w:pPr>
    </w:p>
    <w:p w14:paraId="7C37C4AB" w14:textId="77777777" w:rsidR="008D7492" w:rsidRDefault="008D7492" w:rsidP="00237697">
      <w:pPr>
        <w:tabs>
          <w:tab w:val="left" w:pos="8040"/>
        </w:tabs>
        <w:rPr>
          <w:szCs w:val="24"/>
        </w:rPr>
      </w:pPr>
    </w:p>
    <w:p w14:paraId="52DCEDBC" w14:textId="77777777" w:rsidR="008D7492" w:rsidRDefault="008D7492" w:rsidP="00237697">
      <w:pPr>
        <w:tabs>
          <w:tab w:val="left" w:pos="8040"/>
        </w:tabs>
        <w:rPr>
          <w:szCs w:val="24"/>
        </w:rPr>
      </w:pPr>
    </w:p>
    <w:p w14:paraId="4DEA8486" w14:textId="77777777" w:rsidR="008D7492" w:rsidRDefault="008D7492" w:rsidP="00237697">
      <w:pPr>
        <w:tabs>
          <w:tab w:val="left" w:pos="8040"/>
        </w:tabs>
        <w:rPr>
          <w:szCs w:val="24"/>
        </w:rPr>
      </w:pPr>
    </w:p>
    <w:p w14:paraId="57FF7B28" w14:textId="77777777" w:rsidR="008D7492" w:rsidRDefault="008D7492" w:rsidP="00237697">
      <w:pPr>
        <w:tabs>
          <w:tab w:val="left" w:pos="8040"/>
        </w:tabs>
        <w:rPr>
          <w:szCs w:val="24"/>
        </w:rPr>
      </w:pPr>
    </w:p>
    <w:p w14:paraId="7335D11D" w14:textId="77777777" w:rsidR="008D7492" w:rsidRDefault="008D7492" w:rsidP="00237697">
      <w:pPr>
        <w:tabs>
          <w:tab w:val="left" w:pos="8040"/>
        </w:tabs>
        <w:rPr>
          <w:szCs w:val="24"/>
        </w:rPr>
        <w:sectPr w:rsidR="008D7492" w:rsidSect="00237697">
          <w:pgSz w:w="16838" w:h="11906" w:orient="landscape"/>
          <w:pgMar w:top="1701" w:right="567" w:bottom="1134" w:left="1134" w:header="567" w:footer="567" w:gutter="0"/>
          <w:cols w:space="1296"/>
          <w:titlePg/>
          <w:docGrid w:linePitch="360"/>
        </w:sectPr>
      </w:pPr>
    </w:p>
    <w:p w14:paraId="4B86819C" w14:textId="77777777" w:rsidR="00237697" w:rsidRDefault="00237697" w:rsidP="00237697">
      <w:pPr>
        <w:tabs>
          <w:tab w:val="left" w:pos="8040"/>
        </w:tabs>
        <w:rPr>
          <w:szCs w:val="24"/>
        </w:rPr>
      </w:pPr>
    </w:p>
    <w:p w14:paraId="5E91C330" w14:textId="77777777" w:rsidR="00237697" w:rsidRPr="00237697" w:rsidRDefault="00237697" w:rsidP="00237697">
      <w:pPr>
        <w:ind w:left="9639"/>
        <w:rPr>
          <w:bCs/>
          <w:iCs/>
          <w:szCs w:val="24"/>
        </w:rPr>
      </w:pPr>
      <w:r w:rsidRPr="00237697">
        <w:rPr>
          <w:bCs/>
          <w:szCs w:val="24"/>
        </w:rPr>
        <w:t xml:space="preserve">2021–2030 metų Lietuvos Respublikos ekonomikos ir inovacijų ministerijos valstybės skaitmeninimo plėtros programos pažangos priemonės </w:t>
      </w:r>
      <w:r w:rsidRPr="00237697">
        <w:rPr>
          <w:szCs w:val="24"/>
          <w:lang w:eastAsia="lt-LT"/>
        </w:rPr>
        <w:t>Nr.</w:t>
      </w:r>
      <w:r w:rsidRPr="00237697">
        <w:rPr>
          <w:i/>
          <w:szCs w:val="24"/>
          <w:lang w:eastAsia="lt-LT"/>
        </w:rPr>
        <w:t xml:space="preserve"> </w:t>
      </w:r>
      <w:r w:rsidRPr="00237697">
        <w:rPr>
          <w:szCs w:val="24"/>
        </w:rPr>
        <w:t xml:space="preserve">05-002-01-07-08 „Kurti technologinius sprendimus ir įrankius, leidžiančius saugiai ir patogiai naudotis paslaugomis“ veiklos </w:t>
      </w:r>
      <w:r w:rsidRPr="00237697">
        <w:rPr>
          <w:bCs/>
          <w:iCs/>
          <w:szCs w:val="24"/>
        </w:rPr>
        <w:t xml:space="preserve">„Naudojimosi elektroninės atpažinties priemonėmis skatinimas“ poveiklės </w:t>
      </w:r>
      <w:r w:rsidRPr="00237697">
        <w:rPr>
          <w:bCs/>
          <w:szCs w:val="24"/>
        </w:rPr>
        <w:t xml:space="preserve">„Naudojimosi elektroninės atpažinties priemonėmis skatinimas Sostinės regione“ ir poveiklės </w:t>
      </w:r>
      <w:r w:rsidRPr="00237697">
        <w:rPr>
          <w:bCs/>
          <w:iCs/>
          <w:szCs w:val="24"/>
        </w:rPr>
        <w:t xml:space="preserve">„Naudojimosi elektroninės atpažinties priemonėmis skatinimas Vidurio ir vakarų Lietuvos regione“ projektų finansavimo sąlygų </w:t>
      </w:r>
      <w:r w:rsidRPr="00237697">
        <w:rPr>
          <w:szCs w:val="24"/>
        </w:rPr>
        <w:t xml:space="preserve"> aprašo 1 priedas</w:t>
      </w:r>
    </w:p>
    <w:p w14:paraId="18F9DF6F" w14:textId="77777777" w:rsidR="00237697" w:rsidRPr="00237697" w:rsidRDefault="00237697" w:rsidP="00237697">
      <w:pPr>
        <w:spacing w:line="276" w:lineRule="auto"/>
        <w:jc w:val="center"/>
        <w:rPr>
          <w:szCs w:val="24"/>
        </w:rPr>
      </w:pPr>
    </w:p>
    <w:p w14:paraId="44FD5461" w14:textId="77777777" w:rsidR="00237697" w:rsidRPr="00237697" w:rsidRDefault="00237697" w:rsidP="00237697">
      <w:pPr>
        <w:spacing w:line="276" w:lineRule="auto"/>
        <w:jc w:val="center"/>
        <w:rPr>
          <w:szCs w:val="24"/>
        </w:rPr>
      </w:pPr>
    </w:p>
    <w:p w14:paraId="459AE9C6" w14:textId="77777777" w:rsidR="00237697" w:rsidRPr="00237697" w:rsidRDefault="00237697" w:rsidP="00237697">
      <w:pPr>
        <w:jc w:val="center"/>
        <w:rPr>
          <w:rFonts w:eastAsia="Calibri"/>
          <w:b/>
          <w:bCs/>
          <w:szCs w:val="24"/>
        </w:rPr>
      </w:pPr>
      <w:r w:rsidRPr="00237697">
        <w:rPr>
          <w:rFonts w:eastAsia="Calibri"/>
          <w:b/>
          <w:bCs/>
          <w:szCs w:val="24"/>
        </w:rPr>
        <w:t>PROJEKTO (ĮSKAITANT JUNGTINĮ PROJEKTĄ) ATITIKTIES REIKŠMINGOS ŽALOS NEDARYMO HORIZONTALIAJAM PRINCIPUI VERTINIMO REIKALAVIMŲ APRAŠAS</w:t>
      </w:r>
    </w:p>
    <w:p w14:paraId="63073748" w14:textId="77777777" w:rsidR="00237697" w:rsidRPr="00237697" w:rsidRDefault="00237697" w:rsidP="00237697">
      <w:pPr>
        <w:jc w:val="center"/>
        <w:rPr>
          <w:rFonts w:eastAsia="Calibri"/>
          <w:b/>
          <w:bCs/>
          <w:szCs w:val="24"/>
        </w:rPr>
      </w:pPr>
    </w:p>
    <w:p w14:paraId="26E0A3A5" w14:textId="77777777" w:rsidR="00237697" w:rsidRPr="00237697" w:rsidRDefault="00237697" w:rsidP="00237697">
      <w:pPr>
        <w:spacing w:line="276" w:lineRule="auto"/>
        <w:jc w:val="both"/>
        <w:rPr>
          <w:rFonts w:eastAsia="Calibri"/>
          <w:bCs/>
          <w:szCs w:val="24"/>
        </w:rPr>
      </w:pPr>
      <w:r w:rsidRPr="00237697">
        <w:rPr>
          <w:rFonts w:eastAsia="Calibri"/>
          <w:bCs/>
          <w:szCs w:val="24"/>
        </w:rPr>
        <w:t>Finansavimo šaltinis, pagal kurį finansuojamas projektas (</w:t>
      </w:r>
      <w:r w:rsidRPr="00237697">
        <w:rPr>
          <w:rFonts w:eastAsia="Calibri"/>
          <w:bCs/>
          <w:i/>
          <w:szCs w:val="24"/>
        </w:rPr>
        <w:t>pažymėkite tinkamą</w:t>
      </w:r>
      <w:r w:rsidRPr="00237697">
        <w:rPr>
          <w:rFonts w:eastAsia="Calibri"/>
          <w:bCs/>
          <w:szCs w:val="24"/>
        </w:rPr>
        <w:t>):</w:t>
      </w:r>
    </w:p>
    <w:p w14:paraId="12F2A64B" w14:textId="77777777" w:rsidR="00237697" w:rsidRPr="00237697" w:rsidRDefault="00237697" w:rsidP="00237697">
      <w:pPr>
        <w:spacing w:line="276" w:lineRule="auto"/>
        <w:jc w:val="both"/>
        <w:rPr>
          <w:rFonts w:eastAsia="Calibri"/>
          <w:bCs/>
          <w:szCs w:val="24"/>
        </w:rPr>
      </w:pPr>
      <w:r w:rsidRPr="00237697">
        <w:sym w:font="Wingdings 2" w:char="00A3"/>
      </w:r>
      <w:r w:rsidRPr="00237697">
        <w:t xml:space="preserve"> </w:t>
      </w:r>
      <w:r w:rsidRPr="00237697">
        <w:rPr>
          <w:rFonts w:eastAsia="Calibri"/>
          <w:bCs/>
          <w:szCs w:val="24"/>
        </w:rPr>
        <w:t>Ekonomikos gaivinimo ir atsparumo didinimo priemonė (toliau – EGADP)</w:t>
      </w:r>
    </w:p>
    <w:p w14:paraId="01E24B50" w14:textId="77777777" w:rsidR="00237697" w:rsidRPr="00237697" w:rsidRDefault="00237697" w:rsidP="00237697">
      <w:pPr>
        <w:spacing w:line="276" w:lineRule="auto"/>
        <w:jc w:val="both"/>
        <w:rPr>
          <w:rFonts w:eastAsia="Calibri"/>
          <w:bCs/>
          <w:szCs w:val="24"/>
        </w:rPr>
      </w:pPr>
      <w:r w:rsidRPr="00237697">
        <w:rPr>
          <w:rFonts w:ascii="Wingdings" w:eastAsia="Wingdings" w:hAnsi="Wingdings" w:cs="Wingdings"/>
        </w:rPr>
        <w:t></w:t>
      </w:r>
      <w:r w:rsidRPr="00237697">
        <w:t xml:space="preserve"> Europos Sąjungos fondų i</w:t>
      </w:r>
      <w:r w:rsidRPr="00237697">
        <w:rPr>
          <w:rFonts w:eastAsia="Calibri"/>
          <w:bCs/>
          <w:szCs w:val="24"/>
        </w:rPr>
        <w:t>nvesticijų programa (toliau – ESIP)</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7150"/>
        <w:gridCol w:w="4502"/>
      </w:tblGrid>
      <w:tr w:rsidR="00237697" w:rsidRPr="00237697" w14:paraId="05862AF3" w14:textId="77777777" w:rsidTr="0024254C">
        <w:tc>
          <w:tcPr>
            <w:tcW w:w="3516" w:type="dxa"/>
          </w:tcPr>
          <w:p w14:paraId="616FFB27" w14:textId="77777777" w:rsidR="00237697" w:rsidRPr="00237697" w:rsidRDefault="00237697" w:rsidP="00237697">
            <w:pPr>
              <w:jc w:val="center"/>
              <w:rPr>
                <w:rFonts w:eastAsia="Calibri"/>
                <w:b/>
                <w:szCs w:val="24"/>
              </w:rPr>
            </w:pPr>
            <w:r w:rsidRPr="00237697">
              <w:rPr>
                <w:rFonts w:eastAsia="Calibri"/>
                <w:b/>
                <w:szCs w:val="24"/>
              </w:rPr>
              <w:t>Aplinkos tikslai</w:t>
            </w:r>
          </w:p>
          <w:p w14:paraId="2002DEC4" w14:textId="77777777" w:rsidR="00237697" w:rsidRPr="00237697" w:rsidRDefault="00237697" w:rsidP="00237697">
            <w:pPr>
              <w:jc w:val="both"/>
              <w:rPr>
                <w:rFonts w:eastAsia="Calibri"/>
                <w:b/>
                <w:szCs w:val="24"/>
              </w:rPr>
            </w:pPr>
            <w:r w:rsidRPr="00237697">
              <w:rPr>
                <w:rFonts w:eastAsia="Calibri"/>
                <w:i/>
                <w:iCs/>
                <w:szCs w:val="24"/>
              </w:rPr>
              <w:t>(</w:t>
            </w:r>
            <w:r w:rsidRPr="00237697">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7150" w:type="dxa"/>
          </w:tcPr>
          <w:p w14:paraId="2928B648" w14:textId="77777777" w:rsidR="00237697" w:rsidRPr="00237697" w:rsidRDefault="00237697" w:rsidP="00237697">
            <w:pPr>
              <w:jc w:val="center"/>
              <w:rPr>
                <w:rFonts w:eastAsia="Calibri"/>
                <w:b/>
                <w:szCs w:val="24"/>
              </w:rPr>
            </w:pPr>
            <w:r w:rsidRPr="00237697">
              <w:rPr>
                <w:rFonts w:eastAsia="Calibri"/>
                <w:b/>
                <w:szCs w:val="24"/>
              </w:rPr>
              <w:t>Pagrindimas</w:t>
            </w:r>
          </w:p>
          <w:p w14:paraId="19E5C106" w14:textId="77777777" w:rsidR="00237697" w:rsidRPr="00237697" w:rsidRDefault="00237697" w:rsidP="00237697">
            <w:pPr>
              <w:jc w:val="both"/>
              <w:rPr>
                <w:rFonts w:eastAsia="Calibri"/>
                <w:b/>
                <w:szCs w:val="24"/>
              </w:rPr>
            </w:pPr>
            <w:r w:rsidRPr="00237697">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4502" w:type="dxa"/>
          </w:tcPr>
          <w:p w14:paraId="1E2AC6FE" w14:textId="77777777" w:rsidR="00237697" w:rsidRPr="00237697" w:rsidRDefault="00237697" w:rsidP="00237697">
            <w:pPr>
              <w:jc w:val="center"/>
              <w:rPr>
                <w:rFonts w:eastAsia="Calibri"/>
                <w:i/>
                <w:sz w:val="20"/>
              </w:rPr>
            </w:pPr>
            <w:r w:rsidRPr="00237697">
              <w:rPr>
                <w:rFonts w:eastAsia="Calibri"/>
                <w:b/>
                <w:szCs w:val="24"/>
              </w:rPr>
              <w:t>Pagrindimo dokumentai</w:t>
            </w:r>
          </w:p>
          <w:p w14:paraId="6A20C082" w14:textId="77777777" w:rsidR="00237697" w:rsidRPr="00237697" w:rsidRDefault="00237697" w:rsidP="00237697">
            <w:pPr>
              <w:jc w:val="both"/>
              <w:rPr>
                <w:rFonts w:eastAsia="Calibri"/>
                <w:i/>
                <w:szCs w:val="24"/>
              </w:rPr>
            </w:pPr>
            <w:r w:rsidRPr="00237697">
              <w:rPr>
                <w:rFonts w:eastAsia="Calibri"/>
                <w:i/>
                <w:szCs w:val="24"/>
              </w:rPr>
              <w:t>(nurodomas dokumentas, kuris bus vertinamas siekiant įvertinti projekto atitiktį aplinkos tikslams, arba pateikiama šią atitiktį pagrindžianti informacija)</w:t>
            </w:r>
          </w:p>
        </w:tc>
      </w:tr>
      <w:tr w:rsidR="00237697" w:rsidRPr="00237697" w14:paraId="0DD1645A" w14:textId="77777777" w:rsidTr="0024254C">
        <w:tc>
          <w:tcPr>
            <w:tcW w:w="3516" w:type="dxa"/>
          </w:tcPr>
          <w:p w14:paraId="072A5917" w14:textId="77777777" w:rsidR="00237697" w:rsidRPr="00237697" w:rsidRDefault="00237697" w:rsidP="00237697">
            <w:pPr>
              <w:tabs>
                <w:tab w:val="left" w:pos="289"/>
              </w:tabs>
              <w:ind w:firstLine="5"/>
              <w:jc w:val="both"/>
              <w:rPr>
                <w:rFonts w:eastAsia="Calibri"/>
                <w:szCs w:val="24"/>
              </w:rPr>
            </w:pPr>
            <w:r w:rsidRPr="00237697">
              <w:rPr>
                <w:rFonts w:eastAsia="Calibri"/>
                <w:szCs w:val="24"/>
              </w:rPr>
              <w:t>1.</w:t>
            </w:r>
            <w:r w:rsidRPr="00237697">
              <w:rPr>
                <w:rFonts w:eastAsia="Calibri"/>
                <w:szCs w:val="24"/>
              </w:rPr>
              <w:tab/>
              <w:t>Klimato kaitos švelninimas</w:t>
            </w:r>
          </w:p>
        </w:tc>
        <w:tc>
          <w:tcPr>
            <w:tcW w:w="7150" w:type="dxa"/>
          </w:tcPr>
          <w:p w14:paraId="7EA86C4B" w14:textId="77777777" w:rsidR="00237697" w:rsidRPr="00237697" w:rsidRDefault="00237697" w:rsidP="00237697">
            <w:pPr>
              <w:jc w:val="both"/>
              <w:rPr>
                <w:rFonts w:eastAsia="Calibri"/>
                <w:bCs/>
                <w:szCs w:val="24"/>
              </w:rPr>
            </w:pPr>
            <w:r w:rsidRPr="00237697">
              <w:rPr>
                <w:rFonts w:eastAsia="Calibri"/>
                <w:bCs/>
                <w:szCs w:val="24"/>
              </w:rPr>
              <w:t xml:space="preserve">Vertinama, kad planuojamos įgyvendinti poveiklės dėl savo pobūdžio neturės jokio neigiamo tiesioginio ar netiesioginio poveikio klimato kaitos švelninimo tikslui, nes nenumatoma, kad įgyvendinant </w:t>
            </w:r>
            <w:r w:rsidRPr="00237697">
              <w:rPr>
                <w:rFonts w:eastAsia="Calibri"/>
                <w:bCs/>
                <w:szCs w:val="24"/>
              </w:rPr>
              <w:lastRenderedPageBreak/>
              <w:t>suplanuotas poveikles būtų kuriama tokia infrastruktūra, kuri galėtų turėti ženklų poveikį klimato kaitai ir galėtų būti šiltnamio efektą sukeliančių dujų išsiskyrimas.</w:t>
            </w:r>
          </w:p>
          <w:p w14:paraId="1E4F6824" w14:textId="77777777" w:rsidR="00237697" w:rsidRPr="00237697" w:rsidRDefault="00237697" w:rsidP="00237697">
            <w:pPr>
              <w:jc w:val="both"/>
              <w:rPr>
                <w:rFonts w:eastAsia="Calibri"/>
                <w:bCs/>
                <w:i/>
                <w:szCs w:val="24"/>
              </w:rPr>
            </w:pPr>
            <w:r w:rsidRPr="00237697">
              <w:rPr>
                <w:rFonts w:eastAsia="Calibri"/>
                <w:bCs/>
                <w:szCs w:val="24"/>
              </w:rPr>
              <w:t>Bus investuojama į tokius technologinius sprendimus, kurie</w:t>
            </w:r>
            <w:r w:rsidRPr="00237697">
              <w:rPr>
                <w:szCs w:val="24"/>
              </w:rPr>
              <w:t xml:space="preserve"> padės p</w:t>
            </w:r>
            <w:r w:rsidRPr="00237697">
              <w:rPr>
                <w:bCs/>
                <w:szCs w:val="24"/>
              </w:rPr>
              <w:t xml:space="preserve">lėtoti inovatyvių elektroninės atpažinties priemonių ir patikimumo užtikrinimo paslaugų naudojimą, taip skatinant viešojo sektoriaus ir verslo skaitmenizavimą. Numatoma investuoti į tokius sprendimus ir įrankius, kurie sudarytų sąlygas teikti tokias </w:t>
            </w:r>
            <w:r w:rsidRPr="00237697">
              <w:rPr>
                <w:szCs w:val="24"/>
              </w:rPr>
              <w:t xml:space="preserve">kvalifikuotas patikimumo užtikrinimo paslaugas kaip elektroninių parašų ilgalaikės apsaugos, elektroninių spaudų ilgalaikės apsaugos, interneto svetainių tapatumo nustatymo sertifikatų kūrimo, elektroninio registruoto pristatymo paslaugas. </w:t>
            </w:r>
            <w:r w:rsidRPr="00237697">
              <w:rPr>
                <w:rFonts w:eastAsia="Calibri"/>
                <w:bCs/>
                <w:i/>
                <w:szCs w:val="24"/>
              </w:rPr>
              <w:t>Šie veiksmai (veiklos) dėl savo pobūdžio neturės jokio neigiamo tiesioginio ar netiesioginio poveikio klimato kaitos švelninimo tikslui, nes nenumatoma, kad įgyvendinant veiklas galėtų būti ŠESD išsiskyrimas.</w:t>
            </w:r>
          </w:p>
          <w:p w14:paraId="675B0052" w14:textId="77777777" w:rsidR="00237697" w:rsidRPr="00237697" w:rsidRDefault="00237697" w:rsidP="00237697">
            <w:pPr>
              <w:jc w:val="both"/>
              <w:rPr>
                <w:rFonts w:eastAsia="Calibri"/>
                <w:bCs/>
                <w:szCs w:val="24"/>
              </w:rPr>
            </w:pPr>
            <w:r w:rsidRPr="00237697">
              <w:rPr>
                <w:rFonts w:eastAsia="Calibri"/>
                <w:bCs/>
                <w:szCs w:val="24"/>
              </w:rPr>
              <w:t xml:space="preserve">Įgyvendinat veiklas bus laikomasi energijos efektyvumo elgesio kodekse nustatytų reikalavimų.. </w:t>
            </w:r>
          </w:p>
          <w:p w14:paraId="2928426D" w14:textId="77777777" w:rsidR="00237697" w:rsidRPr="00237697" w:rsidRDefault="00237697" w:rsidP="00237697">
            <w:pPr>
              <w:jc w:val="both"/>
              <w:rPr>
                <w:rFonts w:eastAsia="Calibri"/>
                <w:bCs/>
                <w:szCs w:val="24"/>
              </w:rPr>
            </w:pPr>
            <w:r w:rsidRPr="00237697">
              <w:rPr>
                <w:rFonts w:eastAsia="Calibri"/>
                <w:bCs/>
                <w:szCs w:val="24"/>
              </w:rPr>
              <w:t>Įgyvendinant 1.2.4. veiksmą (veiklas), bus vadovaujamasi 2021 m. birželio 4 d. Komisijos deleguoto reglamento (ES) 2021/2139</w:t>
            </w:r>
            <w:r w:rsidRPr="00237697">
              <w:rPr>
                <w:rFonts w:eastAsia="Calibri"/>
                <w:bCs/>
                <w:szCs w:val="24"/>
                <w:vertAlign w:val="superscript"/>
              </w:rPr>
              <w:footnoteReference w:id="2"/>
            </w:r>
            <w:r w:rsidRPr="00237697">
              <w:rPr>
                <w:rFonts w:eastAsia="Calibri"/>
                <w:bCs/>
                <w:szCs w:val="24"/>
              </w:rPr>
              <w:t>,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atitinkamoms veikloms taikomuose punktuose (pvz., įsigyjant IT įrangą – taikomi 8 punkte nustatyti techninės analizės kriterijai ir t.t.) reikalavimais, tai numatant atitinkamuose dokumentuose (pvz. pirkimo ir kt. dokumentuose).</w:t>
            </w:r>
          </w:p>
        </w:tc>
        <w:tc>
          <w:tcPr>
            <w:tcW w:w="4502" w:type="dxa"/>
          </w:tcPr>
          <w:p w14:paraId="08891403" w14:textId="77777777" w:rsidR="00237697" w:rsidRPr="00237697" w:rsidRDefault="00237697" w:rsidP="00237697">
            <w:pPr>
              <w:tabs>
                <w:tab w:val="left" w:pos="589"/>
              </w:tabs>
              <w:jc w:val="both"/>
              <w:rPr>
                <w:rFonts w:eastAsia="Calibri"/>
                <w:i/>
                <w:sz w:val="20"/>
              </w:rPr>
            </w:pPr>
            <w:r w:rsidRPr="00237697">
              <w:rPr>
                <w:rFonts w:eastAsia="Calibri"/>
                <w:bCs/>
                <w:szCs w:val="24"/>
              </w:rPr>
              <w:lastRenderedPageBreak/>
              <w:t xml:space="preserve">Siekiant užtikrinti 2021 m. birželio 4 d. Komisijos deleguoto reglamento (ES) </w:t>
            </w:r>
            <w:r w:rsidRPr="00237697">
              <w:rPr>
                <w:rFonts w:eastAsia="Calibri"/>
                <w:bCs/>
                <w:szCs w:val="24"/>
              </w:rPr>
              <w:lastRenderedPageBreak/>
              <w:t>2021/2139</w:t>
            </w:r>
            <w:r w:rsidRPr="00237697">
              <w:rPr>
                <w:rFonts w:eastAsia="Calibri"/>
                <w:bCs/>
                <w:szCs w:val="24"/>
                <w:vertAlign w:val="superscript"/>
              </w:rPr>
              <w:footnoteReference w:id="3"/>
            </w:r>
            <w:r w:rsidRPr="00237697">
              <w:rPr>
                <w:rFonts w:eastAsia="Calibri"/>
                <w:bCs/>
                <w:szCs w:val="24"/>
                <w:vertAlign w:val="superscript"/>
              </w:rPr>
              <w:t>,</w:t>
            </w:r>
            <w:r w:rsidRPr="00237697">
              <w:rPr>
                <w:rFonts w:eastAsia="Calibri"/>
                <w:bCs/>
                <w:szCs w:val="24"/>
              </w:rPr>
              <w:t xml:space="preserve">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atitinkamoms veikloms taikomuose punktuose (pvz., įsigyjant IT įrangą – taikomi 8 punkte nustatyti techninės analizės kriterijai ir t.t.) reikalavimais, tai numatant atitinkamuose dokumentuose (pvz. pirkimo ir kt. dokumentuose), nuostatų įgyvendinimą, pareiškėjas privalo pateikti dokumentus, įrodančius įgyjamos IT įrangos atitikimą nustatytiems minėtiems techninės analizės kriterijams. Tai gali būti pirkimo dokumentai, įrangos aprašymai, techninės specifikacijos ir kiti dokumentai.</w:t>
            </w:r>
          </w:p>
        </w:tc>
      </w:tr>
      <w:tr w:rsidR="00237697" w:rsidRPr="00237697" w14:paraId="05F3A066" w14:textId="77777777" w:rsidTr="0024254C">
        <w:tc>
          <w:tcPr>
            <w:tcW w:w="3516" w:type="dxa"/>
          </w:tcPr>
          <w:p w14:paraId="35037915" w14:textId="77777777" w:rsidR="00237697" w:rsidRPr="00237697" w:rsidRDefault="00237697" w:rsidP="00237697">
            <w:pPr>
              <w:tabs>
                <w:tab w:val="left" w:pos="289"/>
              </w:tabs>
              <w:ind w:firstLine="5"/>
              <w:jc w:val="both"/>
              <w:rPr>
                <w:rFonts w:eastAsia="Calibri"/>
                <w:szCs w:val="24"/>
              </w:rPr>
            </w:pPr>
            <w:r w:rsidRPr="00237697">
              <w:rPr>
                <w:rFonts w:eastAsia="Calibri"/>
                <w:szCs w:val="24"/>
              </w:rPr>
              <w:lastRenderedPageBreak/>
              <w:t>2.</w:t>
            </w:r>
            <w:r w:rsidRPr="00237697">
              <w:rPr>
                <w:rFonts w:eastAsia="Calibri"/>
                <w:szCs w:val="24"/>
              </w:rPr>
              <w:tab/>
              <w:t>Prisitaikymas prie klimato kaitos</w:t>
            </w:r>
          </w:p>
        </w:tc>
        <w:tc>
          <w:tcPr>
            <w:tcW w:w="7150" w:type="dxa"/>
          </w:tcPr>
          <w:p w14:paraId="6148F0CB" w14:textId="77777777" w:rsidR="00237697" w:rsidRPr="00237697" w:rsidRDefault="00237697" w:rsidP="00237697">
            <w:pPr>
              <w:jc w:val="both"/>
              <w:rPr>
                <w:bCs/>
                <w:szCs w:val="24"/>
              </w:rPr>
            </w:pPr>
            <w:r w:rsidRPr="00237697">
              <w:rPr>
                <w:bCs/>
                <w:szCs w:val="24"/>
              </w:rPr>
              <w:t xml:space="preserve">Vertinama, kad planuojamos įgyvendinti poveiklės dėl savo pobūdžio neturės jokio neigiamo tiesioginio ar netiesioginio poveikio prisitaikymo prie klimato kaitos tikslui. </w:t>
            </w:r>
          </w:p>
          <w:p w14:paraId="464A979A" w14:textId="77777777" w:rsidR="00237697" w:rsidRPr="00237697" w:rsidRDefault="00237697" w:rsidP="00237697">
            <w:pPr>
              <w:ind w:left="51"/>
              <w:jc w:val="both"/>
              <w:rPr>
                <w:szCs w:val="24"/>
              </w:rPr>
            </w:pPr>
            <w:r w:rsidRPr="00237697">
              <w:rPr>
                <w:rFonts w:eastAsia="Calibri"/>
                <w:bCs/>
                <w:szCs w:val="24"/>
              </w:rPr>
              <w:t>Bus investuojama į tokius technologinius sprendimus, kurie</w:t>
            </w:r>
            <w:r w:rsidRPr="00237697">
              <w:rPr>
                <w:szCs w:val="24"/>
              </w:rPr>
              <w:t xml:space="preserve"> padės p</w:t>
            </w:r>
            <w:r w:rsidRPr="00237697">
              <w:rPr>
                <w:bCs/>
                <w:szCs w:val="24"/>
              </w:rPr>
              <w:t xml:space="preserve">lėtoti inovatyvių elektroninės atpažinties priemonių ir patikimumo užtikrinimo paslaugų naudojimą, taip skatinant viešojo sektoriaus ir verslo skaitmenizavimą. Numatoma investuoti į tokius sprendimus ir įrankius, kurie sudarytų sąlygas teikti tokias </w:t>
            </w:r>
            <w:r w:rsidRPr="00237697">
              <w:rPr>
                <w:szCs w:val="24"/>
              </w:rPr>
              <w:t>kvalifikuotas patikimumo užtikrinimo paslaugas kaip elektroninių parašų ilgalaikės apsaugos, elektroninių spaudų ilgalaikės apsaugos, interneto svetainių tapatumo nustatymo sertifikatų kūrimo, elektroninio registruoto pristatymo paslaugas.</w:t>
            </w:r>
          </w:p>
          <w:p w14:paraId="36A6D273" w14:textId="77777777" w:rsidR="00237697" w:rsidRPr="00237697" w:rsidRDefault="00237697" w:rsidP="00237697">
            <w:pPr>
              <w:ind w:left="51"/>
              <w:jc w:val="both"/>
              <w:rPr>
                <w:rFonts w:eastAsia="Calibri"/>
                <w:i/>
                <w:szCs w:val="24"/>
              </w:rPr>
            </w:pPr>
            <w:r w:rsidRPr="00237697">
              <w:rPr>
                <w:rFonts w:eastAsia="Calibri"/>
                <w:i/>
                <w:szCs w:val="24"/>
              </w:rPr>
              <w:t>Šie veiksmai (veiklos) (dėl savo pobūdžio) neturės jokio neigiamo tiesioginio ar netiesioginio poveikio prisitaikymo prie klimato kaitos tikslui, nes neplanuojamos kurti jokios infrastruktūros potvynių zonoje. Naudojama įranga atitinka serveriams ir duomenų saugojimo produktams taikomus Direktyvos 2009/125/EB reikalavimus. Naudojamoje įrangoje nėra Europos Parlamento ir Tarybos direktyvos 2011/65/ES ( 309 ) II priede išvardytų ribojamų medžiagų, išskyrus atvejus, kai homogeninių medžiagų koncentracijos vertės pagal masę neviršija tame priede išvardytų didžiausių verčių.</w:t>
            </w:r>
          </w:p>
          <w:p w14:paraId="38E46802" w14:textId="77777777" w:rsidR="00237697" w:rsidRPr="00237697" w:rsidRDefault="00237697" w:rsidP="00237697">
            <w:pPr>
              <w:ind w:left="51"/>
              <w:jc w:val="both"/>
              <w:rPr>
                <w:rFonts w:eastAsia="Calibri"/>
                <w:bCs/>
                <w:szCs w:val="24"/>
              </w:rPr>
            </w:pPr>
            <w:r w:rsidRPr="00237697">
              <w:rPr>
                <w:rFonts w:eastAsia="Calibri"/>
                <w:bCs/>
                <w:szCs w:val="24"/>
              </w:rPr>
              <w:t>Įgyvendinat veiklas bus laikomasi energijos efektyvumo elgesio kodekse ir kituose dokumentuose nustatytų reikalavimų.</w:t>
            </w:r>
          </w:p>
          <w:p w14:paraId="2D76F396" w14:textId="77777777" w:rsidR="00237697" w:rsidRPr="00237697" w:rsidRDefault="00237697" w:rsidP="00237697">
            <w:pPr>
              <w:ind w:left="51"/>
              <w:jc w:val="both"/>
              <w:rPr>
                <w:rFonts w:eastAsia="Calibri"/>
                <w:bCs/>
                <w:szCs w:val="24"/>
              </w:rPr>
            </w:pPr>
            <w:r w:rsidRPr="00237697">
              <w:rPr>
                <w:rFonts w:eastAsia="Calibri"/>
                <w:bCs/>
                <w:szCs w:val="24"/>
              </w:rPr>
              <w:t>Įgyvendinant 1.2.4. veiksmą (veiklas), bus vadovaujamasi 2021 m. birželio 4 d. Komisijos deleguoto reglamento (ES) 2021/2139</w:t>
            </w:r>
            <w:r w:rsidRPr="00237697">
              <w:rPr>
                <w:rFonts w:eastAsia="Calibri"/>
                <w:bCs/>
                <w:szCs w:val="24"/>
                <w:vertAlign w:val="superscript"/>
              </w:rPr>
              <w:footnoteReference w:id="4"/>
            </w:r>
            <w:r w:rsidRPr="00237697">
              <w:rPr>
                <w:rFonts w:eastAsia="Calibri"/>
                <w:bCs/>
                <w:szCs w:val="24"/>
              </w:rPr>
              <w:t xml:space="preserve">,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w:t>
            </w:r>
            <w:r w:rsidRPr="00237697">
              <w:rPr>
                <w:rFonts w:eastAsia="Calibri"/>
                <w:bCs/>
                <w:szCs w:val="24"/>
              </w:rPr>
              <w:lastRenderedPageBreak/>
              <w:t>2 straipsnio II priedo atitinkamoms veikloms taikomuose punktuose (pvz., įsigyjant IT įrangą – taikomi 8 punkte nustatyti techninės analizės kriterijai ir t.t.) reikalavimais, tai numatant atitinkamuose dokumentuose (pvz. pirkimo ir kt. dokumentuose).</w:t>
            </w:r>
          </w:p>
        </w:tc>
        <w:tc>
          <w:tcPr>
            <w:tcW w:w="4502" w:type="dxa"/>
          </w:tcPr>
          <w:p w14:paraId="476B99AF" w14:textId="77777777" w:rsidR="00237697" w:rsidRPr="00237697" w:rsidRDefault="00237697" w:rsidP="00237697">
            <w:pPr>
              <w:ind w:left="51"/>
              <w:jc w:val="both"/>
              <w:rPr>
                <w:rFonts w:eastAsia="Calibri"/>
                <w:iCs/>
                <w:szCs w:val="24"/>
              </w:rPr>
            </w:pPr>
            <w:r w:rsidRPr="00237697">
              <w:rPr>
                <w:rFonts w:eastAsia="Calibri"/>
                <w:bCs/>
                <w:szCs w:val="24"/>
              </w:rPr>
              <w:lastRenderedPageBreak/>
              <w:t>Siekiant užtikrinti 2021 m. birželio 4 d. Komisijos deleguoto reglamento (ES) 2021/2139</w:t>
            </w:r>
            <w:r w:rsidRPr="00237697">
              <w:rPr>
                <w:rFonts w:eastAsia="Calibri"/>
                <w:bCs/>
                <w:szCs w:val="24"/>
              </w:rPr>
              <w:footnoteReference w:id="5"/>
            </w:r>
            <w:r w:rsidRPr="00237697">
              <w:rPr>
                <w:rFonts w:eastAsia="Calibri"/>
                <w:bCs/>
                <w:szCs w:val="24"/>
              </w:rPr>
              <w:t xml:space="preserve">,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atitinkamoms veikloms taikomuose punktuose (pvz., įsigyjant IT įrangą – taikomi 8 punkte nustatyti techninės analizės kriterijai ir t.t.) reikalavimais, tai numatant atitinkamuose dokumentuose (pvz. pirkimo ir kt. dokumentuose), nuostatų įgyvendinimą, pareiškėjas privalo pateikti dokumentus, įrodančius įgyjamos IT įrangos atitikimą nustatytiems minėtiems techninės analizės kriterijams. Tai gali būti pirkimo dokumentai, įrangos aprašymai, techninės specifikacijos ir kiti dokumentai. Taip pat turi būti pateikti dokumentai, įrodantys įrangos atitikimą reikalavimams, nustatytiems </w:t>
            </w:r>
            <w:r w:rsidRPr="00237697">
              <w:rPr>
                <w:rFonts w:eastAsia="Calibri"/>
                <w:iCs/>
                <w:szCs w:val="24"/>
              </w:rPr>
              <w:t xml:space="preserve">Direktyvoje 2009/125/EB ir įrodančius dokumentus, kad naudojamoje įrangoje nėra Europos Parlamento ir Tarybos direktyvos 2011/65/ES ( 309 ) II priede išvardytų ribojamų medžiagų, </w:t>
            </w:r>
            <w:r w:rsidRPr="00237697">
              <w:rPr>
                <w:rFonts w:eastAsia="Calibri"/>
                <w:iCs/>
                <w:szCs w:val="24"/>
              </w:rPr>
              <w:lastRenderedPageBreak/>
              <w:t>išskyrus atvejus, kai homogeninių medžiagų koncentracijos vertės pagal masę neviršija tame priede išvardytų didžiausių verčių.</w:t>
            </w:r>
          </w:p>
        </w:tc>
      </w:tr>
      <w:tr w:rsidR="00237697" w:rsidRPr="00237697" w14:paraId="757A026C" w14:textId="77777777" w:rsidTr="0024254C">
        <w:tc>
          <w:tcPr>
            <w:tcW w:w="3516" w:type="dxa"/>
          </w:tcPr>
          <w:p w14:paraId="6E5D2A04" w14:textId="77777777" w:rsidR="00237697" w:rsidRPr="00237697" w:rsidRDefault="00237697" w:rsidP="00237697">
            <w:pPr>
              <w:tabs>
                <w:tab w:val="left" w:pos="289"/>
              </w:tabs>
              <w:ind w:firstLine="5"/>
              <w:jc w:val="both"/>
              <w:rPr>
                <w:rFonts w:eastAsia="Calibri"/>
                <w:szCs w:val="24"/>
              </w:rPr>
            </w:pPr>
            <w:r w:rsidRPr="00237697">
              <w:rPr>
                <w:rFonts w:eastAsia="Calibri"/>
                <w:szCs w:val="24"/>
              </w:rPr>
              <w:lastRenderedPageBreak/>
              <w:t>3.</w:t>
            </w:r>
            <w:r w:rsidRPr="00237697">
              <w:rPr>
                <w:rFonts w:eastAsia="Calibri"/>
                <w:szCs w:val="24"/>
              </w:rPr>
              <w:tab/>
              <w:t>Tausus vandens ir jūrų išteklių naudojimas ir apsauga</w:t>
            </w:r>
          </w:p>
        </w:tc>
        <w:tc>
          <w:tcPr>
            <w:tcW w:w="7150" w:type="dxa"/>
          </w:tcPr>
          <w:p w14:paraId="0721C7CE" w14:textId="77777777" w:rsidR="00237697" w:rsidRPr="00237697" w:rsidRDefault="00237697" w:rsidP="00237697">
            <w:pPr>
              <w:jc w:val="both"/>
              <w:rPr>
                <w:bCs/>
                <w:szCs w:val="24"/>
              </w:rPr>
            </w:pPr>
            <w:r w:rsidRPr="00237697">
              <w:rPr>
                <w:bCs/>
                <w:szCs w:val="24"/>
              </w:rPr>
              <w:t>Vertinama, kad planuojamos įgyvendinti poveiklės (dėl savo pobūdžio) neturės jokio neigiamo tiesioginio ir netiesioginio poveikio šiam aplinkos tikslui, nes nenumatoma kurti jokios infrastruktūros šalia vandens telkinių, kuri galėtų turėti įtakos tausiam vandens ir jūrų išteklių naudojimui, todėl laikoma, kad šios poveiklės atitinka tausaus vandens ir jūrų išteklių naudojimo ir apsaugos tikslą.</w:t>
            </w:r>
          </w:p>
          <w:p w14:paraId="35FAD020" w14:textId="77777777" w:rsidR="00237697" w:rsidRPr="00237697" w:rsidRDefault="00237697" w:rsidP="00237697">
            <w:pPr>
              <w:jc w:val="both"/>
              <w:rPr>
                <w:szCs w:val="24"/>
              </w:rPr>
            </w:pPr>
            <w:r w:rsidRPr="00237697">
              <w:rPr>
                <w:rFonts w:eastAsia="Calibri"/>
                <w:bCs/>
                <w:szCs w:val="24"/>
              </w:rPr>
              <w:t>Bus investuojama į tokius technologinius sprendimus, kurie</w:t>
            </w:r>
            <w:r w:rsidRPr="00237697">
              <w:rPr>
                <w:szCs w:val="24"/>
              </w:rPr>
              <w:t xml:space="preserve"> padės p</w:t>
            </w:r>
            <w:r w:rsidRPr="00237697">
              <w:rPr>
                <w:bCs/>
                <w:szCs w:val="24"/>
              </w:rPr>
              <w:t xml:space="preserve">lėtoti inovatyvių elektroninės atpažinties priemonių ir patikimumo užtikrinimo paslaugų naudojimą, taip skatinant viešojo sektoriaus ir verslo skaitmenizavimą. Numatoma investuoti į tokius sprendimus ir įrankius, kurie sudarytų sąlygas teikti tokias </w:t>
            </w:r>
            <w:r w:rsidRPr="00237697">
              <w:rPr>
                <w:szCs w:val="24"/>
              </w:rPr>
              <w:t>kvalifikuotas patikimumo užtikrinimo paslaugas kaip elektroninių parašų ilgalaikės apsaugos, elektroninių spaudų ilgalaikės apsaugos, interneto svetainių tapatumo nustatymo sertifikatų kūrimo, elektroninio registruoto pristatymo paslaugas.</w:t>
            </w:r>
          </w:p>
          <w:p w14:paraId="720F2E7E" w14:textId="77777777" w:rsidR="00237697" w:rsidRPr="00237697" w:rsidRDefault="00237697" w:rsidP="00237697">
            <w:pPr>
              <w:jc w:val="both"/>
              <w:rPr>
                <w:rFonts w:eastAsia="Calibri"/>
                <w:i/>
                <w:szCs w:val="24"/>
              </w:rPr>
            </w:pPr>
            <w:r w:rsidRPr="00237697">
              <w:rPr>
                <w:rFonts w:eastAsia="Calibri"/>
                <w:bCs/>
                <w:i/>
                <w:szCs w:val="24"/>
              </w:rPr>
              <w:t>Šie veiksmai (veiklos) (dėl savo pobūdžio) neturės jokio neigiamo tiesioginio ir netiesioginio poveikio šiam aplinkos tikslui, nes nenumatoma kurti jokia infrastruktūra šalia vandens telkinių, kuri galėtų turėti įtakos tausiam vandens ir jūrų išteklių naudojimui</w:t>
            </w:r>
            <w:r w:rsidRPr="00237697">
              <w:rPr>
                <w:rFonts w:eastAsia="Calibri"/>
                <w:i/>
                <w:szCs w:val="24"/>
              </w:rPr>
              <w:t xml:space="preserve">. Naudojama įranga atitinka serveriams ir duomenų saugojimo produktams taikomus Direktyvos 2009/125/EB reikalavimus. Naudojamoje įrangoje nėra Europos Parlamento ir Tarybos direktyvos 2011/65/ES ( 309 ) II priede išvardytų ribojamų medžiagų, išskyrus atvejus, kai homogeninių medžiagų koncentracijos vertės pagal masę neviršija tame priede išvardytų didžiausių verčių. </w:t>
            </w:r>
          </w:p>
          <w:p w14:paraId="4B7793EE" w14:textId="77777777" w:rsidR="00237697" w:rsidRPr="00237697" w:rsidRDefault="00237697" w:rsidP="00237697">
            <w:pPr>
              <w:jc w:val="both"/>
              <w:rPr>
                <w:rFonts w:eastAsia="Calibri"/>
                <w:bCs/>
                <w:szCs w:val="24"/>
              </w:rPr>
            </w:pPr>
            <w:r w:rsidRPr="00237697">
              <w:rPr>
                <w:rFonts w:eastAsia="Calibri"/>
                <w:bCs/>
                <w:szCs w:val="24"/>
              </w:rPr>
              <w:lastRenderedPageBreak/>
              <w:t>Įgyvendinat veiklas bus laikomasi energijos efektyvumo elgesio kodekse ir kituose dokumentuose, nurodytuose 2021 m. birželio 4 d. Komisijos deleguotajame reglamente (ES) 2021/2139, nustatytų reikalavimų.</w:t>
            </w:r>
          </w:p>
          <w:p w14:paraId="4572EA8D" w14:textId="77777777" w:rsidR="00237697" w:rsidRPr="00237697" w:rsidRDefault="00237697" w:rsidP="00237697">
            <w:pPr>
              <w:jc w:val="both"/>
              <w:rPr>
                <w:rFonts w:eastAsia="Calibri"/>
                <w:b/>
                <w:szCs w:val="24"/>
              </w:rPr>
            </w:pPr>
            <w:r w:rsidRPr="00237697">
              <w:rPr>
                <w:color w:val="000000"/>
                <w:szCs w:val="24"/>
              </w:rPr>
              <w:t>Įgyvendinant 1.2.4. veiksmą bus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 straipsnio II priedo atitinkamuose punktuose (pvz., įsigyjant IT įrangą – taikomi 8 punkte nustatyti techninės analizės kriterijai ir t.t.)  nustatytais reikalavimais, tai numatant atitinkamuose dokumentuose (pvz. pirkimo ir kt. dokumentuose).</w:t>
            </w:r>
          </w:p>
        </w:tc>
        <w:tc>
          <w:tcPr>
            <w:tcW w:w="4502" w:type="dxa"/>
          </w:tcPr>
          <w:p w14:paraId="649CFBF0" w14:textId="77777777" w:rsidR="00237697" w:rsidRPr="00237697" w:rsidRDefault="00237697" w:rsidP="00237697">
            <w:pPr>
              <w:jc w:val="both"/>
              <w:rPr>
                <w:rFonts w:eastAsia="Calibri"/>
                <w:bCs/>
                <w:szCs w:val="24"/>
              </w:rPr>
            </w:pPr>
            <w:r w:rsidRPr="00237697">
              <w:rPr>
                <w:rFonts w:eastAsia="Calibri"/>
                <w:bCs/>
                <w:szCs w:val="24"/>
              </w:rPr>
              <w:lastRenderedPageBreak/>
              <w:t>Siekiant užtikrinti 2021 m. birželio 4 d. Komisijos deleguoto reglamento (ES) 2021/2139</w:t>
            </w:r>
            <w:r w:rsidRPr="00237697">
              <w:rPr>
                <w:rFonts w:eastAsia="Calibri"/>
                <w:bCs/>
                <w:szCs w:val="24"/>
              </w:rPr>
              <w:footnoteReference w:id="6"/>
            </w:r>
            <w:r w:rsidRPr="00237697">
              <w:rPr>
                <w:rFonts w:eastAsia="Calibri"/>
                <w:bCs/>
                <w:szCs w:val="24"/>
              </w:rPr>
              <w:t xml:space="preserve">,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atitinkamoms veikloms taikomuose punktuose (pvz., įsigyjant IT įrangą – taikomi 8 punkte nustatyti techninės analizės kriterijai ir t.t.) reikalavimais, tai numatant atitinkamuose dokumentuose (pvz. pirkimo ir kt. dokumentuose), nuostatų įgyvendinimą, pareiškėjas privalo pateikti dokumentus, įrodančius įgyjamos IT įrangos atitikimą nustatytiems minėtiems techninės analizės kriterijams. Tai gali būti pirkimo dokumentai, įrangos aprašymai, techninės specifikacijos ir kiti dokumentai. Taip pat turi būti pateikti dokumentai, įrodantys įrangos atitikimą reikalavimams, nustatytiems </w:t>
            </w:r>
            <w:r w:rsidRPr="00237697">
              <w:rPr>
                <w:rFonts w:eastAsia="Calibri"/>
                <w:iCs/>
                <w:szCs w:val="24"/>
              </w:rPr>
              <w:t xml:space="preserve">Direktyvoje 2009/125/EB ir </w:t>
            </w:r>
            <w:r w:rsidRPr="00237697">
              <w:rPr>
                <w:rFonts w:eastAsia="Calibri"/>
                <w:iCs/>
                <w:szCs w:val="24"/>
              </w:rPr>
              <w:lastRenderedPageBreak/>
              <w:t>įrodančius dokumentus, kad naudojamoje įrangoje nėra Europos Parlamento ir Tarybos direktyvos 2011/65/ES ( 309 ) II priede išvardytų ribojamų medžiagų, išskyrus atvejus, kai homogeninių medžiagų koncentracijos vertės pagal masę neviršija tame priede išvardytų didžiausių verčių.</w:t>
            </w:r>
          </w:p>
        </w:tc>
      </w:tr>
      <w:tr w:rsidR="00237697" w:rsidRPr="00237697" w14:paraId="7600DE7F" w14:textId="77777777" w:rsidTr="0024254C">
        <w:tc>
          <w:tcPr>
            <w:tcW w:w="3516" w:type="dxa"/>
          </w:tcPr>
          <w:p w14:paraId="64BBDA13" w14:textId="77777777" w:rsidR="00237697" w:rsidRPr="00237697" w:rsidRDefault="00237697" w:rsidP="00237697">
            <w:pPr>
              <w:tabs>
                <w:tab w:val="left" w:pos="289"/>
              </w:tabs>
              <w:ind w:firstLine="5"/>
              <w:jc w:val="both"/>
              <w:rPr>
                <w:rFonts w:eastAsia="Calibri"/>
                <w:szCs w:val="24"/>
              </w:rPr>
            </w:pPr>
            <w:r w:rsidRPr="00237697">
              <w:rPr>
                <w:rFonts w:eastAsia="Calibri"/>
                <w:szCs w:val="24"/>
              </w:rPr>
              <w:lastRenderedPageBreak/>
              <w:t>4.</w:t>
            </w:r>
            <w:r w:rsidRPr="00237697">
              <w:rPr>
                <w:rFonts w:eastAsia="Calibri"/>
                <w:szCs w:val="24"/>
              </w:rPr>
              <w:tab/>
              <w:t>Perėjimas prie žiedinės ekonomikos, įskaitant atliekų prevenciją ir perdirbimą</w:t>
            </w:r>
          </w:p>
        </w:tc>
        <w:tc>
          <w:tcPr>
            <w:tcW w:w="7150" w:type="dxa"/>
          </w:tcPr>
          <w:p w14:paraId="15A9FA06" w14:textId="77777777" w:rsidR="00237697" w:rsidRPr="00237697" w:rsidRDefault="00237697" w:rsidP="00237697">
            <w:pPr>
              <w:jc w:val="both"/>
              <w:rPr>
                <w:rFonts w:eastAsia="Calibri"/>
                <w:bCs/>
                <w:szCs w:val="24"/>
              </w:rPr>
            </w:pPr>
            <w:r w:rsidRPr="00237697">
              <w:rPr>
                <w:rFonts w:eastAsia="Calibri"/>
                <w:bCs/>
                <w:szCs w:val="24"/>
              </w:rPr>
              <w:t>Vertinama, kad planuojamos įgyvendinti poveiklės neturės jokio neigiamo tiesioginio ar netiesioginio poveikio žiedinės ekonomikos, įskaitant atliekų prevenciją ir perdirbimą, tikslui.</w:t>
            </w:r>
          </w:p>
          <w:p w14:paraId="34E979F8" w14:textId="77777777" w:rsidR="00237697" w:rsidRPr="00237697" w:rsidRDefault="00237697" w:rsidP="00237697">
            <w:pPr>
              <w:jc w:val="both"/>
              <w:rPr>
                <w:rFonts w:eastAsia="Calibri"/>
                <w:szCs w:val="24"/>
                <w:u w:val="single"/>
              </w:rPr>
            </w:pPr>
            <w:r w:rsidRPr="00237697">
              <w:rPr>
                <w:rFonts w:eastAsia="Calibri"/>
                <w:szCs w:val="24"/>
              </w:rPr>
              <w:t>Bus investuojama į tokius technologinius sprendimus, kurie padės plėtoti inovatyvių elektroninės atpažinties priemonių ir patikimumo užtikrinimo paslaugų naudojimą, taip skatinant viešojo sektoriaus ir verslo skaitmenizavimą. Numatoma investuoti į tokius sprendimus ir įrankius, kurie sudarytų sąlygas teikti tokias kvalifikuotas patikimumo užtikrinimo paslaugas kaip elektroninių parašų ilgalaikės apsaugos, elektroninių spaudų ilgalaikės apsaugos, interneto svetainių tapatumo nustatymo sertifikatų kūrimo, elektroninio registruoto pristatymo paslaugas.</w:t>
            </w:r>
            <w:r w:rsidRPr="00237697">
              <w:rPr>
                <w:rFonts w:eastAsia="Calibri"/>
                <w:szCs w:val="24"/>
                <w:u w:val="single"/>
              </w:rPr>
              <w:t xml:space="preserve"> </w:t>
            </w:r>
          </w:p>
          <w:p w14:paraId="7BF8E500" w14:textId="77777777" w:rsidR="00237697" w:rsidRPr="00237697" w:rsidRDefault="00237697" w:rsidP="00237697">
            <w:pPr>
              <w:jc w:val="both"/>
              <w:rPr>
                <w:rFonts w:eastAsia="Calibri"/>
                <w:i/>
                <w:szCs w:val="24"/>
              </w:rPr>
            </w:pPr>
            <w:r w:rsidRPr="00237697">
              <w:rPr>
                <w:rFonts w:eastAsia="Calibri"/>
                <w:i/>
                <w:szCs w:val="24"/>
              </w:rPr>
              <w:t xml:space="preserve">Numatomos veiklos neturės jokio neigiamo tiesioginio ar netiesioginio poveikio žiedinės ekonomikos, įskaitant atliekų prevenciją ir perdirbimą, tikslui. Naudojama įranga atitinka serveriams ir duomenų saugojimo produktams taikomus Direktyvos 2009/125/EB reikalavimus. </w:t>
            </w:r>
            <w:r w:rsidRPr="00237697">
              <w:rPr>
                <w:rFonts w:eastAsia="Calibri"/>
                <w:i/>
                <w:szCs w:val="24"/>
              </w:rPr>
              <w:lastRenderedPageBreak/>
              <w:t>Naudojamoje įrangoje nėra Europos Parlamento ir Tarybos direktyvos 2011/65/ES ( 309 ) II priede išvardytų ribojamų medžiagų, išskyrus atvejus, kai homogeninių medžiagų koncentracijos vertės pagal masę neviršija tame priede išvardytų didžiausių verčių.</w:t>
            </w:r>
          </w:p>
          <w:p w14:paraId="16761CE6" w14:textId="77777777" w:rsidR="00237697" w:rsidRPr="00237697" w:rsidRDefault="00237697" w:rsidP="00237697">
            <w:pPr>
              <w:jc w:val="both"/>
              <w:rPr>
                <w:rFonts w:eastAsia="Calibri"/>
                <w:i/>
                <w:szCs w:val="24"/>
              </w:rPr>
            </w:pPr>
            <w:r w:rsidRPr="00237697">
              <w:rPr>
                <w:rFonts w:eastAsia="Calibri"/>
                <w:i/>
                <w:szCs w:val="24"/>
              </w:rPr>
              <w:t>Parengtas atliekų tvarkymo planas, kuriuo užtikrinamas maksimalus elektros ir elektroninės įrangos perdirbimas gyvavimo 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apdorojimą pagal Direktyvos 2012/19/ES VII priedą.</w:t>
            </w:r>
          </w:p>
          <w:p w14:paraId="4C3F6C9C" w14:textId="77777777" w:rsidR="00237697" w:rsidRPr="00237697" w:rsidRDefault="00237697" w:rsidP="00237697">
            <w:pPr>
              <w:jc w:val="both"/>
              <w:rPr>
                <w:rFonts w:eastAsia="Calibri"/>
                <w:iCs/>
                <w:szCs w:val="24"/>
              </w:rPr>
            </w:pPr>
            <w:r w:rsidRPr="00237697">
              <w:rPr>
                <w:color w:val="000000"/>
                <w:szCs w:val="24"/>
              </w:rPr>
              <w:t xml:space="preserve">Įgyvendinant 1.2.4. veiksmą bus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 straipsnio II priedo atitinkamuose punktuose (pvz., įsigyjant IT įrangą – taikomi 8 punkte nustatyti techninės analizės kriterijai ir t.t.)  nustatytais reikalavimais, tai numatant atitinkamuose dokumentuose (pvz. pirkimo ir kt. dokumentuose). </w:t>
            </w:r>
            <w:r w:rsidRPr="00237697">
              <w:rPr>
                <w:rFonts w:eastAsia="Calibri"/>
                <w:iCs/>
                <w:szCs w:val="24"/>
              </w:rPr>
              <w:t>Parengtas atliekų tvarkymo planas, kuriuo užtikrinamas maksimalus elektros ir elektroninės įrangos perdirbimas gyvavimo 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apdorojimą pagal Direktyvos 2012/19/ES VII priedą.</w:t>
            </w:r>
          </w:p>
          <w:p w14:paraId="38367A55" w14:textId="77777777" w:rsidR="00237697" w:rsidRPr="00237697" w:rsidRDefault="00237697" w:rsidP="00237697">
            <w:pPr>
              <w:jc w:val="both"/>
              <w:rPr>
                <w:rFonts w:eastAsia="Calibri"/>
                <w:bCs/>
                <w:szCs w:val="24"/>
              </w:rPr>
            </w:pPr>
            <w:r w:rsidRPr="00237697">
              <w:rPr>
                <w:color w:val="000000"/>
                <w:szCs w:val="24"/>
              </w:rPr>
              <w:lastRenderedPageBreak/>
              <w:t>Įgyvendinant poveikles bus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 straipsnio II priedo atitinkamuose punktuose (pvz., įsigyjant IT įrangą – taikomi 8 punkte nustatyti techninės analizės kriterijai ir t.t.)  nustatytais reikalavimais, tai numatant atitinkamuose dokumentuose (pvz. pirkimo ir kt. dokumentuose).</w:t>
            </w:r>
          </w:p>
        </w:tc>
        <w:tc>
          <w:tcPr>
            <w:tcW w:w="4502" w:type="dxa"/>
          </w:tcPr>
          <w:p w14:paraId="1CFFEAAB" w14:textId="77777777" w:rsidR="00237697" w:rsidRPr="00237697" w:rsidRDefault="00237697" w:rsidP="00237697">
            <w:pPr>
              <w:jc w:val="both"/>
              <w:rPr>
                <w:rFonts w:eastAsia="Calibri"/>
                <w:iCs/>
                <w:szCs w:val="24"/>
              </w:rPr>
            </w:pPr>
            <w:r w:rsidRPr="00237697">
              <w:rPr>
                <w:rFonts w:eastAsia="Calibri"/>
                <w:bCs/>
                <w:szCs w:val="24"/>
              </w:rPr>
              <w:lastRenderedPageBreak/>
              <w:t>Siekiant užtikrinti 2021 m. birželio 4 d. Komisijos deleguoto reglamento (ES) 2021/2139</w:t>
            </w:r>
            <w:r w:rsidRPr="00237697">
              <w:rPr>
                <w:rFonts w:eastAsia="Calibri"/>
                <w:bCs/>
                <w:szCs w:val="24"/>
              </w:rPr>
              <w:footnoteReference w:id="7"/>
            </w:r>
            <w:r w:rsidRPr="00237697">
              <w:rPr>
                <w:rFonts w:eastAsia="Calibri"/>
                <w:bCs/>
                <w:szCs w:val="24"/>
              </w:rPr>
              <w:t xml:space="preserve">,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atitinkamoms veikloms taikomuose punktuose (pvz., įsigyjant IT įrangą – taikomi 8 punkte nustatyti techninės analizės kriterijai ir t.t.) reikalavimais, tai numatant atitinkamuose dokumentuose (pvz. pirkimo </w:t>
            </w:r>
            <w:r w:rsidRPr="00237697">
              <w:rPr>
                <w:rFonts w:eastAsia="Calibri"/>
                <w:bCs/>
                <w:szCs w:val="24"/>
              </w:rPr>
              <w:lastRenderedPageBreak/>
              <w:t xml:space="preserve">ir kt. dokumentuose), nuostatų įgyvendinimą, pareiškėjas privalo pateikti dokumentus, įrodančius įgyjamos IT įrangos atitikimą nustatytiems minėtiems techninės analizės kriterijams. Tai gali būti pirkimo dokumentai, įrangos aprašymai, techninės specifikacijos ir kiti dokumentai. Taip pat turi būti pateikti dokumentai, įrodantys įrangos atitikimą reikalavimams, nustatytiems </w:t>
            </w:r>
            <w:r w:rsidRPr="00237697">
              <w:rPr>
                <w:rFonts w:eastAsia="Calibri"/>
                <w:iCs/>
                <w:szCs w:val="24"/>
              </w:rPr>
              <w:t>Direktyvoje 2009/125/EB ir įrodančius dokumentus, kad naudojamoje įrangoje nėra Europos Parlamento ir Tarybos direktyvos 2011/65/ES ( 309 ) II priede išvardytų ribojamų medžiagų, išskyrus atvejus, kai homogeninių medžiagų koncentracijos vertės pagal masę neviršija tame priede išvardytų didžiausių verčių.</w:t>
            </w:r>
          </w:p>
          <w:p w14:paraId="20DA6928" w14:textId="77777777" w:rsidR="00237697" w:rsidRPr="00237697" w:rsidRDefault="00237697" w:rsidP="00237697">
            <w:pPr>
              <w:jc w:val="both"/>
              <w:rPr>
                <w:rFonts w:eastAsia="Calibri"/>
                <w:szCs w:val="24"/>
              </w:rPr>
            </w:pPr>
            <w:r w:rsidRPr="00237697">
              <w:rPr>
                <w:rFonts w:eastAsia="Calibri"/>
                <w:szCs w:val="24"/>
              </w:rPr>
              <w:t xml:space="preserve">Taip pat pareiškėjas turi būti pasirengęs atliekų tvarkymo planą pagal </w:t>
            </w:r>
            <w:r w:rsidRPr="00237697">
              <w:rPr>
                <w:rFonts w:eastAsia="Calibri"/>
                <w:iCs/>
                <w:szCs w:val="24"/>
              </w:rPr>
              <w:t>Direktyvos 2012/19/ES VII priedą, ir administruojančiajai institucijai paprašius, pateikti jį peržiūrai.</w:t>
            </w:r>
          </w:p>
        </w:tc>
      </w:tr>
      <w:tr w:rsidR="00237697" w:rsidRPr="00237697" w14:paraId="54C1BA0A" w14:textId="77777777" w:rsidTr="0024254C">
        <w:tc>
          <w:tcPr>
            <w:tcW w:w="3516" w:type="dxa"/>
          </w:tcPr>
          <w:p w14:paraId="1A64AC78" w14:textId="77777777" w:rsidR="00237697" w:rsidRPr="00237697" w:rsidRDefault="00237697" w:rsidP="00237697">
            <w:pPr>
              <w:tabs>
                <w:tab w:val="left" w:pos="289"/>
              </w:tabs>
              <w:ind w:firstLine="5"/>
              <w:jc w:val="both"/>
              <w:rPr>
                <w:rFonts w:eastAsia="Calibri"/>
                <w:szCs w:val="24"/>
              </w:rPr>
            </w:pPr>
            <w:r w:rsidRPr="00237697">
              <w:rPr>
                <w:rFonts w:eastAsia="Calibri"/>
                <w:szCs w:val="24"/>
              </w:rPr>
              <w:lastRenderedPageBreak/>
              <w:t>5.</w:t>
            </w:r>
            <w:r w:rsidRPr="00237697">
              <w:rPr>
                <w:rFonts w:eastAsia="Calibri"/>
                <w:szCs w:val="24"/>
              </w:rPr>
              <w:tab/>
            </w:r>
            <w:r w:rsidRPr="00237697">
              <w:rPr>
                <w:rFonts w:eastAsia="Calibri"/>
                <w:bCs/>
                <w:szCs w:val="24"/>
              </w:rPr>
              <w:t>Oro, vandens ar žemės taršos prevencija ir kontrolė</w:t>
            </w:r>
          </w:p>
        </w:tc>
        <w:tc>
          <w:tcPr>
            <w:tcW w:w="7150" w:type="dxa"/>
          </w:tcPr>
          <w:p w14:paraId="233934AA" w14:textId="77777777" w:rsidR="00237697" w:rsidRPr="00237697" w:rsidRDefault="00237697" w:rsidP="00237697">
            <w:pPr>
              <w:jc w:val="both"/>
              <w:rPr>
                <w:szCs w:val="24"/>
              </w:rPr>
            </w:pPr>
            <w:r w:rsidRPr="00237697">
              <w:rPr>
                <w:szCs w:val="24"/>
              </w:rPr>
              <w:t>Vertinama, kad planuojamos įgyvendinti poveiklės (dėl savo pobūdžio) neturės reikšmingo neigiamo tiesioginio ir netiesioginio poveikio šiam aplinkos tikslui,</w:t>
            </w:r>
            <w:r w:rsidRPr="00237697">
              <w:t xml:space="preserve"> </w:t>
            </w:r>
            <w:r w:rsidRPr="00237697">
              <w:rPr>
                <w:szCs w:val="24"/>
              </w:rPr>
              <w:t>todėl laikoma, kad šios poveiklės atitinka oro, vandens ar žemės taršos prevencijos ir kontrolės tikslą.</w:t>
            </w:r>
          </w:p>
          <w:p w14:paraId="64A612A8" w14:textId="77777777" w:rsidR="00237697" w:rsidRPr="00237697" w:rsidRDefault="00237697" w:rsidP="00237697">
            <w:pPr>
              <w:jc w:val="both"/>
              <w:rPr>
                <w:szCs w:val="24"/>
              </w:rPr>
            </w:pPr>
            <w:r w:rsidRPr="00237697">
              <w:rPr>
                <w:rFonts w:eastAsia="Calibri"/>
                <w:bCs/>
                <w:szCs w:val="24"/>
              </w:rPr>
              <w:t>Bus investuojama į tokius technologinius sprendimus, kurie</w:t>
            </w:r>
            <w:r w:rsidRPr="00237697">
              <w:rPr>
                <w:szCs w:val="24"/>
              </w:rPr>
              <w:t xml:space="preserve"> padės p</w:t>
            </w:r>
            <w:r w:rsidRPr="00237697">
              <w:rPr>
                <w:bCs/>
                <w:szCs w:val="24"/>
              </w:rPr>
              <w:t xml:space="preserve">lėtoti inovatyvių elektroninės atpažinties priemonių ir patikimumo užtikrinimo paslaugų naudojimą, taip skatinant viešojo sektoriaus ir verslo skaitmenizavimą. Numatoma investuoti į tokius sprendimus ir įrankius, kurie sudarytų sąlygas teikti tokias </w:t>
            </w:r>
            <w:r w:rsidRPr="00237697">
              <w:rPr>
                <w:szCs w:val="24"/>
              </w:rPr>
              <w:t>kvalifikuotas patikimumo užtikrinimo paslaugas kaip elektroninių parašų ilgalaikės apsaugos, elektroninių spaudų ilgalaikės apsaugos, interneto svetainių tapatumo nustatymo sertifikatų kūrimo, elektroninio registruoto pristatymo paslaugas.</w:t>
            </w:r>
          </w:p>
          <w:p w14:paraId="52269A03" w14:textId="77777777" w:rsidR="00237697" w:rsidRPr="00237697" w:rsidRDefault="00237697" w:rsidP="00237697">
            <w:pPr>
              <w:jc w:val="both"/>
              <w:rPr>
                <w:rFonts w:eastAsia="Calibri"/>
                <w:i/>
                <w:szCs w:val="24"/>
              </w:rPr>
            </w:pPr>
            <w:r w:rsidRPr="00237697">
              <w:rPr>
                <w:i/>
                <w:szCs w:val="24"/>
              </w:rPr>
              <w:t>Šie veiksmai (veiklos) (dėl savo pobūdžio) neturės reikšmingo neigiamo tiesioginio ir netiesioginio poveikio šiam aplinkos tikslui</w:t>
            </w:r>
            <w:r w:rsidRPr="00237697">
              <w:rPr>
                <w:rFonts w:eastAsia="Calibri"/>
                <w:i/>
                <w:szCs w:val="24"/>
              </w:rPr>
              <w:t>.</w:t>
            </w:r>
          </w:p>
          <w:p w14:paraId="2DEF3CE8" w14:textId="77777777" w:rsidR="00237697" w:rsidRPr="00237697" w:rsidRDefault="00237697" w:rsidP="00237697">
            <w:pPr>
              <w:jc w:val="both"/>
              <w:rPr>
                <w:rFonts w:eastAsia="Calibri"/>
                <w:szCs w:val="24"/>
                <w:u w:val="single"/>
              </w:rPr>
            </w:pPr>
            <w:r w:rsidRPr="00237697">
              <w:rPr>
                <w:rFonts w:eastAsia="Calibri"/>
                <w:i/>
                <w:szCs w:val="24"/>
              </w:rPr>
              <w:t xml:space="preserve">Naudojama įranga atitinka serveriams ir duomenų saugojimo produktams taikomus Direktyvos 2009/125/EB reikalavimus. Naudojamoje įrangoje nėra Europos Parlamento ir Tarybos direktyvos 2011/65/ES ( 309 ) II priede išvardytų ribojamų medžiagų, išskyrus </w:t>
            </w:r>
            <w:r w:rsidRPr="00237697">
              <w:rPr>
                <w:rFonts w:eastAsia="Calibri"/>
                <w:i/>
                <w:szCs w:val="24"/>
              </w:rPr>
              <w:lastRenderedPageBreak/>
              <w:t>atvejus, kai homogeninių medžiagų koncentracijos vertės pagal masę neviršija tame priede išvardytų didžiausių verčių.</w:t>
            </w:r>
          </w:p>
          <w:p w14:paraId="4E0065A0" w14:textId="77777777" w:rsidR="00237697" w:rsidRPr="00237697" w:rsidRDefault="00237697" w:rsidP="00237697">
            <w:pPr>
              <w:jc w:val="both"/>
              <w:rPr>
                <w:rFonts w:eastAsia="Calibri"/>
                <w:bCs/>
                <w:szCs w:val="24"/>
              </w:rPr>
            </w:pPr>
            <w:r w:rsidRPr="00237697">
              <w:rPr>
                <w:rFonts w:eastAsia="Calibri"/>
                <w:bCs/>
                <w:szCs w:val="24"/>
              </w:rPr>
              <w:t>Įgyvendinat veiklas bus laikomasi energijos efektyvumo elgesio kodekse ir kituose dokumentuose, nurodytuose 2021 m. birželio 4 d. Komisijos deleguotajame reglamente (ES) 2021/2139, nustatytų reikalavimų.</w:t>
            </w:r>
          </w:p>
          <w:p w14:paraId="004780B3" w14:textId="77777777" w:rsidR="00237697" w:rsidRPr="00237697" w:rsidRDefault="00237697" w:rsidP="00237697">
            <w:pPr>
              <w:jc w:val="both"/>
              <w:rPr>
                <w:rFonts w:eastAsia="Calibri"/>
                <w:b/>
                <w:szCs w:val="24"/>
              </w:rPr>
            </w:pPr>
            <w:r w:rsidRPr="00237697">
              <w:rPr>
                <w:color w:val="000000"/>
                <w:szCs w:val="24"/>
              </w:rPr>
              <w:t>Įgyvendinant 1.2.4 veiksmą bus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 straipsnio II priedo atitinkamuose punktuose (pvz., įsigyjant IT įrangą – taikomi 8 punkte nustatyti techninės analizės kriterijai ir t.t.)  nustatytais reikalavimais, tai numatant atitinkamuose dokumentuose (pvz. pirkimo ir kt. dokumentuose).</w:t>
            </w:r>
          </w:p>
        </w:tc>
        <w:tc>
          <w:tcPr>
            <w:tcW w:w="4502" w:type="dxa"/>
          </w:tcPr>
          <w:p w14:paraId="5220F0C6" w14:textId="77777777" w:rsidR="00237697" w:rsidRPr="00237697" w:rsidRDefault="00237697" w:rsidP="00237697">
            <w:pPr>
              <w:jc w:val="both"/>
              <w:rPr>
                <w:rFonts w:eastAsia="Calibri"/>
                <w:szCs w:val="24"/>
              </w:rPr>
            </w:pPr>
            <w:r w:rsidRPr="00237697">
              <w:rPr>
                <w:rFonts w:eastAsia="Calibri"/>
                <w:bCs/>
                <w:szCs w:val="24"/>
              </w:rPr>
              <w:lastRenderedPageBreak/>
              <w:t>Siekiant užtikrinti 2021 m. birželio 4 d. Komisijos deleguoto reglamento (ES) 2021/2139</w:t>
            </w:r>
            <w:r w:rsidRPr="00237697">
              <w:rPr>
                <w:rFonts w:eastAsia="Calibri"/>
                <w:bCs/>
                <w:szCs w:val="24"/>
              </w:rPr>
              <w:footnoteReference w:id="8"/>
            </w:r>
            <w:r w:rsidRPr="00237697">
              <w:rPr>
                <w:rFonts w:eastAsia="Calibri"/>
                <w:bCs/>
                <w:szCs w:val="24"/>
              </w:rPr>
              <w:t xml:space="preserve">,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atitinkamoms veikloms taikomuose punktuose (pvz., įsigyjant IT įrangą – taikomi 8 punkte nustatyti techninės analizės kriterijai ir t.t.) reikalavimais, tai numatant atitinkamuose dokumentuose (pvz. pirkimo ir kt. dokumentuose), nuostatų įgyvendinimą, pareiškėjas privalo pateikti dokumentus, įrodančius įgyjamos IT įrangos </w:t>
            </w:r>
            <w:r w:rsidRPr="00237697">
              <w:rPr>
                <w:rFonts w:eastAsia="Calibri"/>
                <w:bCs/>
                <w:szCs w:val="24"/>
              </w:rPr>
              <w:lastRenderedPageBreak/>
              <w:t xml:space="preserve">atitikimą nustatytiems minėtiems techninės analizės kriterijams. Tai gali būti pirkimo dokumentai, įrangos aprašymai, techninės specifikacijos ir kiti dokumentai. Taip pat turi būti pateikti dokumentai, įrodantys įrangos atitikimą reikalavimams, nustatytiems </w:t>
            </w:r>
            <w:r w:rsidRPr="00237697">
              <w:rPr>
                <w:rFonts w:eastAsia="Calibri"/>
                <w:iCs/>
                <w:szCs w:val="24"/>
              </w:rPr>
              <w:t>Direktyvoje 2009/125/EB ir įrodančius dokumentus, kad naudojamoje įrangoje nėra Europos Parlamento ir Tarybos direktyvos 2011/65/ES ( 309 ) II priede išvardytų ribojamų medžiagų, išskyrus atvejus, kai homogeninių medžiagų koncentracijos vertės pagal masę neviršija tame priede išvardytų didžiausių verčių.</w:t>
            </w:r>
          </w:p>
        </w:tc>
      </w:tr>
      <w:tr w:rsidR="00237697" w:rsidRPr="00237697" w14:paraId="0DC5D00B" w14:textId="77777777" w:rsidTr="0024254C">
        <w:tc>
          <w:tcPr>
            <w:tcW w:w="3516" w:type="dxa"/>
          </w:tcPr>
          <w:p w14:paraId="270AFF41" w14:textId="77777777" w:rsidR="00237697" w:rsidRPr="00237697" w:rsidRDefault="00237697" w:rsidP="00237697">
            <w:pPr>
              <w:tabs>
                <w:tab w:val="left" w:pos="289"/>
              </w:tabs>
              <w:ind w:left="5" w:firstLine="5"/>
              <w:jc w:val="both"/>
              <w:rPr>
                <w:rFonts w:eastAsia="Calibri"/>
                <w:szCs w:val="24"/>
              </w:rPr>
            </w:pPr>
            <w:r w:rsidRPr="00237697">
              <w:rPr>
                <w:rFonts w:eastAsia="Calibri"/>
                <w:szCs w:val="24"/>
              </w:rPr>
              <w:lastRenderedPageBreak/>
              <w:t>6.</w:t>
            </w:r>
            <w:r w:rsidRPr="00237697">
              <w:rPr>
                <w:rFonts w:eastAsia="Calibri"/>
                <w:szCs w:val="24"/>
              </w:rPr>
              <w:tab/>
              <w:t>Biologinės įvairovės ir ekosistemų apsauga ir atkūrimas</w:t>
            </w:r>
          </w:p>
        </w:tc>
        <w:tc>
          <w:tcPr>
            <w:tcW w:w="7150" w:type="dxa"/>
          </w:tcPr>
          <w:p w14:paraId="6BEF307C" w14:textId="77777777" w:rsidR="00237697" w:rsidRPr="00237697" w:rsidRDefault="00237697" w:rsidP="00237697">
            <w:pPr>
              <w:jc w:val="both"/>
              <w:rPr>
                <w:rFonts w:eastAsia="Calibri"/>
                <w:bCs/>
                <w:szCs w:val="24"/>
              </w:rPr>
            </w:pPr>
            <w:r w:rsidRPr="00237697">
              <w:rPr>
                <w:rFonts w:eastAsia="Calibri"/>
                <w:bCs/>
                <w:szCs w:val="24"/>
              </w:rPr>
              <w:t>Vertinama, kad planuojamos įgyvendinti poveiklės (dėl savo pobūdžio) neturės jokio neigiamo tiesioginio ir netiesioginio poveikio šiam aplinkos tikslui, nes nenumatoma kurti ar modernizuoti infrastruktūrą „Natura 2000“ UNESCO pasaulinio paveldo ar kitose saugomose teritorijose.</w:t>
            </w:r>
            <w:r w:rsidRPr="00237697">
              <w:t xml:space="preserve"> </w:t>
            </w:r>
            <w:r w:rsidRPr="00237697">
              <w:rPr>
                <w:rFonts w:eastAsia="Calibri"/>
                <w:bCs/>
                <w:szCs w:val="24"/>
              </w:rPr>
              <w:t>Todėl laikoma, kad šios poveiklės atitinka biologinės įvairovės ir ekosistemų apsaugos ir atkūrimo tikslą.</w:t>
            </w:r>
          </w:p>
          <w:p w14:paraId="5223F703" w14:textId="77777777" w:rsidR="00237697" w:rsidRPr="00237697" w:rsidRDefault="00237697" w:rsidP="00237697">
            <w:pPr>
              <w:jc w:val="both"/>
              <w:rPr>
                <w:szCs w:val="24"/>
              </w:rPr>
            </w:pPr>
            <w:r w:rsidRPr="00237697">
              <w:rPr>
                <w:rFonts w:eastAsia="Calibri"/>
                <w:bCs/>
                <w:szCs w:val="24"/>
              </w:rPr>
              <w:t>Bus investuojama į tokius technologinius sprendimus, kurie</w:t>
            </w:r>
            <w:r w:rsidRPr="00237697">
              <w:rPr>
                <w:szCs w:val="24"/>
              </w:rPr>
              <w:t xml:space="preserve"> padės p</w:t>
            </w:r>
            <w:r w:rsidRPr="00237697">
              <w:rPr>
                <w:bCs/>
                <w:szCs w:val="24"/>
              </w:rPr>
              <w:t xml:space="preserve">lėtoti inovatyvių elektroninės atpažinties priemonių ir patikimumo užtikrinimo paslaugų naudojimą, taip skatinant viešojo sektoriaus ir verslo skaitmenizavimą. Numatoma investuoti į tokius sprendimus ir įrankius, kurie sudarytų sąlygas teikti tokias </w:t>
            </w:r>
            <w:r w:rsidRPr="00237697">
              <w:rPr>
                <w:szCs w:val="24"/>
              </w:rPr>
              <w:t xml:space="preserve">kvalifikuotas patikimumo užtikrinimo paslaugas kaip elektroninių parašų ilgalaikės apsaugos, elektroninių spaudų ilgalaikės apsaugos, interneto svetainių tapatumo </w:t>
            </w:r>
            <w:r w:rsidRPr="00237697">
              <w:rPr>
                <w:szCs w:val="24"/>
              </w:rPr>
              <w:lastRenderedPageBreak/>
              <w:t>nustatymo sertifikatų kūrimo, elektroninio registruoto pristatymo paslaugas.</w:t>
            </w:r>
          </w:p>
          <w:p w14:paraId="48C81292" w14:textId="77777777" w:rsidR="00237697" w:rsidRPr="00237697" w:rsidRDefault="00237697" w:rsidP="00237697">
            <w:pPr>
              <w:jc w:val="both"/>
              <w:rPr>
                <w:i/>
                <w:szCs w:val="24"/>
              </w:rPr>
            </w:pPr>
            <w:r w:rsidRPr="00237697">
              <w:rPr>
                <w:i/>
                <w:szCs w:val="24"/>
              </w:rPr>
              <w:t>Šie veiksmai (veiklos) (dėl savo pobūdžio) neturės jokio neigiamo tiesioginio ir netiesioginio poveikio šiam aplinkos tikslui, nes nenumatoma kurti ar modernizuoti infrastruktūrą Natura 2000, UNESCO pasaulinio paveldo ar kitose saugomose teritorijose.</w:t>
            </w:r>
          </w:p>
          <w:p w14:paraId="3E7D34C5" w14:textId="77777777" w:rsidR="00237697" w:rsidRPr="00237697" w:rsidRDefault="00237697" w:rsidP="00237697">
            <w:pPr>
              <w:jc w:val="both"/>
              <w:rPr>
                <w:rFonts w:eastAsia="Calibri"/>
                <w:b/>
                <w:szCs w:val="24"/>
              </w:rPr>
            </w:pPr>
            <w:r w:rsidRPr="00237697">
              <w:rPr>
                <w:color w:val="000000"/>
                <w:szCs w:val="24"/>
              </w:rPr>
              <w:t>Įgyvendinant 1.2.4. veiksmą bus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 straipsnio II priedo atitinkamuose punktuose (pvz., įsigyjant IT įrangą – taikomi 8 punkte nustatyti techninės analizės kriterijai ir t.t.)  nustatytais reikalavimais, tai numatant atitinkamuose dokumentuose (pvz. pirkimo ir kt. dokumentuose).</w:t>
            </w:r>
          </w:p>
        </w:tc>
        <w:tc>
          <w:tcPr>
            <w:tcW w:w="4502" w:type="dxa"/>
          </w:tcPr>
          <w:p w14:paraId="645E3937" w14:textId="77777777" w:rsidR="00237697" w:rsidRPr="00237697" w:rsidRDefault="00237697" w:rsidP="00237697">
            <w:pPr>
              <w:jc w:val="both"/>
              <w:rPr>
                <w:rFonts w:eastAsia="Calibri"/>
                <w:szCs w:val="24"/>
              </w:rPr>
            </w:pPr>
            <w:r w:rsidRPr="00237697">
              <w:rPr>
                <w:rFonts w:eastAsia="Calibri"/>
                <w:bCs/>
                <w:szCs w:val="24"/>
              </w:rPr>
              <w:lastRenderedPageBreak/>
              <w:t>Siekiant užtikrinti 2021 m. birželio 4 d. Komisijos deleguoto reglamento (ES) 2021/2139</w:t>
            </w:r>
            <w:r w:rsidRPr="00237697">
              <w:rPr>
                <w:rFonts w:eastAsia="Calibri"/>
                <w:bCs/>
                <w:szCs w:val="24"/>
              </w:rPr>
              <w:footnoteReference w:id="9"/>
            </w:r>
            <w:r w:rsidRPr="00237697">
              <w:rPr>
                <w:rFonts w:eastAsia="Calibri"/>
                <w:bCs/>
                <w:szCs w:val="24"/>
              </w:rPr>
              <w:t xml:space="preserve">,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atitinkamoms veikloms taikomuose punktuose (pvz., įsigyjant IT įrangą – taikomi 8 punkte nustatyti techninės analizės </w:t>
            </w:r>
            <w:r w:rsidRPr="00237697">
              <w:rPr>
                <w:rFonts w:eastAsia="Calibri"/>
                <w:bCs/>
                <w:szCs w:val="24"/>
              </w:rPr>
              <w:lastRenderedPageBreak/>
              <w:t>kriterijai ir t.t.) reikalavimais, tai numatant atitinkamuose dokumentuose (pvz. pirkimo ir kt. dokumentuose), nuostatų įgyvendinimą, pareiškėjas privalo pateikti dokumentus, įrodančius įgyjamos IT įrangos atitikimą nustatytiems minėtiems techninės analizės kriterijams. Tai gali būti pirkimo dokumentai, įrangos aprašymai, techninės specifikacijos ir kiti dokumentai.</w:t>
            </w:r>
          </w:p>
        </w:tc>
      </w:tr>
    </w:tbl>
    <w:p w14:paraId="78CB0066" w14:textId="77777777" w:rsidR="00237697" w:rsidRPr="00237697" w:rsidRDefault="00237697" w:rsidP="00237697">
      <w:pPr>
        <w:jc w:val="center"/>
        <w:rPr>
          <w:szCs w:val="24"/>
        </w:rPr>
      </w:pPr>
    </w:p>
    <w:p w14:paraId="1EDB310F" w14:textId="77777777" w:rsidR="00237697" w:rsidRPr="00237697" w:rsidRDefault="00237697" w:rsidP="00237697">
      <w:pPr>
        <w:jc w:val="center"/>
        <w:rPr>
          <w:szCs w:val="24"/>
        </w:rPr>
      </w:pPr>
    </w:p>
    <w:p w14:paraId="59F5C46B" w14:textId="77777777" w:rsidR="00237697" w:rsidRPr="00237697" w:rsidRDefault="00237697" w:rsidP="00237697">
      <w:pPr>
        <w:jc w:val="center"/>
        <w:rPr>
          <w:szCs w:val="24"/>
        </w:rPr>
      </w:pPr>
      <w:r w:rsidRPr="00237697">
        <w:rPr>
          <w:rFonts w:ascii="Calibri" w:eastAsia="Calibri" w:hAnsi="Calibri"/>
          <w:sz w:val="22"/>
          <w:szCs w:val="22"/>
        </w:rPr>
        <w:t>________________</w:t>
      </w:r>
    </w:p>
    <w:p w14:paraId="447D3103" w14:textId="77777777" w:rsidR="00237697" w:rsidRPr="00237697" w:rsidRDefault="00237697" w:rsidP="00237697">
      <w:pPr>
        <w:spacing w:line="276" w:lineRule="auto"/>
        <w:jc w:val="center"/>
        <w:rPr>
          <w:szCs w:val="24"/>
        </w:rPr>
      </w:pPr>
    </w:p>
    <w:p w14:paraId="11CE0866" w14:textId="77777777" w:rsidR="00237697" w:rsidRPr="00237697" w:rsidRDefault="00237697" w:rsidP="00237697">
      <w:pPr>
        <w:spacing w:line="276" w:lineRule="auto"/>
        <w:jc w:val="center"/>
        <w:rPr>
          <w:szCs w:val="24"/>
        </w:rPr>
      </w:pPr>
    </w:p>
    <w:p w14:paraId="66F2D2B2" w14:textId="77777777" w:rsidR="00237697" w:rsidRDefault="00237697" w:rsidP="00237697">
      <w:pPr>
        <w:tabs>
          <w:tab w:val="left" w:pos="8040"/>
        </w:tabs>
        <w:rPr>
          <w:szCs w:val="24"/>
        </w:rPr>
      </w:pPr>
    </w:p>
    <w:p w14:paraId="33D1B7A2" w14:textId="77777777" w:rsidR="00237697" w:rsidRDefault="00237697" w:rsidP="00237697">
      <w:pPr>
        <w:tabs>
          <w:tab w:val="left" w:pos="8040"/>
        </w:tabs>
        <w:rPr>
          <w:szCs w:val="24"/>
        </w:rPr>
      </w:pPr>
    </w:p>
    <w:p w14:paraId="07C14CE2" w14:textId="77777777" w:rsidR="00237697" w:rsidRDefault="00237697" w:rsidP="00237697">
      <w:pPr>
        <w:tabs>
          <w:tab w:val="left" w:pos="8040"/>
        </w:tabs>
        <w:rPr>
          <w:szCs w:val="24"/>
        </w:rPr>
      </w:pPr>
    </w:p>
    <w:p w14:paraId="1D1E9A83" w14:textId="77777777" w:rsidR="00237697" w:rsidRDefault="00237697" w:rsidP="00237697">
      <w:pPr>
        <w:tabs>
          <w:tab w:val="left" w:pos="8040"/>
        </w:tabs>
        <w:rPr>
          <w:szCs w:val="24"/>
        </w:rPr>
      </w:pPr>
    </w:p>
    <w:p w14:paraId="0EB1D543" w14:textId="77777777" w:rsidR="00237697" w:rsidRDefault="00237697" w:rsidP="00237697">
      <w:pPr>
        <w:tabs>
          <w:tab w:val="left" w:pos="8040"/>
        </w:tabs>
        <w:rPr>
          <w:szCs w:val="24"/>
        </w:rPr>
      </w:pPr>
    </w:p>
    <w:p w14:paraId="712BC670" w14:textId="77777777" w:rsidR="00237697" w:rsidRDefault="00237697" w:rsidP="00237697">
      <w:pPr>
        <w:tabs>
          <w:tab w:val="left" w:pos="8040"/>
        </w:tabs>
        <w:rPr>
          <w:szCs w:val="24"/>
        </w:rPr>
      </w:pPr>
    </w:p>
    <w:p w14:paraId="2C5F6D17" w14:textId="77777777" w:rsidR="00237697" w:rsidRDefault="00237697" w:rsidP="00237697">
      <w:pPr>
        <w:tabs>
          <w:tab w:val="left" w:pos="8040"/>
        </w:tabs>
        <w:rPr>
          <w:szCs w:val="24"/>
        </w:rPr>
      </w:pPr>
    </w:p>
    <w:p w14:paraId="0AFD520C" w14:textId="77777777" w:rsidR="00237697" w:rsidRDefault="00237697" w:rsidP="00237697">
      <w:pPr>
        <w:tabs>
          <w:tab w:val="left" w:pos="8040"/>
        </w:tabs>
        <w:rPr>
          <w:szCs w:val="24"/>
        </w:rPr>
      </w:pPr>
    </w:p>
    <w:p w14:paraId="1340C0BA" w14:textId="77777777" w:rsidR="00237697" w:rsidRDefault="00237697" w:rsidP="00237697">
      <w:pPr>
        <w:tabs>
          <w:tab w:val="left" w:pos="8040"/>
        </w:tabs>
        <w:rPr>
          <w:szCs w:val="24"/>
        </w:rPr>
      </w:pPr>
    </w:p>
    <w:p w14:paraId="01D5A673" w14:textId="77777777" w:rsidR="008D7492" w:rsidRDefault="008D7492" w:rsidP="00237697">
      <w:pPr>
        <w:tabs>
          <w:tab w:val="left" w:pos="8040"/>
        </w:tabs>
        <w:rPr>
          <w:szCs w:val="24"/>
        </w:rPr>
        <w:sectPr w:rsidR="008D7492" w:rsidSect="008D7492">
          <w:pgSz w:w="16838" w:h="11906" w:orient="landscape"/>
          <w:pgMar w:top="1701" w:right="567" w:bottom="1134" w:left="1134" w:header="567" w:footer="567" w:gutter="0"/>
          <w:pgNumType w:start="1"/>
          <w:cols w:space="1296"/>
          <w:titlePg/>
          <w:docGrid w:linePitch="360"/>
        </w:sectPr>
      </w:pPr>
    </w:p>
    <w:p w14:paraId="5341AF31" w14:textId="77777777" w:rsidR="00237697" w:rsidRDefault="00237697" w:rsidP="00237697">
      <w:pPr>
        <w:tabs>
          <w:tab w:val="left" w:pos="8040"/>
        </w:tabs>
        <w:rPr>
          <w:szCs w:val="24"/>
        </w:rPr>
      </w:pPr>
    </w:p>
    <w:p w14:paraId="458A0AF7" w14:textId="77777777" w:rsidR="00237697" w:rsidRDefault="00237697" w:rsidP="00237697">
      <w:pPr>
        <w:tabs>
          <w:tab w:val="left" w:pos="8040"/>
        </w:tabs>
        <w:rPr>
          <w:szCs w:val="24"/>
        </w:rPr>
      </w:pPr>
    </w:p>
    <w:p w14:paraId="04388111" w14:textId="77777777" w:rsidR="00237697" w:rsidRDefault="00237697" w:rsidP="00237697">
      <w:pPr>
        <w:tabs>
          <w:tab w:val="left" w:pos="8040"/>
        </w:tabs>
        <w:rPr>
          <w:szCs w:val="24"/>
        </w:rPr>
      </w:pPr>
    </w:p>
    <w:p w14:paraId="3B7B0797" w14:textId="77777777" w:rsidR="00237697" w:rsidRPr="00D1657C" w:rsidRDefault="00237697" w:rsidP="00237697">
      <w:pPr>
        <w:ind w:left="9639"/>
        <w:rPr>
          <w:bCs/>
          <w:iCs/>
          <w:szCs w:val="24"/>
        </w:rPr>
      </w:pPr>
      <w:bookmarkStart w:id="8" w:name="_Hlk135388243"/>
      <w:r w:rsidRPr="001002AD">
        <w:rPr>
          <w:bCs/>
          <w:szCs w:val="24"/>
        </w:rPr>
        <w:t>2021–2030 metų Lietuvos Respublikos ekonomikos ir inovacijų ministerijos valstybės skaitmeninimo plėtros programos pažangos priemon</w:t>
      </w:r>
      <w:r>
        <w:rPr>
          <w:bCs/>
          <w:szCs w:val="24"/>
        </w:rPr>
        <w:t>ės</w:t>
      </w:r>
      <w:r w:rsidRPr="001002AD">
        <w:rPr>
          <w:bCs/>
          <w:szCs w:val="24"/>
        </w:rPr>
        <w:t xml:space="preserve"> </w:t>
      </w:r>
      <w:r w:rsidRPr="001002AD">
        <w:rPr>
          <w:szCs w:val="24"/>
          <w:lang w:eastAsia="lt-LT"/>
        </w:rPr>
        <w:t>Nr.</w:t>
      </w:r>
      <w:r w:rsidRPr="001002AD">
        <w:rPr>
          <w:i/>
          <w:szCs w:val="24"/>
          <w:lang w:eastAsia="lt-LT"/>
        </w:rPr>
        <w:t xml:space="preserve"> </w:t>
      </w:r>
      <w:r w:rsidRPr="001002AD">
        <w:rPr>
          <w:szCs w:val="24"/>
        </w:rPr>
        <w:t>05-002-01-07-08 „Kurti technologinius sprendimus ir įrankius</w:t>
      </w:r>
      <w:r>
        <w:rPr>
          <w:szCs w:val="24"/>
        </w:rPr>
        <w:t>, l</w:t>
      </w:r>
      <w:r w:rsidRPr="001002AD">
        <w:rPr>
          <w:szCs w:val="24"/>
        </w:rPr>
        <w:t>eidžiančius saugiai ir patogiai naudotis paslaugomis“</w:t>
      </w:r>
      <w:r>
        <w:rPr>
          <w:szCs w:val="24"/>
        </w:rPr>
        <w:t xml:space="preserve"> veiklos </w:t>
      </w:r>
      <w:r w:rsidRPr="006E627C">
        <w:rPr>
          <w:bCs/>
          <w:iCs/>
          <w:szCs w:val="24"/>
        </w:rPr>
        <w:t>„</w:t>
      </w:r>
      <w:r>
        <w:rPr>
          <w:bCs/>
          <w:iCs/>
          <w:szCs w:val="24"/>
        </w:rPr>
        <w:t>N</w:t>
      </w:r>
      <w:r w:rsidRPr="006E627C">
        <w:rPr>
          <w:bCs/>
          <w:iCs/>
          <w:szCs w:val="24"/>
        </w:rPr>
        <w:t xml:space="preserve">audojimosi elektroninės atpažinties priemonėmis skatinimas“ poveiklės </w:t>
      </w:r>
      <w:r w:rsidRPr="006E627C">
        <w:rPr>
          <w:bCs/>
          <w:szCs w:val="24"/>
        </w:rPr>
        <w:t>„</w:t>
      </w:r>
      <w:r>
        <w:rPr>
          <w:bCs/>
          <w:szCs w:val="24"/>
        </w:rPr>
        <w:t>N</w:t>
      </w:r>
      <w:r w:rsidRPr="006E627C">
        <w:rPr>
          <w:bCs/>
          <w:szCs w:val="24"/>
        </w:rPr>
        <w:t xml:space="preserve">audojimosi elektroninės atpažinties priemonėmis skatinimas </w:t>
      </w:r>
      <w:r>
        <w:rPr>
          <w:bCs/>
          <w:szCs w:val="24"/>
        </w:rPr>
        <w:t>S</w:t>
      </w:r>
      <w:r w:rsidRPr="006E627C">
        <w:rPr>
          <w:bCs/>
          <w:szCs w:val="24"/>
        </w:rPr>
        <w:t xml:space="preserve">ostinės regione“ ir poveiklės </w:t>
      </w:r>
      <w:r w:rsidRPr="006E627C">
        <w:rPr>
          <w:bCs/>
          <w:iCs/>
          <w:szCs w:val="24"/>
        </w:rPr>
        <w:t>„</w:t>
      </w:r>
      <w:r>
        <w:rPr>
          <w:bCs/>
          <w:iCs/>
          <w:szCs w:val="24"/>
        </w:rPr>
        <w:t>N</w:t>
      </w:r>
      <w:r w:rsidRPr="006E627C">
        <w:rPr>
          <w:bCs/>
          <w:iCs/>
          <w:szCs w:val="24"/>
        </w:rPr>
        <w:t xml:space="preserve">audojimosi elektroninės atpažinties priemonėmis skatinimas </w:t>
      </w:r>
      <w:r>
        <w:rPr>
          <w:bCs/>
          <w:iCs/>
          <w:szCs w:val="24"/>
        </w:rPr>
        <w:t>V</w:t>
      </w:r>
      <w:r w:rsidRPr="006E627C">
        <w:rPr>
          <w:bCs/>
          <w:iCs/>
          <w:szCs w:val="24"/>
        </w:rPr>
        <w:t xml:space="preserve">idurio ir vakarų </w:t>
      </w:r>
      <w:r>
        <w:rPr>
          <w:bCs/>
          <w:iCs/>
          <w:szCs w:val="24"/>
        </w:rPr>
        <w:t>L</w:t>
      </w:r>
      <w:r w:rsidRPr="006E627C">
        <w:rPr>
          <w:bCs/>
          <w:iCs/>
          <w:szCs w:val="24"/>
        </w:rPr>
        <w:t xml:space="preserve">ietuvos regione“ projektų finansavimo sąlygų </w:t>
      </w:r>
      <w:r w:rsidRPr="000E47E9">
        <w:rPr>
          <w:szCs w:val="24"/>
        </w:rPr>
        <w:t xml:space="preserve"> apraš</w:t>
      </w:r>
      <w:r>
        <w:rPr>
          <w:szCs w:val="24"/>
        </w:rPr>
        <w:t>o 2 priedas</w:t>
      </w:r>
    </w:p>
    <w:bookmarkEnd w:id="8"/>
    <w:p w14:paraId="79DEF043" w14:textId="77777777" w:rsidR="00237697" w:rsidRDefault="00237697" w:rsidP="00237697">
      <w:pPr>
        <w:spacing w:line="276" w:lineRule="auto"/>
        <w:jc w:val="center"/>
        <w:rPr>
          <w:szCs w:val="24"/>
        </w:rPr>
      </w:pPr>
    </w:p>
    <w:p w14:paraId="344822E7" w14:textId="43F60DA1" w:rsidR="00237697" w:rsidRDefault="00F65DD4" w:rsidP="00237697">
      <w:pPr>
        <w:jc w:val="center"/>
        <w:rPr>
          <w:b/>
          <w:caps/>
          <w:szCs w:val="24"/>
          <w:lang w:eastAsia="lt-LT"/>
        </w:rPr>
      </w:pPr>
      <w:r>
        <w:rPr>
          <w:b/>
          <w:bCs/>
          <w:caps/>
        </w:rPr>
        <w:t>i</w:t>
      </w:r>
      <w:r>
        <w:rPr>
          <w:b/>
          <w:bCs/>
          <w:caps/>
        </w:rPr>
        <w:t xml:space="preserve">NFORMACIJA, </w:t>
      </w:r>
      <w:r>
        <w:rPr>
          <w:b/>
          <w:bCs/>
          <w:caps/>
          <w:lang w:eastAsia="lt-LT"/>
        </w:rPr>
        <w:t>reikalingA projekto atitikČIAI projektų atrankos kriterijams įvertinti</w:t>
      </w:r>
    </w:p>
    <w:p w14:paraId="4E6FCE29" w14:textId="77777777" w:rsidR="00237697" w:rsidRDefault="00237697" w:rsidP="00237697">
      <w:pPr>
        <w:pStyle w:val="ListParagraph"/>
        <w:spacing w:line="276" w:lineRule="auto"/>
        <w:jc w:val="center"/>
        <w:rPr>
          <w:b/>
          <w:iCs/>
          <w:szCs w:val="24"/>
          <w:lang w:eastAsia="lt-LT"/>
        </w:rPr>
      </w:pPr>
    </w:p>
    <w:tbl>
      <w:tblPr>
        <w:tblStyle w:val="TableGrid"/>
        <w:tblW w:w="0" w:type="auto"/>
        <w:tblInd w:w="720" w:type="dxa"/>
        <w:tblLook w:val="04A0" w:firstRow="1" w:lastRow="0" w:firstColumn="1" w:lastColumn="0" w:noHBand="0" w:noVBand="1"/>
      </w:tblPr>
      <w:tblGrid>
        <w:gridCol w:w="7219"/>
        <w:gridCol w:w="7188"/>
      </w:tblGrid>
      <w:tr w:rsidR="00237697" w14:paraId="321B3A5F" w14:textId="77777777" w:rsidTr="0024254C">
        <w:tc>
          <w:tcPr>
            <w:tcW w:w="7219" w:type="dxa"/>
          </w:tcPr>
          <w:p w14:paraId="3244D75B" w14:textId="77777777" w:rsidR="00237697" w:rsidRPr="009A4197" w:rsidRDefault="00237697" w:rsidP="0024254C">
            <w:pPr>
              <w:pStyle w:val="ListParagraph"/>
              <w:numPr>
                <w:ilvl w:val="0"/>
                <w:numId w:val="3"/>
              </w:numPr>
              <w:tabs>
                <w:tab w:val="left" w:pos="436"/>
              </w:tabs>
              <w:spacing w:after="0" w:line="240" w:lineRule="auto"/>
              <w:ind w:left="11" w:hanging="11"/>
              <w:jc w:val="both"/>
              <w:rPr>
                <w:szCs w:val="24"/>
              </w:rPr>
            </w:pPr>
            <w:r w:rsidRPr="009A4197">
              <w:rPr>
                <w:b/>
                <w:iCs/>
                <w:szCs w:val="24"/>
                <w:lang w:eastAsia="lt-LT"/>
              </w:rPr>
              <w:t>P</w:t>
            </w:r>
            <w:r w:rsidRPr="009A4197">
              <w:rPr>
                <w:rFonts w:eastAsiaTheme="minorEastAsia"/>
                <w:b/>
                <w:bCs/>
                <w:iCs/>
                <w:szCs w:val="24"/>
                <w:lang w:eastAsia="lt-LT"/>
              </w:rPr>
              <w:t>rojektu modifikuojamos nacionaliniu ir (arba) Europos</w:t>
            </w:r>
            <w:r>
              <w:rPr>
                <w:rFonts w:eastAsiaTheme="minorEastAsia"/>
                <w:b/>
                <w:bCs/>
                <w:iCs/>
                <w:szCs w:val="24"/>
                <w:lang w:eastAsia="lt-LT"/>
              </w:rPr>
              <w:t xml:space="preserve"> </w:t>
            </w:r>
            <w:r w:rsidRPr="009A4197">
              <w:rPr>
                <w:rFonts w:eastAsiaTheme="minorEastAsia"/>
                <w:b/>
                <w:bCs/>
                <w:iCs/>
                <w:szCs w:val="24"/>
                <w:lang w:eastAsia="lt-LT"/>
              </w:rPr>
              <w:t xml:space="preserve">Sąjungos (toliau – ES) lygiu strategiškai reikšmingos skaitmeninės paslaugos į jas integruojant ir ne trumpiau kaip 5 metus naudojant inovatyvius technologinius  sprendimus ir (ar) įrankius - mažai naudojamas arba rinkoje neegzistuojančias elektroninės atpažinties priemones ir patikimumo užtikrinimo paslaugas.  </w:t>
            </w:r>
          </w:p>
          <w:p w14:paraId="16069D72" w14:textId="77777777" w:rsidR="00237697" w:rsidRDefault="00237697" w:rsidP="0024254C">
            <w:pPr>
              <w:pStyle w:val="ListParagraph"/>
              <w:spacing w:line="276" w:lineRule="auto"/>
              <w:ind w:left="0"/>
              <w:jc w:val="both"/>
              <w:rPr>
                <w:szCs w:val="24"/>
              </w:rPr>
            </w:pPr>
          </w:p>
        </w:tc>
        <w:tc>
          <w:tcPr>
            <w:tcW w:w="7188" w:type="dxa"/>
          </w:tcPr>
          <w:p w14:paraId="16D2DAA9" w14:textId="77777777" w:rsidR="00237697" w:rsidRDefault="00237697" w:rsidP="0024254C">
            <w:pPr>
              <w:pStyle w:val="ListParagraph"/>
              <w:spacing w:after="0" w:line="240" w:lineRule="auto"/>
              <w:ind w:left="0"/>
              <w:jc w:val="both"/>
              <w:rPr>
                <w:szCs w:val="24"/>
              </w:rPr>
            </w:pPr>
            <w:r>
              <w:rPr>
                <w:rFonts w:eastAsiaTheme="minorEastAsia"/>
                <w:iCs/>
                <w:szCs w:val="24"/>
                <w:lang w:eastAsia="lt-LT"/>
              </w:rPr>
              <w:t>Pateikiamas</w:t>
            </w:r>
            <w:r w:rsidRPr="00970F52">
              <w:rPr>
                <w:rFonts w:eastAsiaTheme="minorEastAsia"/>
                <w:iCs/>
                <w:szCs w:val="24"/>
                <w:lang w:eastAsia="lt-LT"/>
              </w:rPr>
              <w:t xml:space="preserve"> pareiškėjo aprašym</w:t>
            </w:r>
            <w:r>
              <w:rPr>
                <w:rFonts w:eastAsiaTheme="minorEastAsia"/>
                <w:iCs/>
                <w:szCs w:val="24"/>
                <w:lang w:eastAsia="lt-LT"/>
              </w:rPr>
              <w:t>as</w:t>
            </w:r>
            <w:r w:rsidRPr="00970F52">
              <w:rPr>
                <w:rFonts w:eastAsiaTheme="minorEastAsia"/>
                <w:iCs/>
                <w:szCs w:val="24"/>
                <w:lang w:eastAsia="lt-LT"/>
              </w:rPr>
              <w:t>, kuriame konkrečiai detalizuota, kaip inovatyvus technologinis sprendimas ir (ar) įrankis bus integruotas į strategiškai reikšmingą skaitmeninę paslaugą (-as). Paaiškinime taip pat turi būti nurodyti argumentai, kodėl skaitmeninė paslauga, į kurią bus integruotas inovatyvus technologinis sprendimas ir (ar) įrankis, priskirtina prie strategiškai reikšmingos nacionaliniu ar ES lygiu skaitmeninės paslaugos</w:t>
            </w:r>
            <w:r>
              <w:rPr>
                <w:rFonts w:eastAsiaTheme="minorEastAsia"/>
                <w:iCs/>
                <w:szCs w:val="24"/>
                <w:lang w:eastAsia="lt-LT"/>
              </w:rPr>
              <w:t>:</w:t>
            </w:r>
          </w:p>
        </w:tc>
      </w:tr>
      <w:tr w:rsidR="00237697" w14:paraId="2AE6D403" w14:textId="77777777" w:rsidTr="0024254C">
        <w:tc>
          <w:tcPr>
            <w:tcW w:w="14407" w:type="dxa"/>
            <w:gridSpan w:val="2"/>
          </w:tcPr>
          <w:p w14:paraId="599B1219" w14:textId="77777777" w:rsidR="00237697" w:rsidRDefault="00237697" w:rsidP="0024254C">
            <w:pPr>
              <w:pStyle w:val="ListParagraph"/>
              <w:spacing w:line="276" w:lineRule="auto"/>
              <w:ind w:left="0"/>
              <w:jc w:val="both"/>
              <w:rPr>
                <w:szCs w:val="24"/>
              </w:rPr>
            </w:pPr>
          </w:p>
          <w:p w14:paraId="2D121CC7" w14:textId="77777777" w:rsidR="00237697" w:rsidRDefault="00237697" w:rsidP="0024254C">
            <w:pPr>
              <w:pStyle w:val="ListParagraph"/>
              <w:spacing w:line="276" w:lineRule="auto"/>
              <w:ind w:left="0"/>
              <w:jc w:val="both"/>
              <w:rPr>
                <w:szCs w:val="24"/>
              </w:rPr>
            </w:pPr>
          </w:p>
        </w:tc>
      </w:tr>
    </w:tbl>
    <w:p w14:paraId="74604922" w14:textId="77777777" w:rsidR="00237697" w:rsidRDefault="00237697" w:rsidP="00237697">
      <w:pPr>
        <w:pStyle w:val="ListParagraph"/>
        <w:spacing w:line="276" w:lineRule="auto"/>
        <w:jc w:val="both"/>
        <w:rPr>
          <w:szCs w:val="24"/>
        </w:rPr>
      </w:pPr>
    </w:p>
    <w:p w14:paraId="2CE29996" w14:textId="77777777" w:rsidR="00237697" w:rsidRDefault="00237697" w:rsidP="00237697">
      <w:pPr>
        <w:pStyle w:val="ListParagraph"/>
        <w:spacing w:line="276" w:lineRule="auto"/>
        <w:jc w:val="both"/>
        <w:rPr>
          <w:szCs w:val="24"/>
        </w:rPr>
      </w:pPr>
    </w:p>
    <w:tbl>
      <w:tblPr>
        <w:tblStyle w:val="TableGrid"/>
        <w:tblW w:w="0" w:type="auto"/>
        <w:tblInd w:w="720" w:type="dxa"/>
        <w:tblLook w:val="04A0" w:firstRow="1" w:lastRow="0" w:firstColumn="1" w:lastColumn="0" w:noHBand="0" w:noVBand="1"/>
      </w:tblPr>
      <w:tblGrid>
        <w:gridCol w:w="7219"/>
        <w:gridCol w:w="7188"/>
      </w:tblGrid>
      <w:tr w:rsidR="00237697" w14:paraId="0B75EE2A" w14:textId="77777777" w:rsidTr="0024254C">
        <w:tc>
          <w:tcPr>
            <w:tcW w:w="7219" w:type="dxa"/>
          </w:tcPr>
          <w:p w14:paraId="0C2AC944" w14:textId="77777777" w:rsidR="00237697" w:rsidRDefault="00237697" w:rsidP="0024254C">
            <w:pPr>
              <w:pStyle w:val="ListParagraph"/>
              <w:numPr>
                <w:ilvl w:val="0"/>
                <w:numId w:val="3"/>
              </w:numPr>
              <w:tabs>
                <w:tab w:val="left" w:pos="294"/>
              </w:tabs>
              <w:spacing w:after="0" w:line="240" w:lineRule="auto"/>
              <w:ind w:left="0" w:firstLine="11"/>
              <w:jc w:val="both"/>
              <w:rPr>
                <w:szCs w:val="24"/>
              </w:rPr>
            </w:pPr>
            <w:r w:rsidRPr="00970F52">
              <w:rPr>
                <w:b/>
                <w:iCs/>
                <w:szCs w:val="24"/>
                <w:lang w:eastAsia="lt-LT"/>
              </w:rPr>
              <w:t>Projektu integruojami į nacionaliniu ir (arba)</w:t>
            </w:r>
            <w:r>
              <w:rPr>
                <w:b/>
                <w:iCs/>
                <w:szCs w:val="24"/>
                <w:lang w:eastAsia="lt-LT"/>
              </w:rPr>
              <w:t xml:space="preserve"> </w:t>
            </w:r>
            <w:r w:rsidRPr="00970F52">
              <w:rPr>
                <w:b/>
                <w:iCs/>
                <w:szCs w:val="24"/>
                <w:lang w:eastAsia="lt-LT"/>
              </w:rPr>
              <w:t>ES lygiu</w:t>
            </w:r>
            <w:r w:rsidRPr="00970F52">
              <w:rPr>
                <w:bCs/>
                <w:iCs/>
                <w:szCs w:val="24"/>
                <w:lang w:eastAsia="lt-LT"/>
              </w:rPr>
              <w:t xml:space="preserve"> </w:t>
            </w:r>
            <w:r w:rsidRPr="00970F52">
              <w:rPr>
                <w:b/>
                <w:iCs/>
                <w:szCs w:val="24"/>
                <w:lang w:eastAsia="lt-LT"/>
              </w:rPr>
              <w:t xml:space="preserve">strategiškai reikšmingas skaitmenines paslaugas inovatyvūs </w:t>
            </w:r>
            <w:r w:rsidRPr="00970F52">
              <w:rPr>
                <w:b/>
                <w:iCs/>
                <w:szCs w:val="24"/>
                <w:lang w:eastAsia="lt-LT"/>
              </w:rPr>
              <w:lastRenderedPageBreak/>
              <w:t xml:space="preserve">technologiniai sprendimai ir (ar) įrankiai, kurie paskatins rinkoje labai mažai naudojamų arba rinkoje neegzistuojančių kvalifikuotų patikimumo užtikrinimo paslaugų vystymą. </w:t>
            </w:r>
          </w:p>
        </w:tc>
        <w:tc>
          <w:tcPr>
            <w:tcW w:w="7188" w:type="dxa"/>
          </w:tcPr>
          <w:p w14:paraId="6077EAE7" w14:textId="77777777" w:rsidR="00237697" w:rsidRPr="00970F52" w:rsidRDefault="00237697" w:rsidP="0024254C">
            <w:pPr>
              <w:jc w:val="both"/>
              <w:rPr>
                <w:bCs/>
                <w:iCs/>
                <w:szCs w:val="24"/>
                <w:lang w:eastAsia="lt-LT"/>
              </w:rPr>
            </w:pPr>
            <w:r>
              <w:rPr>
                <w:bCs/>
                <w:iCs/>
                <w:szCs w:val="24"/>
                <w:lang w:eastAsia="lt-LT"/>
              </w:rPr>
              <w:lastRenderedPageBreak/>
              <w:t xml:space="preserve">Pateikiamas pareiškėjo aprašymas, </w:t>
            </w:r>
            <w:r w:rsidRPr="00970F52">
              <w:rPr>
                <w:bCs/>
                <w:iCs/>
                <w:szCs w:val="24"/>
                <w:lang w:eastAsia="lt-LT"/>
              </w:rPr>
              <w:t xml:space="preserve">ar projektu integruojami į nacionaliniu ir (arba) ES lygiu strategiškai reikšmingas skaitmenines </w:t>
            </w:r>
            <w:r w:rsidRPr="00970F52">
              <w:rPr>
                <w:bCs/>
                <w:iCs/>
                <w:szCs w:val="24"/>
                <w:lang w:eastAsia="lt-LT"/>
              </w:rPr>
              <w:lastRenderedPageBreak/>
              <w:t>paslaugas inovatyvūs technologiniai sprendimai ir (ar) įrankiai, kurie paskatins Lietuvos rinkoje labai mažai naudojamų ar rinkoje neegzistuojančių kvalifikuotų patikimumo užtikrinimo paslaugų vystymą. Labai mažai naudojama kvalifikuota patikimumo užtikrinimo paslauga, kai ją teikia tik 1 kvalifikuotas patikimumo užtikrinimo paslaugų teikėjas, įtrauktas į  Lietuvos nacionalinį patikimą sąrašą, vadovaujantis 2018 m. birželio 21 d. Lietuvos Respublikos ryšių reguliavimo tarnybos direktoriaus įsakymu Nr. 1V-588 „Dėl kvalifikuotų patikimumo užtikrinimo paslaugų teikėjų ir kvalifikuotų patikimumo užtikrinimo paslaugų statuso suteikimo ir jų įrašymo į nacionalinį patikimą sąrašą bei kvalifikuotų patikimumo užtikrinimo paslaugų teikėjų veiklos ataskaitų teikimo tvarkos aprašo patvirtinimo“. Nenaudojama kvalifikuota patikimumo užtikrinimo paslauga, kai jos neteikia nei vienas Lietuvos kvalifikuotas patikimumo užtikrinimo paslaugų teikėjas.</w:t>
            </w:r>
          </w:p>
          <w:p w14:paraId="737B7868" w14:textId="77777777" w:rsidR="00237697" w:rsidRPr="00970F52" w:rsidRDefault="00237697" w:rsidP="0024254C">
            <w:pPr>
              <w:jc w:val="both"/>
              <w:rPr>
                <w:bCs/>
                <w:iCs/>
                <w:szCs w:val="24"/>
                <w:lang w:eastAsia="lt-LT"/>
              </w:rPr>
            </w:pPr>
            <w:r w:rsidRPr="00970F52">
              <w:rPr>
                <w:bCs/>
                <w:iCs/>
                <w:szCs w:val="24"/>
                <w:lang w:eastAsia="lt-LT"/>
              </w:rPr>
              <w:t>Informacija apie tai</w:t>
            </w:r>
            <w:r>
              <w:rPr>
                <w:bCs/>
                <w:iCs/>
                <w:szCs w:val="24"/>
                <w:lang w:eastAsia="lt-LT"/>
              </w:rPr>
              <w:t>,</w:t>
            </w:r>
            <w:r w:rsidRPr="00970F52">
              <w:rPr>
                <w:bCs/>
                <w:iCs/>
                <w:szCs w:val="24"/>
                <w:lang w:eastAsia="lt-LT"/>
              </w:rPr>
              <w:t xml:space="preserve"> kokiems Lietuvos Respublikoje įsisteigusiems patikimumo užtikrinimo paslaugų teikėjams ir jų teikiamoms patikimumo užtikrinimo paslaugoms yra suteiktas kvalifikuotas statusas</w:t>
            </w:r>
            <w:r>
              <w:rPr>
                <w:bCs/>
                <w:iCs/>
                <w:szCs w:val="24"/>
                <w:lang w:eastAsia="lt-LT"/>
              </w:rPr>
              <w:t>,</w:t>
            </w:r>
            <w:r w:rsidRPr="00970F52">
              <w:rPr>
                <w:bCs/>
                <w:iCs/>
                <w:szCs w:val="24"/>
                <w:lang w:eastAsia="lt-LT"/>
              </w:rPr>
              <w:t xml:space="preserve"> tikrinama Lietuvos Respublikos ryšių reguliavimo tarnybos administruojamame nacionaliniame patikimame sąraše, skelbiamame interneto svetainėje </w:t>
            </w:r>
            <w:hyperlink r:id="rId23" w:history="1">
              <w:r w:rsidRPr="00970F52">
                <w:rPr>
                  <w:bCs/>
                  <w:szCs w:val="24"/>
                  <w:lang w:eastAsia="lt-LT"/>
                </w:rPr>
                <w:t>https://elektroninisparasas.lt/lietuvos-patikimas-sarasas/</w:t>
              </w:r>
            </w:hyperlink>
            <w:r w:rsidRPr="00970F52">
              <w:rPr>
                <w:bCs/>
                <w:iCs/>
                <w:szCs w:val="24"/>
                <w:lang w:eastAsia="lt-LT"/>
              </w:rPr>
              <w:t>.</w:t>
            </w:r>
          </w:p>
          <w:p w14:paraId="62C71B79" w14:textId="77777777" w:rsidR="00237697" w:rsidRDefault="00237697" w:rsidP="0024254C">
            <w:pPr>
              <w:pStyle w:val="ListParagraph"/>
              <w:spacing w:after="0" w:line="240" w:lineRule="auto"/>
              <w:ind w:left="0"/>
              <w:jc w:val="both"/>
              <w:rPr>
                <w:szCs w:val="24"/>
              </w:rPr>
            </w:pPr>
            <w:r>
              <w:rPr>
                <w:szCs w:val="24"/>
              </w:rPr>
              <w:t xml:space="preserve">Pareiškėjas, pagal aukščiau pateiktą informaciją, pagrindžia kokius </w:t>
            </w:r>
            <w:r w:rsidRPr="00970F52">
              <w:rPr>
                <w:bCs/>
                <w:iCs/>
                <w:szCs w:val="24"/>
                <w:lang w:eastAsia="lt-LT"/>
              </w:rPr>
              <w:t>inovatyv</w:t>
            </w:r>
            <w:r>
              <w:rPr>
                <w:bCs/>
                <w:iCs/>
                <w:szCs w:val="24"/>
                <w:lang w:eastAsia="lt-LT"/>
              </w:rPr>
              <w:t>ius</w:t>
            </w:r>
            <w:r w:rsidRPr="00970F52">
              <w:rPr>
                <w:bCs/>
                <w:iCs/>
                <w:szCs w:val="24"/>
                <w:lang w:eastAsia="lt-LT"/>
              </w:rPr>
              <w:t xml:space="preserve"> technologin</w:t>
            </w:r>
            <w:r>
              <w:rPr>
                <w:bCs/>
                <w:iCs/>
                <w:szCs w:val="24"/>
                <w:lang w:eastAsia="lt-LT"/>
              </w:rPr>
              <w:t>ius</w:t>
            </w:r>
            <w:r w:rsidRPr="00970F52">
              <w:rPr>
                <w:bCs/>
                <w:iCs/>
                <w:szCs w:val="24"/>
                <w:lang w:eastAsia="lt-LT"/>
              </w:rPr>
              <w:t xml:space="preserve"> sprendim</w:t>
            </w:r>
            <w:r>
              <w:rPr>
                <w:bCs/>
                <w:iCs/>
                <w:szCs w:val="24"/>
                <w:lang w:eastAsia="lt-LT"/>
              </w:rPr>
              <w:t>us</w:t>
            </w:r>
            <w:r w:rsidRPr="00970F52">
              <w:rPr>
                <w:bCs/>
                <w:iCs/>
                <w:szCs w:val="24"/>
                <w:lang w:eastAsia="lt-LT"/>
              </w:rPr>
              <w:t xml:space="preserve"> ir (ar) įranki</w:t>
            </w:r>
            <w:r>
              <w:rPr>
                <w:bCs/>
                <w:iCs/>
                <w:szCs w:val="24"/>
                <w:lang w:eastAsia="lt-LT"/>
              </w:rPr>
              <w:t xml:space="preserve">us numatoma integruoti į </w:t>
            </w:r>
            <w:r w:rsidRPr="00970F52">
              <w:rPr>
                <w:bCs/>
                <w:iCs/>
                <w:szCs w:val="24"/>
                <w:lang w:eastAsia="lt-LT"/>
              </w:rPr>
              <w:t>nacionaliniu ir (arba) ES lygiu strategiškai reikšmingas skaitmenines paslaugas</w:t>
            </w:r>
            <w:r>
              <w:rPr>
                <w:bCs/>
                <w:iCs/>
                <w:szCs w:val="24"/>
                <w:lang w:eastAsia="lt-LT"/>
              </w:rPr>
              <w:t>:</w:t>
            </w:r>
          </w:p>
        </w:tc>
      </w:tr>
      <w:tr w:rsidR="00237697" w14:paraId="60C1714A" w14:textId="77777777" w:rsidTr="0024254C">
        <w:tc>
          <w:tcPr>
            <w:tcW w:w="14407" w:type="dxa"/>
            <w:gridSpan w:val="2"/>
          </w:tcPr>
          <w:p w14:paraId="463E88BD" w14:textId="77777777" w:rsidR="00237697" w:rsidRDefault="00237697" w:rsidP="0024254C">
            <w:pPr>
              <w:pStyle w:val="ListParagraph"/>
              <w:spacing w:line="276" w:lineRule="auto"/>
              <w:ind w:left="0"/>
              <w:jc w:val="both"/>
              <w:rPr>
                <w:szCs w:val="24"/>
              </w:rPr>
            </w:pPr>
          </w:p>
          <w:p w14:paraId="68109F70" w14:textId="77777777" w:rsidR="00237697" w:rsidRDefault="00237697" w:rsidP="0024254C">
            <w:pPr>
              <w:pStyle w:val="ListParagraph"/>
              <w:spacing w:line="276" w:lineRule="auto"/>
              <w:ind w:left="0"/>
              <w:jc w:val="both"/>
              <w:rPr>
                <w:szCs w:val="24"/>
              </w:rPr>
            </w:pPr>
          </w:p>
        </w:tc>
      </w:tr>
    </w:tbl>
    <w:p w14:paraId="78240968" w14:textId="77777777" w:rsidR="00237697" w:rsidRDefault="00237697" w:rsidP="00237697">
      <w:pPr>
        <w:pStyle w:val="ListParagraph"/>
        <w:spacing w:line="276" w:lineRule="auto"/>
        <w:jc w:val="both"/>
        <w:rPr>
          <w:szCs w:val="24"/>
        </w:rPr>
      </w:pPr>
    </w:p>
    <w:tbl>
      <w:tblPr>
        <w:tblStyle w:val="TableGrid"/>
        <w:tblW w:w="0" w:type="auto"/>
        <w:tblInd w:w="720" w:type="dxa"/>
        <w:tblLook w:val="04A0" w:firstRow="1" w:lastRow="0" w:firstColumn="1" w:lastColumn="0" w:noHBand="0" w:noVBand="1"/>
      </w:tblPr>
      <w:tblGrid>
        <w:gridCol w:w="7219"/>
        <w:gridCol w:w="7188"/>
      </w:tblGrid>
      <w:tr w:rsidR="00237697" w14:paraId="1B1B5797" w14:textId="77777777" w:rsidTr="0024254C">
        <w:tc>
          <w:tcPr>
            <w:tcW w:w="7219" w:type="dxa"/>
          </w:tcPr>
          <w:p w14:paraId="1989DFB5" w14:textId="77777777" w:rsidR="00237697" w:rsidRDefault="00237697" w:rsidP="0024254C">
            <w:pPr>
              <w:pStyle w:val="ListParagraph"/>
              <w:numPr>
                <w:ilvl w:val="0"/>
                <w:numId w:val="3"/>
              </w:numPr>
              <w:tabs>
                <w:tab w:val="left" w:pos="294"/>
              </w:tabs>
              <w:spacing w:after="0" w:line="240" w:lineRule="auto"/>
              <w:ind w:left="0" w:firstLine="11"/>
              <w:jc w:val="both"/>
              <w:rPr>
                <w:szCs w:val="24"/>
              </w:rPr>
            </w:pPr>
            <w:r w:rsidRPr="00970F52">
              <w:rPr>
                <w:rFonts w:eastAsiaTheme="minorEastAsia"/>
                <w:b/>
                <w:iCs/>
                <w:szCs w:val="24"/>
                <w:lang w:eastAsia="lt-LT"/>
              </w:rPr>
              <w:t xml:space="preserve">Projektu </w:t>
            </w:r>
            <w:r w:rsidRPr="00970F52">
              <w:rPr>
                <w:rFonts w:eastAsiaTheme="minorEastAsia"/>
                <w:b/>
                <w:bCs/>
                <w:iCs/>
                <w:szCs w:val="24"/>
                <w:lang w:eastAsia="lt-LT"/>
              </w:rPr>
              <w:t>modifikuojamos kelios nacionaliniu ir (arba)</w:t>
            </w:r>
            <w:r w:rsidRPr="00970F52" w:rsidDel="00B12717">
              <w:rPr>
                <w:rFonts w:eastAsiaTheme="minorEastAsia"/>
                <w:b/>
                <w:iCs/>
                <w:szCs w:val="24"/>
                <w:lang w:eastAsia="lt-LT"/>
              </w:rPr>
              <w:t xml:space="preserve"> </w:t>
            </w:r>
            <w:r w:rsidRPr="00970F52">
              <w:rPr>
                <w:rFonts w:eastAsiaTheme="minorEastAsia"/>
                <w:b/>
                <w:iCs/>
                <w:szCs w:val="24"/>
                <w:lang w:eastAsia="lt-LT"/>
              </w:rPr>
              <w:t xml:space="preserve">ES lygiu strategiškai </w:t>
            </w:r>
            <w:r w:rsidRPr="00970F52">
              <w:rPr>
                <w:rFonts w:eastAsiaTheme="minorEastAsia"/>
                <w:b/>
                <w:bCs/>
                <w:iCs/>
                <w:szCs w:val="24"/>
                <w:lang w:eastAsia="lt-LT"/>
              </w:rPr>
              <w:t xml:space="preserve">reikšmingos skaitmeninės paslaugos į jas integruojant </w:t>
            </w:r>
            <w:r w:rsidRPr="00970F52">
              <w:rPr>
                <w:rFonts w:eastAsiaTheme="minorEastAsia"/>
                <w:b/>
                <w:bCs/>
                <w:iCs/>
                <w:szCs w:val="24"/>
                <w:lang w:eastAsia="lt-LT"/>
              </w:rPr>
              <w:lastRenderedPageBreak/>
              <w:t>inovatyvius technologinius sprendimus ir (ar) įrankius - mažai naudojamas arba rinkoje neegzistuojančias elektroninės atpažinties ar kvalifikuotas patikimumo užtikrinimo paslaugas.</w:t>
            </w:r>
          </w:p>
        </w:tc>
        <w:tc>
          <w:tcPr>
            <w:tcW w:w="7188" w:type="dxa"/>
          </w:tcPr>
          <w:p w14:paraId="5957DF38" w14:textId="77777777" w:rsidR="00237697" w:rsidRDefault="00237697" w:rsidP="0024254C">
            <w:pPr>
              <w:pStyle w:val="ListParagraph"/>
              <w:spacing w:after="0" w:line="240" w:lineRule="auto"/>
              <w:ind w:left="0"/>
              <w:jc w:val="both"/>
              <w:rPr>
                <w:szCs w:val="24"/>
              </w:rPr>
            </w:pPr>
            <w:r>
              <w:rPr>
                <w:rFonts w:eastAsiaTheme="minorEastAsia"/>
                <w:bCs/>
                <w:iCs/>
                <w:szCs w:val="24"/>
                <w:lang w:eastAsia="lt-LT"/>
              </w:rPr>
              <w:lastRenderedPageBreak/>
              <w:t xml:space="preserve">Pateikiamas pareiškėjo aprašymas, </w:t>
            </w:r>
            <w:r w:rsidRPr="00970F52">
              <w:rPr>
                <w:rFonts w:eastAsiaTheme="minorEastAsia"/>
                <w:bCs/>
                <w:iCs/>
                <w:szCs w:val="24"/>
                <w:lang w:eastAsia="lt-LT"/>
              </w:rPr>
              <w:t xml:space="preserve">ar elektroninės atpažinties ir patikimumo užtikrinimo technologiniai sprendimai ir (ar) įrankiai bus </w:t>
            </w:r>
            <w:r w:rsidRPr="00970F52">
              <w:rPr>
                <w:rFonts w:eastAsiaTheme="minorEastAsia"/>
                <w:bCs/>
                <w:iCs/>
                <w:szCs w:val="24"/>
                <w:lang w:eastAsia="lt-LT"/>
              </w:rPr>
              <w:lastRenderedPageBreak/>
              <w:t xml:space="preserve">integruojami į kelias nacionaliniu ir  (arba) ES lygiu strategiškai reikšmingas skaitmenines paslaugas. </w:t>
            </w:r>
            <w:r>
              <w:rPr>
                <w:rFonts w:eastAsiaTheme="minorEastAsia"/>
                <w:bCs/>
                <w:iCs/>
                <w:szCs w:val="24"/>
                <w:lang w:eastAsia="lt-LT"/>
              </w:rPr>
              <w:t>A</w:t>
            </w:r>
            <w:r w:rsidRPr="00970F52">
              <w:rPr>
                <w:rFonts w:eastAsiaTheme="minorEastAsia"/>
                <w:bCs/>
                <w:iCs/>
                <w:szCs w:val="24"/>
                <w:lang w:eastAsia="lt-LT"/>
              </w:rPr>
              <w:t>prašym</w:t>
            </w:r>
            <w:r>
              <w:rPr>
                <w:rFonts w:eastAsiaTheme="minorEastAsia"/>
                <w:bCs/>
                <w:iCs/>
                <w:szCs w:val="24"/>
                <w:lang w:eastAsia="lt-LT"/>
              </w:rPr>
              <w:t>e turi būti paaiškintas</w:t>
            </w:r>
            <w:r w:rsidRPr="00970F52">
              <w:rPr>
                <w:rFonts w:eastAsiaTheme="minorEastAsia"/>
                <w:bCs/>
                <w:iCs/>
                <w:szCs w:val="24"/>
                <w:lang w:eastAsia="lt-LT"/>
              </w:rPr>
              <w:t xml:space="preserve"> skaitmeninės paslaugos naudojimas su sprendimu ir (ar) įrankiu</w:t>
            </w:r>
            <w:r>
              <w:rPr>
                <w:rFonts w:eastAsiaTheme="minorEastAsia"/>
                <w:bCs/>
                <w:iCs/>
                <w:szCs w:val="24"/>
                <w:lang w:eastAsia="lt-LT"/>
              </w:rPr>
              <w:t xml:space="preserve"> ir į kelias </w:t>
            </w:r>
            <w:r w:rsidRPr="00970F52">
              <w:rPr>
                <w:rFonts w:eastAsiaTheme="minorEastAsia"/>
                <w:bCs/>
                <w:iCs/>
                <w:szCs w:val="24"/>
                <w:lang w:eastAsia="lt-LT"/>
              </w:rPr>
              <w:t>nacionaliniu ir  (arba) ES lygiu strategiškai reikšmingas skaitmenines paslaugas</w:t>
            </w:r>
            <w:r>
              <w:rPr>
                <w:rFonts w:eastAsiaTheme="minorEastAsia"/>
                <w:bCs/>
                <w:iCs/>
                <w:szCs w:val="24"/>
                <w:lang w:eastAsia="lt-LT"/>
              </w:rPr>
              <w:t xml:space="preserve"> bus integruojamas sprendimas ir (ar) įrankis:</w:t>
            </w:r>
          </w:p>
        </w:tc>
      </w:tr>
      <w:tr w:rsidR="00237697" w14:paraId="7080E625" w14:textId="77777777" w:rsidTr="0024254C">
        <w:tc>
          <w:tcPr>
            <w:tcW w:w="14407" w:type="dxa"/>
            <w:gridSpan w:val="2"/>
          </w:tcPr>
          <w:p w14:paraId="02FBF315" w14:textId="77777777" w:rsidR="00237697" w:rsidRDefault="00237697" w:rsidP="0024254C">
            <w:pPr>
              <w:pStyle w:val="ListParagraph"/>
              <w:spacing w:line="276" w:lineRule="auto"/>
              <w:ind w:left="0"/>
              <w:jc w:val="both"/>
              <w:rPr>
                <w:szCs w:val="24"/>
              </w:rPr>
            </w:pPr>
          </w:p>
          <w:p w14:paraId="16A91B16" w14:textId="77777777" w:rsidR="00237697" w:rsidRDefault="00237697" w:rsidP="0024254C">
            <w:pPr>
              <w:pStyle w:val="ListParagraph"/>
              <w:spacing w:line="276" w:lineRule="auto"/>
              <w:ind w:left="0"/>
              <w:jc w:val="both"/>
              <w:rPr>
                <w:szCs w:val="24"/>
              </w:rPr>
            </w:pPr>
          </w:p>
        </w:tc>
      </w:tr>
    </w:tbl>
    <w:p w14:paraId="1C0A1167" w14:textId="77777777" w:rsidR="00237697" w:rsidRDefault="00237697" w:rsidP="00237697">
      <w:pPr>
        <w:pStyle w:val="ListParagraph"/>
        <w:spacing w:line="276" w:lineRule="auto"/>
        <w:jc w:val="both"/>
        <w:rPr>
          <w:szCs w:val="24"/>
        </w:rPr>
      </w:pPr>
    </w:p>
    <w:tbl>
      <w:tblPr>
        <w:tblStyle w:val="TableGrid"/>
        <w:tblW w:w="0" w:type="auto"/>
        <w:tblInd w:w="720" w:type="dxa"/>
        <w:tblLook w:val="04A0" w:firstRow="1" w:lastRow="0" w:firstColumn="1" w:lastColumn="0" w:noHBand="0" w:noVBand="1"/>
      </w:tblPr>
      <w:tblGrid>
        <w:gridCol w:w="7219"/>
        <w:gridCol w:w="7188"/>
      </w:tblGrid>
      <w:tr w:rsidR="00237697" w14:paraId="28E39769" w14:textId="77777777" w:rsidTr="0024254C">
        <w:tc>
          <w:tcPr>
            <w:tcW w:w="7219" w:type="dxa"/>
          </w:tcPr>
          <w:p w14:paraId="494A6EEA" w14:textId="77777777" w:rsidR="00237697" w:rsidRPr="008D76CD" w:rsidRDefault="00237697" w:rsidP="0024254C">
            <w:pPr>
              <w:pStyle w:val="ListParagraph"/>
              <w:numPr>
                <w:ilvl w:val="0"/>
                <w:numId w:val="3"/>
              </w:numPr>
              <w:tabs>
                <w:tab w:val="left" w:pos="294"/>
              </w:tabs>
              <w:ind w:left="11" w:hanging="11"/>
              <w:jc w:val="both"/>
              <w:rPr>
                <w:szCs w:val="24"/>
              </w:rPr>
            </w:pPr>
            <w:r w:rsidRPr="008D76CD">
              <w:rPr>
                <w:b/>
                <w:bCs/>
                <w:szCs w:val="24"/>
                <w:lang w:eastAsia="lt-LT"/>
              </w:rPr>
              <w:t>Projektu modifikuojama nacionaliniu ir (arba) ES lygiu strategiškai reikšminga skaitmeninė paslauga į ją integruojant kelių skirtingų tipų inovatyvius technologinius sprendimus ir (ar) įrankius - mažai naudojamas arba rinkoje neegzistuojančias elektroninės atpažinties ar kvalifikuotas patikimumo užtikrinimo paslaugas.</w:t>
            </w:r>
          </w:p>
        </w:tc>
        <w:tc>
          <w:tcPr>
            <w:tcW w:w="7188" w:type="dxa"/>
          </w:tcPr>
          <w:p w14:paraId="478DE052" w14:textId="77777777" w:rsidR="00237697" w:rsidRDefault="00237697" w:rsidP="0024254C">
            <w:pPr>
              <w:jc w:val="both"/>
              <w:rPr>
                <w:szCs w:val="24"/>
              </w:rPr>
            </w:pPr>
            <w:r>
              <w:rPr>
                <w:rFonts w:eastAsiaTheme="minorEastAsia"/>
                <w:bCs/>
                <w:iCs/>
                <w:szCs w:val="24"/>
                <w:lang w:eastAsia="lt-LT"/>
              </w:rPr>
              <w:t>Pateikiamas pareiškėjo aprašymas</w:t>
            </w:r>
            <w:r w:rsidRPr="00970F52">
              <w:rPr>
                <w:rFonts w:eastAsiaTheme="minorEastAsia"/>
                <w:bCs/>
                <w:iCs/>
                <w:szCs w:val="24"/>
                <w:lang w:eastAsia="lt-LT"/>
              </w:rPr>
              <w:t xml:space="preserve">, ar į nacionaliniu ir (arba) ES lygiu strategiškai reikšmingą skaitmeninę paslaugą integruojami keli elektroninės atpažinties ir patikimumo užtikrinimo technologiniai sprendimai ir (ar) įrankiai. </w:t>
            </w:r>
            <w:r>
              <w:rPr>
                <w:rFonts w:eastAsiaTheme="minorEastAsia"/>
                <w:bCs/>
                <w:iCs/>
                <w:szCs w:val="24"/>
                <w:lang w:eastAsia="lt-LT"/>
              </w:rPr>
              <w:t>A</w:t>
            </w:r>
            <w:r w:rsidRPr="00970F52">
              <w:rPr>
                <w:rFonts w:eastAsiaTheme="minorEastAsia"/>
                <w:bCs/>
                <w:iCs/>
                <w:szCs w:val="24"/>
                <w:lang w:eastAsia="lt-LT"/>
              </w:rPr>
              <w:t>prašym</w:t>
            </w:r>
            <w:r>
              <w:rPr>
                <w:rFonts w:eastAsiaTheme="minorEastAsia"/>
                <w:bCs/>
                <w:iCs/>
                <w:szCs w:val="24"/>
                <w:lang w:eastAsia="lt-LT"/>
              </w:rPr>
              <w:t>e turi būti paaiškintas</w:t>
            </w:r>
            <w:r w:rsidRPr="00970F52">
              <w:rPr>
                <w:rFonts w:eastAsiaTheme="minorEastAsia"/>
                <w:bCs/>
                <w:iCs/>
                <w:szCs w:val="24"/>
                <w:lang w:eastAsia="lt-LT"/>
              </w:rPr>
              <w:t xml:space="preserve"> skaitmeninės paslaugos naudojimas su sprendim</w:t>
            </w:r>
            <w:r>
              <w:rPr>
                <w:rFonts w:eastAsiaTheme="minorEastAsia"/>
                <w:bCs/>
                <w:iCs/>
                <w:szCs w:val="24"/>
                <w:lang w:eastAsia="lt-LT"/>
              </w:rPr>
              <w:t>u</w:t>
            </w:r>
            <w:r w:rsidRPr="00970F52">
              <w:rPr>
                <w:rFonts w:eastAsiaTheme="minorEastAsia"/>
                <w:bCs/>
                <w:iCs/>
                <w:szCs w:val="24"/>
                <w:lang w:eastAsia="lt-LT"/>
              </w:rPr>
              <w:t xml:space="preserve"> ir (ar) įranki</w:t>
            </w:r>
            <w:r>
              <w:rPr>
                <w:rFonts w:eastAsiaTheme="minorEastAsia"/>
                <w:bCs/>
                <w:iCs/>
                <w:szCs w:val="24"/>
                <w:lang w:eastAsia="lt-LT"/>
              </w:rPr>
              <w:t>u ir kokie skirtingų tipų sprendimai ir (ar) įrankiai bus integruojami:</w:t>
            </w:r>
          </w:p>
        </w:tc>
      </w:tr>
      <w:tr w:rsidR="00237697" w14:paraId="51DA4B46" w14:textId="77777777" w:rsidTr="0024254C">
        <w:tc>
          <w:tcPr>
            <w:tcW w:w="14407" w:type="dxa"/>
            <w:gridSpan w:val="2"/>
          </w:tcPr>
          <w:p w14:paraId="3E346705" w14:textId="77777777" w:rsidR="00237697" w:rsidRDefault="00237697" w:rsidP="0024254C">
            <w:pPr>
              <w:pStyle w:val="ListParagraph"/>
              <w:spacing w:line="276" w:lineRule="auto"/>
              <w:ind w:left="0"/>
              <w:jc w:val="both"/>
              <w:rPr>
                <w:szCs w:val="24"/>
              </w:rPr>
            </w:pPr>
          </w:p>
          <w:p w14:paraId="7B60F66A" w14:textId="77777777" w:rsidR="00237697" w:rsidRDefault="00237697" w:rsidP="0024254C">
            <w:pPr>
              <w:pStyle w:val="ListParagraph"/>
              <w:spacing w:line="276" w:lineRule="auto"/>
              <w:ind w:left="0"/>
              <w:jc w:val="both"/>
              <w:rPr>
                <w:szCs w:val="24"/>
              </w:rPr>
            </w:pPr>
          </w:p>
        </w:tc>
      </w:tr>
    </w:tbl>
    <w:p w14:paraId="3E86A58E" w14:textId="77777777" w:rsidR="00237697" w:rsidRDefault="00237697" w:rsidP="00237697">
      <w:pPr>
        <w:jc w:val="center"/>
        <w:rPr>
          <w:szCs w:val="24"/>
        </w:rPr>
      </w:pPr>
      <w:bookmarkStart w:id="9" w:name="_Hlk135396853"/>
      <w:r w:rsidRPr="00A050A4">
        <w:rPr>
          <w:rFonts w:ascii="Calibri" w:eastAsia="Calibri" w:hAnsi="Calibri"/>
          <w:sz w:val="22"/>
          <w:szCs w:val="22"/>
        </w:rPr>
        <w:t>________________</w:t>
      </w:r>
    </w:p>
    <w:bookmarkEnd w:id="9"/>
    <w:p w14:paraId="4E8A0C5B" w14:textId="77777777" w:rsidR="00237697" w:rsidRPr="003E0EAD" w:rsidRDefault="00237697" w:rsidP="00237697">
      <w:pPr>
        <w:pStyle w:val="ListParagraph"/>
        <w:spacing w:line="276" w:lineRule="auto"/>
        <w:jc w:val="both"/>
        <w:rPr>
          <w:szCs w:val="24"/>
        </w:rPr>
      </w:pPr>
    </w:p>
    <w:p w14:paraId="3AD1917B" w14:textId="77777777" w:rsidR="00237697" w:rsidRDefault="00237697" w:rsidP="00237697">
      <w:pPr>
        <w:tabs>
          <w:tab w:val="left" w:pos="8040"/>
        </w:tabs>
        <w:rPr>
          <w:szCs w:val="24"/>
        </w:rPr>
      </w:pPr>
    </w:p>
    <w:p w14:paraId="5873C390" w14:textId="77777777" w:rsidR="00513598" w:rsidRDefault="00513598" w:rsidP="00237697">
      <w:pPr>
        <w:tabs>
          <w:tab w:val="left" w:pos="8040"/>
        </w:tabs>
        <w:rPr>
          <w:szCs w:val="24"/>
        </w:rPr>
      </w:pPr>
    </w:p>
    <w:p w14:paraId="79DAB9CD" w14:textId="77777777" w:rsidR="00513598" w:rsidRDefault="00513598" w:rsidP="00237697">
      <w:pPr>
        <w:tabs>
          <w:tab w:val="left" w:pos="8040"/>
        </w:tabs>
        <w:rPr>
          <w:szCs w:val="24"/>
        </w:rPr>
      </w:pPr>
    </w:p>
    <w:p w14:paraId="266C4ECD" w14:textId="77777777" w:rsidR="00513598" w:rsidRDefault="00513598" w:rsidP="00237697">
      <w:pPr>
        <w:tabs>
          <w:tab w:val="left" w:pos="8040"/>
        </w:tabs>
        <w:rPr>
          <w:szCs w:val="24"/>
        </w:rPr>
      </w:pPr>
    </w:p>
    <w:p w14:paraId="4371BFA8" w14:textId="77777777" w:rsidR="00513598" w:rsidRDefault="00513598" w:rsidP="00237697">
      <w:pPr>
        <w:tabs>
          <w:tab w:val="left" w:pos="8040"/>
        </w:tabs>
        <w:rPr>
          <w:szCs w:val="24"/>
        </w:rPr>
      </w:pPr>
    </w:p>
    <w:p w14:paraId="0E81A72D" w14:textId="77777777" w:rsidR="00513598" w:rsidRDefault="00513598" w:rsidP="00237697">
      <w:pPr>
        <w:tabs>
          <w:tab w:val="left" w:pos="8040"/>
        </w:tabs>
        <w:rPr>
          <w:szCs w:val="24"/>
        </w:rPr>
      </w:pPr>
    </w:p>
    <w:p w14:paraId="08EB9E66" w14:textId="77777777" w:rsidR="00513598" w:rsidRDefault="00513598" w:rsidP="00237697">
      <w:pPr>
        <w:tabs>
          <w:tab w:val="left" w:pos="8040"/>
        </w:tabs>
        <w:rPr>
          <w:szCs w:val="24"/>
        </w:rPr>
      </w:pPr>
    </w:p>
    <w:p w14:paraId="70A9A079" w14:textId="77777777" w:rsidR="00513598" w:rsidRDefault="00513598" w:rsidP="00237697">
      <w:pPr>
        <w:tabs>
          <w:tab w:val="left" w:pos="8040"/>
        </w:tabs>
        <w:rPr>
          <w:szCs w:val="24"/>
        </w:rPr>
      </w:pPr>
    </w:p>
    <w:p w14:paraId="130E4399" w14:textId="77777777" w:rsidR="00513598" w:rsidRDefault="00513598" w:rsidP="00237697">
      <w:pPr>
        <w:tabs>
          <w:tab w:val="left" w:pos="8040"/>
        </w:tabs>
        <w:rPr>
          <w:szCs w:val="24"/>
        </w:rPr>
        <w:sectPr w:rsidR="00513598" w:rsidSect="008D7492">
          <w:pgSz w:w="16838" w:h="11906" w:orient="landscape"/>
          <w:pgMar w:top="1701" w:right="567" w:bottom="1134" w:left="1134" w:header="567" w:footer="567" w:gutter="0"/>
          <w:pgNumType w:start="1"/>
          <w:cols w:space="1296"/>
          <w:titlePg/>
          <w:docGrid w:linePitch="360"/>
        </w:sectPr>
      </w:pPr>
    </w:p>
    <w:p w14:paraId="255269EB" w14:textId="77777777" w:rsidR="00513598" w:rsidRDefault="00513598" w:rsidP="00237697">
      <w:pPr>
        <w:tabs>
          <w:tab w:val="left" w:pos="8040"/>
        </w:tabs>
        <w:rPr>
          <w:szCs w:val="24"/>
        </w:rPr>
      </w:pPr>
    </w:p>
    <w:p w14:paraId="17E642D7" w14:textId="77777777" w:rsidR="00513598" w:rsidRDefault="00513598" w:rsidP="00237697">
      <w:pPr>
        <w:tabs>
          <w:tab w:val="left" w:pos="8040"/>
        </w:tabs>
        <w:rPr>
          <w:szCs w:val="24"/>
        </w:rPr>
      </w:pPr>
    </w:p>
    <w:p w14:paraId="06EC5613" w14:textId="77777777" w:rsidR="00513598" w:rsidRDefault="00513598" w:rsidP="00513598">
      <w:pPr>
        <w:ind w:left="9639"/>
        <w:rPr>
          <w:szCs w:val="24"/>
          <w:lang w:eastAsia="lt-LT"/>
        </w:rPr>
      </w:pPr>
      <w:r w:rsidRPr="0012116F">
        <w:rPr>
          <w:szCs w:val="24"/>
          <w:lang w:eastAsia="lt-LT"/>
        </w:rPr>
        <w:t>2021–2030 metų Lietuvos Respublikos</w:t>
      </w:r>
      <w:r>
        <w:rPr>
          <w:szCs w:val="24"/>
          <w:lang w:eastAsia="lt-LT"/>
        </w:rPr>
        <w:t xml:space="preserve"> </w:t>
      </w:r>
      <w:r w:rsidRPr="0012116F">
        <w:rPr>
          <w:szCs w:val="24"/>
          <w:lang w:eastAsia="lt-LT"/>
        </w:rPr>
        <w:t xml:space="preserve">ekonomikos ir inovacijų ministerijos valstybės skaitmeninimo plėtros programos pažangos priemonės Nr. 05-002-01-07-08 „Kurti technologinius sprendimus ir įrankius, leidžiančius saugiai ir patogiai naudotis paslaugomis“ veiklos „Naudojimosi elektroninės atpažinties priemonėmis skatinimas“ poveiklės „Naudojimosi elektroninės atpažinties priemonėmis skatinimas Sostinės regione“ ir poveiklės „Naudojimosi elektroninės atpažinties priemonėmis skatinimas Vidurio ir vakarų Lietuvos regione“ projektų finansavimo sąlygų  aprašo </w:t>
      </w:r>
      <w:r>
        <w:rPr>
          <w:szCs w:val="24"/>
          <w:lang w:eastAsia="lt-LT"/>
        </w:rPr>
        <w:br/>
        <w:t>3</w:t>
      </w:r>
      <w:r w:rsidRPr="0012116F">
        <w:rPr>
          <w:szCs w:val="24"/>
          <w:lang w:eastAsia="lt-LT"/>
        </w:rPr>
        <w:t xml:space="preserve"> priedas</w:t>
      </w:r>
    </w:p>
    <w:p w14:paraId="33AEBCF8" w14:textId="77777777" w:rsidR="00513598" w:rsidRPr="0012116F" w:rsidRDefault="00513598" w:rsidP="00513598">
      <w:pPr>
        <w:ind w:left="9639"/>
        <w:rPr>
          <w:szCs w:val="24"/>
          <w:lang w:eastAsia="lt-LT"/>
        </w:rPr>
      </w:pPr>
    </w:p>
    <w:p w14:paraId="5194340F" w14:textId="77777777" w:rsidR="00513598" w:rsidRDefault="00513598" w:rsidP="00513598">
      <w:pPr>
        <w:shd w:val="clear" w:color="auto" w:fill="FFFFFF"/>
        <w:jc w:val="center"/>
        <w:rPr>
          <w:b/>
          <w:bCs/>
          <w:spacing w:val="2"/>
          <w:szCs w:val="24"/>
          <w:lang w:eastAsia="lt-LT"/>
        </w:rPr>
      </w:pPr>
      <w:r w:rsidRPr="00C936A2">
        <w:rPr>
          <w:b/>
          <w:bCs/>
          <w:spacing w:val="2"/>
          <w:szCs w:val="24"/>
          <w:lang w:eastAsia="lt-LT"/>
        </w:rPr>
        <w:t>PAREIŠKĖJO DEKLARACIJA DĖL ATITIKTIES VALSTYBĖS PAGALBOS KRITERIJAMS</w:t>
      </w:r>
    </w:p>
    <w:p w14:paraId="3D9E059B" w14:textId="77777777" w:rsidR="00513598" w:rsidRPr="00C936A2" w:rsidRDefault="00513598" w:rsidP="00513598">
      <w:pPr>
        <w:shd w:val="clear" w:color="auto" w:fill="FFFFFF"/>
        <w:jc w:val="center"/>
        <w:rPr>
          <w:b/>
          <w:bCs/>
          <w:spacing w:val="2"/>
          <w:szCs w:val="24"/>
          <w:lang w:eastAsia="lt-LT"/>
        </w:rPr>
      </w:pPr>
    </w:p>
    <w:tbl>
      <w:tblPr>
        <w:tblStyle w:val="TableGrid"/>
        <w:tblW w:w="15163" w:type="dxa"/>
        <w:tblLook w:val="04A0" w:firstRow="1" w:lastRow="0" w:firstColumn="1" w:lastColumn="0" w:noHBand="0" w:noVBand="1"/>
      </w:tblPr>
      <w:tblGrid>
        <w:gridCol w:w="12895"/>
        <w:gridCol w:w="1134"/>
        <w:gridCol w:w="1134"/>
      </w:tblGrid>
      <w:tr w:rsidR="00513598" w:rsidRPr="00F641E9" w14:paraId="1D364013" w14:textId="77777777" w:rsidTr="008E6042">
        <w:tc>
          <w:tcPr>
            <w:tcW w:w="12895" w:type="dxa"/>
            <w:vAlign w:val="center"/>
          </w:tcPr>
          <w:p w14:paraId="7249E332" w14:textId="77777777" w:rsidR="00513598" w:rsidRPr="00F641E9" w:rsidRDefault="00513598" w:rsidP="008E6042">
            <w:pPr>
              <w:rPr>
                <w:b/>
                <w:bCs/>
                <w:szCs w:val="24"/>
              </w:rPr>
            </w:pPr>
            <w:r w:rsidRPr="00F641E9">
              <w:rPr>
                <w:b/>
                <w:bCs/>
                <w:szCs w:val="24"/>
              </w:rPr>
              <w:t xml:space="preserve">Pareiškėjui teikiamas finansavimas atitinka šiuos </w:t>
            </w:r>
            <w:r w:rsidRPr="00CD23A9">
              <w:rPr>
                <w:b/>
                <w:bCs/>
                <w:szCs w:val="24"/>
                <w:lang w:eastAsia="lt-LT"/>
              </w:rPr>
              <w:t>Sutarties dėl Europos Sąjungos veikimo 107 straipsnio 1 dalyje įtvirtintus kriterijus</w:t>
            </w:r>
            <w:r w:rsidRPr="00F641E9">
              <w:rPr>
                <w:b/>
                <w:bCs/>
                <w:szCs w:val="24"/>
              </w:rPr>
              <w:t>:</w:t>
            </w:r>
          </w:p>
        </w:tc>
        <w:tc>
          <w:tcPr>
            <w:tcW w:w="1134" w:type="dxa"/>
            <w:vAlign w:val="center"/>
          </w:tcPr>
          <w:p w14:paraId="179DF7D7" w14:textId="77777777" w:rsidR="00513598" w:rsidRPr="00F641E9" w:rsidRDefault="00513598" w:rsidP="008E6042">
            <w:pPr>
              <w:jc w:val="center"/>
              <w:rPr>
                <w:b/>
                <w:bCs/>
                <w:szCs w:val="24"/>
              </w:rPr>
            </w:pPr>
            <w:r w:rsidRPr="00F641E9">
              <w:rPr>
                <w:b/>
                <w:bCs/>
                <w:szCs w:val="24"/>
              </w:rPr>
              <w:t>TAIP</w:t>
            </w:r>
          </w:p>
        </w:tc>
        <w:tc>
          <w:tcPr>
            <w:tcW w:w="1134" w:type="dxa"/>
            <w:vAlign w:val="center"/>
          </w:tcPr>
          <w:p w14:paraId="2239C48E" w14:textId="77777777" w:rsidR="00513598" w:rsidRPr="00F641E9" w:rsidRDefault="00513598" w:rsidP="008E6042">
            <w:pPr>
              <w:jc w:val="center"/>
              <w:rPr>
                <w:b/>
                <w:bCs/>
                <w:szCs w:val="24"/>
              </w:rPr>
            </w:pPr>
            <w:r w:rsidRPr="00F641E9">
              <w:rPr>
                <w:b/>
                <w:bCs/>
                <w:szCs w:val="24"/>
              </w:rPr>
              <w:t>NE</w:t>
            </w:r>
          </w:p>
        </w:tc>
      </w:tr>
      <w:tr w:rsidR="00513598" w:rsidRPr="00F641E9" w14:paraId="111F239A" w14:textId="77777777" w:rsidTr="008E6042">
        <w:trPr>
          <w:trHeight w:val="605"/>
        </w:trPr>
        <w:tc>
          <w:tcPr>
            <w:tcW w:w="12895" w:type="dxa"/>
          </w:tcPr>
          <w:p w14:paraId="4544CD21" w14:textId="77777777" w:rsidR="00513598" w:rsidRPr="00F641E9" w:rsidRDefault="00513598" w:rsidP="008E6042">
            <w:pPr>
              <w:rPr>
                <w:szCs w:val="24"/>
              </w:rPr>
            </w:pPr>
            <w:r w:rsidRPr="00CD23A9">
              <w:rPr>
                <w:b/>
                <w:bCs/>
                <w:szCs w:val="24"/>
                <w:lang w:eastAsia="lt-LT"/>
              </w:rPr>
              <w:t>Parama skiriama ūkio subjektui.</w:t>
            </w:r>
            <w:r w:rsidRPr="00CD23A9">
              <w:rPr>
                <w:szCs w:val="24"/>
                <w:lang w:eastAsia="lt-LT"/>
              </w:rPr>
              <w:t xml:space="preserve"> Ūkio subjektu laikomas bet kokio juridinio statuso ir bet kokiu būdu finansuojamas subjektas, vykdantis ūkinę veiklą (net jeigu savo veikla nesiekia pelno). </w:t>
            </w:r>
          </w:p>
        </w:tc>
        <w:tc>
          <w:tcPr>
            <w:tcW w:w="1134" w:type="dxa"/>
            <w:vAlign w:val="center"/>
          </w:tcPr>
          <w:p w14:paraId="7B7E359D" w14:textId="77777777" w:rsidR="00513598" w:rsidRPr="00F641E9" w:rsidRDefault="00513598" w:rsidP="008E6042">
            <w:pPr>
              <w:jc w:val="center"/>
              <w:rPr>
                <w:szCs w:val="24"/>
              </w:rPr>
            </w:pPr>
            <w:sdt>
              <w:sdtPr>
                <w:rPr>
                  <w:b/>
                  <w:bCs/>
                  <w:lang w:eastAsia="lt-LT"/>
                </w:rPr>
                <w:id w:val="-1286035763"/>
                <w14:checkbox>
                  <w14:checked w14:val="0"/>
                  <w14:checkedState w14:val="2612" w14:font="MS Gothic"/>
                  <w14:uncheckedState w14:val="2610" w14:font="MS Gothic"/>
                </w14:checkbox>
              </w:sdtPr>
              <w:sdtContent>
                <w:r>
                  <w:rPr>
                    <w:rFonts w:ascii="MS Gothic" w:eastAsia="MS Gothic" w:hAnsi="MS Gothic" w:hint="eastAsia"/>
                    <w:b/>
                    <w:bCs/>
                    <w:lang w:eastAsia="lt-LT"/>
                  </w:rPr>
                  <w:t>☐</w:t>
                </w:r>
              </w:sdtContent>
            </w:sdt>
          </w:p>
        </w:tc>
        <w:tc>
          <w:tcPr>
            <w:tcW w:w="1134" w:type="dxa"/>
            <w:vAlign w:val="center"/>
          </w:tcPr>
          <w:p w14:paraId="33DBC4F1" w14:textId="77777777" w:rsidR="00513598" w:rsidRPr="00F641E9" w:rsidRDefault="00513598" w:rsidP="008E6042">
            <w:pPr>
              <w:jc w:val="center"/>
              <w:rPr>
                <w:szCs w:val="24"/>
              </w:rPr>
            </w:pPr>
            <w:sdt>
              <w:sdtPr>
                <w:rPr>
                  <w:b/>
                  <w:bCs/>
                  <w:lang w:eastAsia="lt-LT"/>
                </w:rPr>
                <w:id w:val="2140762160"/>
                <w14:checkbox>
                  <w14:checked w14:val="0"/>
                  <w14:checkedState w14:val="2612" w14:font="MS Gothic"/>
                  <w14:uncheckedState w14:val="2610" w14:font="MS Gothic"/>
                </w14:checkbox>
              </w:sdtPr>
              <w:sdtContent>
                <w:r>
                  <w:rPr>
                    <w:rFonts w:ascii="MS Gothic" w:eastAsia="MS Gothic" w:hAnsi="MS Gothic" w:hint="eastAsia"/>
                    <w:b/>
                    <w:bCs/>
                    <w:lang w:eastAsia="lt-LT"/>
                  </w:rPr>
                  <w:t>☐</w:t>
                </w:r>
              </w:sdtContent>
            </w:sdt>
          </w:p>
        </w:tc>
      </w:tr>
      <w:tr w:rsidR="00513598" w:rsidRPr="00F641E9" w14:paraId="726758D5" w14:textId="77777777" w:rsidTr="008E6042">
        <w:trPr>
          <w:trHeight w:val="698"/>
        </w:trPr>
        <w:tc>
          <w:tcPr>
            <w:tcW w:w="12895" w:type="dxa"/>
          </w:tcPr>
          <w:p w14:paraId="72A57A72" w14:textId="77777777" w:rsidR="00513598" w:rsidRPr="00F641E9" w:rsidRDefault="00513598" w:rsidP="008E6042">
            <w:pPr>
              <w:rPr>
                <w:szCs w:val="24"/>
                <w:lang w:eastAsia="lt-LT"/>
              </w:rPr>
            </w:pPr>
            <w:r w:rsidRPr="00CD23A9">
              <w:rPr>
                <w:b/>
                <w:bCs/>
                <w:szCs w:val="24"/>
                <w:lang w:eastAsia="lt-LT"/>
              </w:rPr>
              <w:t>Parama skiriama valstybės.</w:t>
            </w:r>
            <w:r w:rsidRPr="00CD23A9">
              <w:rPr>
                <w:szCs w:val="24"/>
                <w:lang w:eastAsia="lt-LT"/>
              </w:rPr>
              <w:t> Tais atvejais, kai valdžios institucija suteikia pagalbą gavėjui tiesiogiai arba per tarpininką, šis paramos perdavimas yra priskirtinas valstybei. Priemonė nepriskirtina valstybei, jeigu valstybė narė įpareigota ją įgyvendinti pagal Sąjungos teisę ir neturi galimybės veikti savo nuožiūra.</w:t>
            </w:r>
          </w:p>
        </w:tc>
        <w:tc>
          <w:tcPr>
            <w:tcW w:w="1134" w:type="dxa"/>
            <w:vAlign w:val="center"/>
          </w:tcPr>
          <w:p w14:paraId="51576DC2" w14:textId="77777777" w:rsidR="00513598" w:rsidRPr="00F641E9" w:rsidRDefault="00513598" w:rsidP="008E6042">
            <w:pPr>
              <w:jc w:val="center"/>
              <w:rPr>
                <w:szCs w:val="24"/>
              </w:rPr>
            </w:pPr>
            <w:sdt>
              <w:sdtPr>
                <w:rPr>
                  <w:b/>
                  <w:bCs/>
                  <w:lang w:eastAsia="lt-LT"/>
                </w:rPr>
                <w:id w:val="367199409"/>
                <w14:checkbox>
                  <w14:checked w14:val="0"/>
                  <w14:checkedState w14:val="2612" w14:font="MS Gothic"/>
                  <w14:uncheckedState w14:val="2610" w14:font="MS Gothic"/>
                </w14:checkbox>
              </w:sdtPr>
              <w:sdtContent>
                <w:r>
                  <w:rPr>
                    <w:rFonts w:ascii="MS Gothic" w:eastAsia="MS Gothic" w:hAnsi="MS Gothic" w:hint="eastAsia"/>
                    <w:b/>
                    <w:bCs/>
                    <w:lang w:eastAsia="lt-LT"/>
                  </w:rPr>
                  <w:t>☐</w:t>
                </w:r>
              </w:sdtContent>
            </w:sdt>
          </w:p>
        </w:tc>
        <w:tc>
          <w:tcPr>
            <w:tcW w:w="1134" w:type="dxa"/>
            <w:vAlign w:val="center"/>
          </w:tcPr>
          <w:p w14:paraId="221A9F8B" w14:textId="77777777" w:rsidR="00513598" w:rsidRPr="00F641E9" w:rsidRDefault="00513598" w:rsidP="008E6042">
            <w:pPr>
              <w:jc w:val="center"/>
              <w:rPr>
                <w:szCs w:val="24"/>
              </w:rPr>
            </w:pPr>
            <w:sdt>
              <w:sdtPr>
                <w:rPr>
                  <w:b/>
                  <w:bCs/>
                  <w:lang w:eastAsia="lt-LT"/>
                </w:rPr>
                <w:id w:val="1442882625"/>
                <w14:checkbox>
                  <w14:checked w14:val="0"/>
                  <w14:checkedState w14:val="2612" w14:font="MS Gothic"/>
                  <w14:uncheckedState w14:val="2610" w14:font="MS Gothic"/>
                </w14:checkbox>
              </w:sdtPr>
              <w:sdtContent>
                <w:r>
                  <w:rPr>
                    <w:rFonts w:ascii="MS Gothic" w:eastAsia="MS Gothic" w:hAnsi="MS Gothic" w:hint="eastAsia"/>
                    <w:b/>
                    <w:bCs/>
                    <w:lang w:eastAsia="lt-LT"/>
                  </w:rPr>
                  <w:t>☐</w:t>
                </w:r>
              </w:sdtContent>
            </w:sdt>
          </w:p>
        </w:tc>
      </w:tr>
      <w:tr w:rsidR="00513598" w:rsidRPr="00F641E9" w14:paraId="01F4D725" w14:textId="77777777" w:rsidTr="008E6042">
        <w:tc>
          <w:tcPr>
            <w:tcW w:w="12895" w:type="dxa"/>
          </w:tcPr>
          <w:p w14:paraId="01C7CC35" w14:textId="77777777" w:rsidR="00513598" w:rsidRPr="00F641E9" w:rsidRDefault="00513598" w:rsidP="008E6042">
            <w:pPr>
              <w:rPr>
                <w:szCs w:val="24"/>
              </w:rPr>
            </w:pPr>
            <w:r w:rsidRPr="00CD23A9">
              <w:rPr>
                <w:b/>
                <w:bCs/>
                <w:szCs w:val="24"/>
                <w:lang w:eastAsia="lt-LT"/>
              </w:rPr>
              <w:t>Parama teikiama iš valstybės išteklių</w:t>
            </w:r>
            <w:r w:rsidRPr="00CD23A9">
              <w:rPr>
                <w:szCs w:val="24"/>
                <w:lang w:eastAsia="lt-LT"/>
              </w:rPr>
              <w:t xml:space="preserve">. Valstybiniais ištekliais yra laikomi visi viešojo sektoriaus ištekliai. Į valstybės išteklių sąvoką patenka ir valstybės ar savivaldybės kontroliuojamų įmonių ištekliai, nes valstybė (ar savivaldybė) gali nurodyti, kaip šiuos išteklius naudoti. </w:t>
            </w:r>
          </w:p>
        </w:tc>
        <w:tc>
          <w:tcPr>
            <w:tcW w:w="1134" w:type="dxa"/>
            <w:vAlign w:val="center"/>
          </w:tcPr>
          <w:p w14:paraId="68F1C539" w14:textId="77777777" w:rsidR="00513598" w:rsidRPr="00F641E9" w:rsidRDefault="00513598" w:rsidP="008E6042">
            <w:pPr>
              <w:jc w:val="center"/>
              <w:rPr>
                <w:szCs w:val="24"/>
              </w:rPr>
            </w:pPr>
            <w:sdt>
              <w:sdtPr>
                <w:rPr>
                  <w:b/>
                  <w:bCs/>
                  <w:lang w:eastAsia="lt-LT"/>
                </w:rPr>
                <w:id w:val="590511887"/>
                <w14:checkbox>
                  <w14:checked w14:val="0"/>
                  <w14:checkedState w14:val="2612" w14:font="MS Gothic"/>
                  <w14:uncheckedState w14:val="2610" w14:font="MS Gothic"/>
                </w14:checkbox>
              </w:sdtPr>
              <w:sdtContent>
                <w:r>
                  <w:rPr>
                    <w:rFonts w:ascii="MS Gothic" w:eastAsia="MS Gothic" w:hAnsi="MS Gothic" w:hint="eastAsia"/>
                    <w:b/>
                    <w:bCs/>
                    <w:lang w:eastAsia="lt-LT"/>
                  </w:rPr>
                  <w:t>☐</w:t>
                </w:r>
              </w:sdtContent>
            </w:sdt>
          </w:p>
        </w:tc>
        <w:tc>
          <w:tcPr>
            <w:tcW w:w="1134" w:type="dxa"/>
            <w:vAlign w:val="center"/>
          </w:tcPr>
          <w:p w14:paraId="1E280FDA" w14:textId="77777777" w:rsidR="00513598" w:rsidRPr="00F641E9" w:rsidRDefault="00513598" w:rsidP="008E6042">
            <w:pPr>
              <w:jc w:val="center"/>
              <w:rPr>
                <w:szCs w:val="24"/>
              </w:rPr>
            </w:pPr>
            <w:sdt>
              <w:sdtPr>
                <w:rPr>
                  <w:b/>
                  <w:bCs/>
                  <w:lang w:eastAsia="lt-LT"/>
                </w:rPr>
                <w:id w:val="-773865689"/>
                <w14:checkbox>
                  <w14:checked w14:val="0"/>
                  <w14:checkedState w14:val="2612" w14:font="MS Gothic"/>
                  <w14:uncheckedState w14:val="2610" w14:font="MS Gothic"/>
                </w14:checkbox>
              </w:sdtPr>
              <w:sdtContent>
                <w:r>
                  <w:rPr>
                    <w:rFonts w:ascii="MS Gothic" w:eastAsia="MS Gothic" w:hAnsi="MS Gothic" w:hint="eastAsia"/>
                    <w:b/>
                    <w:bCs/>
                    <w:lang w:eastAsia="lt-LT"/>
                  </w:rPr>
                  <w:t>☐</w:t>
                </w:r>
              </w:sdtContent>
            </w:sdt>
          </w:p>
        </w:tc>
      </w:tr>
      <w:tr w:rsidR="00513598" w:rsidRPr="00F641E9" w14:paraId="4C5F925A" w14:textId="77777777" w:rsidTr="008E6042">
        <w:tc>
          <w:tcPr>
            <w:tcW w:w="12895" w:type="dxa"/>
          </w:tcPr>
          <w:p w14:paraId="28EE5BB8" w14:textId="77777777" w:rsidR="00513598" w:rsidRPr="00F641E9" w:rsidRDefault="00513598" w:rsidP="008E6042">
            <w:pPr>
              <w:rPr>
                <w:szCs w:val="24"/>
              </w:rPr>
            </w:pPr>
            <w:r w:rsidRPr="00CD23A9">
              <w:rPr>
                <w:b/>
                <w:bCs/>
                <w:szCs w:val="24"/>
                <w:lang w:eastAsia="lt-LT"/>
              </w:rPr>
              <w:t>Parama teikia išskirtinę ekonominę naudą, kurios ūkio subjektai negautų rinkos sąlygomis.</w:t>
            </w:r>
            <w:r w:rsidRPr="00CD23A9">
              <w:rPr>
                <w:szCs w:val="24"/>
                <w:lang w:eastAsia="lt-LT"/>
              </w:rPr>
              <w:t xml:space="preserve"> Laikoma, kad ūkio subjektas įgyja išskirtinę ekonominę naudą tada, kai įprastomis rinkos sąlygomis, t. y. be valstybės intervencijos, tokia nauda nebūtų atsiradusi. </w:t>
            </w:r>
          </w:p>
        </w:tc>
        <w:tc>
          <w:tcPr>
            <w:tcW w:w="1134" w:type="dxa"/>
            <w:vAlign w:val="center"/>
          </w:tcPr>
          <w:p w14:paraId="5B415AF1" w14:textId="77777777" w:rsidR="00513598" w:rsidRPr="00F641E9" w:rsidRDefault="00513598" w:rsidP="008E6042">
            <w:pPr>
              <w:jc w:val="center"/>
              <w:rPr>
                <w:szCs w:val="24"/>
              </w:rPr>
            </w:pPr>
            <w:sdt>
              <w:sdtPr>
                <w:rPr>
                  <w:b/>
                  <w:bCs/>
                  <w:lang w:eastAsia="lt-LT"/>
                </w:rPr>
                <w:id w:val="1571001005"/>
                <w14:checkbox>
                  <w14:checked w14:val="0"/>
                  <w14:checkedState w14:val="2612" w14:font="MS Gothic"/>
                  <w14:uncheckedState w14:val="2610" w14:font="MS Gothic"/>
                </w14:checkbox>
              </w:sdtPr>
              <w:sdtContent>
                <w:r>
                  <w:rPr>
                    <w:rFonts w:ascii="MS Gothic" w:eastAsia="MS Gothic" w:hAnsi="MS Gothic" w:hint="eastAsia"/>
                    <w:b/>
                    <w:bCs/>
                    <w:lang w:eastAsia="lt-LT"/>
                  </w:rPr>
                  <w:t>☐</w:t>
                </w:r>
              </w:sdtContent>
            </w:sdt>
          </w:p>
        </w:tc>
        <w:tc>
          <w:tcPr>
            <w:tcW w:w="1134" w:type="dxa"/>
            <w:vAlign w:val="center"/>
          </w:tcPr>
          <w:p w14:paraId="754AA9C3" w14:textId="77777777" w:rsidR="00513598" w:rsidRPr="00F641E9" w:rsidRDefault="00513598" w:rsidP="008E6042">
            <w:pPr>
              <w:jc w:val="center"/>
              <w:rPr>
                <w:szCs w:val="24"/>
              </w:rPr>
            </w:pPr>
            <w:sdt>
              <w:sdtPr>
                <w:rPr>
                  <w:b/>
                  <w:bCs/>
                  <w:lang w:eastAsia="lt-LT"/>
                </w:rPr>
                <w:id w:val="1671136229"/>
                <w14:checkbox>
                  <w14:checked w14:val="0"/>
                  <w14:checkedState w14:val="2612" w14:font="MS Gothic"/>
                  <w14:uncheckedState w14:val="2610" w14:font="MS Gothic"/>
                </w14:checkbox>
              </w:sdtPr>
              <w:sdtContent>
                <w:r>
                  <w:rPr>
                    <w:rFonts w:ascii="MS Gothic" w:eastAsia="MS Gothic" w:hAnsi="MS Gothic" w:hint="eastAsia"/>
                    <w:b/>
                    <w:bCs/>
                    <w:lang w:eastAsia="lt-LT"/>
                  </w:rPr>
                  <w:t>☐</w:t>
                </w:r>
              </w:sdtContent>
            </w:sdt>
          </w:p>
        </w:tc>
      </w:tr>
      <w:tr w:rsidR="00513598" w:rsidRPr="00F641E9" w14:paraId="3B23D551" w14:textId="77777777" w:rsidTr="008E6042">
        <w:tc>
          <w:tcPr>
            <w:tcW w:w="12895" w:type="dxa"/>
          </w:tcPr>
          <w:p w14:paraId="097E71EC" w14:textId="77777777" w:rsidR="00513598" w:rsidRPr="00F641E9" w:rsidRDefault="00513598" w:rsidP="008E6042">
            <w:pPr>
              <w:rPr>
                <w:szCs w:val="24"/>
              </w:rPr>
            </w:pPr>
            <w:r w:rsidRPr="00CD23A9">
              <w:rPr>
                <w:b/>
                <w:bCs/>
                <w:szCs w:val="24"/>
                <w:lang w:eastAsia="lt-LT"/>
              </w:rPr>
              <w:t>Parama yra selektyvi.</w:t>
            </w:r>
            <w:r w:rsidRPr="00CD23A9">
              <w:rPr>
                <w:szCs w:val="24"/>
                <w:lang w:eastAsia="lt-LT"/>
              </w:rPr>
              <w:t> Priemonė yra selektyvi, kai ji teikia naudą tik tam tikriems ūkio subjektams arba tam tikriems sektoriams</w:t>
            </w:r>
            <w:r>
              <w:rPr>
                <w:szCs w:val="24"/>
                <w:lang w:eastAsia="lt-LT"/>
              </w:rPr>
              <w:t>.</w:t>
            </w:r>
          </w:p>
        </w:tc>
        <w:tc>
          <w:tcPr>
            <w:tcW w:w="1134" w:type="dxa"/>
            <w:vAlign w:val="center"/>
          </w:tcPr>
          <w:p w14:paraId="52E51B70" w14:textId="77777777" w:rsidR="00513598" w:rsidRPr="00F641E9" w:rsidRDefault="00513598" w:rsidP="008E6042">
            <w:pPr>
              <w:jc w:val="center"/>
              <w:rPr>
                <w:szCs w:val="24"/>
              </w:rPr>
            </w:pPr>
            <w:sdt>
              <w:sdtPr>
                <w:rPr>
                  <w:b/>
                  <w:bCs/>
                  <w:lang w:eastAsia="lt-LT"/>
                </w:rPr>
                <w:id w:val="1366101712"/>
                <w14:checkbox>
                  <w14:checked w14:val="0"/>
                  <w14:checkedState w14:val="2612" w14:font="MS Gothic"/>
                  <w14:uncheckedState w14:val="2610" w14:font="MS Gothic"/>
                </w14:checkbox>
              </w:sdtPr>
              <w:sdtContent>
                <w:r>
                  <w:rPr>
                    <w:rFonts w:ascii="MS Gothic" w:eastAsia="MS Gothic" w:hAnsi="MS Gothic" w:hint="eastAsia"/>
                    <w:b/>
                    <w:bCs/>
                    <w:lang w:eastAsia="lt-LT"/>
                  </w:rPr>
                  <w:t>☐</w:t>
                </w:r>
              </w:sdtContent>
            </w:sdt>
          </w:p>
        </w:tc>
        <w:tc>
          <w:tcPr>
            <w:tcW w:w="1134" w:type="dxa"/>
            <w:vAlign w:val="center"/>
          </w:tcPr>
          <w:p w14:paraId="3A5A7413" w14:textId="77777777" w:rsidR="00513598" w:rsidRPr="00F641E9" w:rsidRDefault="00513598" w:rsidP="008E6042">
            <w:pPr>
              <w:jc w:val="center"/>
              <w:rPr>
                <w:szCs w:val="24"/>
              </w:rPr>
            </w:pPr>
            <w:sdt>
              <w:sdtPr>
                <w:rPr>
                  <w:b/>
                  <w:bCs/>
                  <w:lang w:eastAsia="lt-LT"/>
                </w:rPr>
                <w:id w:val="2146387576"/>
                <w14:checkbox>
                  <w14:checked w14:val="0"/>
                  <w14:checkedState w14:val="2612" w14:font="MS Gothic"/>
                  <w14:uncheckedState w14:val="2610" w14:font="MS Gothic"/>
                </w14:checkbox>
              </w:sdtPr>
              <w:sdtContent>
                <w:r>
                  <w:rPr>
                    <w:rFonts w:ascii="MS Gothic" w:eastAsia="MS Gothic" w:hAnsi="MS Gothic" w:hint="eastAsia"/>
                    <w:b/>
                    <w:bCs/>
                    <w:lang w:eastAsia="lt-LT"/>
                  </w:rPr>
                  <w:t>☐</w:t>
                </w:r>
              </w:sdtContent>
            </w:sdt>
          </w:p>
        </w:tc>
      </w:tr>
      <w:tr w:rsidR="00513598" w:rsidRPr="00F641E9" w14:paraId="5CCD15E1" w14:textId="77777777" w:rsidTr="008E6042">
        <w:tc>
          <w:tcPr>
            <w:tcW w:w="12895" w:type="dxa"/>
          </w:tcPr>
          <w:p w14:paraId="68BB6B26" w14:textId="77777777" w:rsidR="00513598" w:rsidRPr="00F641E9" w:rsidRDefault="00513598" w:rsidP="008E6042">
            <w:pPr>
              <w:rPr>
                <w:szCs w:val="24"/>
              </w:rPr>
            </w:pPr>
            <w:r w:rsidRPr="00CD23A9">
              <w:rPr>
                <w:b/>
                <w:bCs/>
                <w:szCs w:val="24"/>
                <w:lang w:eastAsia="lt-LT"/>
              </w:rPr>
              <w:lastRenderedPageBreak/>
              <w:t>Parama daro poveikį konkurencijai ir prekybai tarp valstybių narių.</w:t>
            </w:r>
            <w:r w:rsidRPr="00CD23A9">
              <w:rPr>
                <w:szCs w:val="24"/>
                <w:lang w:eastAsia="lt-LT"/>
              </w:rPr>
              <w:t xml:space="preserve">  Poveikis prekybai tarp valstybių narių konstatuojamas tada, kai valstybės suteikta parama sustiprina ūkio subjekto padėtį, palyginti su kitais Europos Sąjungos vidaus rinkoje konkuruojančiais ūkio subjektais. </w:t>
            </w:r>
          </w:p>
        </w:tc>
        <w:tc>
          <w:tcPr>
            <w:tcW w:w="1134" w:type="dxa"/>
            <w:vAlign w:val="center"/>
          </w:tcPr>
          <w:p w14:paraId="790A9221" w14:textId="77777777" w:rsidR="00513598" w:rsidRPr="00F641E9" w:rsidRDefault="00513598" w:rsidP="008E6042">
            <w:pPr>
              <w:jc w:val="center"/>
              <w:rPr>
                <w:szCs w:val="24"/>
              </w:rPr>
            </w:pPr>
            <w:sdt>
              <w:sdtPr>
                <w:rPr>
                  <w:b/>
                  <w:bCs/>
                  <w:lang w:eastAsia="lt-LT"/>
                </w:rPr>
                <w:id w:val="-538663022"/>
                <w14:checkbox>
                  <w14:checked w14:val="0"/>
                  <w14:checkedState w14:val="2612" w14:font="MS Gothic"/>
                  <w14:uncheckedState w14:val="2610" w14:font="MS Gothic"/>
                </w14:checkbox>
              </w:sdtPr>
              <w:sdtContent>
                <w:r>
                  <w:rPr>
                    <w:rFonts w:ascii="MS Gothic" w:eastAsia="MS Gothic" w:hAnsi="MS Gothic" w:hint="eastAsia"/>
                    <w:b/>
                    <w:bCs/>
                    <w:lang w:eastAsia="lt-LT"/>
                  </w:rPr>
                  <w:t>☐</w:t>
                </w:r>
              </w:sdtContent>
            </w:sdt>
          </w:p>
        </w:tc>
        <w:tc>
          <w:tcPr>
            <w:tcW w:w="1134" w:type="dxa"/>
            <w:vAlign w:val="center"/>
          </w:tcPr>
          <w:p w14:paraId="2594E976" w14:textId="77777777" w:rsidR="00513598" w:rsidRPr="00F641E9" w:rsidRDefault="00513598" w:rsidP="008E6042">
            <w:pPr>
              <w:jc w:val="center"/>
              <w:rPr>
                <w:szCs w:val="24"/>
              </w:rPr>
            </w:pPr>
            <w:sdt>
              <w:sdtPr>
                <w:rPr>
                  <w:b/>
                  <w:bCs/>
                  <w:lang w:eastAsia="lt-LT"/>
                </w:rPr>
                <w:id w:val="-155922710"/>
                <w14:checkbox>
                  <w14:checked w14:val="0"/>
                  <w14:checkedState w14:val="2612" w14:font="MS Gothic"/>
                  <w14:uncheckedState w14:val="2610" w14:font="MS Gothic"/>
                </w14:checkbox>
              </w:sdtPr>
              <w:sdtContent>
                <w:r>
                  <w:rPr>
                    <w:rFonts w:ascii="MS Gothic" w:eastAsia="MS Gothic" w:hAnsi="MS Gothic" w:hint="eastAsia"/>
                    <w:b/>
                    <w:bCs/>
                    <w:lang w:eastAsia="lt-LT"/>
                  </w:rPr>
                  <w:t>☐</w:t>
                </w:r>
              </w:sdtContent>
            </w:sdt>
          </w:p>
        </w:tc>
      </w:tr>
    </w:tbl>
    <w:p w14:paraId="2519BF78" w14:textId="77777777" w:rsidR="00513598" w:rsidRDefault="00513598" w:rsidP="00237697">
      <w:pPr>
        <w:tabs>
          <w:tab w:val="left" w:pos="8040"/>
        </w:tabs>
        <w:rPr>
          <w:szCs w:val="24"/>
        </w:rPr>
      </w:pPr>
    </w:p>
    <w:p w14:paraId="00F73B4B" w14:textId="77777777" w:rsidR="00513598" w:rsidRDefault="00513598" w:rsidP="00513598">
      <w:pPr>
        <w:jc w:val="center"/>
        <w:rPr>
          <w:szCs w:val="24"/>
        </w:rPr>
      </w:pPr>
      <w:r w:rsidRPr="00A050A4">
        <w:rPr>
          <w:rFonts w:ascii="Calibri" w:eastAsia="Calibri" w:hAnsi="Calibri"/>
          <w:sz w:val="22"/>
          <w:szCs w:val="22"/>
        </w:rPr>
        <w:t>________________</w:t>
      </w:r>
    </w:p>
    <w:p w14:paraId="07010365" w14:textId="77777777" w:rsidR="00513598" w:rsidRDefault="00513598" w:rsidP="00237697">
      <w:pPr>
        <w:tabs>
          <w:tab w:val="left" w:pos="8040"/>
        </w:tabs>
        <w:rPr>
          <w:szCs w:val="24"/>
        </w:rPr>
      </w:pPr>
    </w:p>
    <w:p w14:paraId="11F37C6D" w14:textId="77777777" w:rsidR="00513598" w:rsidRPr="00237697" w:rsidRDefault="00513598" w:rsidP="00237697">
      <w:pPr>
        <w:tabs>
          <w:tab w:val="left" w:pos="8040"/>
        </w:tabs>
        <w:rPr>
          <w:szCs w:val="24"/>
        </w:rPr>
      </w:pPr>
    </w:p>
    <w:sectPr w:rsidR="00513598" w:rsidRPr="00237697" w:rsidSect="008D7492">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E5755" w14:textId="77777777" w:rsidR="000E6AF8" w:rsidRDefault="00B92EBB">
      <w:pPr>
        <w:rPr>
          <w:sz w:val="22"/>
          <w:szCs w:val="22"/>
        </w:rPr>
      </w:pPr>
      <w:r>
        <w:rPr>
          <w:sz w:val="22"/>
          <w:szCs w:val="22"/>
        </w:rPr>
        <w:separator/>
      </w:r>
    </w:p>
  </w:endnote>
  <w:endnote w:type="continuationSeparator" w:id="0">
    <w:p w14:paraId="43D71EC8" w14:textId="77777777" w:rsidR="000E6AF8" w:rsidRDefault="00B92EBB">
      <w:pPr>
        <w:rPr>
          <w:sz w:val="22"/>
          <w:szCs w:val="22"/>
        </w:rPr>
      </w:pPr>
      <w:r>
        <w:rPr>
          <w:sz w:val="22"/>
          <w:szCs w:val="22"/>
        </w:rPr>
        <w:continuationSeparator/>
      </w:r>
    </w:p>
  </w:endnote>
  <w:endnote w:type="continuationNotice" w:id="1">
    <w:p w14:paraId="49854D3A" w14:textId="77777777" w:rsidR="000E6AF8" w:rsidRDefault="000E6AF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0E6AF8" w:rsidRDefault="000E6AF8">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0E6AF8" w:rsidRDefault="000E6AF8">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0E6AF8" w:rsidRDefault="000E6AF8">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B64D4" w14:textId="77777777" w:rsidR="000E6AF8" w:rsidRDefault="00B92EBB">
      <w:pPr>
        <w:rPr>
          <w:sz w:val="22"/>
          <w:szCs w:val="22"/>
        </w:rPr>
      </w:pPr>
      <w:r>
        <w:rPr>
          <w:sz w:val="22"/>
          <w:szCs w:val="22"/>
        </w:rPr>
        <w:separator/>
      </w:r>
    </w:p>
  </w:footnote>
  <w:footnote w:type="continuationSeparator" w:id="0">
    <w:p w14:paraId="27B23C6B" w14:textId="77777777" w:rsidR="000E6AF8" w:rsidRDefault="00B92EBB">
      <w:pPr>
        <w:rPr>
          <w:sz w:val="22"/>
          <w:szCs w:val="22"/>
        </w:rPr>
      </w:pPr>
      <w:r>
        <w:rPr>
          <w:sz w:val="22"/>
          <w:szCs w:val="22"/>
        </w:rPr>
        <w:continuationSeparator/>
      </w:r>
    </w:p>
  </w:footnote>
  <w:footnote w:type="continuationNotice" w:id="1">
    <w:p w14:paraId="4391CC3D" w14:textId="77777777" w:rsidR="000E6AF8" w:rsidRDefault="000E6AF8">
      <w:pPr>
        <w:rPr>
          <w:sz w:val="22"/>
          <w:szCs w:val="22"/>
        </w:rPr>
      </w:pPr>
    </w:p>
  </w:footnote>
  <w:footnote w:id="2">
    <w:p w14:paraId="2824EF66" w14:textId="77777777" w:rsidR="00237697" w:rsidRDefault="00237697" w:rsidP="00237697">
      <w:pPr>
        <w:pStyle w:val="FootnoteText"/>
      </w:pPr>
      <w:r>
        <w:rPr>
          <w:rStyle w:val="FootnoteReference"/>
        </w:rPr>
        <w:footnoteRef/>
      </w:r>
      <w:r>
        <w:t xml:space="preserve"> </w:t>
      </w:r>
      <w:hyperlink r:id="rId1" w:history="1">
        <w:r w:rsidRPr="00135E79">
          <w:rPr>
            <w:rStyle w:val="Hyperlink"/>
          </w:rPr>
          <w:t>https://eur-lex.europa.eu/legal-content/LT/TXT/?uri=CELEX:32021R2139</w:t>
        </w:r>
      </w:hyperlink>
      <w:r>
        <w:t xml:space="preserve"> </w:t>
      </w:r>
    </w:p>
  </w:footnote>
  <w:footnote w:id="3">
    <w:p w14:paraId="2C00D454" w14:textId="77777777" w:rsidR="00237697" w:rsidRDefault="00237697" w:rsidP="00237697">
      <w:pPr>
        <w:pStyle w:val="FootnoteText"/>
      </w:pPr>
      <w:r>
        <w:rPr>
          <w:rStyle w:val="FootnoteReference"/>
        </w:rPr>
        <w:footnoteRef/>
      </w:r>
      <w:r>
        <w:t xml:space="preserve"> </w:t>
      </w:r>
      <w:hyperlink r:id="rId2" w:history="1">
        <w:r w:rsidRPr="00135E79">
          <w:rPr>
            <w:rStyle w:val="Hyperlink"/>
          </w:rPr>
          <w:t>https://eur-lex.europa.eu/legal-content/LT/TXT/?uri=CELEX:32021R2139</w:t>
        </w:r>
      </w:hyperlink>
      <w:r>
        <w:t xml:space="preserve"> </w:t>
      </w:r>
    </w:p>
  </w:footnote>
  <w:footnote w:id="4">
    <w:p w14:paraId="36DE5DCD" w14:textId="77777777" w:rsidR="00237697" w:rsidRDefault="00237697" w:rsidP="00237697">
      <w:pPr>
        <w:pStyle w:val="FootnoteText"/>
      </w:pPr>
      <w:r>
        <w:rPr>
          <w:rStyle w:val="FootnoteReference"/>
        </w:rPr>
        <w:footnoteRef/>
      </w:r>
      <w:r>
        <w:t xml:space="preserve"> </w:t>
      </w:r>
      <w:hyperlink r:id="rId3" w:history="1">
        <w:r w:rsidRPr="00135E79">
          <w:rPr>
            <w:rStyle w:val="Hyperlink"/>
          </w:rPr>
          <w:t>https://eur-lex.europa.eu/legal-content/LT/TXT/?uri=CELEX:32021R2139</w:t>
        </w:r>
      </w:hyperlink>
      <w:r>
        <w:t xml:space="preserve"> </w:t>
      </w:r>
    </w:p>
  </w:footnote>
  <w:footnote w:id="5">
    <w:p w14:paraId="0BC15FA9" w14:textId="77777777" w:rsidR="00237697" w:rsidRDefault="00237697" w:rsidP="00237697">
      <w:pPr>
        <w:pStyle w:val="FootnoteText"/>
      </w:pPr>
      <w:r>
        <w:rPr>
          <w:rStyle w:val="FootnoteReference"/>
        </w:rPr>
        <w:footnoteRef/>
      </w:r>
      <w:r>
        <w:t xml:space="preserve"> </w:t>
      </w:r>
      <w:hyperlink r:id="rId4" w:history="1">
        <w:r w:rsidRPr="00135E79">
          <w:rPr>
            <w:rStyle w:val="Hyperlink"/>
          </w:rPr>
          <w:t>https://eur-lex.europa.eu/legal-content/LT/TXT/?uri=CELEX:32021R2139</w:t>
        </w:r>
      </w:hyperlink>
      <w:r>
        <w:t xml:space="preserve"> </w:t>
      </w:r>
    </w:p>
  </w:footnote>
  <w:footnote w:id="6">
    <w:p w14:paraId="147F963D" w14:textId="77777777" w:rsidR="00237697" w:rsidRDefault="00237697" w:rsidP="00237697">
      <w:pPr>
        <w:pStyle w:val="FootnoteText"/>
      </w:pPr>
      <w:r>
        <w:rPr>
          <w:rStyle w:val="FootnoteReference"/>
        </w:rPr>
        <w:footnoteRef/>
      </w:r>
      <w:r>
        <w:t xml:space="preserve"> </w:t>
      </w:r>
      <w:hyperlink r:id="rId5" w:history="1">
        <w:r w:rsidRPr="00135E79">
          <w:rPr>
            <w:rStyle w:val="Hyperlink"/>
          </w:rPr>
          <w:t>https://eur-lex.europa.eu/legal-content/LT/TXT/?uri=CELEX:32021R2139</w:t>
        </w:r>
      </w:hyperlink>
      <w:r>
        <w:t xml:space="preserve"> </w:t>
      </w:r>
    </w:p>
  </w:footnote>
  <w:footnote w:id="7">
    <w:p w14:paraId="7DB34C57" w14:textId="77777777" w:rsidR="00237697" w:rsidRDefault="00237697" w:rsidP="00237697">
      <w:pPr>
        <w:pStyle w:val="FootnoteText"/>
      </w:pPr>
      <w:r>
        <w:rPr>
          <w:rStyle w:val="FootnoteReference"/>
        </w:rPr>
        <w:footnoteRef/>
      </w:r>
      <w:r>
        <w:t xml:space="preserve"> </w:t>
      </w:r>
      <w:hyperlink r:id="rId6" w:history="1">
        <w:r w:rsidRPr="00135E79">
          <w:rPr>
            <w:rStyle w:val="Hyperlink"/>
          </w:rPr>
          <w:t>https://eur-lex.europa.eu/legal-content/LT/TXT/?uri=CELEX:32021R2139</w:t>
        </w:r>
      </w:hyperlink>
      <w:r>
        <w:t xml:space="preserve"> </w:t>
      </w:r>
    </w:p>
  </w:footnote>
  <w:footnote w:id="8">
    <w:p w14:paraId="6284AFEC" w14:textId="77777777" w:rsidR="00237697" w:rsidRDefault="00237697" w:rsidP="00237697">
      <w:pPr>
        <w:pStyle w:val="FootnoteText"/>
      </w:pPr>
      <w:r>
        <w:rPr>
          <w:rStyle w:val="FootnoteReference"/>
        </w:rPr>
        <w:footnoteRef/>
      </w:r>
      <w:r>
        <w:t xml:space="preserve"> </w:t>
      </w:r>
      <w:hyperlink r:id="rId7" w:history="1">
        <w:r w:rsidRPr="00135E79">
          <w:rPr>
            <w:rStyle w:val="Hyperlink"/>
          </w:rPr>
          <w:t>https://eur-lex.europa.eu/legal-content/LT/TXT/?uri=CELEX:32021R2139</w:t>
        </w:r>
      </w:hyperlink>
      <w:r>
        <w:t xml:space="preserve"> </w:t>
      </w:r>
    </w:p>
  </w:footnote>
  <w:footnote w:id="9">
    <w:p w14:paraId="175DD691" w14:textId="77777777" w:rsidR="00237697" w:rsidRDefault="00237697" w:rsidP="00237697">
      <w:pPr>
        <w:pStyle w:val="FootnoteText"/>
      </w:pPr>
      <w:r>
        <w:rPr>
          <w:rStyle w:val="FootnoteReference"/>
        </w:rPr>
        <w:footnoteRef/>
      </w:r>
      <w:r>
        <w:t xml:space="preserve"> </w:t>
      </w:r>
      <w:hyperlink r:id="rId8" w:history="1">
        <w:r w:rsidRPr="00135E79">
          <w:rPr>
            <w:rStyle w:val="Hyperlink"/>
          </w:rPr>
          <w:t>https://eur-lex.europa.eu/legal-content/LT/TXT/?uri=CELEX:32021R2139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0E6AF8" w:rsidRDefault="000E6AF8">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0E6AF8" w:rsidRDefault="00B92EBB">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0E6AF8" w:rsidRDefault="000E6AF8">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0E6AF8" w:rsidRDefault="000E6AF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5881"/>
    <w:multiLevelType w:val="hybridMultilevel"/>
    <w:tmpl w:val="FFDC218E"/>
    <w:lvl w:ilvl="0" w:tplc="71C2968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BC3D6D"/>
    <w:multiLevelType w:val="multilevel"/>
    <w:tmpl w:val="78C46626"/>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759285C"/>
    <w:multiLevelType w:val="multilevel"/>
    <w:tmpl w:val="0D2CD2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67609451">
    <w:abstractNumId w:val="2"/>
  </w:num>
  <w:num w:numId="2" w16cid:durableId="178393089">
    <w:abstractNumId w:val="1"/>
  </w:num>
  <w:num w:numId="3" w16cid:durableId="253561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76332"/>
    <w:rsid w:val="000970DE"/>
    <w:rsid w:val="000A5341"/>
    <w:rsid w:val="000A7602"/>
    <w:rsid w:val="000B63F7"/>
    <w:rsid w:val="000C45D6"/>
    <w:rsid w:val="000E316F"/>
    <w:rsid w:val="000E6AF8"/>
    <w:rsid w:val="000F6745"/>
    <w:rsid w:val="00113703"/>
    <w:rsid w:val="001A434A"/>
    <w:rsid w:val="00202170"/>
    <w:rsid w:val="00237697"/>
    <w:rsid w:val="002A0EE5"/>
    <w:rsid w:val="00306A00"/>
    <w:rsid w:val="00323AE6"/>
    <w:rsid w:val="003A23B1"/>
    <w:rsid w:val="003D085D"/>
    <w:rsid w:val="0045440F"/>
    <w:rsid w:val="00480F86"/>
    <w:rsid w:val="004F0981"/>
    <w:rsid w:val="004F535E"/>
    <w:rsid w:val="00513598"/>
    <w:rsid w:val="00524481"/>
    <w:rsid w:val="0058728C"/>
    <w:rsid w:val="00603118"/>
    <w:rsid w:val="00611435"/>
    <w:rsid w:val="00627CAA"/>
    <w:rsid w:val="00644CDB"/>
    <w:rsid w:val="0067187F"/>
    <w:rsid w:val="0068187C"/>
    <w:rsid w:val="006906AF"/>
    <w:rsid w:val="00741A3D"/>
    <w:rsid w:val="007575F4"/>
    <w:rsid w:val="00787069"/>
    <w:rsid w:val="007E5311"/>
    <w:rsid w:val="008B61B8"/>
    <w:rsid w:val="008D7492"/>
    <w:rsid w:val="008F3DC9"/>
    <w:rsid w:val="0091211C"/>
    <w:rsid w:val="00923E9F"/>
    <w:rsid w:val="009F1263"/>
    <w:rsid w:val="00A06657"/>
    <w:rsid w:val="00A361B0"/>
    <w:rsid w:val="00AC7530"/>
    <w:rsid w:val="00AD27E3"/>
    <w:rsid w:val="00AD6BDA"/>
    <w:rsid w:val="00B6318B"/>
    <w:rsid w:val="00B92EBB"/>
    <w:rsid w:val="00B93EB7"/>
    <w:rsid w:val="00C7322A"/>
    <w:rsid w:val="00C77339"/>
    <w:rsid w:val="00CD6D9D"/>
    <w:rsid w:val="00D40AC0"/>
    <w:rsid w:val="00DB6766"/>
    <w:rsid w:val="00E75CE3"/>
    <w:rsid w:val="00EA075B"/>
    <w:rsid w:val="00EB287A"/>
    <w:rsid w:val="00F35AC9"/>
    <w:rsid w:val="00F406F9"/>
    <w:rsid w:val="00F65DD4"/>
    <w:rsid w:val="00F713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08DBA4A"/>
  <w15:docId w15:val="{8B0D9D1C-A041-4784-BFAC-F40989B2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52448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3A23B1"/>
    <w:rPr>
      <w:sz w:val="16"/>
      <w:szCs w:val="16"/>
    </w:rPr>
  </w:style>
  <w:style w:type="paragraph" w:styleId="CommentText">
    <w:name w:val="annotation text"/>
    <w:aliases w:val=" Char,Char"/>
    <w:basedOn w:val="Normal"/>
    <w:link w:val="CommentTextChar"/>
    <w:unhideWhenUsed/>
    <w:qFormat/>
    <w:rsid w:val="003A23B1"/>
    <w:rPr>
      <w:sz w:val="20"/>
    </w:rPr>
  </w:style>
  <w:style w:type="character" w:customStyle="1" w:styleId="CommentTextChar">
    <w:name w:val="Comment Text Char"/>
    <w:aliases w:val=" Char Char,Char Char"/>
    <w:basedOn w:val="DefaultParagraphFont"/>
    <w:link w:val="CommentText"/>
    <w:qFormat/>
    <w:rsid w:val="003A23B1"/>
    <w:rPr>
      <w:sz w:val="20"/>
    </w:rPr>
  </w:style>
  <w:style w:type="character" w:customStyle="1" w:styleId="Heading1Char">
    <w:name w:val="Heading 1 Char"/>
    <w:basedOn w:val="DefaultParagraphFont"/>
    <w:link w:val="Heading1"/>
    <w:rsid w:val="0052448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AC7530"/>
    <w:rPr>
      <w:color w:val="0563C1" w:themeColor="hyperlink"/>
      <w:u w:val="single"/>
    </w:rPr>
  </w:style>
  <w:style w:type="character" w:styleId="UnresolvedMention">
    <w:name w:val="Unresolved Mention"/>
    <w:basedOn w:val="DefaultParagraphFont"/>
    <w:uiPriority w:val="99"/>
    <w:semiHidden/>
    <w:unhideWhenUsed/>
    <w:rsid w:val="00AC7530"/>
    <w:rPr>
      <w:color w:val="605E5C"/>
      <w:shd w:val="clear" w:color="auto" w:fill="E1DFDD"/>
    </w:rPr>
  </w:style>
  <w:style w:type="character" w:styleId="FollowedHyperlink">
    <w:name w:val="FollowedHyperlink"/>
    <w:basedOn w:val="DefaultParagraphFont"/>
    <w:semiHidden/>
    <w:unhideWhenUsed/>
    <w:rsid w:val="00AC7530"/>
    <w:rPr>
      <w:color w:val="954F72" w:themeColor="followedHyperlink"/>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323AE6"/>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l"/>
    <w:basedOn w:val="Normal"/>
    <w:link w:val="ListParagraphChar"/>
    <w:uiPriority w:val="34"/>
    <w:qFormat/>
    <w:rsid w:val="00323AE6"/>
    <w:pPr>
      <w:spacing w:after="160" w:line="254" w:lineRule="auto"/>
      <w:ind w:left="720"/>
      <w:contextualSpacing/>
    </w:pPr>
  </w:style>
  <w:style w:type="character" w:customStyle="1" w:styleId="ui-provider">
    <w:name w:val="ui-provider"/>
    <w:basedOn w:val="DefaultParagraphFont"/>
    <w:rsid w:val="006906AF"/>
  </w:style>
  <w:style w:type="paragraph" w:customStyle="1" w:styleId="Default">
    <w:name w:val="Default"/>
    <w:rsid w:val="00EB287A"/>
    <w:pPr>
      <w:autoSpaceDE w:val="0"/>
      <w:autoSpaceDN w:val="0"/>
      <w:adjustRightInd w:val="0"/>
    </w:pPr>
    <w:rPr>
      <w:color w:val="000000"/>
      <w:szCs w:val="24"/>
    </w:rPr>
  </w:style>
  <w:style w:type="paragraph" w:styleId="Revision">
    <w:name w:val="Revision"/>
    <w:hidden/>
    <w:semiHidden/>
    <w:rsid w:val="00DB6766"/>
  </w:style>
  <w:style w:type="paragraph" w:styleId="CommentSubject">
    <w:name w:val="annotation subject"/>
    <w:basedOn w:val="CommentText"/>
    <w:next w:val="CommentText"/>
    <w:link w:val="CommentSubjectChar"/>
    <w:semiHidden/>
    <w:unhideWhenUsed/>
    <w:rsid w:val="004F0981"/>
    <w:rPr>
      <w:b/>
      <w:bCs/>
    </w:rPr>
  </w:style>
  <w:style w:type="character" w:customStyle="1" w:styleId="CommentSubjectChar">
    <w:name w:val="Comment Subject Char"/>
    <w:basedOn w:val="CommentTextChar"/>
    <w:link w:val="CommentSubject"/>
    <w:semiHidden/>
    <w:rsid w:val="004F0981"/>
    <w:rPr>
      <w:b/>
      <w:bCs/>
      <w:sz w:val="20"/>
    </w:rPr>
  </w:style>
  <w:style w:type="paragraph" w:styleId="FootnoteText">
    <w:name w:val="footnote text"/>
    <w:basedOn w:val="Normal"/>
    <w:link w:val="FootnoteTextChar"/>
    <w:uiPriority w:val="99"/>
    <w:unhideWhenUsed/>
    <w:rsid w:val="00237697"/>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237697"/>
    <w:rPr>
      <w:rFonts w:asciiTheme="minorHAnsi" w:eastAsiaTheme="minorHAnsi" w:hAnsiTheme="minorHAnsi" w:cstheme="minorBidi"/>
      <w:sz w:val="20"/>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
    <w:uiPriority w:val="99"/>
    <w:unhideWhenUsed/>
    <w:rsid w:val="00237697"/>
    <w:rPr>
      <w:vertAlign w:val="superscript"/>
    </w:rPr>
  </w:style>
  <w:style w:type="table" w:styleId="TableGrid">
    <w:name w:val="Table Grid"/>
    <w:basedOn w:val="TableNormal"/>
    <w:uiPriority w:val="39"/>
    <w:rsid w:val="00237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02502931">
      <w:bodyDiv w:val="1"/>
      <w:marLeft w:val="0"/>
      <w:marRight w:val="0"/>
      <w:marTop w:val="0"/>
      <w:marBottom w:val="0"/>
      <w:divBdr>
        <w:top w:val="none" w:sz="0" w:space="0" w:color="auto"/>
        <w:left w:val="none" w:sz="0" w:space="0" w:color="auto"/>
        <w:bottom w:val="none" w:sz="0" w:space="0" w:color="auto"/>
        <w:right w:val="none" w:sz="0" w:space="0" w:color="auto"/>
      </w:divBdr>
    </w:div>
    <w:div w:id="867184835">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eimin.lrv.lt/uploads/eimin/documents/files/05-002-01-07-08.zip" TargetMode="External"/><Relationship Id="rId3" Type="http://schemas.openxmlformats.org/officeDocument/2006/relationships/customXml" Target="../customXml/item3.xml"/><Relationship Id="rId21" Type="http://schemas.openxmlformats.org/officeDocument/2006/relationships/hyperlink" Target="https://www.cpva.lt/pletros-programu-portfelio-metodines-pagalbos-centras/dokumentai/dokumentai/796/act883?sqid=829b3670a8452304456736b16855dcdda444bdcb"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2021.esinvesticijos.lt/dokumentai/2021-2027-metu-europos-sajungos-fondu-investiciju-programos-projektu-islaidu-paskirstymo-regionams-rekomendacijo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elektroninisparasas.lt/lietuvos-patikimas-sarasas/" TargetMode="External"/><Relationship Id="rId10" Type="http://schemas.openxmlformats.org/officeDocument/2006/relationships/footnotes" Target="footnotes.xml"/><Relationship Id="rId19" Type="http://schemas.openxmlformats.org/officeDocument/2006/relationships/hyperlink" Target="https://eimin.lrv.lt/uploads/eimin/documents/files/05-002-01-07-0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lektroninisparasas.lt/lietuvos-patikimas-sarasa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T/TXT/?uri=CELEX:32021R2139" TargetMode="External"/><Relationship Id="rId3" Type="http://schemas.openxmlformats.org/officeDocument/2006/relationships/hyperlink" Target="https://eur-lex.europa.eu/legal-content/LT/TXT/?uri=CELEX:32021R2139" TargetMode="External"/><Relationship Id="rId7" Type="http://schemas.openxmlformats.org/officeDocument/2006/relationships/hyperlink" Target="https://eur-lex.europa.eu/legal-content/LT/TXT/?uri=CELEX:32021R2139" TargetMode="External"/><Relationship Id="rId2" Type="http://schemas.openxmlformats.org/officeDocument/2006/relationships/hyperlink" Target="https://eur-lex.europa.eu/legal-content/LT/TXT/?uri=CELEX:32021R2139" TargetMode="External"/><Relationship Id="rId1" Type="http://schemas.openxmlformats.org/officeDocument/2006/relationships/hyperlink" Target="https://eur-lex.europa.eu/legal-content/LT/TXT/?uri=CELEX:32021R2139" TargetMode="External"/><Relationship Id="rId6" Type="http://schemas.openxmlformats.org/officeDocument/2006/relationships/hyperlink" Target="https://eur-lex.europa.eu/legal-content/LT/TXT/?uri=CELEX:32021R2139" TargetMode="External"/><Relationship Id="rId5" Type="http://schemas.openxmlformats.org/officeDocument/2006/relationships/hyperlink" Target="https://eur-lex.europa.eu/legal-content/LT/TXT/?uri=CELEX:32021R2139" TargetMode="External"/><Relationship Id="rId4" Type="http://schemas.openxmlformats.org/officeDocument/2006/relationships/hyperlink" Target="https://eur-lex.europa.eu/legal-content/LT/TXT/?uri=CELEX:32021R2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DEF2A598-EA25-4035-97C2-8F175A7754A5}">
  <ds:schemaRefs>
    <ds:schemaRef ds:uri="http://schemas.openxmlformats.org/officeDocument/2006/bibliography"/>
  </ds:schemaRefs>
</ds:datastoreItem>
</file>

<file path=customXml/itemProps4.xml><?xml version="1.0" encoding="utf-8"?>
<ds:datastoreItem xmlns:ds="http://schemas.openxmlformats.org/officeDocument/2006/customXml" ds:itemID="{18869216-4DC6-4D48-9D32-AD0F5AC1FFF6}">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1bdba5e-b18c-4c8c-b425-bdf6d075d995"/>
    <ds:schemaRef ds:uri="db96e512-6920-4eea-b1bf-b81a54d2aa3c"/>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36</Pages>
  <Words>44368</Words>
  <Characters>25291</Characters>
  <Application>Microsoft Office Word</Application>
  <DocSecurity>0</DocSecurity>
  <Lines>210</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69520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Edita Rudakaitė-Šaukštel</cp:lastModifiedBy>
  <cp:revision>3</cp:revision>
  <dcterms:created xsi:type="dcterms:W3CDTF">2023-05-19T10:54:00Z</dcterms:created>
  <dcterms:modified xsi:type="dcterms:W3CDTF">2023-05-19T11:16:00Z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