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3653" w14:textId="77777777" w:rsidR="006B2B07" w:rsidRDefault="00E75BA2" w:rsidP="006E721D">
      <w:pPr>
        <w:ind w:left="9639"/>
      </w:pPr>
      <w:r w:rsidRPr="009D775B">
        <w:t xml:space="preserve">2021–2030 metų plėtros programos valdytojos Lietuvos Respublikos ekonomikos ir inovacijų ministerijos ekonomikos transformacijos ir konkurencingumo plėtros programos pažangos priemonės Nr. 05-001-01-05-07 „Sukurti nuoseklią inovacinės veiklos skatinimo sistemą“ aprašo </w:t>
      </w:r>
    </w:p>
    <w:p w14:paraId="48EADFED" w14:textId="7097CB36" w:rsidR="00E75BA2" w:rsidRPr="009D775B" w:rsidRDefault="006E721D" w:rsidP="00E75BA2">
      <w:pPr>
        <w:ind w:left="9639"/>
        <w:jc w:val="both"/>
      </w:pPr>
      <w:r w:rsidRPr="00593607">
        <w:t>7</w:t>
      </w:r>
      <w:r w:rsidR="00E75BA2" w:rsidRPr="009D775B">
        <w:t xml:space="preserve"> priedas</w:t>
      </w:r>
    </w:p>
    <w:p w14:paraId="6B53EA3D" w14:textId="77777777" w:rsidR="00B831F4" w:rsidRDefault="00B831F4">
      <w:pPr>
        <w:jc w:val="center"/>
        <w:rPr>
          <w:iCs/>
          <w:szCs w:val="24"/>
        </w:rPr>
      </w:pPr>
    </w:p>
    <w:p w14:paraId="07FAA85E" w14:textId="77777777" w:rsidR="00B831F4" w:rsidRDefault="00B831F4">
      <w:pPr>
        <w:jc w:val="center"/>
        <w:rPr>
          <w:i/>
          <w:szCs w:val="24"/>
        </w:rPr>
      </w:pPr>
    </w:p>
    <w:p w14:paraId="3619C9C2" w14:textId="631019D1" w:rsidR="00B831F4" w:rsidRDefault="00E75BA2">
      <w:pPr>
        <w:jc w:val="center"/>
        <w:rPr>
          <w:b/>
          <w:szCs w:val="24"/>
        </w:rPr>
      </w:pPr>
      <w:r w:rsidRPr="009D775B">
        <w:rPr>
          <w:b/>
          <w:bCs/>
          <w:caps/>
          <w:color w:val="000000" w:themeColor="text1"/>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Pr="009D775B">
        <w:rPr>
          <w:b/>
          <w:bCs/>
        </w:rPr>
        <w:t xml:space="preserve"> </w:t>
      </w:r>
      <w:bookmarkStart w:id="0" w:name="_Hlk135730677"/>
      <w:r w:rsidRPr="009D775B">
        <w:rPr>
          <w:b/>
          <w:bCs/>
          <w:szCs w:val="24"/>
        </w:rPr>
        <w:t>VEIKLOS „</w:t>
      </w:r>
      <w:r w:rsidRPr="009D775B">
        <w:rPr>
          <w:b/>
          <w:bCs/>
          <w:iCs/>
          <w:szCs w:val="24"/>
        </w:rPr>
        <w:t>SKATINTI STARTUOLIŲ EKOSISTEMOS PLĖTRĄ“ 3.</w:t>
      </w:r>
      <w:r w:rsidR="00DD5B9F">
        <w:rPr>
          <w:b/>
          <w:bCs/>
          <w:iCs/>
          <w:szCs w:val="24"/>
        </w:rPr>
        <w:t>3</w:t>
      </w:r>
      <w:r w:rsidRPr="009D775B">
        <w:rPr>
          <w:b/>
          <w:bCs/>
          <w:iCs/>
          <w:szCs w:val="24"/>
        </w:rPr>
        <w:t xml:space="preserve">  POVEIKLĖS „</w:t>
      </w:r>
      <w:bookmarkStart w:id="1" w:name="_Hlk129697066"/>
      <w:r w:rsidR="002A5FE6" w:rsidRPr="002A5FE6">
        <w:rPr>
          <w:b/>
          <w:bCs/>
          <w:iCs/>
          <w:szCs w:val="24"/>
        </w:rPr>
        <w:t>VYKDYTI STARTUOLIŲ INKUBAVIMO VEIKLAS EUROPOS KOSMOSO AGENTŪROS VERSLO INKUBAVIMO CENTRE</w:t>
      </w:r>
      <w:r w:rsidR="002A5FE6" w:rsidRPr="002A5FE6" w:rsidDel="007642A3">
        <w:rPr>
          <w:b/>
          <w:bCs/>
          <w:iCs/>
          <w:szCs w:val="24"/>
        </w:rPr>
        <w:t xml:space="preserve"> </w:t>
      </w:r>
      <w:bookmarkEnd w:id="1"/>
      <w:r w:rsidRPr="009D775B">
        <w:rPr>
          <w:b/>
          <w:bCs/>
          <w:szCs w:val="24"/>
        </w:rPr>
        <w:t xml:space="preserve">“ </w:t>
      </w:r>
      <w:r w:rsidR="006B20A0">
        <w:rPr>
          <w:b/>
          <w:bCs/>
          <w:szCs w:val="24"/>
        </w:rPr>
        <w:t>PROJEKT</w:t>
      </w:r>
      <w:r>
        <w:rPr>
          <w:b/>
          <w:bCs/>
          <w:szCs w:val="24"/>
        </w:rPr>
        <w:t>O</w:t>
      </w:r>
      <w:r w:rsidR="006B20A0">
        <w:rPr>
          <w:b/>
          <w:bCs/>
          <w:szCs w:val="24"/>
        </w:rPr>
        <w:t xml:space="preserve"> FINANSAVIMO SĄLYGŲ APRAŠAS</w:t>
      </w:r>
      <w:bookmarkEnd w:id="0"/>
    </w:p>
    <w:p w14:paraId="165DE661" w14:textId="77777777" w:rsidR="00B831F4" w:rsidRDefault="00B831F4">
      <w:pPr>
        <w:rPr>
          <w:i/>
          <w:szCs w:val="24"/>
        </w:rPr>
      </w:pPr>
    </w:p>
    <w:p w14:paraId="7D066E6E" w14:textId="77777777" w:rsidR="00B831F4" w:rsidRDefault="00B831F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53"/>
        <w:gridCol w:w="1208"/>
        <w:gridCol w:w="1134"/>
        <w:gridCol w:w="1134"/>
        <w:gridCol w:w="1486"/>
        <w:gridCol w:w="1315"/>
        <w:gridCol w:w="1080"/>
        <w:gridCol w:w="1344"/>
        <w:gridCol w:w="1051"/>
        <w:gridCol w:w="1132"/>
        <w:gridCol w:w="859"/>
        <w:gridCol w:w="1149"/>
      </w:tblGrid>
      <w:tr w:rsidR="00B831F4" w14:paraId="5B4D7078" w14:textId="7528AAB2">
        <w:tc>
          <w:tcPr>
            <w:tcW w:w="15155" w:type="dxa"/>
            <w:gridSpan w:val="13"/>
            <w:vAlign w:val="center"/>
          </w:tcPr>
          <w:p w14:paraId="34297191" w14:textId="69911FA0" w:rsidR="00B831F4" w:rsidRDefault="006B20A0">
            <w:pPr>
              <w:jc w:val="center"/>
              <w:rPr>
                <w:b/>
                <w:sz w:val="22"/>
                <w:szCs w:val="22"/>
              </w:rPr>
            </w:pPr>
            <w:r>
              <w:rPr>
                <w:b/>
                <w:sz w:val="22"/>
                <w:szCs w:val="22"/>
              </w:rPr>
              <w:t>VEIKLOS AR POVEIKLĖS, KURIOMS NUSTATOMOS PROJEKTŲ FINANSAVIMO SĄLYGOS</w:t>
            </w:r>
          </w:p>
        </w:tc>
      </w:tr>
      <w:tr w:rsidR="00B831F4" w14:paraId="44CC8440" w14:textId="34F687BE" w:rsidTr="00054CF9">
        <w:tc>
          <w:tcPr>
            <w:tcW w:w="1110" w:type="dxa"/>
            <w:vAlign w:val="center"/>
          </w:tcPr>
          <w:p w14:paraId="44E08642" w14:textId="77777777" w:rsidR="00B831F4" w:rsidRDefault="006B20A0">
            <w:pPr>
              <w:jc w:val="center"/>
              <w:rPr>
                <w:b/>
                <w:sz w:val="20"/>
              </w:rPr>
            </w:pPr>
            <w:r>
              <w:rPr>
                <w:b/>
                <w:sz w:val="20"/>
              </w:rPr>
              <w:t>Veiklos ar poveiklės pavadini-mas</w:t>
            </w:r>
          </w:p>
        </w:tc>
        <w:tc>
          <w:tcPr>
            <w:tcW w:w="1153" w:type="dxa"/>
            <w:vAlign w:val="center"/>
          </w:tcPr>
          <w:p w14:paraId="748B6392" w14:textId="77777777" w:rsidR="00B831F4" w:rsidRDefault="006B20A0">
            <w:pPr>
              <w:jc w:val="center"/>
              <w:rPr>
                <w:b/>
                <w:sz w:val="20"/>
              </w:rPr>
            </w:pPr>
            <w:r>
              <w:rPr>
                <w:b/>
                <w:sz w:val="20"/>
              </w:rPr>
              <w:t>Finansa-vimo šaltinis</w:t>
            </w:r>
          </w:p>
        </w:tc>
        <w:tc>
          <w:tcPr>
            <w:tcW w:w="1208" w:type="dxa"/>
            <w:vAlign w:val="center"/>
          </w:tcPr>
          <w:p w14:paraId="2277D0D3" w14:textId="77777777" w:rsidR="00B831F4" w:rsidRDefault="006B20A0">
            <w:pPr>
              <w:jc w:val="center"/>
              <w:rPr>
                <w:b/>
                <w:sz w:val="20"/>
              </w:rPr>
            </w:pPr>
            <w:r>
              <w:rPr>
                <w:b/>
                <w:bCs/>
                <w:sz w:val="20"/>
              </w:rPr>
              <w:t>Prioritetas ar komponen-tas</w:t>
            </w:r>
          </w:p>
        </w:tc>
        <w:tc>
          <w:tcPr>
            <w:tcW w:w="1134" w:type="dxa"/>
            <w:vAlign w:val="center"/>
          </w:tcPr>
          <w:p w14:paraId="699300FF" w14:textId="77777777" w:rsidR="00B831F4" w:rsidRDefault="006B20A0">
            <w:pPr>
              <w:jc w:val="center"/>
              <w:rPr>
                <w:b/>
                <w:sz w:val="20"/>
              </w:rPr>
            </w:pPr>
            <w:r>
              <w:rPr>
                <w:b/>
                <w:bCs/>
                <w:sz w:val="20"/>
              </w:rPr>
              <w:t>Uždavi-nys ar priemonė</w:t>
            </w:r>
          </w:p>
        </w:tc>
        <w:tc>
          <w:tcPr>
            <w:tcW w:w="1134" w:type="dxa"/>
            <w:vAlign w:val="center"/>
          </w:tcPr>
          <w:p w14:paraId="479A2861" w14:textId="16459E23" w:rsidR="00B831F4" w:rsidRDefault="006B20A0">
            <w:pPr>
              <w:jc w:val="center"/>
              <w:rPr>
                <w:b/>
                <w:sz w:val="20"/>
              </w:rPr>
            </w:pPr>
            <w:r>
              <w:rPr>
                <w:b/>
                <w:bCs/>
                <w:sz w:val="20"/>
              </w:rPr>
              <w:t>Veikla ar paprie-monė</w:t>
            </w:r>
          </w:p>
        </w:tc>
        <w:tc>
          <w:tcPr>
            <w:tcW w:w="1486" w:type="dxa"/>
            <w:vAlign w:val="center"/>
          </w:tcPr>
          <w:p w14:paraId="000BE0BE" w14:textId="77777777" w:rsidR="00B831F4" w:rsidRDefault="006B20A0">
            <w:pPr>
              <w:jc w:val="center"/>
              <w:rPr>
                <w:b/>
                <w:sz w:val="20"/>
              </w:rPr>
            </w:pPr>
            <w:r>
              <w:rPr>
                <w:b/>
                <w:sz w:val="20"/>
              </w:rPr>
              <w:t>Intervencinės priemonės kodas</w:t>
            </w:r>
          </w:p>
        </w:tc>
        <w:tc>
          <w:tcPr>
            <w:tcW w:w="1315" w:type="dxa"/>
            <w:vAlign w:val="center"/>
          </w:tcPr>
          <w:p w14:paraId="62B981C8" w14:textId="77777777" w:rsidR="00B831F4" w:rsidRDefault="006B20A0">
            <w:pPr>
              <w:jc w:val="center"/>
              <w:rPr>
                <w:b/>
                <w:bCs/>
                <w:sz w:val="20"/>
              </w:rPr>
            </w:pPr>
            <w:r>
              <w:rPr>
                <w:b/>
                <w:sz w:val="20"/>
              </w:rPr>
              <w:t>Regionas, kuriam priskiriama veikla ar poveiklė</w:t>
            </w:r>
          </w:p>
        </w:tc>
        <w:tc>
          <w:tcPr>
            <w:tcW w:w="1080" w:type="dxa"/>
            <w:vAlign w:val="center"/>
          </w:tcPr>
          <w:p w14:paraId="01B4CEAC" w14:textId="77777777" w:rsidR="00B831F4" w:rsidRDefault="006B20A0">
            <w:pPr>
              <w:jc w:val="center"/>
              <w:rPr>
                <w:b/>
                <w:sz w:val="20"/>
              </w:rPr>
            </w:pPr>
            <w:r>
              <w:rPr>
                <w:b/>
                <w:bCs/>
                <w:sz w:val="20"/>
              </w:rPr>
              <w:t>Paramos formos kodas</w:t>
            </w:r>
          </w:p>
        </w:tc>
        <w:tc>
          <w:tcPr>
            <w:tcW w:w="1344" w:type="dxa"/>
            <w:vAlign w:val="center"/>
          </w:tcPr>
          <w:p w14:paraId="106944A6" w14:textId="77777777" w:rsidR="00B831F4" w:rsidRDefault="006B20A0">
            <w:pPr>
              <w:jc w:val="center"/>
              <w:rPr>
                <w:b/>
                <w:sz w:val="20"/>
              </w:rPr>
            </w:pPr>
            <w:r>
              <w:rPr>
                <w:b/>
                <w:bCs/>
                <w:sz w:val="20"/>
              </w:rPr>
              <w:t>Pagrindinės teritorinės srities kodas (-ai)</w:t>
            </w:r>
          </w:p>
        </w:tc>
        <w:tc>
          <w:tcPr>
            <w:tcW w:w="1051" w:type="dxa"/>
            <w:vAlign w:val="center"/>
          </w:tcPr>
          <w:p w14:paraId="16FAC529" w14:textId="77777777" w:rsidR="00B831F4" w:rsidRDefault="006B20A0">
            <w:pPr>
              <w:jc w:val="center"/>
              <w:rPr>
                <w:b/>
                <w:bCs/>
                <w:sz w:val="20"/>
              </w:rPr>
            </w:pPr>
            <w:r>
              <w:rPr>
                <w:b/>
                <w:bCs/>
                <w:sz w:val="20"/>
              </w:rPr>
              <w:t xml:space="preserve">Ekono-minės veiklos kodas </w:t>
            </w:r>
          </w:p>
          <w:p w14:paraId="317B5592" w14:textId="2D6A73A3" w:rsidR="00B831F4" w:rsidRDefault="006B20A0">
            <w:pPr>
              <w:jc w:val="center"/>
              <w:rPr>
                <w:b/>
                <w:sz w:val="20"/>
              </w:rPr>
            </w:pPr>
            <w:r>
              <w:rPr>
                <w:b/>
                <w:bCs/>
                <w:sz w:val="20"/>
              </w:rPr>
              <w:t>(-ai)</w:t>
            </w:r>
          </w:p>
        </w:tc>
        <w:tc>
          <w:tcPr>
            <w:tcW w:w="1132" w:type="dxa"/>
            <w:vAlign w:val="center"/>
          </w:tcPr>
          <w:p w14:paraId="638E9489" w14:textId="77777777" w:rsidR="00B831F4" w:rsidRDefault="006B20A0">
            <w:pPr>
              <w:jc w:val="center"/>
              <w:rPr>
                <w:b/>
                <w:bCs/>
                <w:sz w:val="20"/>
              </w:rPr>
            </w:pPr>
            <w:r>
              <w:rPr>
                <w:b/>
                <w:bCs/>
                <w:sz w:val="20"/>
              </w:rPr>
              <w:t>„Europos socialinio fondo +“ (toliau – ESF+) antrinių temų kodai</w:t>
            </w:r>
          </w:p>
        </w:tc>
        <w:tc>
          <w:tcPr>
            <w:tcW w:w="859" w:type="dxa"/>
            <w:vAlign w:val="center"/>
          </w:tcPr>
          <w:p w14:paraId="6FE52515" w14:textId="614A57AF" w:rsidR="00B831F4" w:rsidRDefault="006B20A0">
            <w:pPr>
              <w:jc w:val="center"/>
              <w:rPr>
                <w:b/>
                <w:bCs/>
                <w:sz w:val="20"/>
              </w:rPr>
            </w:pPr>
            <w:r>
              <w:rPr>
                <w:b/>
                <w:bCs/>
                <w:sz w:val="20"/>
              </w:rPr>
              <w:t>Lyčių lygybės mat-mens kodas</w:t>
            </w:r>
          </w:p>
        </w:tc>
        <w:tc>
          <w:tcPr>
            <w:tcW w:w="1149" w:type="dxa"/>
            <w:vAlign w:val="center"/>
          </w:tcPr>
          <w:p w14:paraId="07588924" w14:textId="14AD3C1C" w:rsidR="00B831F4" w:rsidRPr="007C16B4" w:rsidRDefault="006B20A0">
            <w:pPr>
              <w:jc w:val="center"/>
              <w:rPr>
                <w:b/>
                <w:sz w:val="20"/>
              </w:rPr>
            </w:pPr>
            <w:r w:rsidRPr="007C16B4">
              <w:rPr>
                <w:b/>
                <w:sz w:val="20"/>
              </w:rPr>
              <w:t>Nepanau-dotos Ekonomi-kos gaivinimo ir atsparumo didinimo priemonės lėšos</w:t>
            </w:r>
          </w:p>
          <w:p w14:paraId="70C2431C" w14:textId="283D6794" w:rsidR="00B831F4" w:rsidRPr="007C16B4" w:rsidRDefault="006B20A0">
            <w:pPr>
              <w:jc w:val="center"/>
              <w:rPr>
                <w:b/>
                <w:bCs/>
                <w:sz w:val="20"/>
              </w:rPr>
            </w:pPr>
            <w:r w:rsidRPr="007C16B4">
              <w:rPr>
                <w:b/>
                <w:sz w:val="20"/>
              </w:rPr>
              <w:t>(Taip / Ne)</w:t>
            </w:r>
          </w:p>
        </w:tc>
      </w:tr>
      <w:tr w:rsidR="005F5089" w14:paraId="65617F03" w14:textId="67958720" w:rsidTr="00054CF9">
        <w:trPr>
          <w:trHeight w:val="278"/>
        </w:trPr>
        <w:tc>
          <w:tcPr>
            <w:tcW w:w="1110" w:type="dxa"/>
            <w:tcMar>
              <w:left w:w="28" w:type="dxa"/>
              <w:right w:w="28" w:type="dxa"/>
            </w:tcMar>
          </w:tcPr>
          <w:p w14:paraId="74FA5B32" w14:textId="3E4A386C" w:rsidR="005F5089" w:rsidRPr="00054CF9" w:rsidRDefault="00593607" w:rsidP="005F5089">
            <w:pPr>
              <w:ind w:firstLine="48"/>
              <w:jc w:val="center"/>
              <w:rPr>
                <w:i/>
                <w:sz w:val="18"/>
                <w:szCs w:val="18"/>
              </w:rPr>
            </w:pPr>
            <w:commentRangeStart w:id="2"/>
            <w:r w:rsidRPr="00593607">
              <w:rPr>
                <w:b/>
                <w:bCs/>
                <w:iCs/>
                <w:sz w:val="18"/>
                <w:szCs w:val="18"/>
              </w:rPr>
              <w:t>Poveiklė:</w:t>
            </w:r>
            <w:r w:rsidRPr="00593607">
              <w:rPr>
                <w:iCs/>
                <w:sz w:val="18"/>
                <w:szCs w:val="18"/>
              </w:rPr>
              <w:t xml:space="preserve"> </w:t>
            </w:r>
            <w:bookmarkStart w:id="3" w:name="_Hlk128471843"/>
            <w:r w:rsidRPr="00593607">
              <w:rPr>
                <w:iCs/>
                <w:sz w:val="18"/>
                <w:szCs w:val="18"/>
              </w:rPr>
              <w:t xml:space="preserve">3.3. Vykdyti startuolių inkubavimo veiklas Europos kosmoso agentūros verslo </w:t>
            </w:r>
            <w:r w:rsidRPr="00593607">
              <w:rPr>
                <w:iCs/>
                <w:sz w:val="18"/>
                <w:szCs w:val="18"/>
              </w:rPr>
              <w:lastRenderedPageBreak/>
              <w:t>inkubavimo centre</w:t>
            </w:r>
            <w:r w:rsidRPr="00593607" w:rsidDel="007339F7">
              <w:rPr>
                <w:iCs/>
                <w:sz w:val="18"/>
                <w:szCs w:val="18"/>
              </w:rPr>
              <w:t xml:space="preserve"> </w:t>
            </w:r>
            <w:bookmarkEnd w:id="3"/>
            <w:commentRangeEnd w:id="2"/>
            <w:r w:rsidR="002D3A4E">
              <w:rPr>
                <w:rStyle w:val="CommentReference"/>
              </w:rPr>
              <w:commentReference w:id="2"/>
            </w:r>
          </w:p>
        </w:tc>
        <w:tc>
          <w:tcPr>
            <w:tcW w:w="1153" w:type="dxa"/>
            <w:tcMar>
              <w:left w:w="28" w:type="dxa"/>
              <w:right w:w="28" w:type="dxa"/>
            </w:tcMar>
          </w:tcPr>
          <w:p w14:paraId="322924F6" w14:textId="77777777" w:rsidR="005F5089" w:rsidRPr="00054CF9" w:rsidRDefault="005F5089" w:rsidP="005F5089">
            <w:pPr>
              <w:rPr>
                <w:iCs/>
                <w:sz w:val="18"/>
                <w:szCs w:val="18"/>
              </w:rPr>
            </w:pPr>
            <w:r w:rsidRPr="00054CF9">
              <w:rPr>
                <w:iCs/>
                <w:sz w:val="18"/>
                <w:szCs w:val="18"/>
              </w:rPr>
              <w:lastRenderedPageBreak/>
              <w:t xml:space="preserve">Ekonomikos gaivinimo ir atsparumo didinimo </w:t>
            </w:r>
          </w:p>
          <w:p w14:paraId="6F7BD013" w14:textId="77777777" w:rsidR="005F5089" w:rsidRPr="00054CF9" w:rsidRDefault="005F5089" w:rsidP="005F5089">
            <w:pPr>
              <w:rPr>
                <w:iCs/>
                <w:sz w:val="18"/>
                <w:szCs w:val="18"/>
              </w:rPr>
            </w:pPr>
            <w:r w:rsidRPr="00054CF9">
              <w:rPr>
                <w:iCs/>
                <w:sz w:val="18"/>
                <w:szCs w:val="18"/>
              </w:rPr>
              <w:t>priemonės (toliau –EGADP) lėšos.</w:t>
            </w:r>
          </w:p>
          <w:p w14:paraId="7BEA5984" w14:textId="77777777" w:rsidR="005F5089" w:rsidRPr="00054CF9" w:rsidRDefault="005F5089" w:rsidP="005F5089">
            <w:pPr>
              <w:rPr>
                <w:iCs/>
                <w:sz w:val="18"/>
                <w:szCs w:val="18"/>
              </w:rPr>
            </w:pPr>
            <w:r w:rsidRPr="00054CF9">
              <w:rPr>
                <w:iCs/>
                <w:sz w:val="18"/>
                <w:szCs w:val="18"/>
              </w:rPr>
              <w:t xml:space="preserve">Valstybės biudžeto </w:t>
            </w:r>
            <w:r w:rsidRPr="00054CF9">
              <w:rPr>
                <w:iCs/>
                <w:sz w:val="18"/>
                <w:szCs w:val="18"/>
              </w:rPr>
              <w:lastRenderedPageBreak/>
              <w:t xml:space="preserve">(toliau – VB) lėšos, skirtos apmokėti bendrai </w:t>
            </w:r>
          </w:p>
          <w:p w14:paraId="68791D74" w14:textId="2CE717EB" w:rsidR="005F5089" w:rsidRPr="00054CF9" w:rsidRDefault="005F5089" w:rsidP="005F5089">
            <w:pPr>
              <w:rPr>
                <w:iCs/>
                <w:sz w:val="18"/>
                <w:szCs w:val="18"/>
              </w:rPr>
            </w:pPr>
            <w:r w:rsidRPr="00054CF9">
              <w:rPr>
                <w:iCs/>
                <w:sz w:val="18"/>
                <w:szCs w:val="18"/>
              </w:rPr>
              <w:t xml:space="preserve">finansuojamiems iš Europos Sąjungos (toliau </w:t>
            </w:r>
            <w:r w:rsidR="00152AB4">
              <w:rPr>
                <w:iCs/>
                <w:sz w:val="18"/>
                <w:szCs w:val="18"/>
              </w:rPr>
              <w:t>–</w:t>
            </w:r>
            <w:r w:rsidRPr="00054CF9">
              <w:rPr>
                <w:iCs/>
                <w:sz w:val="18"/>
                <w:szCs w:val="18"/>
              </w:rPr>
              <w:t xml:space="preserve"> ES) fondų lėšų projektams, </w:t>
            </w:r>
          </w:p>
          <w:p w14:paraId="70AC9206" w14:textId="600E1DE0" w:rsidR="005F5089" w:rsidRPr="00054CF9" w:rsidRDefault="005F5089" w:rsidP="005F5089">
            <w:pPr>
              <w:rPr>
                <w:i/>
                <w:sz w:val="18"/>
                <w:szCs w:val="18"/>
              </w:rPr>
            </w:pPr>
            <w:r w:rsidRPr="00054CF9">
              <w:rPr>
                <w:iCs/>
                <w:sz w:val="18"/>
                <w:szCs w:val="18"/>
              </w:rPr>
              <w:t>netinkamiems finansuoti iš ES fondų lėšų pirkimo ir (arba) importo</w:t>
            </w:r>
            <w:r w:rsidRPr="00054CF9">
              <w:rPr>
                <w:sz w:val="18"/>
                <w:szCs w:val="18"/>
              </w:rPr>
              <w:t xml:space="preserve"> </w:t>
            </w:r>
            <w:r w:rsidRPr="00054CF9">
              <w:rPr>
                <w:iCs/>
                <w:sz w:val="18"/>
                <w:szCs w:val="18"/>
              </w:rPr>
              <w:t>pridėtinės vertės mokesčio (toliau</w:t>
            </w:r>
            <w:r w:rsidR="00152AB4">
              <w:rPr>
                <w:iCs/>
                <w:sz w:val="18"/>
                <w:szCs w:val="18"/>
              </w:rPr>
              <w:t xml:space="preserve"> </w:t>
            </w:r>
            <w:r w:rsidR="00532E62">
              <w:rPr>
                <w:iCs/>
                <w:sz w:val="18"/>
                <w:szCs w:val="18"/>
              </w:rPr>
              <w:t>–</w:t>
            </w:r>
            <w:r w:rsidR="00152AB4">
              <w:rPr>
                <w:iCs/>
                <w:sz w:val="18"/>
                <w:szCs w:val="18"/>
              </w:rPr>
              <w:t xml:space="preserve"> </w:t>
            </w:r>
            <w:r w:rsidRPr="00054CF9">
              <w:rPr>
                <w:iCs/>
                <w:sz w:val="18"/>
                <w:szCs w:val="18"/>
              </w:rPr>
              <w:t xml:space="preserve">PVM) </w:t>
            </w:r>
          </w:p>
        </w:tc>
        <w:tc>
          <w:tcPr>
            <w:tcW w:w="1208" w:type="dxa"/>
            <w:tcMar>
              <w:left w:w="28" w:type="dxa"/>
              <w:right w:w="28" w:type="dxa"/>
            </w:tcMar>
          </w:tcPr>
          <w:p w14:paraId="276ADE8D" w14:textId="3CBFE209" w:rsidR="005F5089" w:rsidRPr="00054CF9" w:rsidRDefault="005F5089" w:rsidP="005F5089">
            <w:pPr>
              <w:jc w:val="center"/>
              <w:rPr>
                <w:i/>
                <w:sz w:val="18"/>
                <w:szCs w:val="18"/>
              </w:rPr>
            </w:pPr>
            <w:r w:rsidRPr="00054CF9">
              <w:rPr>
                <w:iCs/>
                <w:sz w:val="18"/>
                <w:szCs w:val="18"/>
              </w:rPr>
              <w:lastRenderedPageBreak/>
              <w:t>5</w:t>
            </w:r>
            <w:r w:rsidRPr="00054CF9">
              <w:rPr>
                <w:i/>
                <w:iCs/>
                <w:sz w:val="18"/>
                <w:szCs w:val="18"/>
              </w:rPr>
              <w:t>.</w:t>
            </w:r>
          </w:p>
        </w:tc>
        <w:tc>
          <w:tcPr>
            <w:tcW w:w="1134" w:type="dxa"/>
            <w:tcMar>
              <w:left w:w="28" w:type="dxa"/>
              <w:right w:w="28" w:type="dxa"/>
            </w:tcMar>
          </w:tcPr>
          <w:p w14:paraId="5DD068EE" w14:textId="77777777" w:rsidR="00E25771" w:rsidRPr="00054CF9" w:rsidRDefault="00E25771" w:rsidP="00E25771">
            <w:pPr>
              <w:jc w:val="center"/>
              <w:rPr>
                <w:iCs/>
                <w:sz w:val="18"/>
                <w:szCs w:val="18"/>
              </w:rPr>
            </w:pPr>
            <w:r w:rsidRPr="00054CF9">
              <w:rPr>
                <w:iCs/>
                <w:sz w:val="18"/>
                <w:szCs w:val="18"/>
              </w:rPr>
              <w:t>E.1.2.</w:t>
            </w:r>
          </w:p>
          <w:p w14:paraId="79EE11B5" w14:textId="5FE48BB4" w:rsidR="005F5089" w:rsidRPr="00054CF9" w:rsidRDefault="005F5089" w:rsidP="005F5089">
            <w:pPr>
              <w:jc w:val="center"/>
              <w:rPr>
                <w:sz w:val="18"/>
                <w:szCs w:val="18"/>
              </w:rPr>
            </w:pPr>
          </w:p>
        </w:tc>
        <w:tc>
          <w:tcPr>
            <w:tcW w:w="1134" w:type="dxa"/>
            <w:tcMar>
              <w:left w:w="28" w:type="dxa"/>
              <w:right w:w="28" w:type="dxa"/>
            </w:tcMar>
          </w:tcPr>
          <w:p w14:paraId="6011FB3D" w14:textId="02316ED0" w:rsidR="005F5089" w:rsidRPr="00054CF9" w:rsidRDefault="00E25771" w:rsidP="005F5089">
            <w:pPr>
              <w:jc w:val="center"/>
              <w:rPr>
                <w:i/>
                <w:sz w:val="18"/>
                <w:szCs w:val="18"/>
              </w:rPr>
            </w:pPr>
            <w:r w:rsidRPr="00054CF9">
              <w:rPr>
                <w:sz w:val="18"/>
                <w:szCs w:val="18"/>
              </w:rPr>
              <w:t>E.1.2.3.</w:t>
            </w:r>
          </w:p>
        </w:tc>
        <w:tc>
          <w:tcPr>
            <w:tcW w:w="1486" w:type="dxa"/>
            <w:tcMar>
              <w:left w:w="28" w:type="dxa"/>
              <w:right w:w="28" w:type="dxa"/>
            </w:tcMar>
          </w:tcPr>
          <w:p w14:paraId="2CE029DB" w14:textId="69AF80E1" w:rsidR="005F5089" w:rsidRPr="00054CF9" w:rsidRDefault="00E25771" w:rsidP="005F5089">
            <w:pPr>
              <w:jc w:val="center"/>
              <w:rPr>
                <w:i/>
                <w:sz w:val="18"/>
                <w:szCs w:val="18"/>
              </w:rPr>
            </w:pPr>
            <w:r w:rsidRPr="00054CF9">
              <w:rPr>
                <w:sz w:val="18"/>
                <w:szCs w:val="18"/>
              </w:rPr>
              <w:t>018</w:t>
            </w:r>
          </w:p>
        </w:tc>
        <w:tc>
          <w:tcPr>
            <w:tcW w:w="1315" w:type="dxa"/>
            <w:tcMar>
              <w:left w:w="28" w:type="dxa"/>
              <w:right w:w="28" w:type="dxa"/>
            </w:tcMar>
          </w:tcPr>
          <w:p w14:paraId="7F10B632" w14:textId="20CAB860" w:rsidR="005F5089" w:rsidRPr="00054CF9" w:rsidRDefault="00E25771" w:rsidP="005F5089">
            <w:pPr>
              <w:jc w:val="center"/>
              <w:rPr>
                <w:i/>
                <w:sz w:val="18"/>
                <w:szCs w:val="18"/>
              </w:rPr>
            </w:pPr>
            <w:r w:rsidRPr="00054CF9">
              <w:rPr>
                <w:i/>
                <w:color w:val="000000"/>
                <w:sz w:val="18"/>
                <w:szCs w:val="18"/>
              </w:rPr>
              <w:t>-</w:t>
            </w:r>
          </w:p>
        </w:tc>
        <w:tc>
          <w:tcPr>
            <w:tcW w:w="1080" w:type="dxa"/>
            <w:tcMar>
              <w:left w:w="28" w:type="dxa"/>
              <w:right w:w="28" w:type="dxa"/>
            </w:tcMar>
          </w:tcPr>
          <w:p w14:paraId="3F2AA3EF" w14:textId="3E6809F2" w:rsidR="005F5089" w:rsidRPr="00054CF9" w:rsidRDefault="00E25771" w:rsidP="005F5089">
            <w:pPr>
              <w:jc w:val="center"/>
              <w:rPr>
                <w:i/>
                <w:sz w:val="18"/>
                <w:szCs w:val="18"/>
              </w:rPr>
            </w:pPr>
            <w:r w:rsidRPr="00054CF9">
              <w:rPr>
                <w:i/>
                <w:iCs/>
                <w:sz w:val="18"/>
                <w:szCs w:val="18"/>
              </w:rPr>
              <w:t>-</w:t>
            </w:r>
          </w:p>
        </w:tc>
        <w:tc>
          <w:tcPr>
            <w:tcW w:w="1344" w:type="dxa"/>
            <w:tcMar>
              <w:left w:w="28" w:type="dxa"/>
              <w:right w:w="28" w:type="dxa"/>
            </w:tcMar>
          </w:tcPr>
          <w:p w14:paraId="61DFE6C2" w14:textId="06485FF8" w:rsidR="005F5089" w:rsidRPr="00054CF9" w:rsidRDefault="00BE2F74" w:rsidP="005F5089">
            <w:pPr>
              <w:jc w:val="center"/>
              <w:rPr>
                <w:sz w:val="18"/>
                <w:szCs w:val="18"/>
              </w:rPr>
            </w:pPr>
            <w:r w:rsidRPr="00054CF9">
              <w:rPr>
                <w:i/>
                <w:iCs/>
                <w:sz w:val="18"/>
                <w:szCs w:val="18"/>
              </w:rPr>
              <w:t>-</w:t>
            </w:r>
          </w:p>
        </w:tc>
        <w:tc>
          <w:tcPr>
            <w:tcW w:w="1051" w:type="dxa"/>
            <w:tcMar>
              <w:left w:w="28" w:type="dxa"/>
              <w:right w:w="28" w:type="dxa"/>
            </w:tcMar>
          </w:tcPr>
          <w:p w14:paraId="72C15DEA" w14:textId="390AE03C" w:rsidR="005F5089" w:rsidRPr="00054CF9" w:rsidRDefault="00BE2F74" w:rsidP="005F5089">
            <w:pPr>
              <w:jc w:val="center"/>
              <w:rPr>
                <w:sz w:val="18"/>
                <w:szCs w:val="18"/>
              </w:rPr>
            </w:pPr>
            <w:r w:rsidRPr="00054CF9">
              <w:rPr>
                <w:i/>
                <w:iCs/>
                <w:sz w:val="18"/>
                <w:szCs w:val="18"/>
              </w:rPr>
              <w:t>-</w:t>
            </w:r>
          </w:p>
        </w:tc>
        <w:tc>
          <w:tcPr>
            <w:tcW w:w="1132" w:type="dxa"/>
            <w:tcMar>
              <w:left w:w="28" w:type="dxa"/>
              <w:right w:w="28" w:type="dxa"/>
            </w:tcMar>
          </w:tcPr>
          <w:p w14:paraId="58E02594" w14:textId="22132C70" w:rsidR="005F5089" w:rsidRPr="00054CF9" w:rsidRDefault="00BE2F74" w:rsidP="005F5089">
            <w:pPr>
              <w:jc w:val="center"/>
              <w:rPr>
                <w:i/>
                <w:iCs/>
                <w:sz w:val="18"/>
                <w:szCs w:val="18"/>
              </w:rPr>
            </w:pPr>
            <w:r w:rsidRPr="00054CF9">
              <w:rPr>
                <w:i/>
                <w:iCs/>
                <w:sz w:val="18"/>
                <w:szCs w:val="18"/>
              </w:rPr>
              <w:t>-</w:t>
            </w:r>
          </w:p>
        </w:tc>
        <w:tc>
          <w:tcPr>
            <w:tcW w:w="859" w:type="dxa"/>
            <w:tcMar>
              <w:left w:w="28" w:type="dxa"/>
              <w:right w:w="28" w:type="dxa"/>
            </w:tcMar>
          </w:tcPr>
          <w:p w14:paraId="08E21C39" w14:textId="2E41A1EE" w:rsidR="005F5089" w:rsidRPr="00054CF9" w:rsidRDefault="00BE2F74" w:rsidP="005F5089">
            <w:pPr>
              <w:jc w:val="center"/>
              <w:rPr>
                <w:i/>
                <w:iCs/>
                <w:sz w:val="18"/>
                <w:szCs w:val="18"/>
              </w:rPr>
            </w:pPr>
            <w:r w:rsidRPr="00054CF9">
              <w:rPr>
                <w:i/>
                <w:iCs/>
                <w:sz w:val="18"/>
                <w:szCs w:val="18"/>
              </w:rPr>
              <w:t>-</w:t>
            </w:r>
          </w:p>
        </w:tc>
        <w:tc>
          <w:tcPr>
            <w:tcW w:w="1149" w:type="dxa"/>
          </w:tcPr>
          <w:p w14:paraId="6E6DBD80" w14:textId="060F173E" w:rsidR="005F5089" w:rsidRPr="00054CF9" w:rsidRDefault="00273D0C" w:rsidP="005F5089">
            <w:pPr>
              <w:jc w:val="center"/>
              <w:rPr>
                <w:sz w:val="18"/>
                <w:szCs w:val="18"/>
              </w:rPr>
            </w:pPr>
            <w:r w:rsidRPr="00054CF9">
              <w:rPr>
                <w:sz w:val="18"/>
                <w:szCs w:val="18"/>
              </w:rPr>
              <w:t>Ne</w:t>
            </w:r>
          </w:p>
        </w:tc>
      </w:tr>
    </w:tbl>
    <w:p w14:paraId="76EAE71F" w14:textId="77777777" w:rsidR="00B831F4" w:rsidRDefault="00B831F4">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685"/>
        <w:gridCol w:w="2977"/>
        <w:gridCol w:w="3119"/>
      </w:tblGrid>
      <w:tr w:rsidR="00954C57" w:rsidRPr="009D775B" w14:paraId="7086C24F" w14:textId="77777777" w:rsidTr="006E721D">
        <w:trPr>
          <w:trHeight w:val="405"/>
        </w:trPr>
        <w:tc>
          <w:tcPr>
            <w:tcW w:w="5382" w:type="dxa"/>
            <w:shd w:val="clear" w:color="auto" w:fill="auto"/>
            <w:vAlign w:val="center"/>
          </w:tcPr>
          <w:p w14:paraId="118644E4" w14:textId="77777777" w:rsidR="00954C57" w:rsidRPr="009D775B" w:rsidRDefault="00954C57" w:rsidP="00A62A25">
            <w:pPr>
              <w:jc w:val="center"/>
              <w:rPr>
                <w:szCs w:val="24"/>
              </w:rPr>
            </w:pPr>
            <w:r w:rsidRPr="009D775B">
              <w:rPr>
                <w:szCs w:val="24"/>
              </w:rPr>
              <w:t>Rodiklio pavadinimas</w:t>
            </w:r>
          </w:p>
        </w:tc>
        <w:tc>
          <w:tcPr>
            <w:tcW w:w="3685" w:type="dxa"/>
            <w:shd w:val="clear" w:color="auto" w:fill="auto"/>
            <w:vAlign w:val="center"/>
          </w:tcPr>
          <w:p w14:paraId="670DA243" w14:textId="77777777" w:rsidR="00954C57" w:rsidRPr="009D775B" w:rsidRDefault="00954C57" w:rsidP="00A62A25">
            <w:pPr>
              <w:jc w:val="center"/>
              <w:rPr>
                <w:szCs w:val="24"/>
              </w:rPr>
            </w:pPr>
            <w:r w:rsidRPr="009D775B">
              <w:rPr>
                <w:szCs w:val="24"/>
              </w:rPr>
              <w:t>Rodiklio kodas</w:t>
            </w:r>
          </w:p>
        </w:tc>
        <w:tc>
          <w:tcPr>
            <w:tcW w:w="2977" w:type="dxa"/>
            <w:shd w:val="clear" w:color="auto" w:fill="auto"/>
            <w:vAlign w:val="center"/>
          </w:tcPr>
          <w:p w14:paraId="1116D077" w14:textId="77777777" w:rsidR="00954C57" w:rsidRPr="009D775B" w:rsidRDefault="00954C57" w:rsidP="00A62A25">
            <w:pPr>
              <w:jc w:val="center"/>
              <w:rPr>
                <w:szCs w:val="24"/>
              </w:rPr>
            </w:pPr>
            <w:r w:rsidRPr="009D775B">
              <w:rPr>
                <w:szCs w:val="24"/>
              </w:rPr>
              <w:t>Matavimo vienetai</w:t>
            </w:r>
          </w:p>
        </w:tc>
        <w:tc>
          <w:tcPr>
            <w:tcW w:w="3119" w:type="dxa"/>
            <w:shd w:val="clear" w:color="auto" w:fill="auto"/>
            <w:vAlign w:val="center"/>
          </w:tcPr>
          <w:p w14:paraId="33481CD4" w14:textId="77777777" w:rsidR="00954C57" w:rsidRPr="009D775B" w:rsidRDefault="00954C57" w:rsidP="00A62A25">
            <w:pPr>
              <w:jc w:val="center"/>
              <w:rPr>
                <w:szCs w:val="24"/>
              </w:rPr>
            </w:pPr>
            <w:r w:rsidRPr="009D775B">
              <w:rPr>
                <w:szCs w:val="24"/>
              </w:rPr>
              <w:t>Siektina reikšmė</w:t>
            </w:r>
          </w:p>
        </w:tc>
      </w:tr>
      <w:tr w:rsidR="00954C57" w:rsidRPr="009D775B" w14:paraId="49A4863A" w14:textId="77777777" w:rsidTr="006E721D">
        <w:trPr>
          <w:trHeight w:val="725"/>
        </w:trPr>
        <w:tc>
          <w:tcPr>
            <w:tcW w:w="5382" w:type="dxa"/>
          </w:tcPr>
          <w:p w14:paraId="7CD953F8" w14:textId="145F9922" w:rsidR="00954C57" w:rsidRPr="009D775B" w:rsidRDefault="00593607" w:rsidP="00A62A25">
            <w:pPr>
              <w:jc w:val="both"/>
              <w:rPr>
                <w:szCs w:val="24"/>
              </w:rPr>
            </w:pPr>
            <w:r w:rsidRPr="00593607">
              <w:rPr>
                <w:szCs w:val="24"/>
              </w:rPr>
              <w:t>Paramą gavusios įmonės, iš jų: mažos ir labai mažos“ *</w:t>
            </w:r>
          </w:p>
        </w:tc>
        <w:tc>
          <w:tcPr>
            <w:tcW w:w="3685" w:type="dxa"/>
          </w:tcPr>
          <w:p w14:paraId="4AC18DDA" w14:textId="77777777" w:rsidR="00EB1F78" w:rsidRPr="00EB1F78" w:rsidRDefault="00EB1F78" w:rsidP="00EB1F78">
            <w:pPr>
              <w:jc w:val="center"/>
              <w:rPr>
                <w:szCs w:val="24"/>
              </w:rPr>
            </w:pPr>
            <w:r w:rsidRPr="00EB1F78">
              <w:rPr>
                <w:szCs w:val="24"/>
              </w:rPr>
              <w:t>R-05-001-01-05-07-17</w:t>
            </w:r>
          </w:p>
          <w:p w14:paraId="55CF92D6" w14:textId="7E6BC4A0" w:rsidR="00954C57" w:rsidRPr="009D775B" w:rsidRDefault="00EB1F78" w:rsidP="00EB1F78">
            <w:pPr>
              <w:jc w:val="center"/>
              <w:rPr>
                <w:szCs w:val="24"/>
              </w:rPr>
            </w:pPr>
            <w:r w:rsidRPr="00EB1F78">
              <w:rPr>
                <w:szCs w:val="24"/>
              </w:rPr>
              <w:t>R.B.1009.1</w:t>
            </w:r>
          </w:p>
        </w:tc>
        <w:tc>
          <w:tcPr>
            <w:tcW w:w="2977" w:type="dxa"/>
          </w:tcPr>
          <w:p w14:paraId="1741004C" w14:textId="77777777" w:rsidR="00954C57" w:rsidRPr="009D775B" w:rsidRDefault="00954C57" w:rsidP="00A62A25">
            <w:pPr>
              <w:jc w:val="center"/>
              <w:rPr>
                <w:szCs w:val="24"/>
              </w:rPr>
            </w:pPr>
            <w:r w:rsidRPr="009D775B">
              <w:rPr>
                <w:szCs w:val="24"/>
              </w:rPr>
              <w:t>Vienetai</w:t>
            </w:r>
          </w:p>
        </w:tc>
        <w:tc>
          <w:tcPr>
            <w:tcW w:w="3119" w:type="dxa"/>
          </w:tcPr>
          <w:p w14:paraId="33B5344F" w14:textId="3220621F" w:rsidR="00954C57" w:rsidRPr="009D775B" w:rsidRDefault="00EB1F78" w:rsidP="00A62A25">
            <w:pPr>
              <w:jc w:val="center"/>
              <w:rPr>
                <w:szCs w:val="24"/>
              </w:rPr>
            </w:pPr>
            <w:r>
              <w:rPr>
                <w:szCs w:val="24"/>
              </w:rPr>
              <w:t>n/a</w:t>
            </w:r>
          </w:p>
        </w:tc>
      </w:tr>
      <w:tr w:rsidR="00954C57" w:rsidRPr="009D775B" w14:paraId="64CC4C38" w14:textId="77777777" w:rsidTr="006E721D">
        <w:trPr>
          <w:trHeight w:val="408"/>
        </w:trPr>
        <w:tc>
          <w:tcPr>
            <w:tcW w:w="5382" w:type="dxa"/>
          </w:tcPr>
          <w:p w14:paraId="47BE3C81" w14:textId="473E89AD" w:rsidR="00954C57" w:rsidRPr="009D775B" w:rsidRDefault="00EB1F78" w:rsidP="00A62A25">
            <w:pPr>
              <w:rPr>
                <w:szCs w:val="24"/>
              </w:rPr>
            </w:pPr>
            <w:r w:rsidRPr="00EB1F78">
              <w:rPr>
                <w:szCs w:val="24"/>
              </w:rPr>
              <w:t>Paskelbti kvietimai teikti pasiūlymus</w:t>
            </w:r>
          </w:p>
        </w:tc>
        <w:tc>
          <w:tcPr>
            <w:tcW w:w="3685" w:type="dxa"/>
          </w:tcPr>
          <w:p w14:paraId="52AD2255" w14:textId="77777777" w:rsidR="00EB1F78" w:rsidRPr="00EB1F78" w:rsidRDefault="00EB1F78" w:rsidP="00EB1F78">
            <w:pPr>
              <w:jc w:val="center"/>
              <w:rPr>
                <w:szCs w:val="24"/>
              </w:rPr>
            </w:pPr>
            <w:r w:rsidRPr="00EB1F78">
              <w:rPr>
                <w:szCs w:val="24"/>
              </w:rPr>
              <w:t>P-05-001-01-05-07-03</w:t>
            </w:r>
          </w:p>
          <w:p w14:paraId="4A3E1B91" w14:textId="570B0552" w:rsidR="00954C57" w:rsidRPr="009D775B" w:rsidRDefault="00EB1F78" w:rsidP="00EB1F78">
            <w:pPr>
              <w:jc w:val="center"/>
              <w:rPr>
                <w:szCs w:val="24"/>
              </w:rPr>
            </w:pPr>
            <w:r w:rsidRPr="00EB1F78">
              <w:rPr>
                <w:szCs w:val="24"/>
              </w:rPr>
              <w:t>P.S.1131.1</w:t>
            </w:r>
          </w:p>
        </w:tc>
        <w:tc>
          <w:tcPr>
            <w:tcW w:w="2977" w:type="dxa"/>
          </w:tcPr>
          <w:p w14:paraId="4BB469E2" w14:textId="77777777" w:rsidR="00954C57" w:rsidRPr="009D775B" w:rsidRDefault="00954C57" w:rsidP="00A62A25">
            <w:pPr>
              <w:jc w:val="center"/>
              <w:rPr>
                <w:szCs w:val="24"/>
              </w:rPr>
            </w:pPr>
            <w:r w:rsidRPr="009D775B">
              <w:rPr>
                <w:szCs w:val="24"/>
              </w:rPr>
              <w:t>Vienetai</w:t>
            </w:r>
          </w:p>
        </w:tc>
        <w:tc>
          <w:tcPr>
            <w:tcW w:w="3119" w:type="dxa"/>
          </w:tcPr>
          <w:p w14:paraId="634EE5A1" w14:textId="3A024FC7" w:rsidR="00954C57" w:rsidRPr="009D775B" w:rsidRDefault="00EB1F78" w:rsidP="00EB1F78">
            <w:pPr>
              <w:jc w:val="center"/>
              <w:rPr>
                <w:szCs w:val="24"/>
              </w:rPr>
            </w:pPr>
            <w:r w:rsidRPr="00EB1F78">
              <w:rPr>
                <w:szCs w:val="24"/>
              </w:rPr>
              <w:t>1</w:t>
            </w:r>
            <w:r>
              <w:rPr>
                <w:szCs w:val="24"/>
              </w:rPr>
              <w:t xml:space="preserve"> </w:t>
            </w:r>
            <w:r w:rsidRPr="00EB1F78">
              <w:rPr>
                <w:szCs w:val="24"/>
              </w:rPr>
              <w:t>(2023 m. II ketv.)</w:t>
            </w:r>
          </w:p>
        </w:tc>
      </w:tr>
      <w:tr w:rsidR="00954C57" w:rsidRPr="009D775B" w14:paraId="0CA67DB4" w14:textId="77777777" w:rsidTr="006E721D">
        <w:trPr>
          <w:trHeight w:val="725"/>
        </w:trPr>
        <w:tc>
          <w:tcPr>
            <w:tcW w:w="5382" w:type="dxa"/>
          </w:tcPr>
          <w:p w14:paraId="0C94EE6B" w14:textId="0531AEB3" w:rsidR="00954C57" w:rsidRPr="009D775B" w:rsidRDefault="00EB1F78" w:rsidP="00A62A25">
            <w:pPr>
              <w:rPr>
                <w:szCs w:val="24"/>
              </w:rPr>
            </w:pPr>
            <w:bookmarkStart w:id="4" w:name="_Hlk129255205"/>
            <w:r w:rsidRPr="00EB1F78">
              <w:rPr>
                <w:bCs/>
                <w:szCs w:val="24"/>
              </w:rPr>
              <w:t>Investicijas gavusių startuolių skaičius</w:t>
            </w:r>
            <w:bookmarkEnd w:id="4"/>
          </w:p>
        </w:tc>
        <w:tc>
          <w:tcPr>
            <w:tcW w:w="3685" w:type="dxa"/>
          </w:tcPr>
          <w:p w14:paraId="3EA1917B" w14:textId="77777777" w:rsidR="00EB1F78" w:rsidRPr="00EB1F78" w:rsidRDefault="00EB1F78" w:rsidP="00EB1F78">
            <w:pPr>
              <w:jc w:val="center"/>
              <w:rPr>
                <w:szCs w:val="24"/>
              </w:rPr>
            </w:pPr>
            <w:r w:rsidRPr="00EB1F78">
              <w:rPr>
                <w:szCs w:val="24"/>
              </w:rPr>
              <w:t>P-05-01-01-05-07-04</w:t>
            </w:r>
          </w:p>
          <w:p w14:paraId="488B2BD4" w14:textId="5756F7EB" w:rsidR="00954C57" w:rsidRPr="009D775B" w:rsidRDefault="00EB1F78" w:rsidP="00EB1F78">
            <w:pPr>
              <w:jc w:val="center"/>
              <w:rPr>
                <w:szCs w:val="24"/>
              </w:rPr>
            </w:pPr>
            <w:r w:rsidRPr="00EB1F78">
              <w:rPr>
                <w:szCs w:val="24"/>
              </w:rPr>
              <w:t>P.S.1131</w:t>
            </w:r>
          </w:p>
        </w:tc>
        <w:tc>
          <w:tcPr>
            <w:tcW w:w="2977" w:type="dxa"/>
          </w:tcPr>
          <w:p w14:paraId="1E1D3D42" w14:textId="77777777" w:rsidR="00954C57" w:rsidRPr="009D775B" w:rsidRDefault="00954C57" w:rsidP="00A62A25">
            <w:pPr>
              <w:jc w:val="center"/>
              <w:rPr>
                <w:szCs w:val="24"/>
              </w:rPr>
            </w:pPr>
            <w:r w:rsidRPr="009D775B">
              <w:rPr>
                <w:szCs w:val="24"/>
              </w:rPr>
              <w:t>Vienetai</w:t>
            </w:r>
          </w:p>
        </w:tc>
        <w:tc>
          <w:tcPr>
            <w:tcW w:w="3119" w:type="dxa"/>
          </w:tcPr>
          <w:p w14:paraId="62C3CD43" w14:textId="60601ACC" w:rsidR="00954C57" w:rsidRPr="009D775B" w:rsidRDefault="00EB1F78" w:rsidP="00EB1F78">
            <w:pPr>
              <w:jc w:val="center"/>
              <w:rPr>
                <w:szCs w:val="24"/>
              </w:rPr>
            </w:pPr>
            <w:r w:rsidRPr="00EB1F78">
              <w:rPr>
                <w:szCs w:val="24"/>
              </w:rPr>
              <w:t>20</w:t>
            </w:r>
            <w:r>
              <w:rPr>
                <w:szCs w:val="24"/>
              </w:rPr>
              <w:t xml:space="preserve"> </w:t>
            </w:r>
            <w:r w:rsidRPr="00EB1F78">
              <w:rPr>
                <w:szCs w:val="24"/>
              </w:rPr>
              <w:t>(2026 m. I ketv.)</w:t>
            </w:r>
          </w:p>
        </w:tc>
      </w:tr>
    </w:tbl>
    <w:p w14:paraId="504CDBA4" w14:textId="77777777" w:rsidR="00593607" w:rsidRPr="00593607" w:rsidRDefault="00593607" w:rsidP="00593607">
      <w:pPr>
        <w:jc w:val="both"/>
        <w:rPr>
          <w:i/>
          <w:iCs/>
          <w:szCs w:val="24"/>
        </w:rPr>
      </w:pPr>
      <w:r w:rsidRPr="00593607">
        <w:rPr>
          <w:i/>
          <w:iCs/>
          <w:szCs w:val="24"/>
        </w:rPr>
        <w:t>* - Rodiklis yra Ekonomikos gaivinimo ir atsparumo didinimo plano „Naujos kartos Lietuva“ bendrasis rodiklis, kuris neturi siektinų reikšmių. Duomenys bus renkami iš susijusių reformų ir investicijų rodiklių. Ataskaitinis laikotarpis iki 2027 m. I ketv.</w:t>
      </w:r>
    </w:p>
    <w:p w14:paraId="71441721" w14:textId="77777777" w:rsidR="00B831F4" w:rsidRDefault="00B831F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B831F4" w14:paraId="1AF78114" w14:textId="77777777">
        <w:trPr>
          <w:trHeight w:val="298"/>
        </w:trPr>
        <w:tc>
          <w:tcPr>
            <w:tcW w:w="15158" w:type="dxa"/>
          </w:tcPr>
          <w:p w14:paraId="28854010" w14:textId="12BFB7C5" w:rsidR="00B831F4" w:rsidRPr="00695794" w:rsidRDefault="005F3FDD">
            <w:pPr>
              <w:jc w:val="both"/>
              <w:rPr>
                <w:szCs w:val="24"/>
              </w:rPr>
            </w:pPr>
            <w:r>
              <w:rPr>
                <w:szCs w:val="24"/>
              </w:rPr>
              <w:t xml:space="preserve">Ekonomikos ir inovacijų ministerijos (toliau – </w:t>
            </w:r>
            <w:r w:rsidR="006B20A0" w:rsidRPr="00695794">
              <w:rPr>
                <w:szCs w:val="24"/>
              </w:rPr>
              <w:t>Ministerijos</w:t>
            </w:r>
            <w:r>
              <w:rPr>
                <w:szCs w:val="24"/>
              </w:rPr>
              <w:t>)</w:t>
            </w:r>
            <w:r w:rsidR="006B20A0" w:rsidRPr="00695794">
              <w:rPr>
                <w:szCs w:val="24"/>
              </w:rPr>
              <w:t xml:space="preserve"> stebėsenos rodiklių aprašymo kortelės</w:t>
            </w:r>
          </w:p>
        </w:tc>
      </w:tr>
      <w:tr w:rsidR="00B831F4" w14:paraId="6B38EDEA" w14:textId="77777777">
        <w:trPr>
          <w:trHeight w:val="315"/>
        </w:trPr>
        <w:tc>
          <w:tcPr>
            <w:tcW w:w="15158" w:type="dxa"/>
          </w:tcPr>
          <w:p w14:paraId="241F98E2" w14:textId="199F81CE" w:rsidR="00B831F4" w:rsidRPr="00954C57" w:rsidRDefault="00411152">
            <w:pPr>
              <w:rPr>
                <w:i/>
                <w:szCs w:val="24"/>
                <w:highlight w:val="yellow"/>
              </w:rPr>
            </w:pPr>
            <w:r w:rsidRPr="0096318A">
              <w:rPr>
                <w:iCs/>
                <w:szCs w:val="24"/>
              </w:rPr>
              <w:t>Ministerijos stebėsenos rodiklių aprašymo kortelės paskelbto</w:t>
            </w:r>
            <w:r w:rsidR="005F3FDD" w:rsidRPr="0096318A">
              <w:rPr>
                <w:iCs/>
                <w:szCs w:val="24"/>
              </w:rPr>
              <w:t>s tinklalapyje:</w:t>
            </w:r>
            <w:r w:rsidR="005F3FDD">
              <w:rPr>
                <w:i/>
                <w:szCs w:val="24"/>
              </w:rPr>
              <w:t xml:space="preserve"> </w:t>
            </w:r>
            <w:r w:rsidR="00695794" w:rsidRPr="00695794">
              <w:rPr>
                <w:i/>
                <w:szCs w:val="24"/>
              </w:rPr>
              <w:t>https://eimin.lrv.lt/lt/ekonomikos-ir-inovaciju-ministerija/administracine-informacija/planavimo-dokumentai/pletros-programos/ekonomikos-transformacijos-ir-konkurencingumo-pletros-programa/pazangos-priemone-nr-05-001-01-05-07-sukurti-nuoseklia-inovacines-veiklos-skatinimo-sistema</w:t>
            </w:r>
          </w:p>
        </w:tc>
      </w:tr>
    </w:tbl>
    <w:p w14:paraId="6E15271D" w14:textId="77777777" w:rsidR="00B831F4" w:rsidRDefault="00B831F4">
      <w:pPr>
        <w:jc w:val="both"/>
        <w:rPr>
          <w:szCs w:val="24"/>
        </w:rPr>
      </w:pPr>
    </w:p>
    <w:p w14:paraId="2F89B3ED" w14:textId="77777777" w:rsidR="00B831F4" w:rsidRDefault="00B831F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B831F4" w14:paraId="12FD5B8D" w14:textId="77777777">
        <w:tc>
          <w:tcPr>
            <w:tcW w:w="15134" w:type="dxa"/>
          </w:tcPr>
          <w:p w14:paraId="549C8093" w14:textId="77777777" w:rsidR="00B831F4" w:rsidRDefault="006B20A0">
            <w:pPr>
              <w:rPr>
                <w:b/>
                <w:szCs w:val="24"/>
              </w:rPr>
            </w:pPr>
            <w:r>
              <w:rPr>
                <w:b/>
                <w:szCs w:val="24"/>
              </w:rPr>
              <w:t>SPECIALIEJI FINANSAVIMO REIKALAVIMAI</w:t>
            </w:r>
          </w:p>
        </w:tc>
      </w:tr>
      <w:tr w:rsidR="00B831F4" w14:paraId="55EB3CDD" w14:textId="77777777">
        <w:tc>
          <w:tcPr>
            <w:tcW w:w="15134" w:type="dxa"/>
          </w:tcPr>
          <w:p w14:paraId="1CADE307" w14:textId="77777777" w:rsidR="00B831F4" w:rsidRDefault="006B20A0">
            <w:pPr>
              <w:rPr>
                <w:b/>
                <w:bCs/>
                <w:szCs w:val="24"/>
              </w:rPr>
            </w:pPr>
            <w:r>
              <w:rPr>
                <w:b/>
                <w:bCs/>
                <w:szCs w:val="24"/>
              </w:rPr>
              <w:t>1. Taikomi teisės aktai</w:t>
            </w:r>
          </w:p>
        </w:tc>
      </w:tr>
      <w:tr w:rsidR="00842B8D" w14:paraId="3250B446" w14:textId="77777777">
        <w:tc>
          <w:tcPr>
            <w:tcW w:w="15134" w:type="dxa"/>
          </w:tcPr>
          <w:p w14:paraId="2ACAC226" w14:textId="77777777" w:rsidR="00842B8D" w:rsidRPr="006E7C87" w:rsidRDefault="00842B8D" w:rsidP="00842B8D">
            <w:pPr>
              <w:jc w:val="both"/>
              <w:rPr>
                <w:szCs w:val="24"/>
              </w:rPr>
            </w:pPr>
            <w:r w:rsidRPr="006E7C87">
              <w:rPr>
                <w:szCs w:val="24"/>
              </w:rPr>
              <w:t xml:space="preserve">1.1.Teisės aktai, kuriais vadovaujamasi rengiant, teikiant ir vertinant projekto įgyvendinimo planą (toliau – PĮP), priimant sprendimą dėl projekto </w:t>
            </w:r>
            <w:r w:rsidRPr="004C48CC">
              <w:rPr>
                <w:szCs w:val="24"/>
              </w:rPr>
              <w:t>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05-001-01-05-07 „Sukurti nuoseklią inovacinės veiklos skatinimo sistemą“ poveiklės „</w:t>
            </w:r>
            <w:r w:rsidRPr="004F5E15">
              <w:rPr>
                <w:szCs w:val="24"/>
              </w:rPr>
              <w:t xml:space="preserve">Vykdyti </w:t>
            </w:r>
            <w:r>
              <w:rPr>
                <w:szCs w:val="24"/>
              </w:rPr>
              <w:t>s</w:t>
            </w:r>
            <w:r w:rsidRPr="004F5E15">
              <w:rPr>
                <w:szCs w:val="24"/>
              </w:rPr>
              <w:t xml:space="preserve">tartuolių </w:t>
            </w:r>
            <w:r>
              <w:rPr>
                <w:szCs w:val="24"/>
              </w:rPr>
              <w:t>i</w:t>
            </w:r>
            <w:r w:rsidRPr="004F5E15">
              <w:rPr>
                <w:szCs w:val="24"/>
              </w:rPr>
              <w:t xml:space="preserve">nkubavimo </w:t>
            </w:r>
            <w:r>
              <w:rPr>
                <w:szCs w:val="24"/>
              </w:rPr>
              <w:t>v</w:t>
            </w:r>
            <w:r w:rsidRPr="004F5E15">
              <w:rPr>
                <w:szCs w:val="24"/>
              </w:rPr>
              <w:t xml:space="preserve">eiklas Europos Kosmoso Agentūros </w:t>
            </w:r>
            <w:r>
              <w:rPr>
                <w:szCs w:val="24"/>
              </w:rPr>
              <w:t>v</w:t>
            </w:r>
            <w:r w:rsidRPr="004F5E15">
              <w:rPr>
                <w:szCs w:val="24"/>
              </w:rPr>
              <w:t xml:space="preserve">erslo </w:t>
            </w:r>
            <w:r>
              <w:rPr>
                <w:szCs w:val="24"/>
              </w:rPr>
              <w:t>i</w:t>
            </w:r>
            <w:r w:rsidRPr="004F5E15">
              <w:rPr>
                <w:szCs w:val="24"/>
              </w:rPr>
              <w:t xml:space="preserve">nkubavimo </w:t>
            </w:r>
            <w:r>
              <w:rPr>
                <w:szCs w:val="24"/>
              </w:rPr>
              <w:t>c</w:t>
            </w:r>
            <w:r w:rsidRPr="004F5E15">
              <w:rPr>
                <w:szCs w:val="24"/>
              </w:rPr>
              <w:t>entre</w:t>
            </w:r>
            <w:r>
              <w:rPr>
                <w:szCs w:val="24"/>
              </w:rPr>
              <w:t xml:space="preserve">“ </w:t>
            </w:r>
            <w:r w:rsidRPr="004C48CC">
              <w:rPr>
                <w:szCs w:val="24"/>
              </w:rPr>
              <w:t>projektų finansavimo sąlygų aprašą (toliau – Aprašas):</w:t>
            </w:r>
          </w:p>
          <w:p w14:paraId="3F86F5AF" w14:textId="77777777" w:rsidR="00842B8D" w:rsidRPr="006E7C87" w:rsidRDefault="00842B8D" w:rsidP="00842B8D">
            <w:pPr>
              <w:jc w:val="both"/>
              <w:rPr>
                <w:szCs w:val="24"/>
              </w:rPr>
            </w:pPr>
            <w:r w:rsidRPr="006E7C87">
              <w:rPr>
                <w:szCs w:val="24"/>
              </w:rPr>
              <w:t>Bendrieji teisės aktai:</w:t>
            </w:r>
          </w:p>
          <w:p w14:paraId="378C1829" w14:textId="77777777" w:rsidR="00842B8D" w:rsidRPr="006E7C87" w:rsidRDefault="00842B8D" w:rsidP="00842B8D">
            <w:pPr>
              <w:jc w:val="both"/>
              <w:rPr>
                <w:szCs w:val="24"/>
              </w:rPr>
            </w:pPr>
            <w:r w:rsidRPr="006E7C87">
              <w:rPr>
                <w:szCs w:val="24"/>
              </w:rPr>
              <w:t>1.1.1.</w:t>
            </w:r>
            <w:r>
              <w:rPr>
                <w:szCs w:val="24"/>
              </w:rPr>
              <w:t xml:space="preserve"> </w:t>
            </w:r>
            <w:r w:rsidRPr="006E7C87">
              <w:rPr>
                <w:szCs w:val="24"/>
              </w:rPr>
              <w:t>2021 m. vasario 12 d. Europos Parlamento ir Tarybos reglamentas (ES) 2021/241</w:t>
            </w:r>
            <w:r>
              <w:rPr>
                <w:szCs w:val="24"/>
              </w:rPr>
              <w:t>,</w:t>
            </w:r>
            <w:r w:rsidRPr="006E7C87">
              <w:rPr>
                <w:szCs w:val="24"/>
              </w:rPr>
              <w:t xml:space="preserve"> kuriuo nustatoma ekonomikos gaivinimo ir atsparumo didinimo priemonė;</w:t>
            </w:r>
          </w:p>
          <w:p w14:paraId="1487B1B7" w14:textId="77777777" w:rsidR="00842B8D" w:rsidRDefault="00842B8D" w:rsidP="00842B8D">
            <w:pPr>
              <w:jc w:val="both"/>
              <w:rPr>
                <w:szCs w:val="24"/>
              </w:rPr>
            </w:pPr>
            <w:r w:rsidRPr="006E7C87">
              <w:rPr>
                <w:szCs w:val="24"/>
              </w:rPr>
              <w:t>1.1.2. 2021 m. liepos 28 d. Europos Sąjungos Tarybos sprendimas dėl Ekonomikos gaivinimo ir atsparumo didinimo plano „Naujos kartos Lietuva“ patvirtinimo;</w:t>
            </w:r>
          </w:p>
          <w:p w14:paraId="34B984A2" w14:textId="77777777" w:rsidR="00842B8D" w:rsidRPr="006E7C87" w:rsidRDefault="00842B8D" w:rsidP="00842B8D">
            <w:pPr>
              <w:jc w:val="both"/>
              <w:rPr>
                <w:szCs w:val="24"/>
              </w:rPr>
            </w:pPr>
            <w:r>
              <w:rPr>
                <w:szCs w:val="24"/>
              </w:rPr>
              <w:t xml:space="preserve">1.1.3. </w:t>
            </w:r>
            <w:r w:rsidRPr="00367D16">
              <w:rPr>
                <w:szCs w:val="24"/>
              </w:rPr>
              <w:t>2021 m. rugsėjo 28 d. Komisijos deleguotasis reglamentas (ES) 2021/2106</w:t>
            </w:r>
            <w:r>
              <w:rPr>
                <w:szCs w:val="24"/>
              </w:rPr>
              <w:t>;</w:t>
            </w:r>
          </w:p>
          <w:p w14:paraId="4C221BCF" w14:textId="77777777" w:rsidR="00842B8D" w:rsidRPr="006E7C87" w:rsidRDefault="00842B8D" w:rsidP="00842B8D">
            <w:pPr>
              <w:jc w:val="both"/>
              <w:rPr>
                <w:szCs w:val="24"/>
              </w:rPr>
            </w:pPr>
            <w:r w:rsidRPr="006E7C87">
              <w:rPr>
                <w:szCs w:val="24"/>
              </w:rPr>
              <w:t>1.1.</w:t>
            </w:r>
            <w:r>
              <w:rPr>
                <w:szCs w:val="24"/>
              </w:rPr>
              <w:t>4</w:t>
            </w:r>
            <w:r w:rsidRPr="006E7C87">
              <w:rPr>
                <w:szCs w:val="24"/>
              </w:rPr>
              <w:t xml:space="preserve">. 2021–2027 metų Europos Sąjungos fondų investicijų programos ir Ekonomikos gaivinimo ir atsparumo didinimo plano „Naujos kartos Lietuva“ </w:t>
            </w:r>
            <w:r>
              <w:t xml:space="preserve">Projektų finansavimo ir </w:t>
            </w:r>
            <w:r w:rsidRPr="006E7C87">
              <w:rPr>
                <w:szCs w:val="24"/>
              </w:rPr>
              <w:t xml:space="preserve">administravimo taisyklės, patvirtintos Lietuvos Respublikos finansų ministro 2022 m. birželio 22 d. įsakymu Nr. 1K-237 „Dėl 2021–2027 metų Europos Sąjungos fondų investicijų programos ir Ekonomikos gaivinimo ir atsparumo didinimo plano „Naujos kartos Lietuva“ įgyvendinimo“ </w:t>
            </w:r>
            <w:r>
              <w:t>(toliau – PAFT);</w:t>
            </w:r>
          </w:p>
          <w:p w14:paraId="5391AFB0" w14:textId="77777777" w:rsidR="00842B8D" w:rsidRPr="006E7C87" w:rsidRDefault="00842B8D" w:rsidP="00842B8D">
            <w:pPr>
              <w:jc w:val="both"/>
              <w:rPr>
                <w:szCs w:val="24"/>
              </w:rPr>
            </w:pPr>
            <w:r w:rsidRPr="006E7C87">
              <w:rPr>
                <w:szCs w:val="24"/>
              </w:rPr>
              <w:t>1.1.</w:t>
            </w:r>
            <w:r>
              <w:rPr>
                <w:szCs w:val="24"/>
              </w:rPr>
              <w:t>5</w:t>
            </w:r>
            <w:r w:rsidRPr="006E7C87">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170DC476" w14:textId="77777777" w:rsidR="00842B8D" w:rsidRPr="006E7C87" w:rsidRDefault="00842B8D" w:rsidP="00842B8D">
            <w:pPr>
              <w:jc w:val="both"/>
              <w:rPr>
                <w:szCs w:val="24"/>
              </w:rPr>
            </w:pPr>
            <w:r w:rsidRPr="006E7C87">
              <w:rPr>
                <w:szCs w:val="24"/>
              </w:rPr>
              <w:t>1.1.</w:t>
            </w:r>
            <w:r>
              <w:rPr>
                <w:szCs w:val="24"/>
              </w:rPr>
              <w:t>6</w:t>
            </w:r>
            <w:r w:rsidRPr="006E7C87">
              <w:rPr>
                <w:szCs w:val="24"/>
              </w:rPr>
              <w:t>.</w:t>
            </w:r>
            <w:r>
              <w:rPr>
                <w:szCs w:val="24"/>
              </w:rPr>
              <w:t xml:space="preserve"> </w:t>
            </w:r>
            <w:r w:rsidRPr="006E7C87">
              <w:rPr>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w:t>
            </w:r>
          </w:p>
          <w:p w14:paraId="0636AE53" w14:textId="77777777" w:rsidR="00842B8D" w:rsidRPr="006E7C87" w:rsidRDefault="00842B8D" w:rsidP="00842B8D">
            <w:pPr>
              <w:jc w:val="both"/>
              <w:rPr>
                <w:szCs w:val="24"/>
              </w:rPr>
            </w:pPr>
            <w:r w:rsidRPr="006E7C87">
              <w:rPr>
                <w:szCs w:val="24"/>
              </w:rPr>
              <w:t>1.1.</w:t>
            </w:r>
            <w:r>
              <w:rPr>
                <w:szCs w:val="24"/>
              </w:rPr>
              <w:t>7</w:t>
            </w:r>
            <w:r w:rsidRPr="006E7C87">
              <w:rPr>
                <w:szCs w:val="24"/>
              </w:rPr>
              <w:t>.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7ACA5641" w14:textId="77777777" w:rsidR="00842B8D" w:rsidRPr="006E7C87" w:rsidRDefault="00842B8D" w:rsidP="00842B8D">
            <w:pPr>
              <w:jc w:val="both"/>
              <w:rPr>
                <w:szCs w:val="24"/>
              </w:rPr>
            </w:pPr>
            <w:r w:rsidRPr="006E7C87">
              <w:rPr>
                <w:szCs w:val="24"/>
              </w:rPr>
              <w:t>1.1.</w:t>
            </w:r>
            <w:r>
              <w:rPr>
                <w:szCs w:val="24"/>
              </w:rPr>
              <w:t>8</w:t>
            </w:r>
            <w:r w:rsidRPr="006E7C87">
              <w:rPr>
                <w:szCs w:val="24"/>
              </w:rPr>
              <w:t>.</w:t>
            </w:r>
            <w:r>
              <w:rPr>
                <w:szCs w:val="24"/>
              </w:rPr>
              <w:t xml:space="preserve"> </w:t>
            </w:r>
            <w:r w:rsidRPr="006E7C87">
              <w:rPr>
                <w:szCs w:val="24"/>
              </w:rPr>
              <w:t>2021–2030 metų Nacionalinis pažangos planas, patvirtintas Lietuvos Respublikos Vyriausybės 2020 m. rugsėjo 9 d. nutarimu Nr. 998 „Dėl 2021–2030 metų Nacionalinio pažangos plano patvirtinimo“;</w:t>
            </w:r>
          </w:p>
          <w:p w14:paraId="3F5BECFB" w14:textId="77777777" w:rsidR="00842B8D" w:rsidRDefault="00842B8D" w:rsidP="00842B8D">
            <w:pPr>
              <w:jc w:val="both"/>
              <w:rPr>
                <w:szCs w:val="24"/>
              </w:rPr>
            </w:pPr>
            <w:r w:rsidRPr="006E7C87">
              <w:rPr>
                <w:szCs w:val="24"/>
              </w:rPr>
              <w:t>1.1.</w:t>
            </w:r>
            <w:r>
              <w:rPr>
                <w:szCs w:val="24"/>
              </w:rPr>
              <w:t>9</w:t>
            </w:r>
            <w:r w:rsidRPr="006E7C87">
              <w:rPr>
                <w:szCs w:val="24"/>
              </w:rPr>
              <w:t>. 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449F2C47" w14:textId="77777777" w:rsidR="00842B8D" w:rsidRPr="00F025B8" w:rsidRDefault="00842B8D" w:rsidP="00842B8D">
            <w:pPr>
              <w:jc w:val="both"/>
              <w:rPr>
                <w:lang w:val="lt"/>
              </w:rPr>
            </w:pPr>
            <w:r w:rsidRPr="00F5315D">
              <w:rPr>
                <w:sz w:val="22"/>
                <w:szCs w:val="22"/>
              </w:rPr>
              <w:lastRenderedPageBreak/>
              <w:t>1.1.</w:t>
            </w:r>
            <w:r>
              <w:rPr>
                <w:sz w:val="22"/>
                <w:szCs w:val="22"/>
              </w:rPr>
              <w:t xml:space="preserve">10. </w:t>
            </w:r>
            <w:r>
              <w:t xml:space="preserve">2013 m. gruodžio 18 d. Komisijos reglamentas (ES) Nr. 1407/2013 dėl Sutarties dėl Europos Sąjungos veikimo 107 ir 108 straipsnių taikymo </w:t>
            </w:r>
            <w:r w:rsidRPr="00606131">
              <w:rPr>
                <w:i/>
                <w:iCs/>
              </w:rPr>
              <w:t>de minimis</w:t>
            </w:r>
            <w:r>
              <w:t xml:space="preserve"> pagalbai su paskutiniais pakeitimais, padarytais 2020 m. liepos 2 d. Komisijos reglamentu (ES) Nr. 2020/972 (toliau – </w:t>
            </w:r>
            <w:r w:rsidRPr="00606131">
              <w:rPr>
                <w:i/>
                <w:iCs/>
              </w:rPr>
              <w:t>De minimis</w:t>
            </w:r>
            <w:r>
              <w:t xml:space="preserve"> reglamentas);</w:t>
            </w:r>
          </w:p>
          <w:p w14:paraId="2A37D06D" w14:textId="77777777" w:rsidR="00842B8D" w:rsidRPr="006E7C87" w:rsidRDefault="00842B8D" w:rsidP="00842B8D">
            <w:pPr>
              <w:jc w:val="both"/>
              <w:rPr>
                <w:szCs w:val="24"/>
              </w:rPr>
            </w:pPr>
            <w:r w:rsidRPr="006E7C87">
              <w:rPr>
                <w:szCs w:val="24"/>
              </w:rPr>
              <w:t xml:space="preserve">Specialieji teisės aktai: </w:t>
            </w:r>
          </w:p>
          <w:p w14:paraId="3A43B878" w14:textId="77777777" w:rsidR="00842B8D" w:rsidRPr="006E7C87" w:rsidRDefault="00842B8D" w:rsidP="00842B8D">
            <w:pPr>
              <w:jc w:val="both"/>
              <w:rPr>
                <w:szCs w:val="24"/>
              </w:rPr>
            </w:pPr>
            <w:r w:rsidRPr="006E7C87">
              <w:rPr>
                <w:szCs w:val="24"/>
              </w:rPr>
              <w:t>1.1.</w:t>
            </w:r>
            <w:r>
              <w:rPr>
                <w:szCs w:val="24"/>
              </w:rPr>
              <w:t>12</w:t>
            </w:r>
            <w:r w:rsidRPr="006E7C87">
              <w:rPr>
                <w:szCs w:val="24"/>
              </w:rPr>
              <w:t>. Lietuvos Respublikos technologijų ir inovacijų įstatymas;</w:t>
            </w:r>
          </w:p>
          <w:p w14:paraId="5308A963" w14:textId="77777777" w:rsidR="00842B8D" w:rsidRDefault="00842B8D" w:rsidP="00842B8D">
            <w:pPr>
              <w:jc w:val="both"/>
            </w:pPr>
            <w:r w:rsidRPr="006E7C87">
              <w:rPr>
                <w:szCs w:val="24"/>
              </w:rPr>
              <w:t>1.1.1</w:t>
            </w:r>
            <w:r>
              <w:rPr>
                <w:szCs w:val="24"/>
              </w:rPr>
              <w:t>3</w:t>
            </w:r>
            <w:r w:rsidRPr="006E7C87">
              <w:rPr>
                <w:szCs w:val="24"/>
              </w:rPr>
              <w:t>.</w:t>
            </w:r>
            <w:r>
              <w:t xml:space="preserve"> Lietuvos Respublikos mokslo ir studijų įstatymas; </w:t>
            </w:r>
          </w:p>
          <w:p w14:paraId="0E5713FC" w14:textId="77777777" w:rsidR="00842B8D" w:rsidRPr="006E7C87" w:rsidRDefault="00842B8D" w:rsidP="00842B8D">
            <w:pPr>
              <w:jc w:val="both"/>
              <w:rPr>
                <w:szCs w:val="24"/>
              </w:rPr>
            </w:pPr>
            <w:r w:rsidRPr="006E7C87">
              <w:rPr>
                <w:szCs w:val="24"/>
              </w:rPr>
              <w:t>1.1.1</w:t>
            </w:r>
            <w:r>
              <w:rPr>
                <w:szCs w:val="24"/>
              </w:rPr>
              <w:t>4</w:t>
            </w:r>
            <w:r w:rsidRPr="006E7C87">
              <w:rPr>
                <w:szCs w:val="24"/>
              </w:rPr>
              <w:t>. Lietuvos Respublikos smulkiojo ir vidutinio verslo plėtros įstatymas;</w:t>
            </w:r>
          </w:p>
          <w:p w14:paraId="3DA655EE" w14:textId="77777777" w:rsidR="00842B8D" w:rsidRPr="0003229D" w:rsidRDefault="00842B8D" w:rsidP="00842B8D">
            <w:pPr>
              <w:jc w:val="both"/>
            </w:pPr>
            <w:r>
              <w:rPr>
                <w:szCs w:val="24"/>
              </w:rPr>
              <w:t>1.1.15.</w:t>
            </w:r>
            <w:r>
              <w:t xml:space="preserve"> Lietuvos kosmoso sektoriaus plėtros koncepcija, patvirtina Lietuvos Respublikos ekonomikos ir inovacijų ministro 2022 m. liepos 11 d. įsakymu Nr. 4-856 „Dėl Lietuvos kosmoso sektoriaus plėtros koncepcijos patvirtinimo“; </w:t>
            </w:r>
          </w:p>
          <w:p w14:paraId="313B6BD2" w14:textId="77777777" w:rsidR="00842B8D" w:rsidRDefault="00842B8D" w:rsidP="00842B8D">
            <w:pPr>
              <w:jc w:val="both"/>
            </w:pPr>
            <w:r>
              <w:t xml:space="preserve">1.1.16. Lietuvos Respublikos Vyriausybės ir Europos kosmoso agentūros susitarimas dėl asocijuotos narystės </w:t>
            </w:r>
            <w:r w:rsidRPr="00C734AC">
              <w:t>Nr. 11578</w:t>
            </w:r>
            <w:r>
              <w:t xml:space="preserve">, ratifikuotas Lietuvos Respublikos Seimo </w:t>
            </w:r>
            <w:r w:rsidRPr="00E24B26">
              <w:t>2021 m.</w:t>
            </w:r>
            <w:r>
              <w:t xml:space="preserve"> gegužės </w:t>
            </w:r>
            <w:r w:rsidRPr="00E24B26">
              <w:t>20 d.</w:t>
            </w:r>
            <w:r>
              <w:t xml:space="preserve"> įstatymu Nr. </w:t>
            </w:r>
            <w:r w:rsidRPr="00492205">
              <w:t>XIV-321</w:t>
            </w:r>
            <w:r>
              <w:t xml:space="preserve"> „Dėl Lietuvos Respublikos Vyriausybės ir Europos kosmoso agentūros susitarimo dėl asocijuotos narystės ratifikavimo“.</w:t>
            </w:r>
          </w:p>
          <w:p w14:paraId="60FD4897" w14:textId="6E8B97DB" w:rsidR="00825AA1" w:rsidRPr="00C97867" w:rsidRDefault="00825AA1" w:rsidP="00825AA1">
            <w:pPr>
              <w:jc w:val="both"/>
            </w:pPr>
            <w:r>
              <w:t xml:space="preserve">1.1.17. </w:t>
            </w:r>
            <w:r w:rsidRPr="00825AA1">
              <w:t>OECD (2017), </w:t>
            </w:r>
            <w:r w:rsidRPr="00C97867">
              <w:t>Frascati vadovas 2015: Mokslinių tyrimų ir eksperimentinės plėtros duomenų rinkimo bei teikimo rekomendacijos.</w:t>
            </w:r>
          </w:p>
          <w:p w14:paraId="32C9E713" w14:textId="566992E4" w:rsidR="00825AA1" w:rsidRPr="00C97867" w:rsidRDefault="00C97867" w:rsidP="00842B8D">
            <w:pPr>
              <w:jc w:val="both"/>
              <w:rPr>
                <w:b/>
                <w:bCs/>
              </w:rPr>
            </w:pPr>
            <w:r w:rsidRPr="00C97867">
              <w:t>1.1.18. OECD/Eurostat (2019), Oslo vadovas 2018: Duomenų apie inovacijas rinkimo, teikimo ir naudojimo gairės, Ketvirtasis Leidimas Mokslinės, technologinės ir inovacinės veiklos vertinimas</w:t>
            </w:r>
            <w:r>
              <w:t>.</w:t>
            </w:r>
          </w:p>
          <w:p w14:paraId="4FA42164" w14:textId="77777777" w:rsidR="00842B8D" w:rsidRPr="006E7C87" w:rsidRDefault="00842B8D" w:rsidP="00842B8D">
            <w:pPr>
              <w:jc w:val="both"/>
              <w:rPr>
                <w:szCs w:val="24"/>
              </w:rPr>
            </w:pPr>
            <w:r w:rsidRPr="006E7C87">
              <w:rPr>
                <w:szCs w:val="24"/>
              </w:rPr>
              <w:t>1.2. Apraše vartojamos sąvokos:</w:t>
            </w:r>
          </w:p>
          <w:p w14:paraId="66A1EBD1" w14:textId="77777777" w:rsidR="00842B8D" w:rsidRDefault="00842B8D" w:rsidP="00842B8D">
            <w:pPr>
              <w:jc w:val="both"/>
            </w:pPr>
            <w:r>
              <w:t xml:space="preserve">1.2.1. </w:t>
            </w:r>
            <w:r w:rsidRPr="22C00E90">
              <w:rPr>
                <w:b/>
                <w:bCs/>
              </w:rPr>
              <w:t>Startuolis</w:t>
            </w:r>
            <w:r>
              <w:t xml:space="preserve"> - didelį ir inovacijomis grindžiamą verslo plėtros potencialą turinti labai maža ar maža įmonė, Juridinių asmenų registre registruota ne ilgiau kaip 5 metus.</w:t>
            </w:r>
          </w:p>
          <w:p w14:paraId="6CE09FBE" w14:textId="77777777" w:rsidR="00842B8D" w:rsidRDefault="00842B8D" w:rsidP="00842B8D">
            <w:pPr>
              <w:jc w:val="both"/>
            </w:pPr>
            <w:r>
              <w:t xml:space="preserve">1.2.2. </w:t>
            </w:r>
            <w:r w:rsidRPr="00231EF5">
              <w:rPr>
                <w:b/>
                <w:bCs/>
              </w:rPr>
              <w:t>Moksliniai tyrimai ir eksperimentinė plėtra (MTEP)</w:t>
            </w:r>
            <w:r w:rsidRPr="0000770D">
              <w:t xml:space="preserve"> – sisteminga kūrybinė gamtos, žmonijos, kultūros ir visuomenės pažinimo veikla ir jos rezultatų panaudojimas. MTEP apima tris veiklos sritis: fundamentinius mokslinius tyrimus, taikomuosius mokslinius tyrimus ir eksperimentinę plėtrą.</w:t>
            </w:r>
          </w:p>
          <w:p w14:paraId="005D2EAB" w14:textId="77777777" w:rsidR="00842B8D" w:rsidRDefault="00842B8D" w:rsidP="00842B8D">
            <w:pPr>
              <w:jc w:val="both"/>
            </w:pPr>
            <w:r>
              <w:t xml:space="preserve">1.2.3. </w:t>
            </w:r>
            <w:r w:rsidRPr="00231EF5">
              <w:rPr>
                <w:b/>
                <w:bCs/>
              </w:rPr>
              <w:t>Inovacinė veikla</w:t>
            </w:r>
            <w:r w:rsidRPr="0000770D">
              <w:t xml:space="preserve"> – naujų ar patobulintų produktų ar procesų kūrimo ir diegimo į rinką, viešojo valdymo, socialinę, kultūros sritį veikla.</w:t>
            </w:r>
          </w:p>
          <w:p w14:paraId="5055AF73" w14:textId="0720A75A" w:rsidR="00C97867" w:rsidRDefault="00C97867" w:rsidP="00842B8D">
            <w:pPr>
              <w:jc w:val="both"/>
            </w:pPr>
            <w:r>
              <w:t xml:space="preserve">1.2.4. </w:t>
            </w:r>
            <w:r w:rsidRPr="00C97867">
              <w:rPr>
                <w:b/>
                <w:bCs/>
              </w:rPr>
              <w:t>Susitarimas su Europos kosmoso agentūra</w:t>
            </w:r>
            <w:r>
              <w:t xml:space="preserve"> – susitarimas tarp Europos kosmoso agentūros ir </w:t>
            </w:r>
            <w:r w:rsidR="00D33C3C">
              <w:t>atranką dėl Europos kosmoso agentūros verslo inkubavimo centro steigimo laimėjusio konsorciumo, kuriuo šalys sutaria dėl Europos kosmoso agentūros verslo inkubavimo centro steigimo Lietuvoje.</w:t>
            </w:r>
          </w:p>
          <w:p w14:paraId="22FB604A" w14:textId="53E497E1" w:rsidR="00D33C3C" w:rsidRDefault="00D33C3C" w:rsidP="00842B8D">
            <w:pPr>
              <w:jc w:val="both"/>
            </w:pPr>
            <w:r>
              <w:t xml:space="preserve">1.2.5. </w:t>
            </w:r>
            <w:r w:rsidRPr="00D33C3C">
              <w:rPr>
                <w:b/>
                <w:bCs/>
              </w:rPr>
              <w:t>Europos kosmoso agentūros Verslo inkubavimo centras (toliau E</w:t>
            </w:r>
            <w:r w:rsidR="005317B1">
              <w:rPr>
                <w:b/>
                <w:bCs/>
              </w:rPr>
              <w:t>K</w:t>
            </w:r>
            <w:r w:rsidRPr="00D33C3C">
              <w:rPr>
                <w:b/>
                <w:bCs/>
              </w:rPr>
              <w:t xml:space="preserve">A </w:t>
            </w:r>
            <w:r w:rsidR="005317B1">
              <w:rPr>
                <w:b/>
                <w:bCs/>
              </w:rPr>
              <w:t>Centras</w:t>
            </w:r>
            <w:r w:rsidRPr="00D33C3C">
              <w:rPr>
                <w:b/>
                <w:bCs/>
              </w:rPr>
              <w:t>)</w:t>
            </w:r>
            <w:r>
              <w:t xml:space="preserve"> – konsorciumas, laimėjęs atranką steigti </w:t>
            </w:r>
            <w:r w:rsidR="005317B1">
              <w:t>EKA Centrą</w:t>
            </w:r>
            <w:r w:rsidR="00577B47">
              <w:t xml:space="preserve"> ir turintis susitarimą su Europos kosmoso agentūra.</w:t>
            </w:r>
          </w:p>
          <w:p w14:paraId="2FDA3EEB" w14:textId="603C392B" w:rsidR="00577B47" w:rsidRDefault="00577B47" w:rsidP="00842B8D">
            <w:pPr>
              <w:jc w:val="both"/>
            </w:pPr>
            <w:r>
              <w:t xml:space="preserve">1.2.6. </w:t>
            </w:r>
            <w:r w:rsidRPr="00577B47">
              <w:rPr>
                <w:b/>
                <w:bCs/>
              </w:rPr>
              <w:t>Sutartis dėl inkubavimo</w:t>
            </w:r>
            <w:r>
              <w:t xml:space="preserve"> – susitarimas tarp </w:t>
            </w:r>
            <w:r w:rsidR="005317B1" w:rsidRPr="005317B1">
              <w:t>EKA Centr</w:t>
            </w:r>
            <w:r w:rsidR="005317B1">
              <w:t>o</w:t>
            </w:r>
            <w:r w:rsidR="005317B1" w:rsidRPr="005317B1">
              <w:t xml:space="preserve"> </w:t>
            </w:r>
            <w:r>
              <w:t>ir atrinkto startuolio, kuriame apibrėžiamos teikiamos paslaugos, siektini re</w:t>
            </w:r>
            <w:r w:rsidR="005317B1">
              <w:t>z</w:t>
            </w:r>
            <w:r>
              <w:t>ultatai ir kit</w:t>
            </w:r>
            <w:r w:rsidR="005317B1">
              <w:t>os</w:t>
            </w:r>
            <w:r>
              <w:t xml:space="preserve"> aktual</w:t>
            </w:r>
            <w:r w:rsidR="005317B1">
              <w:t>io</w:t>
            </w:r>
            <w:r>
              <w:t xml:space="preserve">s </w:t>
            </w:r>
            <w:r w:rsidR="005317B1">
              <w:t>su</w:t>
            </w:r>
            <w:r>
              <w:t xml:space="preserve"> inkubavimu </w:t>
            </w:r>
            <w:r w:rsidR="005317B1" w:rsidRPr="005317B1">
              <w:t>EKA Centr</w:t>
            </w:r>
            <w:r w:rsidR="005317B1">
              <w:t>e</w:t>
            </w:r>
            <w:r w:rsidR="005317B1" w:rsidRPr="005317B1">
              <w:t xml:space="preserve"> </w:t>
            </w:r>
            <w:r>
              <w:t>susijusios nuostatos.</w:t>
            </w:r>
          </w:p>
          <w:p w14:paraId="3C8AC267" w14:textId="0238B642" w:rsidR="00842B8D" w:rsidRDefault="00842B8D" w:rsidP="00842B8D">
            <w:pPr>
              <w:jc w:val="both"/>
              <w:rPr>
                <w:i/>
                <w:iCs/>
                <w:sz w:val="22"/>
                <w:szCs w:val="22"/>
              </w:rPr>
            </w:pPr>
            <w:r w:rsidRPr="0062515B">
              <w:rPr>
                <w:szCs w:val="24"/>
              </w:rPr>
              <w:t>1.2.</w:t>
            </w:r>
            <w:r w:rsidRPr="00231EF5">
              <w:rPr>
                <w:szCs w:val="24"/>
              </w:rPr>
              <w:t>5</w:t>
            </w:r>
            <w:r w:rsidRPr="0062515B">
              <w:rPr>
                <w:szCs w:val="24"/>
              </w:rPr>
              <w:t>. Kitos sąvokos suprantamos taip, kaip jos apibrėžtos Aprašo 1 p. nurodytuose teisės aktuose.</w:t>
            </w:r>
          </w:p>
        </w:tc>
      </w:tr>
      <w:tr w:rsidR="003F63CE" w14:paraId="48A0DB90" w14:textId="77777777">
        <w:tc>
          <w:tcPr>
            <w:tcW w:w="15134" w:type="dxa"/>
          </w:tcPr>
          <w:p w14:paraId="5D20A683" w14:textId="6E131D4E" w:rsidR="003F63CE" w:rsidRDefault="003F63CE" w:rsidP="003F63CE">
            <w:pPr>
              <w:rPr>
                <w:b/>
                <w:szCs w:val="24"/>
              </w:rPr>
            </w:pPr>
            <w:r>
              <w:rPr>
                <w:b/>
                <w:szCs w:val="24"/>
              </w:rPr>
              <w:lastRenderedPageBreak/>
              <w:t>2. Reikalavimai projektams, pareiškėjams ir partneriams</w:t>
            </w:r>
          </w:p>
        </w:tc>
      </w:tr>
      <w:tr w:rsidR="009E2E66" w14:paraId="13A47066" w14:textId="77777777">
        <w:tc>
          <w:tcPr>
            <w:tcW w:w="15134" w:type="dxa"/>
          </w:tcPr>
          <w:p w14:paraId="08B3E53A" w14:textId="77777777" w:rsidR="009E2E66" w:rsidRDefault="009E2E66" w:rsidP="009E2E66">
            <w:pPr>
              <w:jc w:val="both"/>
            </w:pPr>
            <w:r>
              <w:t>2.1. Pagal Aprašą finansuojama veikla – startuolių ekosistemos plėtros skatinimas, pagal veiklą vykdoma poveiklė –</w:t>
            </w:r>
            <w:r>
              <w:rPr>
                <w:rStyle w:val="ui-provider"/>
              </w:rPr>
              <w:t>startuolių inkubavimo veikla Europos kosmoso agentūros verslo inkubavimo centre.</w:t>
            </w:r>
            <w:r>
              <w:t xml:space="preserve"> </w:t>
            </w:r>
          </w:p>
          <w:p w14:paraId="786DA906" w14:textId="77777777" w:rsidR="009E2E66" w:rsidRPr="00120372" w:rsidRDefault="009E2E66" w:rsidP="009E2E66">
            <w:pPr>
              <w:jc w:val="both"/>
            </w:pPr>
            <w:r>
              <w:t>2.2. Pagal veiklą remiamas mokslinių tyrimų, eksperimentinės plėtros ir inovacinės veiklos vykdymas ir skatinama Lietuvos kosmoso sektoriaus plėtra, sukuriant ir stiprinant sėkmingų su kosmosu susijusių startuolių bendruomenę Lietuvoje;</w:t>
            </w:r>
          </w:p>
          <w:p w14:paraId="21FA4BE9" w14:textId="77777777" w:rsidR="009E2E66" w:rsidRDefault="009E2E66" w:rsidP="009E2E66">
            <w:pPr>
              <w:jc w:val="both"/>
            </w:pPr>
            <w:r>
              <w:t>2.</w:t>
            </w:r>
            <w:r w:rsidRPr="00231EF5">
              <w:t>3.</w:t>
            </w:r>
            <w:r>
              <w:t>įgyvendinant projektą projekto vykdytojas turi vykdyti šias veiklas:</w:t>
            </w:r>
          </w:p>
          <w:p w14:paraId="1A3EDF85" w14:textId="77777777" w:rsidR="009E2E66" w:rsidRPr="00120372" w:rsidRDefault="009E2E66" w:rsidP="009E2E66">
            <w:pPr>
              <w:jc w:val="both"/>
            </w:pPr>
            <w:r w:rsidRPr="002F20EE">
              <w:t>2.3.1.visuomenei ir kosmoso bendruomenei pristatyti Europos kosmoso agentūros Verslo inkubavimo centrą (toliau – EKA Centras) kaip su kosmoso verslo inkubavimu susijusį centrą Lietuvoje;</w:t>
            </w:r>
          </w:p>
          <w:p w14:paraId="7911BBCB" w14:textId="77777777" w:rsidR="009E2E66" w:rsidRPr="00120372" w:rsidRDefault="009E2E66" w:rsidP="009E2E66">
            <w:pPr>
              <w:jc w:val="both"/>
              <w:rPr>
                <w:szCs w:val="24"/>
              </w:rPr>
            </w:pPr>
            <w:r w:rsidRPr="00120372">
              <w:rPr>
                <w:szCs w:val="24"/>
              </w:rPr>
              <w:t>2.</w:t>
            </w:r>
            <w:r>
              <w:rPr>
                <w:szCs w:val="24"/>
              </w:rPr>
              <w:t>3</w:t>
            </w:r>
            <w:r w:rsidRPr="00120372">
              <w:rPr>
                <w:szCs w:val="24"/>
              </w:rPr>
              <w:t>.2. skelbti bei įgyvendinti kvietimus skirtus startuolių atrankai dalyvauti EKA Centro veikloje;</w:t>
            </w:r>
          </w:p>
          <w:p w14:paraId="385E49B7" w14:textId="77777777" w:rsidR="009E2E66" w:rsidRPr="00120372" w:rsidRDefault="009E2E66" w:rsidP="009E2E66">
            <w:pPr>
              <w:jc w:val="both"/>
              <w:rPr>
                <w:szCs w:val="24"/>
              </w:rPr>
            </w:pPr>
            <w:r w:rsidRPr="009C605A">
              <w:rPr>
                <w:szCs w:val="24"/>
              </w:rPr>
              <w:t>2.</w:t>
            </w:r>
            <w:r>
              <w:rPr>
                <w:szCs w:val="24"/>
              </w:rPr>
              <w:t>3</w:t>
            </w:r>
            <w:r w:rsidRPr="009C605A">
              <w:rPr>
                <w:szCs w:val="24"/>
              </w:rPr>
              <w:t>.</w:t>
            </w:r>
            <w:r w:rsidRPr="00120372">
              <w:rPr>
                <w:szCs w:val="24"/>
              </w:rPr>
              <w:t xml:space="preserve">3. </w:t>
            </w:r>
            <w:r>
              <w:rPr>
                <w:szCs w:val="24"/>
              </w:rPr>
              <w:t>a</w:t>
            </w:r>
            <w:r w:rsidRPr="007C562E">
              <w:rPr>
                <w:szCs w:val="24"/>
              </w:rPr>
              <w:t>trinkti projekto partnerius, kurie dalyvaus EKA Centro veikloje, bei pasirašyti su jais sutartį dėl inkubavimo</w:t>
            </w:r>
            <w:r>
              <w:rPr>
                <w:szCs w:val="24"/>
              </w:rPr>
              <w:t>;</w:t>
            </w:r>
          </w:p>
          <w:p w14:paraId="143ECBC6" w14:textId="77777777" w:rsidR="009E2E66" w:rsidRPr="00120372" w:rsidRDefault="009E2E66" w:rsidP="009E2E66">
            <w:pPr>
              <w:jc w:val="both"/>
              <w:rPr>
                <w:szCs w:val="24"/>
              </w:rPr>
            </w:pPr>
            <w:r w:rsidRPr="002F20EE">
              <w:rPr>
                <w:szCs w:val="24"/>
              </w:rPr>
              <w:t>2.3.4.</w:t>
            </w:r>
            <w:r w:rsidRPr="00120372">
              <w:rPr>
                <w:szCs w:val="24"/>
              </w:rPr>
              <w:t xml:space="preserve"> suteikti atrinktiems startuoliams EKA Centro paslaugas, kurios apibrėžtos susitarime su </w:t>
            </w:r>
            <w:r>
              <w:t>Europos kosmoso agentūra (toliau – EKA)</w:t>
            </w:r>
            <w:r w:rsidRPr="00120372">
              <w:rPr>
                <w:szCs w:val="24"/>
              </w:rPr>
              <w:t xml:space="preserve"> dėl EKA Centro steigimo;</w:t>
            </w:r>
          </w:p>
          <w:p w14:paraId="481C19AF" w14:textId="77777777" w:rsidR="009E2E66" w:rsidRPr="00120372" w:rsidRDefault="009E2E66" w:rsidP="009E2E66">
            <w:pPr>
              <w:jc w:val="both"/>
              <w:rPr>
                <w:szCs w:val="24"/>
              </w:rPr>
            </w:pPr>
            <w:r w:rsidRPr="00120372">
              <w:rPr>
                <w:szCs w:val="24"/>
              </w:rPr>
              <w:t>2.</w:t>
            </w:r>
            <w:r>
              <w:rPr>
                <w:szCs w:val="24"/>
              </w:rPr>
              <w:t>3</w:t>
            </w:r>
            <w:r w:rsidRPr="00120372">
              <w:rPr>
                <w:szCs w:val="24"/>
              </w:rPr>
              <w:t>.5. rūpintis atrinktų startuolių finansavimu, jų veiklos progreso stebėsena bei tęstinumo užtikrinimu.</w:t>
            </w:r>
          </w:p>
          <w:p w14:paraId="79123599" w14:textId="77777777" w:rsidR="009E2E66" w:rsidRDefault="009E2E66" w:rsidP="009E2E66">
            <w:pPr>
              <w:jc w:val="both"/>
            </w:pPr>
            <w:r>
              <w:t>2.4. Aprašo 2.3 papunkčiuose nurodytos finansuojamos veiklos turi būti numatytos viename projekte.</w:t>
            </w:r>
          </w:p>
          <w:p w14:paraId="4A9F256B" w14:textId="77777777" w:rsidR="009E2E66" w:rsidRDefault="009E2E66" w:rsidP="009E2E66">
            <w:pPr>
              <w:jc w:val="both"/>
              <w:rPr>
                <w:szCs w:val="24"/>
              </w:rPr>
            </w:pPr>
            <w:r>
              <w:rPr>
                <w:szCs w:val="24"/>
              </w:rPr>
              <w:t xml:space="preserve">2.4. </w:t>
            </w:r>
            <w:r w:rsidRPr="00BA4124">
              <w:rPr>
                <w:szCs w:val="24"/>
              </w:rPr>
              <w:t>Administruojančioji institucija – viešoji įstaiga Centrinė projektų valdymo agentūra (toliau – Administruojanti institucija).</w:t>
            </w:r>
          </w:p>
          <w:p w14:paraId="566B5702" w14:textId="77777777" w:rsidR="009E2E66" w:rsidRPr="004B74AA" w:rsidRDefault="009E2E66" w:rsidP="009E2E66">
            <w:pPr>
              <w:jc w:val="both"/>
              <w:rPr>
                <w:szCs w:val="24"/>
              </w:rPr>
            </w:pPr>
            <w:bookmarkStart w:id="5" w:name="_Hlk129255031"/>
            <w:r w:rsidRPr="00F6124E">
              <w:rPr>
                <w:szCs w:val="24"/>
              </w:rPr>
              <w:t>2</w:t>
            </w:r>
            <w:r>
              <w:rPr>
                <w:szCs w:val="24"/>
              </w:rPr>
              <w:t>.6. Tikslinė projekto grupė – startuoliai, vykdantys arba turintys potencialo vykdyti veiklą kosmoso srityje.</w:t>
            </w:r>
          </w:p>
          <w:p w14:paraId="6EF5B919" w14:textId="77777777" w:rsidR="009E2E66" w:rsidRPr="00F86B5B" w:rsidRDefault="009E2E66" w:rsidP="009E2E66">
            <w:pPr>
              <w:jc w:val="both"/>
            </w:pPr>
            <w:r>
              <w:t>2.</w:t>
            </w:r>
            <w:r w:rsidRPr="00231EF5">
              <w:t>7</w:t>
            </w:r>
            <w:r>
              <w:t>. Galimi pareiškėjai – Mokslo ir technologijų parkai, turintys susitarimą su EKA dėl verslo inkubavimo centro veiklos vykdymo Lietuvoje (toliau – Pareiškėjas).</w:t>
            </w:r>
          </w:p>
          <w:p w14:paraId="63CAD7F6" w14:textId="134C7307" w:rsidR="009E2E66" w:rsidRPr="00F86B5B" w:rsidRDefault="009E2E66" w:rsidP="009E2E66">
            <w:pPr>
              <w:jc w:val="both"/>
            </w:pPr>
            <w:r>
              <w:t xml:space="preserve">2.8 </w:t>
            </w:r>
            <w:r w:rsidRPr="00BD223B">
              <w:t xml:space="preserve">Projekto partneriai – kosmoso srities startuoliai, atrinkti EKA bei </w:t>
            </w:r>
            <w:r>
              <w:t xml:space="preserve">Pareiškėjo </w:t>
            </w:r>
            <w:r w:rsidRPr="00BD223B">
              <w:t>gauti paslaugas inkubatoriuje bei turi tai patvirtinantį dokumentą</w:t>
            </w:r>
            <w:r>
              <w:t xml:space="preserve"> – sutartį dėl inkubavimo</w:t>
            </w:r>
            <w:r w:rsidRPr="00BD223B">
              <w:t>.</w:t>
            </w:r>
            <w:r>
              <w:t xml:space="preserve"> Startuolių atrankos procesą reglamentuoja ir organizuoja</w:t>
            </w:r>
            <w:r w:rsidR="001373F0">
              <w:t xml:space="preserve"> </w:t>
            </w:r>
            <w:r>
              <w:t xml:space="preserve">EKA atstovai, kurie patvirtina startuolių veiklos atitikimą kosmoso sričiai. Startuoliai vykdo su kosmoso sektoriumi susijusius inovatyvias veiklas.. </w:t>
            </w:r>
          </w:p>
          <w:bookmarkEnd w:id="5"/>
          <w:p w14:paraId="77CBD726" w14:textId="77777777" w:rsidR="009E2E66" w:rsidRPr="00196256" w:rsidRDefault="009E2E66" w:rsidP="009E2E66">
            <w:pPr>
              <w:jc w:val="both"/>
            </w:pPr>
            <w:r>
              <w:t>2.9. Partnerių sąrašas  gali būti papildomas projekto įgyvendinimo metu;</w:t>
            </w:r>
          </w:p>
          <w:p w14:paraId="6209C463" w14:textId="3AE45AB3" w:rsidR="009E2E66" w:rsidRPr="00120372" w:rsidRDefault="009E2E66" w:rsidP="009E2E66">
            <w:pPr>
              <w:jc w:val="both"/>
            </w:pPr>
            <w:r>
              <w:t xml:space="preserve">2.10. Pagal Aprašą projektui įgyvendinti skiriama iki 500 000 Eur (penkių šimtų tūkstančių eurų) EGADP lėšų ir ne daugiau kaip  105 000 Eur (šimtas penki tūkstančiai eurų) </w:t>
            </w:r>
            <w:r w:rsidRPr="008A0EF6">
              <w:t xml:space="preserve">Valstybės biudžeto lėšos, skirtos </w:t>
            </w:r>
            <w:r w:rsidR="007B53BE" w:rsidRPr="007B53BE">
              <w:t>PVM kompensuoti.</w:t>
            </w:r>
            <w:r>
              <w:t>.</w:t>
            </w:r>
          </w:p>
          <w:p w14:paraId="2BC00646" w14:textId="555AB130" w:rsidR="009E2E66" w:rsidRPr="008C3644" w:rsidRDefault="009E2E66" w:rsidP="009E2E66">
            <w:pPr>
              <w:jc w:val="both"/>
            </w:pPr>
            <w:r>
              <w:t>2.11.</w:t>
            </w:r>
            <w:r w:rsidRPr="13F42EF1">
              <w:rPr>
                <w:sz w:val="22"/>
                <w:szCs w:val="22"/>
                <w:lang w:val="lt"/>
              </w:rPr>
              <w:t xml:space="preserve"> </w:t>
            </w:r>
            <w:r w:rsidRPr="13F42EF1">
              <w:rPr>
                <w:lang w:val="lt"/>
              </w:rPr>
              <w:t xml:space="preserve">Vienam projekto partneriui tenkanti projekto lėšų suma negali būti didesnė negu </w:t>
            </w:r>
            <w:r w:rsidRPr="00231EF5">
              <w:t>50</w:t>
            </w:r>
            <w:r w:rsidRPr="13F42EF1">
              <w:rPr>
                <w:lang w:val="lt"/>
              </w:rPr>
              <w:t> 000 Eur (</w:t>
            </w:r>
            <w:r>
              <w:t xml:space="preserve">penkiasdešimt tūkstančių eurų). Projektai ko-finansuojami iš EGADP ir nuosavų lėšų. Didžiausia galima projektų finansuojamoji dalis sudaro </w:t>
            </w:r>
            <w:r w:rsidRPr="00231EF5">
              <w:t>50 proc.</w:t>
            </w:r>
            <w:r>
              <w:t xml:space="preserve"> iš EGADP lėšų (t.y. iki </w:t>
            </w:r>
            <w:r w:rsidRPr="00231EF5">
              <w:t>25 000 Eur</w:t>
            </w:r>
            <w:r>
              <w:t xml:space="preserve">) ir </w:t>
            </w:r>
            <w:r w:rsidRPr="00231EF5">
              <w:t xml:space="preserve">50 proc. </w:t>
            </w:r>
            <w:r>
              <w:t>lėšų, kurias startuolis gauna iš EKA (t.</w:t>
            </w:r>
            <w:r w:rsidR="001373F0">
              <w:t xml:space="preserve"> </w:t>
            </w:r>
            <w:r>
              <w:t xml:space="preserve">y. iki </w:t>
            </w:r>
            <w:r w:rsidRPr="00231EF5">
              <w:t>25 000 Eur)</w:t>
            </w:r>
            <w:r>
              <w:t>.</w:t>
            </w:r>
          </w:p>
          <w:p w14:paraId="00BD6C06" w14:textId="77777777" w:rsidR="009E2E66" w:rsidRPr="006A70F5" w:rsidRDefault="009E2E66" w:rsidP="009E2E66">
            <w:pPr>
              <w:jc w:val="both"/>
            </w:pPr>
            <w:r>
              <w:t xml:space="preserve">2.12. Projektas turi atitikti projekto bendruosius atrankos kriterijus, nustatytus PAFT 2 priede; </w:t>
            </w:r>
          </w:p>
          <w:p w14:paraId="7DE5C551" w14:textId="77777777" w:rsidR="009E2E66" w:rsidRDefault="009E2E66" w:rsidP="009E2E66">
            <w:pPr>
              <w:jc w:val="both"/>
            </w:pPr>
            <w:r>
              <w:t>2.13. Projekto veiklos turi būti įgyvendintos nuo PĮP pateikimo iki 2026 m. I ketvirčio;</w:t>
            </w:r>
          </w:p>
          <w:p w14:paraId="72CFBBE5" w14:textId="740FB984" w:rsidR="009E2E66" w:rsidRPr="00DA5E63" w:rsidRDefault="009E2E66" w:rsidP="009E2E66">
            <w:pPr>
              <w:tabs>
                <w:tab w:val="left" w:pos="447"/>
              </w:tabs>
              <w:jc w:val="both"/>
              <w:rPr>
                <w:iCs/>
                <w:szCs w:val="24"/>
              </w:rPr>
            </w:pPr>
            <w:r w:rsidRPr="00DA5E63">
              <w:rPr>
                <w:szCs w:val="24"/>
              </w:rPr>
              <w:t>2.1</w:t>
            </w:r>
            <w:r>
              <w:rPr>
                <w:szCs w:val="24"/>
              </w:rPr>
              <w:t>4</w:t>
            </w:r>
            <w:r w:rsidRPr="00DA5E63">
              <w:rPr>
                <w:szCs w:val="24"/>
              </w:rPr>
              <w:t xml:space="preserve">. </w:t>
            </w:r>
            <w:r w:rsidRPr="00DA5E63">
              <w:rPr>
                <w:bCs/>
                <w:iCs/>
                <w:szCs w:val="24"/>
              </w:rPr>
              <w:t>Jeigu projektas įgyvendinamas su partneriu, partnerystė projekte turi būti pagrįsta, teikti naudą ir prisidėti prie projekto tikslo įgyvendinimo ir iki PĮP pateikimo</w:t>
            </w:r>
            <w:r>
              <w:rPr>
                <w:bCs/>
                <w:iCs/>
                <w:szCs w:val="24"/>
              </w:rPr>
              <w:t xml:space="preserve"> arba iki prašymo dėl partnerio įtraukimo pateikimo, jei partnerių sąrašas papildomas pr</w:t>
            </w:r>
            <w:r w:rsidR="009A2E21">
              <w:rPr>
                <w:bCs/>
                <w:iCs/>
                <w:szCs w:val="24"/>
              </w:rPr>
              <w:t>o</w:t>
            </w:r>
            <w:r>
              <w:rPr>
                <w:bCs/>
                <w:iCs/>
                <w:szCs w:val="24"/>
              </w:rPr>
              <w:t>jekto įgyvendinimo metu</w:t>
            </w:r>
            <w:r w:rsidRPr="00DA5E63">
              <w:rPr>
                <w:bCs/>
                <w:iCs/>
                <w:szCs w:val="24"/>
              </w:rPr>
              <w:t xml:space="preserve"> turi būti sudaryta jungtinės veiklos (partnerystės) sutartis. </w:t>
            </w:r>
          </w:p>
          <w:p w14:paraId="26683528" w14:textId="77777777" w:rsidR="009E2E66" w:rsidRPr="00C6350E" w:rsidRDefault="009E2E66" w:rsidP="009E2E66">
            <w:pPr>
              <w:pStyle w:val="ListParagraph"/>
              <w:tabs>
                <w:tab w:val="left" w:pos="447"/>
                <w:tab w:val="left" w:pos="709"/>
              </w:tabs>
              <w:ind w:left="0"/>
              <w:jc w:val="both"/>
              <w:rPr>
                <w:bCs/>
                <w:iCs/>
                <w:szCs w:val="24"/>
              </w:rPr>
            </w:pPr>
            <w:r w:rsidRPr="00DA5E63">
              <w:rPr>
                <w:bCs/>
                <w:iCs/>
                <w:szCs w:val="24"/>
              </w:rPr>
              <w:t>2.1</w:t>
            </w:r>
            <w:r>
              <w:rPr>
                <w:bCs/>
                <w:iCs/>
                <w:szCs w:val="24"/>
              </w:rPr>
              <w:t>5</w:t>
            </w:r>
            <w:r w:rsidRPr="00DA5E63">
              <w:rPr>
                <w:bCs/>
                <w:iCs/>
                <w:szCs w:val="24"/>
              </w:rPr>
              <w:t>. Kartu su PĮP administruojančiajai institucijai turi būti pateikti dokumentai:</w:t>
            </w:r>
          </w:p>
          <w:p w14:paraId="06CC07D7" w14:textId="77777777" w:rsidR="009E2E66" w:rsidRPr="00197081" w:rsidRDefault="009E2E66" w:rsidP="009E2E66">
            <w:pPr>
              <w:tabs>
                <w:tab w:val="left" w:pos="447"/>
                <w:tab w:val="left" w:pos="567"/>
                <w:tab w:val="left" w:pos="885"/>
              </w:tabs>
              <w:jc w:val="both"/>
              <w:rPr>
                <w:iCs/>
                <w:szCs w:val="24"/>
              </w:rPr>
            </w:pPr>
            <w:r w:rsidRPr="00197081">
              <w:rPr>
                <w:iCs/>
                <w:szCs w:val="24"/>
              </w:rPr>
              <w:t>2.1</w:t>
            </w:r>
            <w:r>
              <w:rPr>
                <w:iCs/>
                <w:szCs w:val="24"/>
              </w:rPr>
              <w:t>5</w:t>
            </w:r>
            <w:r w:rsidRPr="00197081">
              <w:rPr>
                <w:iCs/>
                <w:szCs w:val="24"/>
              </w:rPr>
              <w:t>.1. Partnerio deklaracija pagal PĮP 1 priede pateiktą formą (taikoma, jei projektas bus įgyvendinamas su partneriu (-iais)); </w:t>
            </w:r>
          </w:p>
          <w:p w14:paraId="5C558172" w14:textId="77777777" w:rsidR="009E2E66" w:rsidRDefault="009E2E66" w:rsidP="009E2E66">
            <w:pPr>
              <w:pStyle w:val="ListParagraph"/>
              <w:tabs>
                <w:tab w:val="left" w:pos="447"/>
                <w:tab w:val="left" w:pos="567"/>
                <w:tab w:val="left" w:pos="885"/>
              </w:tabs>
              <w:ind w:left="0"/>
              <w:jc w:val="both"/>
              <w:rPr>
                <w:iCs/>
                <w:szCs w:val="24"/>
              </w:rPr>
            </w:pPr>
            <w:r w:rsidRPr="00197081">
              <w:rPr>
                <w:iCs/>
                <w:szCs w:val="24"/>
              </w:rPr>
              <w:t>2.1</w:t>
            </w:r>
            <w:r>
              <w:rPr>
                <w:iCs/>
                <w:szCs w:val="24"/>
              </w:rPr>
              <w:t>5</w:t>
            </w:r>
            <w:r w:rsidRPr="00197081">
              <w:rPr>
                <w:iCs/>
                <w:szCs w:val="24"/>
              </w:rPr>
              <w:t>.2. Informacija apie projekto biudžeto paskirstymą pagal pareiškėjus ir partnerius pagal PĮP 2 priede pateiktą formą (taikoma, jei projektas bus įgyvendinamas su partneriu (-iais))</w:t>
            </w:r>
            <w:r>
              <w:rPr>
                <w:iCs/>
                <w:szCs w:val="24"/>
              </w:rPr>
              <w:t>.</w:t>
            </w:r>
          </w:p>
          <w:p w14:paraId="5753D10C" w14:textId="77777777" w:rsidR="009E2E66" w:rsidRPr="00A8277B" w:rsidRDefault="009E2E66" w:rsidP="009E2E66">
            <w:pPr>
              <w:tabs>
                <w:tab w:val="left" w:pos="447"/>
                <w:tab w:val="left" w:pos="567"/>
                <w:tab w:val="left" w:pos="885"/>
              </w:tabs>
              <w:jc w:val="both"/>
              <w:rPr>
                <w:iCs/>
                <w:szCs w:val="24"/>
              </w:rPr>
            </w:pPr>
            <w:r w:rsidRPr="00A8277B">
              <w:rPr>
                <w:iCs/>
                <w:szCs w:val="24"/>
              </w:rPr>
              <w:t>2.15.3. Sutartį dėl inkubavimo, kurioje apibrėžtos paslaugas, kurias teikia pareiškėjas;</w:t>
            </w:r>
          </w:p>
          <w:p w14:paraId="4587A302" w14:textId="77777777" w:rsidR="009E2E66" w:rsidRPr="00B237F7" w:rsidRDefault="009E2E66" w:rsidP="009E2E66">
            <w:pPr>
              <w:tabs>
                <w:tab w:val="left" w:pos="447"/>
                <w:tab w:val="left" w:pos="567"/>
                <w:tab w:val="left" w:pos="885"/>
              </w:tabs>
              <w:jc w:val="both"/>
              <w:rPr>
                <w:iCs/>
                <w:szCs w:val="24"/>
              </w:rPr>
            </w:pPr>
            <w:r>
              <w:rPr>
                <w:iCs/>
                <w:szCs w:val="24"/>
              </w:rPr>
              <w:t xml:space="preserve">2.15.4. </w:t>
            </w:r>
            <w:r w:rsidRPr="00B237F7">
              <w:rPr>
                <w:iCs/>
                <w:szCs w:val="24"/>
              </w:rPr>
              <w:t>Partnerių dokumentai, pagrindžiantys, kad gali gauti inkubavimo paslaugas</w:t>
            </w:r>
            <w:r>
              <w:rPr>
                <w:iCs/>
                <w:szCs w:val="24"/>
              </w:rPr>
              <w:t>, pateikiant EKA verslo inkubavimo centro išduotą raštą</w:t>
            </w:r>
            <w:r w:rsidRPr="00B237F7">
              <w:rPr>
                <w:iCs/>
                <w:szCs w:val="24"/>
              </w:rPr>
              <w:t>;</w:t>
            </w:r>
          </w:p>
          <w:p w14:paraId="7F8561E8" w14:textId="77777777" w:rsidR="009E2E66" w:rsidRDefault="009E2E66" w:rsidP="009E2E66">
            <w:pPr>
              <w:pStyle w:val="ListParagraph"/>
              <w:tabs>
                <w:tab w:val="left" w:pos="447"/>
                <w:tab w:val="left" w:pos="567"/>
                <w:tab w:val="left" w:pos="885"/>
              </w:tabs>
              <w:ind w:left="0"/>
              <w:jc w:val="both"/>
              <w:rPr>
                <w:iCs/>
                <w:szCs w:val="24"/>
              </w:rPr>
            </w:pPr>
            <w:r>
              <w:rPr>
                <w:iCs/>
                <w:szCs w:val="24"/>
              </w:rPr>
              <w:t xml:space="preserve">2.15.5. </w:t>
            </w:r>
            <w:r w:rsidRPr="00B237F7">
              <w:rPr>
                <w:iCs/>
                <w:szCs w:val="24"/>
              </w:rPr>
              <w:t>Jungtinės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3B0A0DD9" w14:textId="77777777" w:rsidR="009E2E66" w:rsidRPr="00A8277B" w:rsidRDefault="009E2E66" w:rsidP="009E2E66">
            <w:pPr>
              <w:tabs>
                <w:tab w:val="left" w:pos="447"/>
                <w:tab w:val="left" w:pos="567"/>
                <w:tab w:val="left" w:pos="885"/>
              </w:tabs>
              <w:jc w:val="both"/>
              <w:rPr>
                <w:iCs/>
                <w:szCs w:val="24"/>
              </w:rPr>
            </w:pPr>
            <w:r>
              <w:rPr>
                <w:iCs/>
                <w:szCs w:val="24"/>
              </w:rPr>
              <w:t>2.15.6. P</w:t>
            </w:r>
            <w:r w:rsidRPr="00A8277B">
              <w:rPr>
                <w:iCs/>
                <w:szCs w:val="24"/>
              </w:rPr>
              <w:t>artnerio deklaracija pagal Taisyklių 1 priedo 1 priede pateiktą formą;</w:t>
            </w:r>
          </w:p>
          <w:p w14:paraId="0BC20E62" w14:textId="77777777" w:rsidR="009E2E66" w:rsidRPr="00197081" w:rsidRDefault="009E2E66" w:rsidP="009E2E66">
            <w:pPr>
              <w:tabs>
                <w:tab w:val="left" w:pos="447"/>
                <w:tab w:val="left" w:pos="567"/>
                <w:tab w:val="left" w:pos="885"/>
              </w:tabs>
              <w:jc w:val="both"/>
              <w:rPr>
                <w:iCs/>
                <w:szCs w:val="24"/>
              </w:rPr>
            </w:pPr>
            <w:r>
              <w:rPr>
                <w:iCs/>
                <w:szCs w:val="24"/>
              </w:rPr>
              <w:t>2.15.7. N</w:t>
            </w:r>
            <w:r w:rsidRPr="00F463BC">
              <w:rPr>
                <w:iCs/>
                <w:szCs w:val="24"/>
              </w:rPr>
              <w:t>uosavo indėlio ir netinkamų finansuoti išlaidų finansavimo šaltinius pagrindžiantys dokumentai. Dotacijos sutartis su EKA yra laikytina projekto partnerio išlaidas pagrindžiančiu dokumentu;</w:t>
            </w:r>
          </w:p>
          <w:p w14:paraId="2EAE8332" w14:textId="77777777" w:rsidR="009E2E66" w:rsidRDefault="009E2E66" w:rsidP="009E2E66">
            <w:pPr>
              <w:jc w:val="both"/>
            </w:pPr>
            <w:r>
              <w:t>2.16. Projektų atranka atliekama planavimo būdu.</w:t>
            </w:r>
          </w:p>
          <w:p w14:paraId="77EBD47A" w14:textId="77777777" w:rsidR="009E2E66" w:rsidRPr="00231EF5" w:rsidRDefault="009E2E66" w:rsidP="009E2E66">
            <w:pPr>
              <w:jc w:val="both"/>
            </w:pPr>
            <w:r>
              <w:t xml:space="preserve">2.17. </w:t>
            </w:r>
            <w:r w:rsidRPr="00231EF5">
              <w:t xml:space="preserve">Netinkamos finansuoti išlaidos, kurių nepadengia projektui skiriamo finansavimo lėšos, turi būti finansuojamos projekto vykdytojo ir (ar) projekto partnerių lėšomis. </w:t>
            </w:r>
          </w:p>
          <w:p w14:paraId="2D4338D1" w14:textId="77777777" w:rsidR="009E2E66" w:rsidRPr="009170D3" w:rsidRDefault="009E2E66" w:rsidP="009E2E66">
            <w:pPr>
              <w:jc w:val="both"/>
              <w:rPr>
                <w:lang w:val="pl-PL"/>
              </w:rPr>
            </w:pPr>
            <w:r w:rsidRPr="009170D3">
              <w:rPr>
                <w:lang w:val="pl-PL"/>
              </w:rPr>
              <w:t>2.</w:t>
            </w:r>
            <w:r>
              <w:rPr>
                <w:lang w:val="pl-PL"/>
              </w:rPr>
              <w:t>18.</w:t>
            </w:r>
            <w:r w:rsidRPr="009170D3">
              <w:rPr>
                <w:lang w:val="pl-PL"/>
              </w:rPr>
              <w:t xml:space="preserve"> Pagal Aprašą teikiamo finansavimo forma – dotacija. </w:t>
            </w:r>
          </w:p>
          <w:p w14:paraId="12EFC6A5" w14:textId="06E7845E" w:rsidR="009E2E66" w:rsidRDefault="009E2E66" w:rsidP="009E2E66">
            <w:pPr>
              <w:jc w:val="both"/>
              <w:rPr>
                <w:i/>
                <w:iCs/>
                <w:sz w:val="22"/>
                <w:szCs w:val="22"/>
              </w:rPr>
            </w:pPr>
            <w:r>
              <w:rPr>
                <w:lang w:val="pl-PL"/>
              </w:rPr>
              <w:t>2.19</w:t>
            </w:r>
            <w:r w:rsidRPr="009170D3">
              <w:rPr>
                <w:lang w:val="pl-PL"/>
              </w:rPr>
              <w:t>. Projektų komunikacijos ir informavimo veiksmai atliekami vadovaujantis Taisyklių VIII skyriaus pirmojo skirsnio nuostatomis.</w:t>
            </w:r>
          </w:p>
        </w:tc>
      </w:tr>
      <w:tr w:rsidR="009E2E66" w14:paraId="02372446" w14:textId="77777777">
        <w:tc>
          <w:tcPr>
            <w:tcW w:w="15134" w:type="dxa"/>
          </w:tcPr>
          <w:p w14:paraId="2678C555" w14:textId="401EE914" w:rsidR="009E2E66" w:rsidRDefault="009E2E66" w:rsidP="009E2E66">
            <w:pPr>
              <w:jc w:val="both"/>
              <w:rPr>
                <w:iCs/>
                <w:szCs w:val="24"/>
              </w:rPr>
            </w:pPr>
            <w:r>
              <w:rPr>
                <w:b/>
                <w:szCs w:val="24"/>
              </w:rPr>
              <w:t>3.</w:t>
            </w:r>
            <w:r>
              <w:rPr>
                <w:szCs w:val="24"/>
              </w:rPr>
              <w:t xml:space="preserve"> </w:t>
            </w:r>
            <w:r>
              <w:rPr>
                <w:b/>
                <w:szCs w:val="24"/>
              </w:rPr>
              <w:t>Reikalavimai jungtinio projekto projektams ir jungtinio projekto projektų pareiškėjams</w:t>
            </w:r>
          </w:p>
        </w:tc>
      </w:tr>
      <w:tr w:rsidR="009E2E66" w14:paraId="6526F0B8" w14:textId="77777777" w:rsidTr="003F63CE">
        <w:trPr>
          <w:trHeight w:val="421"/>
        </w:trPr>
        <w:tc>
          <w:tcPr>
            <w:tcW w:w="15134" w:type="dxa"/>
          </w:tcPr>
          <w:p w14:paraId="57C96B51" w14:textId="4EF7A897" w:rsidR="009E2E66" w:rsidRDefault="009E2E66" w:rsidP="009E2E66">
            <w:pPr>
              <w:jc w:val="both"/>
              <w:rPr>
                <w:i/>
                <w:iCs/>
                <w:sz w:val="22"/>
                <w:szCs w:val="22"/>
              </w:rPr>
            </w:pPr>
            <w:r w:rsidRPr="00D1051F">
              <w:rPr>
                <w:szCs w:val="24"/>
              </w:rPr>
              <w:t>Jungtinio projekto reikalavimai nėra taikomi.</w:t>
            </w:r>
          </w:p>
        </w:tc>
      </w:tr>
      <w:tr w:rsidR="009E2E66" w14:paraId="42201B8B" w14:textId="77777777">
        <w:trPr>
          <w:trHeight w:val="285"/>
        </w:trPr>
        <w:tc>
          <w:tcPr>
            <w:tcW w:w="15134" w:type="dxa"/>
          </w:tcPr>
          <w:p w14:paraId="6AA7CAE8" w14:textId="71D4CA0E" w:rsidR="009E2E66" w:rsidRDefault="009E2E66" w:rsidP="009E2E66">
            <w:pPr>
              <w:rPr>
                <w:b/>
                <w:szCs w:val="24"/>
              </w:rPr>
            </w:pPr>
            <w:r>
              <w:rPr>
                <w:b/>
                <w:szCs w:val="24"/>
              </w:rPr>
              <w:t>4. Projekto tikslinės grupės</w:t>
            </w:r>
          </w:p>
        </w:tc>
      </w:tr>
      <w:tr w:rsidR="009E2E66" w14:paraId="6C723048" w14:textId="77777777">
        <w:trPr>
          <w:trHeight w:val="285"/>
        </w:trPr>
        <w:tc>
          <w:tcPr>
            <w:tcW w:w="15134" w:type="dxa"/>
          </w:tcPr>
          <w:p w14:paraId="35C89E6B" w14:textId="4CCBEFFE" w:rsidR="009E2E66" w:rsidRDefault="009E2E66" w:rsidP="009E2E66">
            <w:pPr>
              <w:jc w:val="both"/>
              <w:rPr>
                <w:sz w:val="22"/>
                <w:szCs w:val="22"/>
              </w:rPr>
            </w:pPr>
            <w:r w:rsidRPr="009D775B">
              <w:rPr>
                <w:szCs w:val="24"/>
              </w:rPr>
              <w:t xml:space="preserve">Projekto naudų gavėjų tikslinė grupė yra </w:t>
            </w:r>
            <w:r>
              <w:rPr>
                <w:szCs w:val="24"/>
              </w:rPr>
              <w:t>MVĮ.</w:t>
            </w:r>
          </w:p>
        </w:tc>
      </w:tr>
      <w:tr w:rsidR="009E2E66" w14:paraId="3B5D296B" w14:textId="77777777">
        <w:trPr>
          <w:trHeight w:val="285"/>
        </w:trPr>
        <w:tc>
          <w:tcPr>
            <w:tcW w:w="15134" w:type="dxa"/>
          </w:tcPr>
          <w:p w14:paraId="73B329F2" w14:textId="26E55465" w:rsidR="009E2E66" w:rsidRDefault="009E2E66" w:rsidP="009E2E66">
            <w:pPr>
              <w:rPr>
                <w:sz w:val="22"/>
                <w:szCs w:val="22"/>
              </w:rPr>
            </w:pPr>
            <w:r>
              <w:rPr>
                <w:b/>
                <w:szCs w:val="24"/>
              </w:rPr>
              <w:t>5</w:t>
            </w:r>
            <w:r>
              <w:rPr>
                <w:szCs w:val="24"/>
              </w:rPr>
              <w:t xml:space="preserve">. </w:t>
            </w:r>
            <w:r>
              <w:rPr>
                <w:b/>
                <w:szCs w:val="24"/>
              </w:rPr>
              <w:t>Horizontaliųjų principų (toliau – HP) reikalavimai</w:t>
            </w:r>
          </w:p>
        </w:tc>
      </w:tr>
      <w:tr w:rsidR="009E2E66" w14:paraId="337DAD82" w14:textId="77777777">
        <w:tc>
          <w:tcPr>
            <w:tcW w:w="15134" w:type="dxa"/>
          </w:tcPr>
          <w:p w14:paraId="05BF5501" w14:textId="77777777" w:rsidR="009E2E66" w:rsidRPr="009D775B" w:rsidRDefault="009E2E66" w:rsidP="009E2E66">
            <w:pPr>
              <w:jc w:val="both"/>
              <w:rPr>
                <w:szCs w:val="24"/>
              </w:rPr>
            </w:pPr>
            <w:r w:rsidRPr="009D775B">
              <w:rPr>
                <w:szCs w:val="24"/>
              </w:rPr>
              <w:t xml:space="preserve">Projekto įgyvendinimo metu neturi būti pažeidžiami HP: HP – </w:t>
            </w:r>
            <w:r w:rsidRPr="009D775B">
              <w:rPr>
                <w:b/>
                <w:bCs/>
                <w:szCs w:val="24"/>
              </w:rPr>
              <w:t>darnaus vystymosi</w:t>
            </w:r>
            <w:r w:rsidRPr="009D775B">
              <w:rPr>
                <w:szCs w:val="24"/>
              </w:rPr>
              <w:t xml:space="preserve">, įskaitant reikšmingos žalos nedarymo principą; </w:t>
            </w:r>
            <w:r w:rsidRPr="009D775B">
              <w:rPr>
                <w:b/>
                <w:bCs/>
                <w:szCs w:val="24"/>
              </w:rPr>
              <w:t>lygių galimybių ir nediskriminavimo</w:t>
            </w:r>
            <w:r w:rsidRPr="009D775B">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w:t>
            </w:r>
            <w:r w:rsidRPr="009D775B">
              <w:rPr>
                <w:b/>
                <w:bCs/>
                <w:szCs w:val="24"/>
              </w:rPr>
              <w:t>inovatyvumo.</w:t>
            </w:r>
            <w:r w:rsidRPr="009D775B">
              <w:rPr>
                <w:szCs w:val="24"/>
              </w:rPr>
              <w:t xml:space="preserve"> </w:t>
            </w:r>
          </w:p>
          <w:p w14:paraId="182CBF30" w14:textId="4F1A4DFF" w:rsidR="009E2E66" w:rsidRPr="009D775B" w:rsidRDefault="009E2E66" w:rsidP="009E2E66">
            <w:pPr>
              <w:jc w:val="both"/>
              <w:rPr>
                <w:szCs w:val="24"/>
              </w:rPr>
            </w:pPr>
            <w:r w:rsidRPr="009D775B">
              <w:rPr>
                <w:szCs w:val="24"/>
              </w:rPr>
              <w:t>Darnaus vystymosi horizontalusis principas suprantamas kaip ekonominio, socialinio ir aplinkos sričių vystymosi balansas. Projektas turi prisidėti prie 2015</w:t>
            </w:r>
            <w:r>
              <w:rPr>
                <w:szCs w:val="24"/>
              </w:rPr>
              <w:t> </w:t>
            </w:r>
            <w:r w:rsidRPr="009D775B">
              <w:rPr>
                <w:szCs w:val="24"/>
              </w:rPr>
              <w:t>m. rugsėjo 25 d. Jungtinių Tautų patvirtintų darnaus vystymosi tikslų: 8 – Deramas darbas ir ekonomikos augimas, 9 – Pramonė, inovacijos ir infrastruktūra, 17 – Stiprinti įgyvendinimo priemones ir atgaivinti pasaulinę darnaus vystymosi partnerystę. Projektu orientuojamasi į didelę pridėtinę vertę kuriantį ekonomikos sektorių, netiesiogiai remiamas labai mažų, mažų ir vidutinių įmonių augimas, gebėjimų ugdymas, galimybė dalyvauti MTEP veiklose, remiamas jaunų žmonių dalyvavimas vystant ekonomikos sektorių. Projektas taip pat prisidės prie strateginių tikslų didinti sektoriaus dalį šalies BVP. Projektas taip pat skatins kurti naujas technologijas, įskaitant ir draugiškas aplinkai. Taip pat siekiant didinti viešojo sektoriaus indėlį skatinant darnų vystymąsi, įgyvendinant projektines veiklas, bus siekiama, kad dalis pirkimų būtų atliekami kaip žalieji viešieji pirkimai.</w:t>
            </w:r>
            <w:r w:rsidRPr="009D775B">
              <w:rPr>
                <w:rStyle w:val="ui-provider"/>
              </w:rPr>
              <w:t xml:space="preserve"> Projektai taip pat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Projekto atitikties reikšmingos žalos nedarymo HP vertinimo reikalavimai pateikiami Aprašo 1 priede.</w:t>
            </w:r>
          </w:p>
          <w:p w14:paraId="07AF5448" w14:textId="77777777" w:rsidR="009E2E66" w:rsidRPr="009D775B" w:rsidRDefault="009E2E66" w:rsidP="009E2E66">
            <w:pPr>
              <w:jc w:val="both"/>
              <w:rPr>
                <w:szCs w:val="24"/>
              </w:rPr>
            </w:pPr>
            <w:r w:rsidRPr="009D775B">
              <w:rPr>
                <w:szCs w:val="24"/>
              </w:rPr>
              <w:t>Lygių galimybių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Veiklų įgyvendinimui nebus numatyti jokie ribojimai dėl lyties, rasės, tautybės, pilietybės, kalbos, kilmės, socialinės padėties, tikėjimo, įsitikinimų ar pažiūrų, amžiaus, lytinės orientacijos, negalios, etninės priklausomybės, religijos ar kitų pagrindų.</w:t>
            </w:r>
          </w:p>
          <w:p w14:paraId="0E5023E4" w14:textId="6C40F857" w:rsidR="009E2E66" w:rsidRDefault="009E2E66" w:rsidP="009E2E66">
            <w:pPr>
              <w:jc w:val="both"/>
              <w:rPr>
                <w:i/>
                <w:iCs/>
                <w:sz w:val="22"/>
                <w:szCs w:val="22"/>
              </w:rPr>
            </w:pPr>
            <w:r w:rsidRPr="009D775B">
              <w:rPr>
                <w:b/>
                <w:bCs/>
              </w:rPr>
              <w:t>Inovatyvumo</w:t>
            </w:r>
            <w:r w:rsidRPr="009D775B">
              <w:t xml:space="preserve">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 Pirmiausia projektas prisidės prie startuolių, studentų, jaunų absolventų, fizinių asmenų, ketinančių steigti ir plėtoti verslą įgalinimo. Be to, projektu bus remiamos verslo ir mokslo galimybės dalyvauti MTEP veiklose ir tarptautinė tinklaveika. Projektas taip pat prisidės prie verslo ir mokslo rezultatų sklaidos. Galiausiai </w:t>
            </w:r>
            <w:r w:rsidRPr="009D775B">
              <w:rPr>
                <w:rStyle w:val="ui-provider"/>
              </w:rPr>
              <w:t xml:space="preserve">projekto veiklų poveikis lemia, kad kuriami ir (ar) diegiami inovatyvūs produktai. </w:t>
            </w:r>
          </w:p>
        </w:tc>
      </w:tr>
      <w:tr w:rsidR="009E2E66" w14:paraId="08B2F7CE" w14:textId="77777777">
        <w:tc>
          <w:tcPr>
            <w:tcW w:w="15134" w:type="dxa"/>
          </w:tcPr>
          <w:p w14:paraId="7776193C" w14:textId="27421141" w:rsidR="009E2E66" w:rsidRDefault="009E2E66" w:rsidP="009E2E66">
            <w:pPr>
              <w:spacing w:line="259" w:lineRule="auto"/>
              <w:jc w:val="both"/>
              <w:rPr>
                <w:b/>
                <w:iCs/>
                <w:szCs w:val="24"/>
              </w:rPr>
            </w:pPr>
            <w:r>
              <w:rPr>
                <w:b/>
                <w:iCs/>
                <w:szCs w:val="24"/>
              </w:rPr>
              <w:t>6. Europos Sąjungos pagrindinių teisių chartijos (toliau – Chartija) reikalavimai</w:t>
            </w:r>
          </w:p>
        </w:tc>
      </w:tr>
      <w:tr w:rsidR="009E2E66" w14:paraId="2E9D5191" w14:textId="77777777">
        <w:tc>
          <w:tcPr>
            <w:tcW w:w="15134" w:type="dxa"/>
          </w:tcPr>
          <w:p w14:paraId="54D9479E" w14:textId="4BE259DA" w:rsidR="009E2E66" w:rsidRDefault="009E2E66" w:rsidP="009E2E66">
            <w:pPr>
              <w:jc w:val="both"/>
              <w:rPr>
                <w:i/>
                <w:iCs/>
                <w:sz w:val="22"/>
                <w:szCs w:val="22"/>
              </w:rPr>
            </w:pPr>
            <w:r w:rsidRPr="009D775B">
              <w:rPr>
                <w:szCs w:val="24"/>
              </w:rPr>
              <w:t>Projekto veiklos turi nepažeisti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9E2E66" w14:paraId="411A6EC1" w14:textId="77777777">
        <w:tc>
          <w:tcPr>
            <w:tcW w:w="15134" w:type="dxa"/>
          </w:tcPr>
          <w:p w14:paraId="644EE0FE" w14:textId="1520C834" w:rsidR="009E2E66" w:rsidRDefault="009E2E66" w:rsidP="009E2E66">
            <w:pPr>
              <w:rPr>
                <w:b/>
                <w:szCs w:val="24"/>
              </w:rPr>
            </w:pPr>
            <w:r>
              <w:rPr>
                <w:b/>
                <w:szCs w:val="24"/>
              </w:rPr>
              <w:t>7. Apskritis, kurioje gali būti įgyvendinami projektai</w:t>
            </w:r>
          </w:p>
        </w:tc>
      </w:tr>
      <w:tr w:rsidR="009E2E66" w14:paraId="5D536B2D" w14:textId="77777777">
        <w:tc>
          <w:tcPr>
            <w:tcW w:w="15134" w:type="dxa"/>
          </w:tcPr>
          <w:p w14:paraId="2E17ACF8" w14:textId="3E7D323D" w:rsidR="009E2E66" w:rsidRDefault="009E2E66" w:rsidP="009E2E66">
            <w:pPr>
              <w:jc w:val="both"/>
              <w:rPr>
                <w:i/>
                <w:sz w:val="22"/>
                <w:szCs w:val="22"/>
              </w:rPr>
            </w:pPr>
            <w:r w:rsidRPr="009D775B">
              <w:rPr>
                <w:iCs/>
                <w:szCs w:val="24"/>
              </w:rPr>
              <w:t>Netaikoma</w:t>
            </w:r>
            <w:r>
              <w:rPr>
                <w:iCs/>
                <w:szCs w:val="24"/>
              </w:rPr>
              <w:t>.</w:t>
            </w:r>
          </w:p>
        </w:tc>
      </w:tr>
      <w:tr w:rsidR="009E2E66" w14:paraId="0DF7DED1" w14:textId="77777777">
        <w:tc>
          <w:tcPr>
            <w:tcW w:w="15134" w:type="dxa"/>
          </w:tcPr>
          <w:p w14:paraId="64438951" w14:textId="006EC143" w:rsidR="009E2E66" w:rsidRDefault="009E2E66" w:rsidP="009E2E66">
            <w:pPr>
              <w:jc w:val="both"/>
              <w:rPr>
                <w:szCs w:val="24"/>
              </w:rPr>
            </w:pPr>
            <w:r>
              <w:rPr>
                <w:b/>
                <w:szCs w:val="24"/>
              </w:rPr>
              <w:t>8.</w:t>
            </w:r>
            <w:r>
              <w:rPr>
                <w:szCs w:val="24"/>
              </w:rPr>
              <w:t xml:space="preserve"> </w:t>
            </w:r>
            <w:r>
              <w:rPr>
                <w:b/>
                <w:szCs w:val="24"/>
              </w:rPr>
              <w:t>Reikalavimai valstybės pagalbai (kurie nėra nurodyti kituose Aprašo punktuose)</w:t>
            </w:r>
          </w:p>
        </w:tc>
      </w:tr>
      <w:tr w:rsidR="009E2E66" w14:paraId="5B77D7F9" w14:textId="77777777">
        <w:tc>
          <w:tcPr>
            <w:tcW w:w="15134" w:type="dxa"/>
          </w:tcPr>
          <w:p w14:paraId="5394D774" w14:textId="77777777" w:rsidR="009E2E66" w:rsidRPr="00C6350E" w:rsidRDefault="009E2E66" w:rsidP="009E2E66">
            <w:pPr>
              <w:jc w:val="both"/>
              <w:rPr>
                <w:szCs w:val="24"/>
              </w:rPr>
            </w:pPr>
            <w:r w:rsidRPr="00F72FCF">
              <w:rPr>
                <w:szCs w:val="24"/>
              </w:rPr>
              <w:t>5.1.</w:t>
            </w:r>
            <w:r>
              <w:rPr>
                <w:szCs w:val="24"/>
              </w:rPr>
              <w:t xml:space="preserve"> </w:t>
            </w:r>
            <w:r w:rsidRPr="00F72FCF">
              <w:rPr>
                <w:szCs w:val="24"/>
              </w:rPr>
              <w:t xml:space="preserve">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w:t>
            </w:r>
            <w:r>
              <w:rPr>
                <w:szCs w:val="24"/>
              </w:rPr>
              <w:t>Pareiškėjui neteikiama.</w:t>
            </w:r>
          </w:p>
          <w:p w14:paraId="101A6A9D" w14:textId="33E8F9C6" w:rsidR="009E2E66" w:rsidRPr="00F72FCF" w:rsidRDefault="009E2E66" w:rsidP="009E2E66">
            <w:pPr>
              <w:jc w:val="both"/>
              <w:rPr>
                <w:szCs w:val="24"/>
              </w:rPr>
            </w:pPr>
            <w:r w:rsidRPr="00F72FCF">
              <w:rPr>
                <w:szCs w:val="24"/>
              </w:rPr>
              <w:t>5.2.</w:t>
            </w:r>
            <w:r>
              <w:rPr>
                <w:szCs w:val="24"/>
              </w:rPr>
              <w:t xml:space="preserve"> </w:t>
            </w:r>
            <w:r w:rsidRPr="002D681E">
              <w:rPr>
                <w:szCs w:val="24"/>
              </w:rPr>
              <w:t>Vykdant projekto veiklas</w:t>
            </w:r>
            <w:r>
              <w:rPr>
                <w:szCs w:val="24"/>
              </w:rPr>
              <w:t xml:space="preserve"> </w:t>
            </w:r>
            <w:r w:rsidRPr="002D681E">
              <w:rPr>
                <w:i/>
                <w:iCs/>
                <w:szCs w:val="24"/>
              </w:rPr>
              <w:t>de minimis</w:t>
            </w:r>
            <w:r w:rsidRPr="002D681E">
              <w:rPr>
                <w:szCs w:val="24"/>
              </w:rPr>
              <w:t xml:space="preserve"> pagalba</w:t>
            </w:r>
            <w:r>
              <w:rPr>
                <w:szCs w:val="24"/>
              </w:rPr>
              <w:t xml:space="preserve"> teikiama projekto partneriams. Tokia </w:t>
            </w:r>
            <w:r w:rsidRPr="001F111C">
              <w:rPr>
                <w:i/>
                <w:iCs/>
                <w:szCs w:val="24"/>
              </w:rPr>
              <w:t>de minimis</w:t>
            </w:r>
            <w:r>
              <w:rPr>
                <w:szCs w:val="24"/>
              </w:rPr>
              <w:t xml:space="preserve"> </w:t>
            </w:r>
            <w:r w:rsidRPr="00F72FCF">
              <w:rPr>
                <w:szCs w:val="24"/>
              </w:rPr>
              <w:t xml:space="preserve"> pagalba atitinka 2014 m. birželio 17 d. Komisijos reglamento (ES) Nr. 651/2014</w:t>
            </w:r>
            <w:r>
              <w:rPr>
                <w:szCs w:val="24"/>
              </w:rPr>
              <w:t xml:space="preserve"> (toliau – </w:t>
            </w:r>
            <w:r w:rsidR="00A5252C">
              <w:rPr>
                <w:i/>
                <w:iCs/>
                <w:szCs w:val="24"/>
              </w:rPr>
              <w:t>BBIR</w:t>
            </w:r>
            <w:r>
              <w:rPr>
                <w:szCs w:val="24"/>
              </w:rPr>
              <w:t xml:space="preserve"> reglamentas)</w:t>
            </w:r>
            <w:r w:rsidRPr="00F72FCF">
              <w:rPr>
                <w:szCs w:val="24"/>
              </w:rPr>
              <w:t xml:space="preserve">, kuriuo tam tikrų kategorijų pagalba skelbiama suderinama su vidaus rinka taikant Sutarties 107 ir 108 straipsnius, </w:t>
            </w:r>
            <w:r>
              <w:rPr>
                <w:szCs w:val="24"/>
              </w:rPr>
              <w:t xml:space="preserve">nuostatas. </w:t>
            </w:r>
          </w:p>
          <w:p w14:paraId="6078CAF8" w14:textId="77777777" w:rsidR="009E2E66" w:rsidRPr="007E5F3A" w:rsidRDefault="009E2E66" w:rsidP="009E2E66">
            <w:pPr>
              <w:jc w:val="both"/>
              <w:rPr>
                <w:szCs w:val="24"/>
              </w:rPr>
            </w:pPr>
            <w:r w:rsidRPr="00FC2804">
              <w:rPr>
                <w:szCs w:val="24"/>
              </w:rPr>
              <w:t xml:space="preserve">5.3. </w:t>
            </w:r>
            <w:r w:rsidRPr="007E5F3A">
              <w:rPr>
                <w:szCs w:val="24"/>
              </w:rPr>
              <w:t>Bendra vienam naudos gavėjui ir su juo susijusiems naudos gavėjams teikiama valstybės pagalbos pagal D</w:t>
            </w:r>
            <w:r w:rsidRPr="007E5F3A">
              <w:rPr>
                <w:i/>
                <w:iCs/>
                <w:szCs w:val="24"/>
              </w:rPr>
              <w:t>e minimis</w:t>
            </w:r>
            <w:r w:rsidRPr="007E5F3A">
              <w:rPr>
                <w:szCs w:val="24"/>
              </w:rPr>
              <w:t xml:space="preserve"> reglamentą suma negali viršyti 200 000 Eur (dviejų šimtų tūkstančių eurų). Šis reikalavimas taikomas nepriklausomai nuo </w:t>
            </w:r>
            <w:r w:rsidRPr="007E5F3A">
              <w:rPr>
                <w:i/>
                <w:iCs/>
                <w:szCs w:val="24"/>
              </w:rPr>
              <w:t>de minimis</w:t>
            </w:r>
            <w:r w:rsidRPr="007E5F3A">
              <w:rPr>
                <w:szCs w:val="24"/>
              </w:rPr>
              <w:t xml:space="preserve"> pagalbos formos arba siekiamų tikslų ir neatsižvelgiant į tai, ar valstybės narės skirta pagalba yra visa arba iš dalies finansuojama Europos Sąjungos kilmės ištekliais. </w:t>
            </w:r>
          </w:p>
          <w:p w14:paraId="150F864E" w14:textId="77777777" w:rsidR="009E2E66" w:rsidRDefault="009E2E66" w:rsidP="009E2E66">
            <w:pPr>
              <w:jc w:val="both"/>
              <w:rPr>
                <w:szCs w:val="24"/>
              </w:rPr>
            </w:pPr>
            <w:r w:rsidRPr="00FC2804">
              <w:rPr>
                <w:szCs w:val="24"/>
              </w:rPr>
              <w:t xml:space="preserve">5.4. Jei </w:t>
            </w:r>
            <w:r>
              <w:rPr>
                <w:szCs w:val="24"/>
              </w:rPr>
              <w:t xml:space="preserve">partneris </w:t>
            </w:r>
            <w:r w:rsidRPr="00FC2804">
              <w:rPr>
                <w:szCs w:val="24"/>
              </w:rPr>
              <w:t xml:space="preserve"> yra įmonė, v</w:t>
            </w:r>
            <w:r w:rsidRPr="007E5F3A">
              <w:rPr>
                <w:szCs w:val="24"/>
              </w:rPr>
              <w:t>iena įmonė apima visas įmones, kaip nurodyta D</w:t>
            </w:r>
            <w:r w:rsidRPr="007E5F3A">
              <w:rPr>
                <w:i/>
                <w:iCs/>
                <w:szCs w:val="24"/>
              </w:rPr>
              <w:t>e minimis</w:t>
            </w:r>
            <w:r w:rsidRPr="007E5F3A">
              <w:rPr>
                <w:szCs w:val="24"/>
              </w:rPr>
              <w:t xml:space="preserve"> reglamento 2 straipsnio 2 dalyje.</w:t>
            </w:r>
            <w:r w:rsidRPr="00F8018C">
              <w:rPr>
                <w:szCs w:val="24"/>
              </w:rPr>
              <w:t>  </w:t>
            </w:r>
          </w:p>
          <w:p w14:paraId="0FA01BA1" w14:textId="77777777" w:rsidR="009E2E66" w:rsidRDefault="009E2E66" w:rsidP="009E2E66">
            <w:pPr>
              <w:jc w:val="both"/>
              <w:rPr>
                <w:szCs w:val="24"/>
              </w:rPr>
            </w:pPr>
            <w:r w:rsidRPr="00086B7E">
              <w:rPr>
                <w:szCs w:val="24"/>
              </w:rPr>
              <w:t>5.5. Naudos gav</w:t>
            </w:r>
            <w:r>
              <w:rPr>
                <w:szCs w:val="24"/>
              </w:rPr>
              <w:t>ėjui keliami šie reikalavimai:</w:t>
            </w:r>
          </w:p>
          <w:p w14:paraId="0C50B94C" w14:textId="77777777" w:rsidR="009E2E66" w:rsidRDefault="009E2E66" w:rsidP="009E2E66">
            <w:pPr>
              <w:jc w:val="both"/>
              <w:rPr>
                <w:szCs w:val="24"/>
              </w:rPr>
            </w:pPr>
            <w:r w:rsidRPr="00086B7E">
              <w:rPr>
                <w:szCs w:val="24"/>
              </w:rPr>
              <w:t xml:space="preserve">5.5.1. </w:t>
            </w:r>
            <w:r w:rsidRPr="002954C0">
              <w:rPr>
                <w:szCs w:val="24"/>
              </w:rPr>
              <w:t>finansavimo skyrimo momentu yra Lietuvos Respublikoje registruota įmonė</w:t>
            </w:r>
            <w:r>
              <w:rPr>
                <w:szCs w:val="24"/>
              </w:rPr>
              <w:t xml:space="preserve">, atitinkanti startuolių apibrėžimą taip kaip jis pateiktas Smulkiojo ir vidutinio verslo plėtros įstatyme;  </w:t>
            </w:r>
            <w:r w:rsidRPr="002954C0">
              <w:rPr>
                <w:szCs w:val="24"/>
              </w:rPr>
              <w:t xml:space="preserve"> </w:t>
            </w:r>
          </w:p>
          <w:p w14:paraId="0FE148DE" w14:textId="77777777" w:rsidR="009E2E66" w:rsidRPr="002954C0" w:rsidRDefault="009E2E66" w:rsidP="009E2E66">
            <w:pPr>
              <w:jc w:val="both"/>
              <w:rPr>
                <w:szCs w:val="24"/>
              </w:rPr>
            </w:pPr>
            <w:r>
              <w:rPr>
                <w:szCs w:val="24"/>
              </w:rPr>
              <w:t>5.5.2.</w:t>
            </w:r>
            <w:r w:rsidRPr="002954C0">
              <w:rPr>
                <w:szCs w:val="24"/>
              </w:rPr>
              <w:t xml:space="preserve"> turi teisę gauti </w:t>
            </w:r>
            <w:r w:rsidRPr="002954C0">
              <w:rPr>
                <w:i/>
                <w:iCs/>
                <w:szCs w:val="24"/>
              </w:rPr>
              <w:t>de minimis</w:t>
            </w:r>
            <w:r w:rsidRPr="002954C0">
              <w:rPr>
                <w:szCs w:val="24"/>
              </w:rPr>
              <w:t xml:space="preserve"> pagalbą; </w:t>
            </w:r>
          </w:p>
          <w:p w14:paraId="50B51F39" w14:textId="77777777" w:rsidR="009E2E66" w:rsidRPr="001850BE" w:rsidRDefault="009E2E66" w:rsidP="009E2E66">
            <w:pPr>
              <w:pStyle w:val="ListParagraph"/>
              <w:numPr>
                <w:ilvl w:val="2"/>
                <w:numId w:val="11"/>
              </w:numPr>
              <w:jc w:val="both"/>
              <w:rPr>
                <w:szCs w:val="24"/>
              </w:rPr>
            </w:pPr>
            <w:r w:rsidRPr="001850BE">
              <w:rPr>
                <w:szCs w:val="24"/>
              </w:rPr>
              <w:t>Pagal veikl</w:t>
            </w:r>
            <w:r>
              <w:rPr>
                <w:szCs w:val="24"/>
              </w:rPr>
              <w:t>ą</w:t>
            </w:r>
            <w:r w:rsidRPr="001850BE">
              <w:rPr>
                <w:szCs w:val="24"/>
              </w:rPr>
              <w:t xml:space="preserve"> </w:t>
            </w:r>
            <w:r>
              <w:rPr>
                <w:szCs w:val="24"/>
              </w:rPr>
              <w:t xml:space="preserve"> partneriu </w:t>
            </w:r>
            <w:r w:rsidRPr="001850BE">
              <w:rPr>
                <w:szCs w:val="24"/>
              </w:rPr>
              <w:t xml:space="preserve"> negali būti subjektas, kuris atitinka nors vieną šių sąlygų: </w:t>
            </w:r>
          </w:p>
          <w:p w14:paraId="4F7BBED9" w14:textId="77777777" w:rsidR="009E2E66" w:rsidRPr="002954C0" w:rsidRDefault="009E2E66" w:rsidP="009E2E66">
            <w:pPr>
              <w:jc w:val="both"/>
              <w:rPr>
                <w:szCs w:val="24"/>
              </w:rPr>
            </w:pPr>
            <w:r w:rsidRPr="00086B7E">
              <w:rPr>
                <w:szCs w:val="24"/>
              </w:rPr>
              <w:t>5.5.</w:t>
            </w:r>
            <w:r>
              <w:rPr>
                <w:szCs w:val="24"/>
              </w:rPr>
              <w:t>9</w:t>
            </w:r>
            <w:r w:rsidRPr="00363B4D">
              <w:rPr>
                <w:szCs w:val="24"/>
              </w:rPr>
              <w:t>.1.</w:t>
            </w:r>
            <w:r w:rsidRPr="002954C0">
              <w:rPr>
                <w:szCs w:val="24"/>
              </w:rPr>
              <w:t xml:space="preserve"> kuriam taikomas neįvykdytas vykdomasis raštas išieškoti lėšas po ankstesnio Europos Komisijos sprendimo, kuriuo pagalba pripažinta neteisėta ir nesuderinama su vidaus rinka; </w:t>
            </w:r>
          </w:p>
          <w:p w14:paraId="59556F4F" w14:textId="77777777" w:rsidR="009E2E66" w:rsidRPr="002954C0" w:rsidRDefault="009E2E66" w:rsidP="009E2E66">
            <w:pPr>
              <w:jc w:val="both"/>
              <w:rPr>
                <w:szCs w:val="24"/>
              </w:rPr>
            </w:pPr>
            <w:r>
              <w:rPr>
                <w:szCs w:val="24"/>
              </w:rPr>
              <w:t>5.5.9.2.</w:t>
            </w:r>
            <w:r w:rsidRPr="002954C0">
              <w:rPr>
                <w:szCs w:val="24"/>
              </w:rPr>
              <w:t xml:space="preserve">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2954C0">
              <w:rPr>
                <w:szCs w:val="24"/>
                <w:u w:val="single"/>
              </w:rPr>
              <w:t>7</w:t>
            </w:r>
            <w:r w:rsidRPr="002954C0">
              <w:rPr>
                <w:szCs w:val="24"/>
              </w:rPr>
              <w:t xml:space="preserve">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6" w:tgtFrame="_blank" w:history="1">
              <w:r w:rsidRPr="002954C0">
                <w:rPr>
                  <w:rStyle w:val="Hyperlink"/>
                  <w:szCs w:val="24"/>
                </w:rPr>
                <w:t>www.migracija.lt</w:t>
              </w:r>
            </w:hyperlink>
            <w:r w:rsidRPr="002954C0">
              <w:rPr>
                <w:szCs w:val="24"/>
              </w:rPr>
              <w:t>; </w:t>
            </w:r>
          </w:p>
          <w:p w14:paraId="3D9C19CB" w14:textId="77777777" w:rsidR="009E2E66" w:rsidRPr="002954C0" w:rsidRDefault="009E2E66" w:rsidP="009E2E66">
            <w:pPr>
              <w:jc w:val="both"/>
              <w:rPr>
                <w:szCs w:val="24"/>
              </w:rPr>
            </w:pPr>
            <w:r>
              <w:rPr>
                <w:szCs w:val="24"/>
              </w:rPr>
              <w:t xml:space="preserve">5.5.9.3. </w:t>
            </w:r>
            <w:r w:rsidRPr="002954C0">
              <w:rPr>
                <w:szCs w:val="24"/>
              </w:rPr>
              <w:t>kurį kontroliuojantys asmenys yra fiziniai asmenys, nuolat gyvenantys Rusijos Federacijoje, Baltarusijos Respublikoje arba turintys šių valstybių pilietybę, taip pat fiziniai asmenys, nuolat gyvenantys Ukrainos teritorijos dalyse – aneksuotoje Krymo ir kitose Ukrainos Vyriausybės nekontroliuojamose teritorijose, Moldovos Respublikos Vyriausybės nekontroliuojamoje Padniestrės teritorijoje, Sakartvelo Vyriausybės nekontroliuojamoje Abchazijos ir Pietų Osetijos teritorijose, arba turintys šių teritorijų pilietybę; </w:t>
            </w:r>
          </w:p>
          <w:p w14:paraId="3DCC236D" w14:textId="28965066" w:rsidR="009E2E66" w:rsidRPr="008F1B00" w:rsidRDefault="009E2E66" w:rsidP="009E2E66">
            <w:pPr>
              <w:jc w:val="both"/>
              <w:rPr>
                <w:szCs w:val="24"/>
              </w:rPr>
            </w:pPr>
            <w:r>
              <w:rPr>
                <w:szCs w:val="24"/>
              </w:rPr>
              <w:t>5.5.9</w:t>
            </w:r>
            <w:r w:rsidRPr="002954C0">
              <w:rPr>
                <w:szCs w:val="24"/>
              </w:rPr>
              <w:t xml:space="preserve">.4. nesugrąžinęs anksčiau gautos valstybės pagalbos, kurią valstybė iš savo išteklių teikia tam tikriems ūkio subjektams arba tam tikroms prekėms gaminti ar paslaugoms teikti, suteikdama išskirtinę ekonominę naudą, kuri neatsirastų rinkos sąlygomis ir kuri iškraipo konkurenciją bei veikia prekybą tarp Europos Sąjungos valstybių narių, Europos Komisijos sprendimu pripažintos neteisėta ir nesuderinama su vidaus rinka, kaip tai numatyta 2015 m. liepos 13 d. Tarybos reglamente (ES) 2015/1589, nustatančiame išsamias Sutarties dėl Europos Sąjungos veikimo 108 straipsnio taikymo taisykles. </w:t>
            </w:r>
          </w:p>
        </w:tc>
      </w:tr>
      <w:tr w:rsidR="009E2E66" w14:paraId="7D53C4A6" w14:textId="77777777">
        <w:tc>
          <w:tcPr>
            <w:tcW w:w="15134" w:type="dxa"/>
          </w:tcPr>
          <w:p w14:paraId="269355EA" w14:textId="47E34DF2" w:rsidR="009E2E66" w:rsidRPr="008F1B00" w:rsidRDefault="009E2E66" w:rsidP="009E2E66">
            <w:pPr>
              <w:ind w:left="426" w:hanging="426"/>
              <w:jc w:val="both"/>
              <w:rPr>
                <w:szCs w:val="24"/>
              </w:rPr>
            </w:pPr>
            <w:r>
              <w:rPr>
                <w:b/>
                <w:szCs w:val="24"/>
              </w:rPr>
              <w:t>9.</w:t>
            </w:r>
            <w:r>
              <w:rPr>
                <w:szCs w:val="24"/>
              </w:rPr>
              <w:t xml:space="preserve"> </w:t>
            </w:r>
            <w:r>
              <w:rPr>
                <w:b/>
                <w:szCs w:val="24"/>
              </w:rPr>
              <w:t>Projektų atrankos kriterijai</w:t>
            </w:r>
          </w:p>
        </w:tc>
      </w:tr>
      <w:tr w:rsidR="009E2E66" w14:paraId="69F719CC" w14:textId="77777777">
        <w:tc>
          <w:tcPr>
            <w:tcW w:w="15134" w:type="dxa"/>
          </w:tcPr>
          <w:p w14:paraId="0910F0EB" w14:textId="2B50F2DF" w:rsidR="009E2E66" w:rsidRDefault="009E2E66" w:rsidP="009E2E66">
            <w:pPr>
              <w:ind w:left="426" w:hanging="426"/>
              <w:jc w:val="both"/>
              <w:rPr>
                <w:b/>
                <w:szCs w:val="24"/>
              </w:rPr>
            </w:pPr>
            <w:r w:rsidRPr="009D775B">
              <w:t>Specialieji ir prioritetiniai projektų atrankos kriterijai nėra nustatomi.</w:t>
            </w:r>
          </w:p>
        </w:tc>
      </w:tr>
      <w:tr w:rsidR="009E2E66" w14:paraId="1D4C8D0E" w14:textId="77777777">
        <w:trPr>
          <w:trHeight w:val="309"/>
        </w:trPr>
        <w:tc>
          <w:tcPr>
            <w:tcW w:w="15134" w:type="dxa"/>
          </w:tcPr>
          <w:p w14:paraId="518959F2" w14:textId="21046166" w:rsidR="009E2E66" w:rsidRPr="00836C7E" w:rsidRDefault="009E2E66" w:rsidP="009E2E66">
            <w:pPr>
              <w:jc w:val="both"/>
              <w:rPr>
                <w:i/>
                <w:szCs w:val="22"/>
              </w:rPr>
            </w:pPr>
            <w:r>
              <w:rPr>
                <w:b/>
                <w:szCs w:val="22"/>
              </w:rPr>
              <w:t>10.</w:t>
            </w:r>
            <w:r>
              <w:rPr>
                <w:szCs w:val="22"/>
              </w:rPr>
              <w:t xml:space="preserve"> </w:t>
            </w:r>
            <w:r>
              <w:rPr>
                <w:b/>
                <w:szCs w:val="22"/>
              </w:rPr>
              <w:t xml:space="preserve">Jungtinio projekto projektų atrankos kriterijai </w:t>
            </w:r>
          </w:p>
        </w:tc>
      </w:tr>
      <w:tr w:rsidR="009E2E66" w14:paraId="6EC432CB" w14:textId="77777777" w:rsidTr="00836C7E">
        <w:trPr>
          <w:trHeight w:val="339"/>
        </w:trPr>
        <w:tc>
          <w:tcPr>
            <w:tcW w:w="15134" w:type="dxa"/>
          </w:tcPr>
          <w:p w14:paraId="35ADFCB3" w14:textId="65F39921" w:rsidR="009E2E66" w:rsidRDefault="009E2E66" w:rsidP="009E2E66">
            <w:pPr>
              <w:jc w:val="both"/>
              <w:rPr>
                <w:i/>
                <w:sz w:val="22"/>
                <w:szCs w:val="22"/>
              </w:rPr>
            </w:pPr>
            <w:r w:rsidRPr="009D775B">
              <w:rPr>
                <w:bCs/>
                <w:szCs w:val="22"/>
              </w:rPr>
              <w:t>Netaikoma</w:t>
            </w:r>
            <w:r>
              <w:rPr>
                <w:bCs/>
                <w:szCs w:val="22"/>
              </w:rPr>
              <w:t>.</w:t>
            </w:r>
          </w:p>
        </w:tc>
      </w:tr>
      <w:tr w:rsidR="009E2E66" w14:paraId="0B3B981D" w14:textId="77777777">
        <w:tc>
          <w:tcPr>
            <w:tcW w:w="15134" w:type="dxa"/>
          </w:tcPr>
          <w:p w14:paraId="77DD98CB" w14:textId="66E6B9EA" w:rsidR="009E2E66" w:rsidRDefault="009E2E66" w:rsidP="009E2E66">
            <w:pPr>
              <w:rPr>
                <w:szCs w:val="24"/>
              </w:rPr>
            </w:pPr>
            <w:r>
              <w:rPr>
                <w:b/>
                <w:szCs w:val="24"/>
              </w:rPr>
              <w:t>11.</w:t>
            </w:r>
            <w:r>
              <w:rPr>
                <w:szCs w:val="24"/>
              </w:rPr>
              <w:t xml:space="preserve"> </w:t>
            </w:r>
            <w:r>
              <w:rPr>
                <w:b/>
                <w:szCs w:val="24"/>
              </w:rPr>
              <w:t>Reikalavimai įgyvendinus projektų veiklas</w:t>
            </w:r>
          </w:p>
        </w:tc>
      </w:tr>
      <w:tr w:rsidR="009E2E66" w14:paraId="318D32D0" w14:textId="77777777">
        <w:tc>
          <w:tcPr>
            <w:tcW w:w="15134" w:type="dxa"/>
          </w:tcPr>
          <w:p w14:paraId="08474776" w14:textId="4013DC42" w:rsidR="009E2E66" w:rsidRDefault="009E2E66" w:rsidP="009E2E66">
            <w:pPr>
              <w:jc w:val="both"/>
              <w:rPr>
                <w:i/>
                <w:sz w:val="22"/>
                <w:szCs w:val="22"/>
              </w:rPr>
            </w:pPr>
            <w:r w:rsidRPr="00C36DEE">
              <w:rPr>
                <w:i/>
                <w:iCs/>
              </w:rPr>
              <w:t>Reikalavimai įgyvendinus projektų veiklas numatyti Projektų administravimo ir finansavimo taisyklių IV skyriaus dešimtajame skirsnyje.</w:t>
            </w:r>
          </w:p>
        </w:tc>
      </w:tr>
      <w:tr w:rsidR="009E2E66" w14:paraId="76E350FC" w14:textId="77777777">
        <w:tc>
          <w:tcPr>
            <w:tcW w:w="15134" w:type="dxa"/>
          </w:tcPr>
          <w:p w14:paraId="10E33134" w14:textId="1D788C31" w:rsidR="009E2E66" w:rsidRDefault="009E2E66" w:rsidP="009E2E66">
            <w:pPr>
              <w:rPr>
                <w:szCs w:val="24"/>
              </w:rPr>
            </w:pPr>
            <w:r>
              <w:rPr>
                <w:b/>
                <w:szCs w:val="24"/>
              </w:rPr>
              <w:t>12.</w:t>
            </w:r>
            <w:r>
              <w:rPr>
                <w:szCs w:val="24"/>
              </w:rPr>
              <w:t xml:space="preserve"> </w:t>
            </w:r>
            <w:r>
              <w:rPr>
                <w:b/>
                <w:szCs w:val="24"/>
              </w:rPr>
              <w:t>Kiti reikalavimai</w:t>
            </w:r>
          </w:p>
        </w:tc>
      </w:tr>
      <w:tr w:rsidR="009E2E66" w14:paraId="2A47AD37" w14:textId="77777777">
        <w:tc>
          <w:tcPr>
            <w:tcW w:w="15134" w:type="dxa"/>
          </w:tcPr>
          <w:p w14:paraId="6D5D2B01" w14:textId="4000277E" w:rsidR="009E2E66" w:rsidRDefault="009E2E66" w:rsidP="009E2E66">
            <w:pPr>
              <w:tabs>
                <w:tab w:val="left" w:pos="1134"/>
              </w:tabs>
              <w:jc w:val="both"/>
              <w:rPr>
                <w:i/>
                <w:sz w:val="22"/>
                <w:szCs w:val="22"/>
              </w:rPr>
            </w:pPr>
            <w:r w:rsidRPr="009D775B">
              <w:t>Netaikoma.</w:t>
            </w:r>
          </w:p>
        </w:tc>
      </w:tr>
      <w:tr w:rsidR="009E2E66" w14:paraId="41DB09FF" w14:textId="77777777">
        <w:tc>
          <w:tcPr>
            <w:tcW w:w="15134" w:type="dxa"/>
          </w:tcPr>
          <w:p w14:paraId="1ACCE788" w14:textId="77777777" w:rsidR="009E2E66" w:rsidRDefault="009E2E66" w:rsidP="009E2E66">
            <w:pPr>
              <w:rPr>
                <w:b/>
                <w:szCs w:val="24"/>
              </w:rPr>
            </w:pPr>
            <w:r>
              <w:rPr>
                <w:b/>
                <w:szCs w:val="24"/>
              </w:rPr>
              <w:t>IŠLAIDŲ TINKAMUMO FINANSUOTI REIKALAVIMAI</w:t>
            </w:r>
          </w:p>
        </w:tc>
      </w:tr>
      <w:tr w:rsidR="009E2E66" w14:paraId="3471268F" w14:textId="77777777">
        <w:tc>
          <w:tcPr>
            <w:tcW w:w="15134" w:type="dxa"/>
          </w:tcPr>
          <w:p w14:paraId="0B1B6151" w14:textId="084A502E" w:rsidR="009E2E66" w:rsidRDefault="009E2E66" w:rsidP="009E2E66">
            <w:pPr>
              <w:jc w:val="both"/>
              <w:rPr>
                <w:b/>
                <w:szCs w:val="24"/>
              </w:rPr>
            </w:pPr>
            <w:r>
              <w:rPr>
                <w:b/>
                <w:szCs w:val="24"/>
              </w:rPr>
              <w:t>13. Išlaidų tinkamumo finansuoti reikalavimai</w:t>
            </w:r>
          </w:p>
        </w:tc>
      </w:tr>
      <w:tr w:rsidR="009E2E66" w14:paraId="173C6C3E" w14:textId="77777777">
        <w:tc>
          <w:tcPr>
            <w:tcW w:w="15134" w:type="dxa"/>
          </w:tcPr>
          <w:p w14:paraId="1291F8DE" w14:textId="77777777" w:rsidR="009E2E66" w:rsidRPr="00F916AC" w:rsidRDefault="009E2E66" w:rsidP="009E2E66">
            <w:pPr>
              <w:jc w:val="both"/>
            </w:pPr>
            <w:r>
              <w:t>9.1. Planuojamos išlaidos turi atitikti PAFT VII skyriuje išdėstytus projektų išlaidoms taikomus reikalavimus.</w:t>
            </w:r>
          </w:p>
          <w:p w14:paraId="05051C0B" w14:textId="77777777" w:rsidR="009E2E66" w:rsidRDefault="009E2E66" w:rsidP="009E2E66">
            <w:pPr>
              <w:jc w:val="both"/>
              <w:rPr>
                <w:szCs w:val="24"/>
              </w:rPr>
            </w:pPr>
            <w:r w:rsidRPr="00F916AC">
              <w:rPr>
                <w:szCs w:val="24"/>
              </w:rPr>
              <w:t>9.2.</w:t>
            </w:r>
            <w:r>
              <w:rPr>
                <w:szCs w:val="24"/>
              </w:rPr>
              <w:t xml:space="preserve"> </w:t>
            </w:r>
            <w:r w:rsidRPr="00F916AC">
              <w:rPr>
                <w:szCs w:val="24"/>
              </w:rPr>
              <w:t xml:space="preserve">Pagal </w:t>
            </w:r>
            <w:r>
              <w:rPr>
                <w:szCs w:val="24"/>
              </w:rPr>
              <w:t>Aprašą ne</w:t>
            </w:r>
            <w:r w:rsidRPr="00F916AC">
              <w:rPr>
                <w:szCs w:val="24"/>
              </w:rPr>
              <w:t>tinkamos finansuoti išlaid</w:t>
            </w:r>
            <w:r>
              <w:rPr>
                <w:szCs w:val="24"/>
              </w:rPr>
              <w:t>ų kategorijos/išlaidos:</w:t>
            </w:r>
          </w:p>
          <w:p w14:paraId="301178BC" w14:textId="77777777" w:rsidR="009E2E66" w:rsidRDefault="009E2E66" w:rsidP="009E2E66">
            <w:pPr>
              <w:jc w:val="both"/>
              <w:rPr>
                <w:szCs w:val="24"/>
              </w:rPr>
            </w:pPr>
            <w:r w:rsidRPr="002E3727">
              <w:rPr>
                <w:szCs w:val="24"/>
              </w:rPr>
              <w:t>9.2.1.</w:t>
            </w:r>
            <w:r>
              <w:rPr>
                <w:szCs w:val="24"/>
              </w:rPr>
              <w:t xml:space="preserve">PĮP </w:t>
            </w:r>
            <w:r w:rsidRPr="00F916AC">
              <w:rPr>
                <w:szCs w:val="24"/>
              </w:rPr>
              <w:t>parengimo išlaidos</w:t>
            </w:r>
          </w:p>
          <w:p w14:paraId="29519A9E" w14:textId="77777777" w:rsidR="009E2E66" w:rsidRDefault="009E2E66" w:rsidP="009E2E66">
            <w:pPr>
              <w:jc w:val="both"/>
              <w:rPr>
                <w:szCs w:val="24"/>
              </w:rPr>
            </w:pPr>
            <w:r>
              <w:rPr>
                <w:szCs w:val="24"/>
              </w:rPr>
              <w:t>9.2.2. Žemė;</w:t>
            </w:r>
          </w:p>
          <w:p w14:paraId="3AA55C77" w14:textId="77777777" w:rsidR="009E2E66" w:rsidRDefault="009E2E66" w:rsidP="009E2E66">
            <w:pPr>
              <w:jc w:val="both"/>
              <w:rPr>
                <w:szCs w:val="24"/>
              </w:rPr>
            </w:pPr>
            <w:r>
              <w:rPr>
                <w:szCs w:val="24"/>
              </w:rPr>
              <w:t>9.2.3. Nekilnojamas turtas;</w:t>
            </w:r>
          </w:p>
          <w:p w14:paraId="74D91C7D" w14:textId="77777777" w:rsidR="009E2E66" w:rsidRDefault="009E2E66" w:rsidP="009E2E66">
            <w:pPr>
              <w:jc w:val="both"/>
              <w:rPr>
                <w:szCs w:val="24"/>
              </w:rPr>
            </w:pPr>
            <w:r>
              <w:rPr>
                <w:szCs w:val="24"/>
              </w:rPr>
              <w:t>9.2.4. Statyba, rekonstravimas ir kitas turtas;</w:t>
            </w:r>
          </w:p>
          <w:p w14:paraId="4826F0C1" w14:textId="77777777" w:rsidR="009E2E66" w:rsidRPr="00AF4586" w:rsidRDefault="009E2E66" w:rsidP="009E2E66">
            <w:pPr>
              <w:jc w:val="both"/>
              <w:rPr>
                <w:szCs w:val="24"/>
              </w:rPr>
            </w:pPr>
            <w:r>
              <w:rPr>
                <w:szCs w:val="24"/>
              </w:rPr>
              <w:t>9.</w:t>
            </w:r>
            <w:r w:rsidRPr="00B55F97">
              <w:rPr>
                <w:szCs w:val="24"/>
              </w:rPr>
              <w:t xml:space="preserve">2.5. </w:t>
            </w:r>
            <w:r>
              <w:rPr>
                <w:szCs w:val="24"/>
              </w:rPr>
              <w:t>į</w:t>
            </w:r>
            <w:r w:rsidRPr="00AF4586">
              <w:rPr>
                <w:szCs w:val="24"/>
              </w:rPr>
              <w:t>gyvendinant projektą naudojamo ilgalaikio</w:t>
            </w:r>
            <w:r>
              <w:rPr>
                <w:szCs w:val="24"/>
              </w:rPr>
              <w:t xml:space="preserve"> </w:t>
            </w:r>
            <w:r w:rsidRPr="00AF4586">
              <w:rPr>
                <w:szCs w:val="24"/>
              </w:rPr>
              <w:t>turto nusidėvėjimo (amortizacijos) sąnaudos,</w:t>
            </w:r>
          </w:p>
          <w:p w14:paraId="295F1B89" w14:textId="36EBD243" w:rsidR="0073545F" w:rsidRPr="0073545F" w:rsidRDefault="008C1498" w:rsidP="0073545F">
            <w:pPr>
              <w:jc w:val="both"/>
              <w:rPr>
                <w:szCs w:val="24"/>
              </w:rPr>
            </w:pPr>
            <w:r>
              <w:rPr>
                <w:szCs w:val="24"/>
              </w:rPr>
              <w:t xml:space="preserve">9.3. </w:t>
            </w:r>
            <w:r w:rsidR="0015385F" w:rsidRPr="0015385F">
              <w:rPr>
                <w:szCs w:val="24"/>
              </w:rPr>
              <w:t>PVM nėra tinkamos finansuoti išlaidos EGADP lėšomis. PVM gali būti finansuojamas Lietuvos biudžeto lėšomis vadovaujantis Projektų administravimo ir finansavimo taisyklių VII skyriaus ketvirtajame skirsnyje nustatyta tvarka.</w:t>
            </w:r>
            <w:r w:rsidR="0073545F" w:rsidRPr="0073545F">
              <w:rPr>
                <w:szCs w:val="24"/>
              </w:rPr>
              <w:t>9.4. Projektų išlaidos gali būti patirtos iki projekto sutarties pasirašymo, neprieštaraujant Administravimo taisyklių nuostatoms.</w:t>
            </w:r>
          </w:p>
          <w:p w14:paraId="40B010B0" w14:textId="3DA840D1" w:rsidR="0073545F" w:rsidRPr="0073545F" w:rsidRDefault="0073545F" w:rsidP="0073545F">
            <w:pPr>
              <w:jc w:val="both"/>
              <w:rPr>
                <w:szCs w:val="24"/>
              </w:rPr>
            </w:pPr>
            <w:r w:rsidRPr="0073545F">
              <w:rPr>
                <w:szCs w:val="24"/>
              </w:rPr>
              <w:t>9.</w:t>
            </w:r>
            <w:r w:rsidR="008C1498">
              <w:rPr>
                <w:szCs w:val="24"/>
              </w:rPr>
              <w:t>4</w:t>
            </w:r>
            <w:r w:rsidRPr="0073545F">
              <w:rPr>
                <w:szCs w:val="24"/>
              </w:rPr>
              <w:t>. Didžiausia galima projektų finansuojamoji dalis sudaro 50 proc. (likę 50 proc. nuosavos lėšos, t. y. gaunamos iš EKA) visų tinkamų finansuoti projekto išlaidų. Nuosavas įnašas neprivalomas. Pareiškėjas savo iniciatyva ir savo ir (arba) kitų šaltinių lėšomis gali prisidėti prie projekto įgyvendinimo.</w:t>
            </w:r>
          </w:p>
          <w:p w14:paraId="3D7D1970" w14:textId="68B89276" w:rsidR="0073545F" w:rsidRPr="0073545F" w:rsidRDefault="0073545F" w:rsidP="0073545F">
            <w:pPr>
              <w:jc w:val="both"/>
              <w:rPr>
                <w:szCs w:val="24"/>
              </w:rPr>
            </w:pPr>
            <w:r w:rsidRPr="0073545F">
              <w:rPr>
                <w:szCs w:val="24"/>
              </w:rPr>
              <w:t>9.</w:t>
            </w:r>
            <w:r w:rsidR="008C1498">
              <w:rPr>
                <w:szCs w:val="24"/>
              </w:rPr>
              <w:t>5</w:t>
            </w:r>
            <w:r w:rsidRPr="0073545F">
              <w:rPr>
                <w:szCs w:val="24"/>
              </w:rPr>
              <w:t>. Projekto tinkamų finansuoti išlaidų dalis, kurios nepadengia projektui skiriamo finansavimo lėšos, turi būti finansuojama iš projekto vykdytojo ir (ar) partnerio (-ių) lėšų;</w:t>
            </w:r>
          </w:p>
          <w:p w14:paraId="0345ADF1" w14:textId="68F2F21D" w:rsidR="0073545F" w:rsidRPr="0073545F" w:rsidRDefault="0073545F" w:rsidP="0073545F">
            <w:pPr>
              <w:jc w:val="both"/>
              <w:rPr>
                <w:szCs w:val="24"/>
                <w:lang w:val="lt"/>
              </w:rPr>
            </w:pPr>
            <w:r w:rsidRPr="0073545F">
              <w:rPr>
                <w:szCs w:val="24"/>
              </w:rPr>
              <w:t>9.</w:t>
            </w:r>
            <w:r w:rsidR="008C1498">
              <w:rPr>
                <w:szCs w:val="24"/>
              </w:rPr>
              <w:t>6</w:t>
            </w:r>
            <w:r w:rsidRPr="0073545F">
              <w:rPr>
                <w:szCs w:val="24"/>
              </w:rPr>
              <w:t xml:space="preserve">. </w:t>
            </w:r>
            <w:r w:rsidRPr="0073545F">
              <w:rPr>
                <w:szCs w:val="24"/>
                <w:lang w:val="lt"/>
              </w:rPr>
              <w:t>Vienam projektą įgyvendinančiam startuoliui tenkanti finansavimo lėšų suma negali būti didesnė negu 25 000 Eur  (dvidešimt</w:t>
            </w:r>
            <w:r w:rsidRPr="0073545F">
              <w:rPr>
                <w:szCs w:val="24"/>
              </w:rPr>
              <w:t xml:space="preserve"> penki tūkstančiai eurų)</w:t>
            </w:r>
            <w:r w:rsidRPr="0073545F">
              <w:rPr>
                <w:i/>
                <w:iCs/>
                <w:szCs w:val="24"/>
                <w:lang w:val="lt"/>
              </w:rPr>
              <w:t xml:space="preserve"> de minimis</w:t>
            </w:r>
            <w:r w:rsidRPr="0073545F">
              <w:rPr>
                <w:szCs w:val="24"/>
                <w:lang w:val="lt"/>
              </w:rPr>
              <w:t xml:space="preserve"> pagalba;</w:t>
            </w:r>
          </w:p>
          <w:p w14:paraId="232E9845" w14:textId="50A60FBC" w:rsidR="0073545F" w:rsidRPr="0073545F" w:rsidRDefault="0073545F" w:rsidP="0073545F">
            <w:pPr>
              <w:jc w:val="both"/>
              <w:rPr>
                <w:szCs w:val="24"/>
                <w:lang w:val="lt"/>
              </w:rPr>
            </w:pPr>
            <w:r w:rsidRPr="0073545F">
              <w:rPr>
                <w:szCs w:val="24"/>
                <w:lang w:val="lt"/>
              </w:rPr>
              <w:t>9.</w:t>
            </w:r>
            <w:r w:rsidR="008C1498">
              <w:rPr>
                <w:szCs w:val="24"/>
                <w:lang w:val="lt"/>
              </w:rPr>
              <w:t>7</w:t>
            </w:r>
            <w:r w:rsidRPr="0073545F">
              <w:rPr>
                <w:szCs w:val="24"/>
                <w:lang w:val="lt"/>
              </w:rPr>
              <w:t>. Kryžminis finansavimas nėra taikomas.</w:t>
            </w:r>
          </w:p>
          <w:p w14:paraId="4D945EDE" w14:textId="2C7483D6" w:rsidR="0073545F" w:rsidRPr="0073545F" w:rsidRDefault="0073545F" w:rsidP="0073545F">
            <w:pPr>
              <w:jc w:val="both"/>
              <w:rPr>
                <w:szCs w:val="24"/>
                <w:lang w:val="lt"/>
              </w:rPr>
            </w:pPr>
            <w:r w:rsidRPr="0073545F">
              <w:rPr>
                <w:szCs w:val="24"/>
              </w:rPr>
              <w:t>9.</w:t>
            </w:r>
            <w:r w:rsidR="008C1498">
              <w:rPr>
                <w:szCs w:val="24"/>
              </w:rPr>
              <w:t>8</w:t>
            </w:r>
            <w:r w:rsidRPr="0073545F">
              <w:rPr>
                <w:szCs w:val="24"/>
              </w:rPr>
              <w:t>. Projektui gali būti mokamas avansas, vadovaujantis Taisyklių 155 punktu – iki 30 procentų.</w:t>
            </w:r>
          </w:p>
          <w:p w14:paraId="50084649" w14:textId="0A7461B4" w:rsidR="0073545F" w:rsidRPr="0073545F" w:rsidRDefault="0073545F" w:rsidP="0073545F">
            <w:pPr>
              <w:jc w:val="both"/>
              <w:rPr>
                <w:szCs w:val="24"/>
              </w:rPr>
            </w:pPr>
            <w:r w:rsidRPr="0073545F">
              <w:rPr>
                <w:szCs w:val="24"/>
              </w:rPr>
              <w:t>9.</w:t>
            </w:r>
            <w:r w:rsidR="008C1498">
              <w:rPr>
                <w:szCs w:val="24"/>
              </w:rPr>
              <w:t>9</w:t>
            </w:r>
            <w:r w:rsidRPr="0073545F">
              <w:rPr>
                <w:szCs w:val="24"/>
              </w:rPr>
              <w:t>. Pagal Aprašą tinkamos finansuoti išlaidos yra šios:</w:t>
            </w:r>
          </w:p>
          <w:p w14:paraId="0D2E998E" w14:textId="77777777" w:rsidR="009E2E66" w:rsidRPr="009D775B" w:rsidRDefault="009E2E66" w:rsidP="009E2E66">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3130"/>
              <w:gridCol w:w="9498"/>
            </w:tblGrid>
            <w:tr w:rsidR="009E2E66" w:rsidRPr="009D775B" w14:paraId="1640817A" w14:textId="77777777" w:rsidTr="00A62A25">
              <w:tc>
                <w:tcPr>
                  <w:tcW w:w="1293" w:type="dxa"/>
                  <w:vAlign w:val="center"/>
                </w:tcPr>
                <w:p w14:paraId="37F03600" w14:textId="62037580" w:rsidR="009E2E66" w:rsidRPr="009D775B" w:rsidRDefault="009E2E66" w:rsidP="009E2E66">
                  <w:pPr>
                    <w:jc w:val="center"/>
                    <w:rPr>
                      <w:b/>
                      <w:sz w:val="22"/>
                      <w:szCs w:val="22"/>
                    </w:rPr>
                  </w:pPr>
                  <w:r w:rsidRPr="009D775B">
                    <w:rPr>
                      <w:b/>
                      <w:sz w:val="22"/>
                      <w:szCs w:val="22"/>
                    </w:rPr>
                    <w:t xml:space="preserve">  Nr.</w:t>
                  </w:r>
                </w:p>
              </w:tc>
              <w:tc>
                <w:tcPr>
                  <w:tcW w:w="3130" w:type="dxa"/>
                  <w:vAlign w:val="center"/>
                </w:tcPr>
                <w:p w14:paraId="15546A48" w14:textId="77777777" w:rsidR="009E2E66" w:rsidRPr="009D775B" w:rsidRDefault="009E2E66" w:rsidP="009E2E66">
                  <w:pPr>
                    <w:jc w:val="center"/>
                    <w:rPr>
                      <w:b/>
                      <w:sz w:val="22"/>
                      <w:szCs w:val="22"/>
                    </w:rPr>
                  </w:pPr>
                  <w:r w:rsidRPr="009D775B">
                    <w:rPr>
                      <w:b/>
                      <w:sz w:val="22"/>
                      <w:szCs w:val="22"/>
                    </w:rPr>
                    <w:t xml:space="preserve">Išlaidos  </w:t>
                  </w:r>
                </w:p>
              </w:tc>
              <w:tc>
                <w:tcPr>
                  <w:tcW w:w="9498" w:type="dxa"/>
                  <w:vAlign w:val="center"/>
                </w:tcPr>
                <w:p w14:paraId="627DFC2F" w14:textId="77777777" w:rsidR="009E2E66" w:rsidRPr="009D775B" w:rsidRDefault="009E2E66" w:rsidP="009E2E66">
                  <w:pPr>
                    <w:jc w:val="center"/>
                    <w:rPr>
                      <w:b/>
                      <w:sz w:val="22"/>
                      <w:szCs w:val="22"/>
                    </w:rPr>
                  </w:pPr>
                  <w:r w:rsidRPr="009D775B">
                    <w:rPr>
                      <w:b/>
                      <w:sz w:val="22"/>
                      <w:szCs w:val="22"/>
                    </w:rPr>
                    <w:t>Reikalavimai ir paaiškinimai</w:t>
                  </w:r>
                </w:p>
              </w:tc>
            </w:tr>
            <w:tr w:rsidR="009E2E66" w:rsidRPr="009D775B" w14:paraId="5880A617" w14:textId="77777777" w:rsidTr="00A62A25">
              <w:trPr>
                <w:trHeight w:val="4205"/>
              </w:trPr>
              <w:tc>
                <w:tcPr>
                  <w:tcW w:w="1293" w:type="dxa"/>
                </w:tcPr>
                <w:p w14:paraId="43B3D619" w14:textId="77777777" w:rsidR="009E2E66" w:rsidRPr="009D775B" w:rsidRDefault="009E2E66" w:rsidP="009E2E66">
                  <w:pPr>
                    <w:jc w:val="both"/>
                    <w:rPr>
                      <w:bCs/>
                      <w:sz w:val="22"/>
                      <w:szCs w:val="22"/>
                    </w:rPr>
                  </w:pPr>
                  <w:r w:rsidRPr="009D775B">
                    <w:rPr>
                      <w:bCs/>
                      <w:sz w:val="22"/>
                      <w:szCs w:val="22"/>
                    </w:rPr>
                    <w:t>1.</w:t>
                  </w:r>
                </w:p>
              </w:tc>
              <w:tc>
                <w:tcPr>
                  <w:tcW w:w="3130" w:type="dxa"/>
                </w:tcPr>
                <w:p w14:paraId="6529606F" w14:textId="72E1DDD3" w:rsidR="009E2E66" w:rsidRPr="009D775B" w:rsidRDefault="009E2E66" w:rsidP="009E2E66">
                  <w:pPr>
                    <w:jc w:val="both"/>
                    <w:rPr>
                      <w:sz w:val="22"/>
                      <w:szCs w:val="22"/>
                      <w:lang w:eastAsia="lt-LT"/>
                    </w:rPr>
                  </w:pPr>
                  <w:r w:rsidRPr="00C57054">
                    <w:rPr>
                      <w:sz w:val="22"/>
                      <w:szCs w:val="22"/>
                      <w:lang w:eastAsia="lt-LT"/>
                    </w:rPr>
                    <w:t>Įranga, įrenginiai ir kitas turtas</w:t>
                  </w:r>
                </w:p>
              </w:tc>
              <w:tc>
                <w:tcPr>
                  <w:tcW w:w="9498" w:type="dxa"/>
                </w:tcPr>
                <w:p w14:paraId="22ED452A" w14:textId="77777777" w:rsidR="009E2E66" w:rsidRPr="00A40058" w:rsidRDefault="009E2E66" w:rsidP="009E2E66">
                  <w:pPr>
                    <w:jc w:val="both"/>
                    <w:rPr>
                      <w:sz w:val="22"/>
                      <w:szCs w:val="22"/>
                    </w:rPr>
                  </w:pPr>
                  <w:r>
                    <w:rPr>
                      <w:sz w:val="22"/>
                      <w:szCs w:val="22"/>
                    </w:rPr>
                    <w:t>Tinkama finansuoti:</w:t>
                  </w:r>
                </w:p>
                <w:p w14:paraId="59ACE2AB" w14:textId="3CEB5FC5" w:rsidR="009E2E66" w:rsidRPr="00F61BBD" w:rsidRDefault="0073545F" w:rsidP="009E2E66">
                  <w:pPr>
                    <w:pStyle w:val="ListParagraph"/>
                    <w:numPr>
                      <w:ilvl w:val="0"/>
                      <w:numId w:val="4"/>
                    </w:numPr>
                    <w:jc w:val="both"/>
                    <w:rPr>
                      <w:sz w:val="22"/>
                      <w:szCs w:val="22"/>
                    </w:rPr>
                  </w:pPr>
                  <w:r w:rsidRPr="0073545F">
                    <w:rPr>
                      <w:sz w:val="22"/>
                      <w:szCs w:val="22"/>
                    </w:rPr>
                    <w:t>projekto veikloms vykdyti būtinų baldų, kompiuterinės technikos, programinės įrangos, kitos įrangos, įrenginių ir kito ilgalaikio turto įsigijimo ir lizingo (finansinės nuomos) išlaidos, taip pat programinės įrangos kūrimo, informacinių sistemų kūrimo ir (ar) modernizavimo išlaidos (įskaitant informacinių sistemų projektavimo, techninės priežiūros ir kitas susijusias išlaidas). Taikant pro-rata dydžio taikymą, jei naudojama ne tik projekto veikloms, tokiu atveju būtų finansuojama tik ta apimtimi, kuri būtina projekto rezultatams pasiekti.</w:t>
                  </w:r>
                </w:p>
              </w:tc>
            </w:tr>
            <w:tr w:rsidR="009E2E66" w:rsidRPr="009D775B" w14:paraId="30ECD71B" w14:textId="77777777" w:rsidTr="00A62A25">
              <w:tc>
                <w:tcPr>
                  <w:tcW w:w="1293" w:type="dxa"/>
                </w:tcPr>
                <w:p w14:paraId="5A70B6BE" w14:textId="77777777" w:rsidR="009E2E66" w:rsidRPr="009D775B" w:rsidRDefault="009E2E66" w:rsidP="009E2E66">
                  <w:pPr>
                    <w:jc w:val="both"/>
                    <w:rPr>
                      <w:bCs/>
                      <w:sz w:val="22"/>
                      <w:szCs w:val="22"/>
                    </w:rPr>
                  </w:pPr>
                  <w:r w:rsidRPr="009D775B">
                    <w:rPr>
                      <w:bCs/>
                      <w:sz w:val="22"/>
                      <w:szCs w:val="22"/>
                    </w:rPr>
                    <w:t>2.</w:t>
                  </w:r>
                </w:p>
              </w:tc>
              <w:tc>
                <w:tcPr>
                  <w:tcW w:w="3130" w:type="dxa"/>
                </w:tcPr>
                <w:p w14:paraId="311F7090" w14:textId="71DD41A1" w:rsidR="009E2E66" w:rsidRPr="009D775B" w:rsidRDefault="009E2E66" w:rsidP="009E2E66">
                  <w:pPr>
                    <w:jc w:val="both"/>
                    <w:rPr>
                      <w:sz w:val="22"/>
                      <w:szCs w:val="22"/>
                      <w:lang w:eastAsia="lt-LT"/>
                    </w:rPr>
                  </w:pPr>
                  <w:r w:rsidRPr="00C57054">
                    <w:rPr>
                      <w:sz w:val="22"/>
                      <w:szCs w:val="22"/>
                      <w:lang w:eastAsia="lt-LT"/>
                    </w:rPr>
                    <w:t>Projekto vykdymas (paslaugos ir darbo užmokestis)</w:t>
                  </w:r>
                </w:p>
              </w:tc>
              <w:tc>
                <w:tcPr>
                  <w:tcW w:w="9498" w:type="dxa"/>
                </w:tcPr>
                <w:p w14:paraId="27778075" w14:textId="77777777" w:rsidR="009E2E66" w:rsidRPr="008E6672" w:rsidRDefault="009E2E66" w:rsidP="009E2E66">
                  <w:pPr>
                    <w:jc w:val="both"/>
                    <w:rPr>
                      <w:bCs/>
                      <w:sz w:val="22"/>
                      <w:szCs w:val="22"/>
                    </w:rPr>
                  </w:pPr>
                  <w:r w:rsidRPr="008E6672">
                    <w:rPr>
                      <w:bCs/>
                      <w:sz w:val="22"/>
                      <w:szCs w:val="22"/>
                    </w:rPr>
                    <w:t xml:space="preserve">Tinkama finansuoti: </w:t>
                  </w:r>
                </w:p>
                <w:p w14:paraId="2E87D8AE" w14:textId="77777777" w:rsidR="009E2E66" w:rsidRDefault="009E2E66" w:rsidP="009E2E66">
                  <w:pPr>
                    <w:pStyle w:val="ListParagraph"/>
                    <w:numPr>
                      <w:ilvl w:val="0"/>
                      <w:numId w:val="3"/>
                    </w:numPr>
                    <w:jc w:val="both"/>
                    <w:rPr>
                      <w:bCs/>
                      <w:sz w:val="22"/>
                      <w:szCs w:val="22"/>
                    </w:rPr>
                  </w:pPr>
                  <w:r w:rsidRPr="008E6672">
                    <w:rPr>
                      <w:bCs/>
                      <w:sz w:val="22"/>
                      <w:szCs w:val="22"/>
                    </w:rPr>
                    <w:t>projektą vykdančio personalo darbo užmokestis ir išlaidos su darbo santykiais susijusiems darbdavio įsipareigojimams, atlygio projektą vykdantiems fiziniams asmenims pagal paslaugų (civilines), autorines ar kitas sutartis išlaidos. Patirtos projektą vykdančio personalo darbo užmokesčio už kasmetines atostogas ir (arba) kompensacijos už nepanaudotas kasmetines atostogas ir papildomų poilsio dienų išmokos</w:t>
                  </w:r>
                  <w:r>
                    <w:rPr>
                      <w:bCs/>
                      <w:sz w:val="22"/>
                      <w:szCs w:val="22"/>
                    </w:rPr>
                    <w:t>;</w:t>
                  </w:r>
                </w:p>
                <w:p w14:paraId="2C904C53" w14:textId="77777777" w:rsidR="009E2E66" w:rsidRPr="008E6672" w:rsidRDefault="009E2E66" w:rsidP="009E2E66">
                  <w:pPr>
                    <w:pStyle w:val="ListParagraph"/>
                    <w:numPr>
                      <w:ilvl w:val="0"/>
                      <w:numId w:val="3"/>
                    </w:numPr>
                    <w:jc w:val="both"/>
                    <w:rPr>
                      <w:bCs/>
                      <w:sz w:val="22"/>
                      <w:szCs w:val="22"/>
                    </w:rPr>
                  </w:pPr>
                  <w:r>
                    <w:rPr>
                      <w:bCs/>
                      <w:sz w:val="22"/>
                      <w:szCs w:val="22"/>
                    </w:rPr>
                    <w:t>teisinės ir kitos paslaugos;</w:t>
                  </w:r>
                </w:p>
                <w:p w14:paraId="6AA0ABD4" w14:textId="732847D9" w:rsidR="009E2E66" w:rsidRPr="0073545F" w:rsidRDefault="009E2E66" w:rsidP="0073545F">
                  <w:pPr>
                    <w:pStyle w:val="ListParagraph"/>
                    <w:numPr>
                      <w:ilvl w:val="0"/>
                      <w:numId w:val="3"/>
                    </w:numPr>
                    <w:jc w:val="both"/>
                    <w:rPr>
                      <w:sz w:val="22"/>
                      <w:szCs w:val="22"/>
                      <w:lang w:val="lt"/>
                    </w:rPr>
                  </w:pPr>
                  <w:r w:rsidRPr="00724B98">
                    <w:rPr>
                      <w:sz w:val="22"/>
                      <w:szCs w:val="22"/>
                      <w:lang w:val="lt"/>
                    </w:rPr>
                    <w:t>M</w:t>
                  </w:r>
                  <w:r>
                    <w:rPr>
                      <w:sz w:val="22"/>
                      <w:szCs w:val="22"/>
                      <w:lang w:val="lt"/>
                    </w:rPr>
                    <w:t>okslinių tyrimų, eksperimentinės plėtros</w:t>
                  </w:r>
                  <w:r w:rsidR="0073545F">
                    <w:rPr>
                      <w:sz w:val="22"/>
                      <w:szCs w:val="22"/>
                      <w:lang w:val="lt"/>
                    </w:rPr>
                    <w:t xml:space="preserve"> </w:t>
                  </w:r>
                  <w:r w:rsidRPr="00724B98">
                    <w:rPr>
                      <w:sz w:val="22"/>
                      <w:szCs w:val="22"/>
                      <w:lang w:val="lt"/>
                    </w:rPr>
                    <w:t>ir inovacinės veiklos paslaugų įsigijimo iš išorės šaltinių įprastomis rinkos sąlygomis, t. y. kai perkama iš išorinių šaltinių už rinkos kainas, pagal šalių sudarytą sandorį, kai nėra jokių susijusių slapto susitarimo elementų, išlaidos.</w:t>
                  </w:r>
                </w:p>
              </w:tc>
            </w:tr>
            <w:tr w:rsidR="009E2E66" w:rsidRPr="009D775B" w14:paraId="786CA038" w14:textId="77777777" w:rsidTr="00A62A25">
              <w:tc>
                <w:tcPr>
                  <w:tcW w:w="1293" w:type="dxa"/>
                </w:tcPr>
                <w:p w14:paraId="090500A7" w14:textId="77777777" w:rsidR="009E2E66" w:rsidRPr="009D775B" w:rsidRDefault="009E2E66" w:rsidP="009E2E66">
                  <w:pPr>
                    <w:jc w:val="both"/>
                    <w:rPr>
                      <w:bCs/>
                      <w:sz w:val="22"/>
                      <w:szCs w:val="22"/>
                    </w:rPr>
                  </w:pPr>
                  <w:r w:rsidRPr="009D775B">
                    <w:rPr>
                      <w:bCs/>
                      <w:sz w:val="22"/>
                      <w:szCs w:val="22"/>
                    </w:rPr>
                    <w:t>3.</w:t>
                  </w:r>
                </w:p>
              </w:tc>
              <w:tc>
                <w:tcPr>
                  <w:tcW w:w="3130" w:type="dxa"/>
                </w:tcPr>
                <w:p w14:paraId="1FF6B1FB" w14:textId="087E6B3A" w:rsidR="009E2E66" w:rsidRPr="009D775B" w:rsidRDefault="009E2E66" w:rsidP="009E2E66">
                  <w:pPr>
                    <w:jc w:val="both"/>
                    <w:rPr>
                      <w:sz w:val="22"/>
                      <w:szCs w:val="22"/>
                      <w:lang w:eastAsia="lt-LT"/>
                    </w:rPr>
                  </w:pPr>
                  <w:r w:rsidRPr="00C57054">
                    <w:rPr>
                      <w:sz w:val="22"/>
                      <w:szCs w:val="22"/>
                      <w:lang w:eastAsia="lt-LT"/>
                    </w:rPr>
                    <w:t>Informavimas apie projektą</w:t>
                  </w:r>
                </w:p>
              </w:tc>
              <w:tc>
                <w:tcPr>
                  <w:tcW w:w="9498" w:type="dxa"/>
                </w:tcPr>
                <w:p w14:paraId="42838181" w14:textId="77777777" w:rsidR="009E2E66" w:rsidRDefault="009E2E66" w:rsidP="009E2E66">
                  <w:pPr>
                    <w:jc w:val="both"/>
                    <w:rPr>
                      <w:bCs/>
                      <w:sz w:val="22"/>
                      <w:szCs w:val="22"/>
                    </w:rPr>
                  </w:pPr>
                  <w:r>
                    <w:rPr>
                      <w:bCs/>
                      <w:sz w:val="22"/>
                      <w:szCs w:val="22"/>
                    </w:rPr>
                    <w:t xml:space="preserve">Tinkama finansuoti. </w:t>
                  </w:r>
                </w:p>
                <w:p w14:paraId="4A0BFA8B" w14:textId="77777777" w:rsidR="009E2E66" w:rsidRPr="004A0343" w:rsidRDefault="009E2E66" w:rsidP="009E2E66">
                  <w:pPr>
                    <w:pStyle w:val="ListParagraph"/>
                    <w:numPr>
                      <w:ilvl w:val="0"/>
                      <w:numId w:val="2"/>
                    </w:numPr>
                    <w:jc w:val="both"/>
                    <w:rPr>
                      <w:bCs/>
                      <w:sz w:val="22"/>
                      <w:szCs w:val="22"/>
                    </w:rPr>
                  </w:pPr>
                  <w:r w:rsidRPr="004A0343">
                    <w:rPr>
                      <w:bCs/>
                      <w:sz w:val="22"/>
                      <w:szCs w:val="22"/>
                    </w:rPr>
                    <w:t xml:space="preserve">Privalomos projektų matomumo ir informavimo apie projektus priemonės. </w:t>
                  </w:r>
                </w:p>
                <w:p w14:paraId="3C99EED8" w14:textId="21F88032" w:rsidR="009E2E66" w:rsidRPr="009D775B" w:rsidRDefault="009E2E66" w:rsidP="009E2E66">
                  <w:pPr>
                    <w:pStyle w:val="ListParagraph"/>
                    <w:numPr>
                      <w:ilvl w:val="0"/>
                      <w:numId w:val="2"/>
                    </w:numPr>
                    <w:jc w:val="both"/>
                    <w:rPr>
                      <w:bCs/>
                      <w:sz w:val="22"/>
                      <w:szCs w:val="22"/>
                    </w:rPr>
                  </w:pPr>
                  <w:r w:rsidRPr="004A0343">
                    <w:rPr>
                      <w:bCs/>
                      <w:sz w:val="22"/>
                      <w:szCs w:val="22"/>
                    </w:rPr>
                    <w:t>Papildomos</w:t>
                  </w:r>
                  <w:r w:rsidR="001373F0">
                    <w:rPr>
                      <w:bCs/>
                      <w:sz w:val="22"/>
                      <w:szCs w:val="22"/>
                    </w:rPr>
                    <w:t xml:space="preserve"> </w:t>
                  </w:r>
                  <w:r>
                    <w:rPr>
                      <w:bCs/>
                      <w:sz w:val="22"/>
                      <w:szCs w:val="22"/>
                    </w:rPr>
                    <w:t>PĮP</w:t>
                  </w:r>
                  <w:r w:rsidRPr="004A0343">
                    <w:rPr>
                      <w:bCs/>
                      <w:sz w:val="22"/>
                      <w:szCs w:val="22"/>
                    </w:rPr>
                    <w:t xml:space="preserve"> numatytos projektų veiklų sklaidos ir viešinimo priemonės.</w:t>
                  </w:r>
                </w:p>
              </w:tc>
            </w:tr>
          </w:tbl>
          <w:p w14:paraId="5DE437C5" w14:textId="2B2C3AA8" w:rsidR="009E2E66" w:rsidRDefault="009E2E66" w:rsidP="009E2E66">
            <w:pPr>
              <w:jc w:val="both"/>
              <w:rPr>
                <w:sz w:val="22"/>
                <w:szCs w:val="22"/>
              </w:rPr>
            </w:pPr>
          </w:p>
        </w:tc>
      </w:tr>
      <w:tr w:rsidR="009E2E66" w14:paraId="2404C283" w14:textId="77777777">
        <w:trPr>
          <w:trHeight w:val="349"/>
        </w:trPr>
        <w:tc>
          <w:tcPr>
            <w:tcW w:w="15134" w:type="dxa"/>
          </w:tcPr>
          <w:p w14:paraId="04113AAD" w14:textId="1AF4C75C" w:rsidR="009E2E66" w:rsidRDefault="009E2E66" w:rsidP="009E2E66">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9E2E66" w:rsidRPr="009D775B" w14:paraId="52D0344B" w14:textId="77777777" w:rsidTr="00A11A40">
        <w:trPr>
          <w:trHeight w:val="349"/>
        </w:trPr>
        <w:tc>
          <w:tcPr>
            <w:tcW w:w="15134" w:type="dxa"/>
            <w:tcBorders>
              <w:top w:val="single" w:sz="4" w:space="0" w:color="auto"/>
              <w:left w:val="single" w:sz="4" w:space="0" w:color="auto"/>
              <w:bottom w:val="single" w:sz="4" w:space="0" w:color="auto"/>
              <w:right w:val="single" w:sz="4" w:space="0" w:color="auto"/>
            </w:tcBorders>
          </w:tcPr>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3686"/>
              <w:gridCol w:w="9589"/>
            </w:tblGrid>
            <w:tr w:rsidR="009E2E66" w:rsidRPr="009D775B" w14:paraId="0617E3E9" w14:textId="77777777" w:rsidTr="00A62A25">
              <w:tc>
                <w:tcPr>
                  <w:tcW w:w="544" w:type="dxa"/>
                </w:tcPr>
                <w:p w14:paraId="48307AAB" w14:textId="77777777" w:rsidR="009E2E66" w:rsidRPr="009D775B" w:rsidRDefault="009E2E66" w:rsidP="009E2E66">
                  <w:pPr>
                    <w:spacing w:line="259" w:lineRule="auto"/>
                    <w:rPr>
                      <w:iCs/>
                      <w:sz w:val="22"/>
                      <w:szCs w:val="22"/>
                    </w:rPr>
                  </w:pPr>
                  <w:r w:rsidRPr="009D775B">
                    <w:rPr>
                      <w:iCs/>
                      <w:sz w:val="22"/>
                      <w:szCs w:val="22"/>
                    </w:rPr>
                    <w:t>Nr.</w:t>
                  </w:r>
                </w:p>
              </w:tc>
              <w:tc>
                <w:tcPr>
                  <w:tcW w:w="3686" w:type="dxa"/>
                </w:tcPr>
                <w:p w14:paraId="06DEDE8C" w14:textId="77777777" w:rsidR="009E2E66" w:rsidRPr="009D775B" w:rsidRDefault="009E2E66" w:rsidP="009E2E66">
                  <w:pPr>
                    <w:spacing w:line="259" w:lineRule="auto"/>
                    <w:rPr>
                      <w:iCs/>
                      <w:sz w:val="22"/>
                      <w:szCs w:val="22"/>
                    </w:rPr>
                  </w:pPr>
                  <w:r w:rsidRPr="009D775B">
                    <w:rPr>
                      <w:iCs/>
                      <w:sz w:val="22"/>
                      <w:szCs w:val="22"/>
                    </w:rPr>
                    <w:t>Fiksuotas įkainis</w:t>
                  </w:r>
                </w:p>
              </w:tc>
              <w:tc>
                <w:tcPr>
                  <w:tcW w:w="9589" w:type="dxa"/>
                </w:tcPr>
                <w:p w14:paraId="2F0C4DF8" w14:textId="77777777" w:rsidR="009E2E66" w:rsidRPr="009D775B" w:rsidRDefault="009E2E66" w:rsidP="009E2E66">
                  <w:pPr>
                    <w:spacing w:line="259" w:lineRule="auto"/>
                    <w:rPr>
                      <w:iCs/>
                      <w:sz w:val="22"/>
                      <w:szCs w:val="22"/>
                    </w:rPr>
                  </w:pPr>
                  <w:r w:rsidRPr="009D775B">
                    <w:rPr>
                      <w:iCs/>
                      <w:sz w:val="22"/>
                      <w:szCs w:val="22"/>
                    </w:rPr>
                    <w:t>Sąlygos</w:t>
                  </w:r>
                </w:p>
              </w:tc>
            </w:tr>
            <w:tr w:rsidR="009E2E66" w:rsidRPr="009D775B" w14:paraId="1834F994" w14:textId="77777777" w:rsidTr="00A62A25">
              <w:tc>
                <w:tcPr>
                  <w:tcW w:w="544" w:type="dxa"/>
                </w:tcPr>
                <w:p w14:paraId="5D8F19B0" w14:textId="77777777" w:rsidR="009E2E66" w:rsidRPr="009D775B" w:rsidRDefault="009E2E66" w:rsidP="009E2E66">
                  <w:pPr>
                    <w:spacing w:line="259" w:lineRule="auto"/>
                    <w:rPr>
                      <w:iCs/>
                      <w:sz w:val="22"/>
                      <w:szCs w:val="22"/>
                    </w:rPr>
                  </w:pPr>
                  <w:r w:rsidRPr="009D775B">
                    <w:rPr>
                      <w:iCs/>
                      <w:sz w:val="22"/>
                      <w:szCs w:val="22"/>
                    </w:rPr>
                    <w:t>1.</w:t>
                  </w:r>
                </w:p>
              </w:tc>
              <w:tc>
                <w:tcPr>
                  <w:tcW w:w="3686" w:type="dxa"/>
                </w:tcPr>
                <w:p w14:paraId="55D9700B" w14:textId="77777777" w:rsidR="009E2E66" w:rsidRPr="009D775B" w:rsidRDefault="009E2E66" w:rsidP="009E2E66">
                  <w:pPr>
                    <w:spacing w:line="259" w:lineRule="auto"/>
                    <w:rPr>
                      <w:sz w:val="22"/>
                      <w:szCs w:val="22"/>
                      <w:lang w:eastAsia="lt-LT"/>
                    </w:rPr>
                  </w:pPr>
                  <w:r w:rsidRPr="009D775B">
                    <w:rPr>
                      <w:sz w:val="22"/>
                      <w:szCs w:val="22"/>
                      <w:lang w:eastAsia="lt-LT"/>
                    </w:rPr>
                    <w:t>Fiksuotoji norma netiesioginėms projekto išlaidoms (FN-01)</w:t>
                  </w:r>
                </w:p>
              </w:tc>
              <w:tc>
                <w:tcPr>
                  <w:tcW w:w="9589" w:type="dxa"/>
                </w:tcPr>
                <w:p w14:paraId="11AC408C" w14:textId="77777777" w:rsidR="009E2E66" w:rsidRPr="009D775B" w:rsidRDefault="009E2E66" w:rsidP="009E2E66">
                  <w:pPr>
                    <w:rPr>
                      <w:iCs/>
                      <w:sz w:val="22"/>
                      <w:szCs w:val="22"/>
                    </w:rPr>
                  </w:pPr>
                  <w:r w:rsidRPr="009D775B">
                    <w:rPr>
                      <w:iCs/>
                      <w:sz w:val="22"/>
                      <w:szCs w:val="22"/>
                    </w:rPr>
                    <w:t>Netiesioginės projekto išlaidos skaičiuojamos nuo tinkamų finansuoti tiesioginių projekto išlaidų ( iki 7 proc.).</w:t>
                  </w:r>
                </w:p>
              </w:tc>
            </w:tr>
          </w:tbl>
          <w:p w14:paraId="43575784" w14:textId="77777777" w:rsidR="009E2E66" w:rsidRPr="00A11A40" w:rsidRDefault="009E2E66" w:rsidP="009E2E66">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29"/>
              <w:gridCol w:w="2268"/>
              <w:gridCol w:w="3544"/>
              <w:gridCol w:w="3519"/>
            </w:tblGrid>
            <w:tr w:rsidR="009E2E66" w:rsidRPr="00E97956" w14:paraId="212DEC1C" w14:textId="77777777" w:rsidTr="00231EF5">
              <w:tc>
                <w:tcPr>
                  <w:tcW w:w="14449" w:type="dxa"/>
                  <w:gridSpan w:val="5"/>
                  <w:tcBorders>
                    <w:top w:val="single" w:sz="8" w:space="0" w:color="auto"/>
                    <w:left w:val="single" w:sz="8" w:space="0" w:color="auto"/>
                    <w:bottom w:val="single" w:sz="8" w:space="0" w:color="auto"/>
                    <w:right w:val="single" w:sz="8" w:space="0" w:color="auto"/>
                  </w:tcBorders>
                </w:tcPr>
                <w:p w14:paraId="0D2FE22C" w14:textId="77777777" w:rsidR="009E2E66" w:rsidRDefault="009E2E66" w:rsidP="009E2E66">
                  <w:pPr>
                    <w:jc w:val="both"/>
                    <w:rPr>
                      <w:b/>
                      <w:bCs/>
                      <w:sz w:val="22"/>
                      <w:szCs w:val="22"/>
                    </w:rPr>
                  </w:pPr>
                  <w:r w:rsidRPr="00E97956">
                    <w:rPr>
                      <w:rFonts w:ascii="MS Gothic" w:eastAsia="MS Gothic" w:hAnsi="MS Gothic" w:cs="MS Gothic"/>
                      <w:b/>
                      <w:bCs/>
                      <w:sz w:val="22"/>
                      <w:szCs w:val="22"/>
                    </w:rPr>
                    <w:t>☐</w:t>
                  </w:r>
                  <w:r w:rsidRPr="00E97956">
                    <w:rPr>
                      <w:b/>
                      <w:bCs/>
                      <w:sz w:val="22"/>
                      <w:szCs w:val="22"/>
                    </w:rPr>
                    <w:t xml:space="preserve"> </w:t>
                  </w:r>
                  <w:r>
                    <w:rPr>
                      <w:b/>
                      <w:bCs/>
                      <w:sz w:val="22"/>
                      <w:szCs w:val="22"/>
                    </w:rPr>
                    <w:t>Indeksuojama</w:t>
                  </w:r>
                </w:p>
                <w:p w14:paraId="0104689C" w14:textId="77777777" w:rsidR="009E2E66" w:rsidRPr="00E97956" w:rsidRDefault="009E2E66" w:rsidP="009E2E66">
                  <w:pPr>
                    <w:jc w:val="both"/>
                    <w:rPr>
                      <w:b/>
                      <w:bCs/>
                      <w:sz w:val="22"/>
                      <w:szCs w:val="22"/>
                    </w:rPr>
                  </w:pPr>
                  <w:r>
                    <w:fldChar w:fldCharType="begin" w:fldLock="1">
                      <w:ffData>
                        <w:name w:val="Check2"/>
                        <w:enabled/>
                        <w:calcOnExit w:val="0"/>
                        <w:checkBox>
                          <w:sizeAuto/>
                          <w:default w:val="1"/>
                        </w:checkBox>
                      </w:ffData>
                    </w:fldChar>
                  </w:r>
                  <w:r>
                    <w:instrText xml:space="preserve"> FORMCHECKBOX </w:instrText>
                  </w:r>
                  <w:r w:rsidR="001E20B8">
                    <w:fldChar w:fldCharType="separate"/>
                  </w:r>
                  <w:r>
                    <w:fldChar w:fldCharType="end"/>
                  </w:r>
                  <w:r w:rsidRPr="00E97956">
                    <w:rPr>
                      <w:b/>
                      <w:bCs/>
                      <w:sz w:val="22"/>
                      <w:szCs w:val="22"/>
                    </w:rPr>
                    <w:t>Neindeksuojama</w:t>
                  </w:r>
                </w:p>
              </w:tc>
            </w:tr>
            <w:tr w:rsidR="009E2E66" w:rsidRPr="00E97956" w14:paraId="658BFDFD" w14:textId="77777777" w:rsidTr="00231EF5">
              <w:trPr>
                <w:trHeight w:val="1234"/>
              </w:trPr>
              <w:tc>
                <w:tcPr>
                  <w:tcW w:w="2889" w:type="dxa"/>
                  <w:tcBorders>
                    <w:top w:val="single" w:sz="8" w:space="0" w:color="auto"/>
                    <w:left w:val="single" w:sz="8" w:space="0" w:color="auto"/>
                    <w:bottom w:val="single" w:sz="8" w:space="0" w:color="auto"/>
                    <w:right w:val="single" w:sz="8" w:space="0" w:color="auto"/>
                  </w:tcBorders>
                  <w:vAlign w:val="center"/>
                </w:tcPr>
                <w:p w14:paraId="79C7B3EE" w14:textId="77777777" w:rsidR="009E2E66" w:rsidRPr="00E97956" w:rsidRDefault="009E2E66" w:rsidP="009E2E66">
                  <w:pPr>
                    <w:jc w:val="center"/>
                    <w:rPr>
                      <w:b/>
                      <w:bCs/>
                      <w:sz w:val="22"/>
                      <w:szCs w:val="22"/>
                    </w:rPr>
                  </w:pPr>
                  <w:r w:rsidRPr="00E97956">
                    <w:rPr>
                      <w:b/>
                      <w:bCs/>
                      <w:sz w:val="22"/>
                      <w:szCs w:val="22"/>
                    </w:rPr>
                    <w:t>Veiklos ir (ar) išlaidos, kurioms taikomi supaprastintai apmokamų išlaidų dydžiai</w:t>
                  </w:r>
                </w:p>
              </w:tc>
              <w:tc>
                <w:tcPr>
                  <w:tcW w:w="2229" w:type="dxa"/>
                  <w:tcBorders>
                    <w:top w:val="single" w:sz="8" w:space="0" w:color="auto"/>
                    <w:left w:val="single" w:sz="8" w:space="0" w:color="auto"/>
                    <w:bottom w:val="single" w:sz="8" w:space="0" w:color="auto"/>
                    <w:right w:val="single" w:sz="8" w:space="0" w:color="auto"/>
                  </w:tcBorders>
                  <w:vAlign w:val="center"/>
                </w:tcPr>
                <w:p w14:paraId="7D4E9AEB" w14:textId="77777777" w:rsidR="009E2E66" w:rsidRPr="00E97956" w:rsidRDefault="009E2E66" w:rsidP="009E2E66">
                  <w:pPr>
                    <w:jc w:val="center"/>
                    <w:rPr>
                      <w:b/>
                      <w:bCs/>
                      <w:sz w:val="22"/>
                      <w:szCs w:val="22"/>
                    </w:rPr>
                  </w:pPr>
                  <w:r w:rsidRPr="00E97956">
                    <w:rPr>
                      <w:b/>
                      <w:bCs/>
                      <w:sz w:val="22"/>
                      <w:szCs w:val="22"/>
                    </w:rPr>
                    <w:t>Supaprastintai apmokamų išlaidų dydžio kodas</w:t>
                  </w:r>
                </w:p>
              </w:tc>
              <w:tc>
                <w:tcPr>
                  <w:tcW w:w="2268" w:type="dxa"/>
                  <w:tcBorders>
                    <w:top w:val="single" w:sz="8" w:space="0" w:color="auto"/>
                    <w:left w:val="single" w:sz="8" w:space="0" w:color="auto"/>
                    <w:bottom w:val="single" w:sz="8" w:space="0" w:color="auto"/>
                    <w:right w:val="single" w:sz="8" w:space="0" w:color="auto"/>
                  </w:tcBorders>
                  <w:vAlign w:val="center"/>
                </w:tcPr>
                <w:p w14:paraId="4B9A2FB8" w14:textId="77777777" w:rsidR="009E2E66" w:rsidRPr="00E97956" w:rsidRDefault="009E2E66" w:rsidP="009E2E66">
                  <w:pPr>
                    <w:jc w:val="center"/>
                    <w:rPr>
                      <w:b/>
                      <w:bCs/>
                      <w:i/>
                      <w:iCs/>
                      <w:color w:val="808080"/>
                      <w:sz w:val="22"/>
                      <w:szCs w:val="22"/>
                    </w:rPr>
                  </w:pPr>
                  <w:r w:rsidRPr="00E97956">
                    <w:rPr>
                      <w:b/>
                      <w:bCs/>
                      <w:sz w:val="22"/>
                      <w:szCs w:val="22"/>
                    </w:rPr>
                    <w:t>Supaprastintai apmokamų išlaidų dydžio versija</w:t>
                  </w:r>
                </w:p>
              </w:tc>
              <w:tc>
                <w:tcPr>
                  <w:tcW w:w="3544" w:type="dxa"/>
                  <w:tcBorders>
                    <w:top w:val="single" w:sz="8" w:space="0" w:color="auto"/>
                    <w:left w:val="single" w:sz="8" w:space="0" w:color="auto"/>
                    <w:bottom w:val="single" w:sz="8" w:space="0" w:color="auto"/>
                    <w:right w:val="single" w:sz="8" w:space="0" w:color="auto"/>
                  </w:tcBorders>
                  <w:vAlign w:val="center"/>
                </w:tcPr>
                <w:p w14:paraId="7525738B" w14:textId="77777777" w:rsidR="009E2E66" w:rsidRPr="00E97956" w:rsidRDefault="009E2E66" w:rsidP="009E2E66">
                  <w:pPr>
                    <w:jc w:val="center"/>
                    <w:rPr>
                      <w:b/>
                      <w:bCs/>
                      <w:sz w:val="22"/>
                      <w:szCs w:val="22"/>
                    </w:rPr>
                  </w:pPr>
                  <w:r w:rsidRPr="00E97956">
                    <w:rPr>
                      <w:b/>
                      <w:bCs/>
                      <w:sz w:val="22"/>
                      <w:szCs w:val="22"/>
                    </w:rPr>
                    <w:t>Supaprastintai apmokamų išlaidų dydžio pavadinimas</w:t>
                  </w:r>
                </w:p>
              </w:tc>
              <w:tc>
                <w:tcPr>
                  <w:tcW w:w="3519" w:type="dxa"/>
                  <w:tcBorders>
                    <w:top w:val="single" w:sz="8" w:space="0" w:color="auto"/>
                    <w:left w:val="single" w:sz="8" w:space="0" w:color="auto"/>
                    <w:bottom w:val="single" w:sz="8" w:space="0" w:color="auto"/>
                    <w:right w:val="single" w:sz="8" w:space="0" w:color="auto"/>
                  </w:tcBorders>
                  <w:vAlign w:val="center"/>
                </w:tcPr>
                <w:p w14:paraId="38CE8333" w14:textId="77777777" w:rsidR="009E2E66" w:rsidRPr="00E97956" w:rsidRDefault="009E2E66" w:rsidP="009E2E66">
                  <w:pPr>
                    <w:jc w:val="center"/>
                    <w:rPr>
                      <w:b/>
                      <w:bCs/>
                      <w:sz w:val="22"/>
                      <w:szCs w:val="22"/>
                    </w:rPr>
                  </w:pPr>
                  <w:r w:rsidRPr="00E97956">
                    <w:rPr>
                      <w:b/>
                      <w:bCs/>
                      <w:sz w:val="22"/>
                      <w:szCs w:val="22"/>
                    </w:rPr>
                    <w:t>Papildoma informacija</w:t>
                  </w:r>
                </w:p>
              </w:tc>
            </w:tr>
            <w:tr w:rsidR="009E2E66" w:rsidRPr="00673B50" w14:paraId="23DD7D37" w14:textId="77777777" w:rsidTr="00231EF5">
              <w:tc>
                <w:tcPr>
                  <w:tcW w:w="2889" w:type="dxa"/>
                  <w:tcBorders>
                    <w:top w:val="single" w:sz="8" w:space="0" w:color="auto"/>
                    <w:left w:val="single" w:sz="8" w:space="0" w:color="auto"/>
                    <w:bottom w:val="single" w:sz="8" w:space="0" w:color="auto"/>
                    <w:right w:val="single" w:sz="8" w:space="0" w:color="auto"/>
                  </w:tcBorders>
                </w:tcPr>
                <w:p w14:paraId="469BB12B" w14:textId="77777777" w:rsidR="009E2E66" w:rsidRDefault="009E2E66" w:rsidP="009E2E66">
                  <w:pPr>
                    <w:jc w:val="center"/>
                    <w:rPr>
                      <w:sz w:val="20"/>
                    </w:rPr>
                  </w:pPr>
                  <w:r>
                    <w:rPr>
                      <w:sz w:val="20"/>
                    </w:rPr>
                    <w:t>Viešinimo išlaidos</w:t>
                  </w:r>
                </w:p>
                <w:p w14:paraId="5DE8ABCA" w14:textId="77777777" w:rsidR="009E2E66" w:rsidRPr="00673B50" w:rsidRDefault="009E2E66" w:rsidP="009E2E66">
                  <w:pPr>
                    <w:jc w:val="center"/>
                    <w:rPr>
                      <w:i/>
                      <w:iCs/>
                      <w:sz w:val="20"/>
                      <w:highlight w:val="yellow"/>
                    </w:rPr>
                  </w:pPr>
                </w:p>
              </w:tc>
              <w:tc>
                <w:tcPr>
                  <w:tcW w:w="2229" w:type="dxa"/>
                  <w:tcBorders>
                    <w:top w:val="single" w:sz="8" w:space="0" w:color="auto"/>
                    <w:left w:val="single" w:sz="8" w:space="0" w:color="auto"/>
                    <w:bottom w:val="single" w:sz="8" w:space="0" w:color="auto"/>
                    <w:right w:val="single" w:sz="8" w:space="0" w:color="auto"/>
                  </w:tcBorders>
                </w:tcPr>
                <w:p w14:paraId="4213572C" w14:textId="77777777" w:rsidR="009E2E66" w:rsidRDefault="009E2E66" w:rsidP="009E2E66">
                  <w:pPr>
                    <w:jc w:val="center"/>
                    <w:rPr>
                      <w:sz w:val="20"/>
                    </w:rPr>
                  </w:pPr>
                </w:p>
                <w:p w14:paraId="7B04174F" w14:textId="77777777" w:rsidR="009E2E66" w:rsidRDefault="009E2E66" w:rsidP="009E2E66">
                  <w:pPr>
                    <w:rPr>
                      <w:sz w:val="20"/>
                    </w:rPr>
                  </w:pPr>
                </w:p>
                <w:p w14:paraId="66FF3A37" w14:textId="77777777" w:rsidR="009E2E66" w:rsidRPr="00673B50" w:rsidRDefault="009E2E66" w:rsidP="009E2E66">
                  <w:pPr>
                    <w:jc w:val="center"/>
                    <w:rPr>
                      <w:i/>
                      <w:iCs/>
                      <w:sz w:val="20"/>
                      <w:highlight w:val="yellow"/>
                    </w:rPr>
                  </w:pPr>
                  <w:r>
                    <w:rPr>
                      <w:sz w:val="20"/>
                      <w:lang w:eastAsia="lt-LT"/>
                    </w:rPr>
                    <w:t>FS-01-03</w:t>
                  </w:r>
                </w:p>
              </w:tc>
              <w:tc>
                <w:tcPr>
                  <w:tcW w:w="2268" w:type="dxa"/>
                  <w:tcBorders>
                    <w:top w:val="single" w:sz="8" w:space="0" w:color="auto"/>
                    <w:left w:val="single" w:sz="8" w:space="0" w:color="auto"/>
                    <w:bottom w:val="single" w:sz="8" w:space="0" w:color="auto"/>
                    <w:right w:val="single" w:sz="8" w:space="0" w:color="auto"/>
                  </w:tcBorders>
                </w:tcPr>
                <w:p w14:paraId="68694E62" w14:textId="77777777" w:rsidR="009E2E66" w:rsidRPr="00673B50" w:rsidRDefault="009E2E66" w:rsidP="009E2E66">
                  <w:pPr>
                    <w:jc w:val="center"/>
                    <w:rPr>
                      <w:i/>
                      <w:iCs/>
                      <w:sz w:val="20"/>
                      <w:highlight w:val="yellow"/>
                    </w:rPr>
                  </w:pPr>
                  <w:r>
                    <w:rPr>
                      <w:sz w:val="20"/>
                    </w:rPr>
                    <w:t>01</w:t>
                  </w:r>
                </w:p>
              </w:tc>
              <w:tc>
                <w:tcPr>
                  <w:tcW w:w="3544" w:type="dxa"/>
                  <w:tcBorders>
                    <w:top w:val="single" w:sz="8" w:space="0" w:color="auto"/>
                    <w:left w:val="single" w:sz="8" w:space="0" w:color="auto"/>
                    <w:bottom w:val="single" w:sz="8" w:space="0" w:color="auto"/>
                    <w:right w:val="single" w:sz="8" w:space="0" w:color="auto"/>
                  </w:tcBorders>
                </w:tcPr>
                <w:p w14:paraId="2AF0EFDA" w14:textId="77777777" w:rsidR="009E2E66" w:rsidRDefault="009E2E66" w:rsidP="009E2E66">
                  <w:pPr>
                    <w:rPr>
                      <w:sz w:val="20"/>
                      <w:lang w:eastAsia="lt-LT"/>
                    </w:rPr>
                  </w:pPr>
                  <w:r>
                    <w:rPr>
                      <w:sz w:val="20"/>
                      <w:lang w:eastAsia="lt-LT"/>
                    </w:rPr>
                    <w:t>Įgyvendintų privalomų matomumo ir informavimo priemonių apie ES fondų investicijų veiklas fiksuotoji suma, pirmojo rinkinio FS be PVM (FS-01-03)</w:t>
                  </w:r>
                </w:p>
                <w:p w14:paraId="782E4766" w14:textId="77777777" w:rsidR="009E2E66" w:rsidRPr="00673B50" w:rsidRDefault="009E2E66" w:rsidP="009E2E66">
                  <w:pPr>
                    <w:jc w:val="center"/>
                    <w:rPr>
                      <w:i/>
                      <w:iCs/>
                      <w:sz w:val="20"/>
                      <w:highlight w:val="yellow"/>
                    </w:rPr>
                  </w:pPr>
                </w:p>
              </w:tc>
              <w:tc>
                <w:tcPr>
                  <w:tcW w:w="3519" w:type="dxa"/>
                  <w:tcBorders>
                    <w:top w:val="single" w:sz="8" w:space="0" w:color="auto"/>
                    <w:left w:val="single" w:sz="8" w:space="0" w:color="auto"/>
                    <w:bottom w:val="single" w:sz="8" w:space="0" w:color="auto"/>
                    <w:right w:val="single" w:sz="8" w:space="0" w:color="auto"/>
                  </w:tcBorders>
                </w:tcPr>
                <w:p w14:paraId="2275FFA7" w14:textId="77777777" w:rsidR="009E2E66" w:rsidRPr="00673B50" w:rsidRDefault="009E2E66" w:rsidP="009E2E66">
                  <w:pPr>
                    <w:rPr>
                      <w:i/>
                      <w:iCs/>
                      <w:sz w:val="20"/>
                      <w:highlight w:val="yellow"/>
                    </w:rPr>
                  </w:pPr>
                  <w:r>
                    <w:rPr>
                      <w:sz w:val="20"/>
                    </w:rPr>
                    <w:t>Įgyvendintų privalomų matomumo ir informavimo priemonių apie ES fondų investicijų veiklas fiksuotoji suma, pirmojo rinkinio FS be PVM</w:t>
                  </w:r>
                </w:p>
              </w:tc>
            </w:tr>
            <w:tr w:rsidR="009E2E66" w:rsidRPr="00673B50" w14:paraId="6CBB60B1" w14:textId="77777777" w:rsidTr="00231EF5">
              <w:tc>
                <w:tcPr>
                  <w:tcW w:w="2889" w:type="dxa"/>
                  <w:tcBorders>
                    <w:top w:val="single" w:sz="8" w:space="0" w:color="auto"/>
                    <w:left w:val="single" w:sz="8" w:space="0" w:color="auto"/>
                    <w:bottom w:val="single" w:sz="8" w:space="0" w:color="auto"/>
                    <w:right w:val="single" w:sz="8" w:space="0" w:color="auto"/>
                  </w:tcBorders>
                </w:tcPr>
                <w:p w14:paraId="03196EC4" w14:textId="77777777" w:rsidR="009E2E66" w:rsidRDefault="009E2E66" w:rsidP="009E2E66">
                  <w:pPr>
                    <w:jc w:val="center"/>
                    <w:rPr>
                      <w:sz w:val="20"/>
                    </w:rPr>
                  </w:pPr>
                  <w:r>
                    <w:rPr>
                      <w:sz w:val="20"/>
                    </w:rPr>
                    <w:t xml:space="preserve">Viešinimo išlaidos </w:t>
                  </w:r>
                </w:p>
                <w:p w14:paraId="01BB0922" w14:textId="77777777" w:rsidR="009E2E66" w:rsidRPr="00673B50" w:rsidRDefault="009E2E66" w:rsidP="009E2E66">
                  <w:pPr>
                    <w:jc w:val="center"/>
                    <w:rPr>
                      <w:i/>
                      <w:iCs/>
                      <w:sz w:val="20"/>
                      <w:highlight w:val="yellow"/>
                    </w:rPr>
                  </w:pPr>
                </w:p>
              </w:tc>
              <w:tc>
                <w:tcPr>
                  <w:tcW w:w="2229" w:type="dxa"/>
                  <w:tcBorders>
                    <w:top w:val="single" w:sz="8" w:space="0" w:color="auto"/>
                    <w:left w:val="single" w:sz="8" w:space="0" w:color="auto"/>
                    <w:bottom w:val="single" w:sz="8" w:space="0" w:color="auto"/>
                    <w:right w:val="single" w:sz="8" w:space="0" w:color="auto"/>
                  </w:tcBorders>
                </w:tcPr>
                <w:p w14:paraId="7F5A0C1B" w14:textId="77777777" w:rsidR="009E2E66" w:rsidRPr="00673B50" w:rsidRDefault="009E2E66" w:rsidP="009E2E66">
                  <w:pPr>
                    <w:jc w:val="center"/>
                    <w:rPr>
                      <w:i/>
                      <w:iCs/>
                      <w:sz w:val="20"/>
                      <w:highlight w:val="yellow"/>
                    </w:rPr>
                  </w:pPr>
                  <w:r>
                    <w:rPr>
                      <w:sz w:val="20"/>
                    </w:rPr>
                    <w:t>FS-01-04</w:t>
                  </w:r>
                </w:p>
              </w:tc>
              <w:tc>
                <w:tcPr>
                  <w:tcW w:w="2268" w:type="dxa"/>
                  <w:tcBorders>
                    <w:top w:val="single" w:sz="8" w:space="0" w:color="auto"/>
                    <w:left w:val="single" w:sz="8" w:space="0" w:color="auto"/>
                    <w:bottom w:val="single" w:sz="8" w:space="0" w:color="auto"/>
                    <w:right w:val="single" w:sz="8" w:space="0" w:color="auto"/>
                  </w:tcBorders>
                </w:tcPr>
                <w:p w14:paraId="3C8F65D5" w14:textId="77777777" w:rsidR="009E2E66" w:rsidRPr="00673B50" w:rsidRDefault="009E2E66" w:rsidP="009E2E66">
                  <w:pPr>
                    <w:jc w:val="center"/>
                    <w:rPr>
                      <w:i/>
                      <w:iCs/>
                      <w:sz w:val="20"/>
                      <w:highlight w:val="yellow"/>
                    </w:rPr>
                  </w:pPr>
                  <w:r>
                    <w:rPr>
                      <w:sz w:val="20"/>
                    </w:rPr>
                    <w:t>01</w:t>
                  </w:r>
                </w:p>
              </w:tc>
              <w:tc>
                <w:tcPr>
                  <w:tcW w:w="3544" w:type="dxa"/>
                  <w:tcBorders>
                    <w:top w:val="single" w:sz="8" w:space="0" w:color="auto"/>
                    <w:left w:val="single" w:sz="8" w:space="0" w:color="auto"/>
                    <w:bottom w:val="single" w:sz="8" w:space="0" w:color="auto"/>
                    <w:right w:val="single" w:sz="8" w:space="0" w:color="auto"/>
                  </w:tcBorders>
                </w:tcPr>
                <w:p w14:paraId="644282A7" w14:textId="77777777" w:rsidR="009E2E66" w:rsidRPr="00673B50" w:rsidRDefault="009E2E66" w:rsidP="009E2E66">
                  <w:pPr>
                    <w:rPr>
                      <w:i/>
                      <w:iCs/>
                      <w:sz w:val="20"/>
                      <w:highlight w:val="yellow"/>
                    </w:rPr>
                  </w:pPr>
                  <w:r>
                    <w:rPr>
                      <w:sz w:val="20"/>
                      <w:lang w:eastAsia="lt-LT"/>
                    </w:rPr>
                    <w:t>Įgyvendintų privalomų matomumo ir informavimo priemonių apie ES fondų investicijų veiklas fiksuotoji suma, pirmojo rinkinio FS su PVM (FS-01-04)</w:t>
                  </w:r>
                </w:p>
              </w:tc>
              <w:tc>
                <w:tcPr>
                  <w:tcW w:w="3519" w:type="dxa"/>
                  <w:tcBorders>
                    <w:top w:val="single" w:sz="8" w:space="0" w:color="auto"/>
                    <w:left w:val="single" w:sz="8" w:space="0" w:color="auto"/>
                    <w:bottom w:val="single" w:sz="8" w:space="0" w:color="auto"/>
                    <w:right w:val="single" w:sz="8" w:space="0" w:color="auto"/>
                  </w:tcBorders>
                </w:tcPr>
                <w:p w14:paraId="669B3E8C" w14:textId="77777777" w:rsidR="009E2E66" w:rsidRPr="00673B50" w:rsidRDefault="009E2E66" w:rsidP="009E2E66">
                  <w:pPr>
                    <w:rPr>
                      <w:i/>
                      <w:iCs/>
                      <w:sz w:val="20"/>
                      <w:highlight w:val="yellow"/>
                    </w:rPr>
                  </w:pPr>
                  <w:r>
                    <w:rPr>
                      <w:sz w:val="20"/>
                    </w:rPr>
                    <w:t>Įgyvendintų privalomų matomumo ir informavimo priemonių apie ES fondų investicijų veiklas fiksuotoji suma, pirmojo rinkinio FS su PVM</w:t>
                  </w:r>
                </w:p>
              </w:tc>
            </w:tr>
            <w:tr w:rsidR="009E2E66" w:rsidRPr="00673B50" w14:paraId="4DD97607" w14:textId="77777777" w:rsidTr="00231EF5">
              <w:tc>
                <w:tcPr>
                  <w:tcW w:w="2889" w:type="dxa"/>
                  <w:tcBorders>
                    <w:top w:val="single" w:sz="8" w:space="0" w:color="auto"/>
                    <w:left w:val="single" w:sz="8" w:space="0" w:color="auto"/>
                    <w:bottom w:val="single" w:sz="8" w:space="0" w:color="auto"/>
                    <w:right w:val="single" w:sz="8" w:space="0" w:color="auto"/>
                  </w:tcBorders>
                </w:tcPr>
                <w:p w14:paraId="6B794C5A" w14:textId="77777777" w:rsidR="009E2E66" w:rsidRPr="00673B50" w:rsidRDefault="009E2E66" w:rsidP="009E2E66">
                  <w:pPr>
                    <w:jc w:val="center"/>
                    <w:rPr>
                      <w:i/>
                      <w:iCs/>
                      <w:sz w:val="20"/>
                      <w:highlight w:val="yellow"/>
                    </w:rPr>
                  </w:pPr>
                  <w:r>
                    <w:rPr>
                      <w:sz w:val="20"/>
                    </w:rPr>
                    <w:t xml:space="preserve">Netiesioginės išlaidos </w:t>
                  </w:r>
                </w:p>
              </w:tc>
              <w:tc>
                <w:tcPr>
                  <w:tcW w:w="2229" w:type="dxa"/>
                  <w:tcBorders>
                    <w:top w:val="single" w:sz="8" w:space="0" w:color="auto"/>
                    <w:left w:val="single" w:sz="8" w:space="0" w:color="auto"/>
                    <w:bottom w:val="single" w:sz="8" w:space="0" w:color="auto"/>
                    <w:right w:val="single" w:sz="8" w:space="0" w:color="auto"/>
                  </w:tcBorders>
                </w:tcPr>
                <w:p w14:paraId="277301D2" w14:textId="77777777" w:rsidR="009E2E66" w:rsidRPr="00673B50" w:rsidRDefault="009E2E66" w:rsidP="009E2E66">
                  <w:pPr>
                    <w:jc w:val="center"/>
                    <w:rPr>
                      <w:i/>
                      <w:iCs/>
                      <w:sz w:val="20"/>
                      <w:highlight w:val="yellow"/>
                    </w:rPr>
                  </w:pPr>
                  <w:r>
                    <w:rPr>
                      <w:sz w:val="20"/>
                    </w:rPr>
                    <w:t>FN-01</w:t>
                  </w:r>
                </w:p>
              </w:tc>
              <w:tc>
                <w:tcPr>
                  <w:tcW w:w="2268" w:type="dxa"/>
                  <w:tcBorders>
                    <w:top w:val="single" w:sz="8" w:space="0" w:color="auto"/>
                    <w:left w:val="single" w:sz="8" w:space="0" w:color="auto"/>
                    <w:bottom w:val="single" w:sz="8" w:space="0" w:color="auto"/>
                    <w:right w:val="single" w:sz="8" w:space="0" w:color="auto"/>
                  </w:tcBorders>
                </w:tcPr>
                <w:p w14:paraId="0219A923" w14:textId="77777777" w:rsidR="009E2E66" w:rsidRPr="00673B50" w:rsidRDefault="009E2E66" w:rsidP="009E2E66">
                  <w:pPr>
                    <w:jc w:val="center"/>
                    <w:rPr>
                      <w:i/>
                      <w:iCs/>
                      <w:sz w:val="20"/>
                      <w:highlight w:val="yellow"/>
                    </w:rPr>
                  </w:pPr>
                  <w:r>
                    <w:rPr>
                      <w:sz w:val="20"/>
                    </w:rPr>
                    <w:t>01</w:t>
                  </w:r>
                </w:p>
              </w:tc>
              <w:tc>
                <w:tcPr>
                  <w:tcW w:w="3544" w:type="dxa"/>
                  <w:tcBorders>
                    <w:top w:val="single" w:sz="8" w:space="0" w:color="auto"/>
                    <w:left w:val="single" w:sz="8" w:space="0" w:color="auto"/>
                    <w:bottom w:val="single" w:sz="8" w:space="0" w:color="auto"/>
                    <w:right w:val="single" w:sz="8" w:space="0" w:color="auto"/>
                  </w:tcBorders>
                </w:tcPr>
                <w:p w14:paraId="2D7A6102" w14:textId="77777777" w:rsidR="009E2E66" w:rsidRPr="00673B50" w:rsidRDefault="009E2E66" w:rsidP="009E2E66">
                  <w:pPr>
                    <w:rPr>
                      <w:i/>
                      <w:iCs/>
                      <w:sz w:val="20"/>
                      <w:highlight w:val="yellow"/>
                    </w:rPr>
                  </w:pPr>
                  <w:r>
                    <w:rPr>
                      <w:sz w:val="20"/>
                      <w:lang w:eastAsia="lt-LT"/>
                    </w:rPr>
                    <w:t>Fiksuotoji norma netiesioginėms projekto išlaidoms (FN-01)</w:t>
                  </w:r>
                </w:p>
              </w:tc>
              <w:tc>
                <w:tcPr>
                  <w:tcW w:w="3519" w:type="dxa"/>
                  <w:tcBorders>
                    <w:top w:val="single" w:sz="8" w:space="0" w:color="auto"/>
                    <w:left w:val="single" w:sz="8" w:space="0" w:color="auto"/>
                    <w:bottom w:val="single" w:sz="8" w:space="0" w:color="auto"/>
                    <w:right w:val="single" w:sz="8" w:space="0" w:color="auto"/>
                  </w:tcBorders>
                </w:tcPr>
                <w:p w14:paraId="4AE85388" w14:textId="77777777" w:rsidR="009E2E66" w:rsidRPr="00673B50" w:rsidRDefault="009E2E66" w:rsidP="009E2E66">
                  <w:pPr>
                    <w:rPr>
                      <w:i/>
                      <w:iCs/>
                      <w:sz w:val="20"/>
                      <w:highlight w:val="yellow"/>
                    </w:rPr>
                  </w:pPr>
                  <w:r>
                    <w:rPr>
                      <w:sz w:val="20"/>
                    </w:rPr>
                    <w:t>Netiesioginės projekto išlaidos skaičiuojamos nuo tinkamų finansuoti tiesioginių projekto išlaidų (7 proc.)</w:t>
                  </w:r>
                </w:p>
              </w:tc>
            </w:tr>
            <w:tr w:rsidR="009E2E66" w14:paraId="70C10146" w14:textId="77777777" w:rsidTr="00231EF5">
              <w:tc>
                <w:tcPr>
                  <w:tcW w:w="2889" w:type="dxa"/>
                  <w:tcBorders>
                    <w:top w:val="single" w:sz="8" w:space="0" w:color="auto"/>
                    <w:left w:val="single" w:sz="8" w:space="0" w:color="auto"/>
                    <w:bottom w:val="single" w:sz="8" w:space="0" w:color="auto"/>
                    <w:right w:val="single" w:sz="8" w:space="0" w:color="auto"/>
                  </w:tcBorders>
                </w:tcPr>
                <w:p w14:paraId="2A91BA6B" w14:textId="77777777" w:rsidR="009E2E66" w:rsidRDefault="009E2E66" w:rsidP="009E2E66">
                  <w:pPr>
                    <w:jc w:val="center"/>
                    <w:rPr>
                      <w:sz w:val="20"/>
                    </w:rPr>
                  </w:pPr>
                  <w:r>
                    <w:rPr>
                      <w:sz w:val="20"/>
                    </w:rPr>
                    <w:t xml:space="preserve">Projektą vykdančio personalo darbo užmokesčio išlaidų dalis per mėnesį, skirta kasmetinėms atostogoms, kuri apskaičiuojama nuo tinkamų finansuoti faktiškai patirtų darbo užmokesčio išlaidų už faktiškai dirbtą laiką </w:t>
                  </w:r>
                </w:p>
                <w:p w14:paraId="33A9667A"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04CD145D" w14:textId="77777777" w:rsidR="009E2E66" w:rsidRDefault="009E2E66" w:rsidP="009E2E66">
                  <w:pPr>
                    <w:jc w:val="center"/>
                    <w:rPr>
                      <w:sz w:val="20"/>
                    </w:rPr>
                  </w:pPr>
                  <w:r>
                    <w:rPr>
                      <w:sz w:val="20"/>
                    </w:rPr>
                    <w:t>FN-05-01</w:t>
                  </w:r>
                </w:p>
              </w:tc>
              <w:tc>
                <w:tcPr>
                  <w:tcW w:w="2268" w:type="dxa"/>
                  <w:tcBorders>
                    <w:top w:val="single" w:sz="8" w:space="0" w:color="auto"/>
                    <w:left w:val="single" w:sz="8" w:space="0" w:color="auto"/>
                    <w:bottom w:val="single" w:sz="8" w:space="0" w:color="auto"/>
                    <w:right w:val="single" w:sz="8" w:space="0" w:color="auto"/>
                  </w:tcBorders>
                  <w:vAlign w:val="center"/>
                </w:tcPr>
                <w:p w14:paraId="4A92F68C"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03092CA2" w14:textId="77777777" w:rsidR="009E2E66" w:rsidRDefault="009E2E66" w:rsidP="009E2E66">
                  <w:pPr>
                    <w:rPr>
                      <w:sz w:val="20"/>
                      <w:lang w:eastAsia="lt-LT"/>
                    </w:rPr>
                  </w:pPr>
                  <w:r>
                    <w:rPr>
                      <w:sz w:val="20"/>
                    </w:rPr>
                    <w:t>Fiksuotoji norma, taikoma, kai priklauso 20 d. d. (jeigu dirbama 5 d. d. per savaitę) arba 24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1201F92D"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00CAA0CE" w14:textId="77777777" w:rsidTr="00231EF5">
              <w:tc>
                <w:tcPr>
                  <w:tcW w:w="2889" w:type="dxa"/>
                  <w:tcBorders>
                    <w:top w:val="single" w:sz="8" w:space="0" w:color="auto"/>
                    <w:left w:val="single" w:sz="8" w:space="0" w:color="auto"/>
                    <w:bottom w:val="single" w:sz="8" w:space="0" w:color="auto"/>
                    <w:right w:val="single" w:sz="8" w:space="0" w:color="auto"/>
                  </w:tcBorders>
                </w:tcPr>
                <w:p w14:paraId="375AC7AD" w14:textId="77777777" w:rsidR="009E2E66" w:rsidRDefault="009E2E66" w:rsidP="009E2E66">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30AB0B65"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2CE0E979" w14:textId="77777777" w:rsidR="009E2E66" w:rsidRDefault="009E2E66" w:rsidP="009E2E66">
                  <w:pPr>
                    <w:jc w:val="center"/>
                    <w:rPr>
                      <w:sz w:val="20"/>
                    </w:rPr>
                  </w:pPr>
                  <w:r>
                    <w:rPr>
                      <w:sz w:val="20"/>
                    </w:rPr>
                    <w:t>FN-05-02</w:t>
                  </w:r>
                </w:p>
              </w:tc>
              <w:tc>
                <w:tcPr>
                  <w:tcW w:w="2268" w:type="dxa"/>
                  <w:tcBorders>
                    <w:top w:val="single" w:sz="8" w:space="0" w:color="auto"/>
                    <w:left w:val="single" w:sz="8" w:space="0" w:color="auto"/>
                    <w:bottom w:val="single" w:sz="8" w:space="0" w:color="auto"/>
                    <w:right w:val="single" w:sz="8" w:space="0" w:color="auto"/>
                  </w:tcBorders>
                  <w:vAlign w:val="center"/>
                </w:tcPr>
                <w:p w14:paraId="4B69A13F"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2E5BC302" w14:textId="77777777" w:rsidR="009E2E66" w:rsidRDefault="009E2E66" w:rsidP="009E2E66">
                  <w:pPr>
                    <w:rPr>
                      <w:sz w:val="20"/>
                      <w:lang w:eastAsia="lt-LT"/>
                    </w:rPr>
                  </w:pPr>
                  <w:r>
                    <w:rPr>
                      <w:sz w:val="20"/>
                    </w:rPr>
                    <w:t>Fiksuotoji norma, taikoma, kai priklauso nuo 21 iki 25 d. d. (jeigu dirbama 5 d. d. per savaitę) arba nuo 25 iki 30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1154E465"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43B06751" w14:textId="77777777" w:rsidTr="00231EF5">
              <w:tc>
                <w:tcPr>
                  <w:tcW w:w="2889" w:type="dxa"/>
                  <w:tcBorders>
                    <w:top w:val="single" w:sz="8" w:space="0" w:color="auto"/>
                    <w:left w:val="single" w:sz="8" w:space="0" w:color="auto"/>
                    <w:bottom w:val="single" w:sz="8" w:space="0" w:color="auto"/>
                    <w:right w:val="single" w:sz="8" w:space="0" w:color="auto"/>
                  </w:tcBorders>
                </w:tcPr>
                <w:p w14:paraId="7887B575" w14:textId="77777777" w:rsidR="009E2E66" w:rsidRDefault="009E2E66" w:rsidP="009E2E66">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0949334F"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584208A2" w14:textId="77777777" w:rsidR="009E2E66" w:rsidRDefault="009E2E66" w:rsidP="009E2E66">
                  <w:pPr>
                    <w:jc w:val="center"/>
                    <w:rPr>
                      <w:sz w:val="20"/>
                    </w:rPr>
                  </w:pPr>
                  <w:r>
                    <w:rPr>
                      <w:sz w:val="20"/>
                    </w:rPr>
                    <w:t>FN-05-03</w:t>
                  </w:r>
                </w:p>
              </w:tc>
              <w:tc>
                <w:tcPr>
                  <w:tcW w:w="2268" w:type="dxa"/>
                  <w:tcBorders>
                    <w:top w:val="single" w:sz="8" w:space="0" w:color="auto"/>
                    <w:left w:val="single" w:sz="8" w:space="0" w:color="auto"/>
                    <w:bottom w:val="single" w:sz="8" w:space="0" w:color="auto"/>
                    <w:right w:val="single" w:sz="8" w:space="0" w:color="auto"/>
                  </w:tcBorders>
                  <w:vAlign w:val="center"/>
                </w:tcPr>
                <w:p w14:paraId="78520BC2"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7E9A1AAB" w14:textId="77777777" w:rsidR="009E2E66" w:rsidRDefault="009E2E66" w:rsidP="009E2E66">
                  <w:pPr>
                    <w:rPr>
                      <w:sz w:val="20"/>
                      <w:lang w:eastAsia="lt-LT"/>
                    </w:rPr>
                  </w:pPr>
                  <w:r>
                    <w:rPr>
                      <w:sz w:val="20"/>
                    </w:rPr>
                    <w:t>Fiksuotoji norma, taikoma, kai priklauso nuo 26 iki 30 d. d. (jeigu dirbama 5 d. d. per savaitę) arba nuo 31 iki 36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78FE026F"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6A5B72B6" w14:textId="77777777" w:rsidTr="00231EF5">
              <w:tc>
                <w:tcPr>
                  <w:tcW w:w="2889" w:type="dxa"/>
                  <w:tcBorders>
                    <w:top w:val="single" w:sz="8" w:space="0" w:color="auto"/>
                    <w:left w:val="single" w:sz="8" w:space="0" w:color="auto"/>
                    <w:bottom w:val="single" w:sz="8" w:space="0" w:color="auto"/>
                    <w:right w:val="single" w:sz="8" w:space="0" w:color="auto"/>
                  </w:tcBorders>
                </w:tcPr>
                <w:p w14:paraId="6178662A" w14:textId="77777777" w:rsidR="009E2E66" w:rsidRDefault="009E2E66" w:rsidP="009E2E66">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62F44DFF"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51610953" w14:textId="77777777" w:rsidR="009E2E66" w:rsidRDefault="009E2E66" w:rsidP="009E2E66">
                  <w:pPr>
                    <w:jc w:val="center"/>
                    <w:rPr>
                      <w:sz w:val="20"/>
                    </w:rPr>
                  </w:pPr>
                  <w:r>
                    <w:rPr>
                      <w:sz w:val="20"/>
                    </w:rPr>
                    <w:t>FN-05-04</w:t>
                  </w:r>
                </w:p>
              </w:tc>
              <w:tc>
                <w:tcPr>
                  <w:tcW w:w="2268" w:type="dxa"/>
                  <w:tcBorders>
                    <w:top w:val="single" w:sz="8" w:space="0" w:color="auto"/>
                    <w:left w:val="single" w:sz="8" w:space="0" w:color="auto"/>
                    <w:bottom w:val="single" w:sz="8" w:space="0" w:color="auto"/>
                    <w:right w:val="single" w:sz="8" w:space="0" w:color="auto"/>
                  </w:tcBorders>
                  <w:vAlign w:val="center"/>
                </w:tcPr>
                <w:p w14:paraId="12AF9F41"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767D3BE1" w14:textId="77777777" w:rsidR="009E2E66" w:rsidRDefault="009E2E66" w:rsidP="009E2E66">
                  <w:pPr>
                    <w:rPr>
                      <w:sz w:val="20"/>
                      <w:lang w:eastAsia="lt-LT"/>
                    </w:rPr>
                  </w:pPr>
                  <w:r>
                    <w:rPr>
                      <w:sz w:val="20"/>
                    </w:rPr>
                    <w:t>Fiksuotoji norma, taikoma, kai priklauso nuo 31 iki 36 d. d. (jeigu dirbama 5 d. d. per savaitę) arba nuo 37 iki 42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3D6F1A94"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140CE57B" w14:textId="77777777" w:rsidTr="00231EF5">
              <w:tc>
                <w:tcPr>
                  <w:tcW w:w="2889" w:type="dxa"/>
                  <w:tcBorders>
                    <w:top w:val="single" w:sz="8" w:space="0" w:color="auto"/>
                    <w:left w:val="single" w:sz="8" w:space="0" w:color="auto"/>
                    <w:bottom w:val="single" w:sz="8" w:space="0" w:color="auto"/>
                    <w:right w:val="single" w:sz="8" w:space="0" w:color="auto"/>
                  </w:tcBorders>
                </w:tcPr>
                <w:p w14:paraId="514C8CE1" w14:textId="77777777" w:rsidR="009E2E66" w:rsidRDefault="009E2E66" w:rsidP="009E2E66">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00C568A3"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304BE0F9" w14:textId="77777777" w:rsidR="009E2E66" w:rsidRDefault="009E2E66" w:rsidP="009E2E66">
                  <w:pPr>
                    <w:jc w:val="center"/>
                    <w:rPr>
                      <w:sz w:val="20"/>
                    </w:rPr>
                  </w:pPr>
                  <w:r>
                    <w:rPr>
                      <w:sz w:val="20"/>
                    </w:rPr>
                    <w:t>FN-05-05</w:t>
                  </w:r>
                </w:p>
              </w:tc>
              <w:tc>
                <w:tcPr>
                  <w:tcW w:w="2268" w:type="dxa"/>
                  <w:tcBorders>
                    <w:top w:val="single" w:sz="8" w:space="0" w:color="auto"/>
                    <w:left w:val="single" w:sz="8" w:space="0" w:color="auto"/>
                    <w:bottom w:val="single" w:sz="8" w:space="0" w:color="auto"/>
                    <w:right w:val="single" w:sz="8" w:space="0" w:color="auto"/>
                  </w:tcBorders>
                  <w:vAlign w:val="center"/>
                </w:tcPr>
                <w:p w14:paraId="6A028D4B"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7EF35D9B" w14:textId="77777777" w:rsidR="009E2E66" w:rsidRDefault="009E2E66" w:rsidP="009E2E66">
                  <w:pPr>
                    <w:rPr>
                      <w:sz w:val="20"/>
                      <w:lang w:eastAsia="lt-LT"/>
                    </w:rPr>
                  </w:pPr>
                  <w:r>
                    <w:rPr>
                      <w:sz w:val="20"/>
                    </w:rPr>
                    <w:t>Fiksuotoji norma, taikoma, kai priklauso nuo 37 iki 39 d. d. (jeigu dirbama 5 d. d. per savaitę) arba nuo 43 iki 47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595B0648"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0636B856" w14:textId="77777777" w:rsidTr="00231EF5">
              <w:tc>
                <w:tcPr>
                  <w:tcW w:w="2889" w:type="dxa"/>
                  <w:tcBorders>
                    <w:top w:val="single" w:sz="8" w:space="0" w:color="auto"/>
                    <w:left w:val="single" w:sz="8" w:space="0" w:color="auto"/>
                    <w:bottom w:val="single" w:sz="8" w:space="0" w:color="auto"/>
                    <w:right w:val="single" w:sz="8" w:space="0" w:color="auto"/>
                  </w:tcBorders>
                </w:tcPr>
                <w:p w14:paraId="4DCC53AF" w14:textId="77777777" w:rsidR="009E2E66" w:rsidRDefault="009E2E66" w:rsidP="009E2E66">
                  <w:pPr>
                    <w:jc w:val="center"/>
                    <w:rPr>
                      <w:sz w:val="20"/>
                    </w:rPr>
                  </w:pPr>
                  <w:r>
                    <w:rPr>
                      <w:sz w:val="20"/>
                    </w:rPr>
                    <w:t>darbo užmokesčio išlaidų dalis per mėnesį, skirta kasmetinėms atostogoms, kuri apskaičiuojama nuo tinkamų finansuoti faktiškai patirtų darbo užmokesčio išlaidų už faktiškai dirbtą laiką</w:t>
                  </w:r>
                </w:p>
                <w:p w14:paraId="32B33CAA"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212B024D" w14:textId="77777777" w:rsidR="009E2E66" w:rsidRDefault="009E2E66" w:rsidP="009E2E66">
                  <w:pPr>
                    <w:jc w:val="center"/>
                    <w:rPr>
                      <w:sz w:val="20"/>
                    </w:rPr>
                  </w:pPr>
                  <w:r>
                    <w:rPr>
                      <w:sz w:val="20"/>
                    </w:rPr>
                    <w:t>FN-05-06</w:t>
                  </w:r>
                </w:p>
              </w:tc>
              <w:tc>
                <w:tcPr>
                  <w:tcW w:w="2268" w:type="dxa"/>
                  <w:tcBorders>
                    <w:top w:val="single" w:sz="8" w:space="0" w:color="auto"/>
                    <w:left w:val="single" w:sz="8" w:space="0" w:color="auto"/>
                    <w:bottom w:val="single" w:sz="8" w:space="0" w:color="auto"/>
                    <w:right w:val="single" w:sz="8" w:space="0" w:color="auto"/>
                  </w:tcBorders>
                  <w:vAlign w:val="center"/>
                </w:tcPr>
                <w:p w14:paraId="0A0414D3"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599F95C1" w14:textId="77777777" w:rsidR="009E2E66" w:rsidRDefault="009E2E66" w:rsidP="009E2E66">
                  <w:pPr>
                    <w:rPr>
                      <w:sz w:val="20"/>
                      <w:lang w:eastAsia="lt-LT"/>
                    </w:rPr>
                  </w:pPr>
                  <w:r>
                    <w:rPr>
                      <w:sz w:val="20"/>
                    </w:rPr>
                    <w:t>Fiksuotoji norma, taikoma, kai priklauso 40 d. d. (jeigu dirbama 5 d. d. per savaitę) arba 48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5A40E24E"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7152CB05" w14:textId="77777777" w:rsidTr="00231EF5">
              <w:tc>
                <w:tcPr>
                  <w:tcW w:w="2889" w:type="dxa"/>
                  <w:tcBorders>
                    <w:top w:val="single" w:sz="8" w:space="0" w:color="auto"/>
                    <w:left w:val="single" w:sz="8" w:space="0" w:color="auto"/>
                    <w:bottom w:val="single" w:sz="8" w:space="0" w:color="auto"/>
                    <w:right w:val="single" w:sz="8" w:space="0" w:color="auto"/>
                  </w:tcBorders>
                </w:tcPr>
                <w:p w14:paraId="7C4A613A" w14:textId="77777777" w:rsidR="009E2E66" w:rsidRDefault="009E2E66" w:rsidP="009E2E66">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4C80F1CB"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09C8DF2D" w14:textId="77777777" w:rsidR="009E2E66" w:rsidRDefault="009E2E66" w:rsidP="009E2E66">
                  <w:pPr>
                    <w:jc w:val="center"/>
                    <w:rPr>
                      <w:sz w:val="20"/>
                    </w:rPr>
                  </w:pPr>
                  <w:r>
                    <w:rPr>
                      <w:sz w:val="20"/>
                    </w:rPr>
                    <w:t>FN-05-07</w:t>
                  </w:r>
                </w:p>
              </w:tc>
              <w:tc>
                <w:tcPr>
                  <w:tcW w:w="2268" w:type="dxa"/>
                  <w:tcBorders>
                    <w:top w:val="single" w:sz="8" w:space="0" w:color="auto"/>
                    <w:left w:val="single" w:sz="8" w:space="0" w:color="auto"/>
                    <w:bottom w:val="single" w:sz="8" w:space="0" w:color="auto"/>
                    <w:right w:val="single" w:sz="8" w:space="0" w:color="auto"/>
                  </w:tcBorders>
                  <w:vAlign w:val="center"/>
                </w:tcPr>
                <w:p w14:paraId="7A26806F"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321A2048" w14:textId="77777777" w:rsidR="009E2E66" w:rsidRDefault="009E2E66" w:rsidP="009E2E66">
                  <w:pPr>
                    <w:rPr>
                      <w:sz w:val="20"/>
                      <w:lang w:eastAsia="lt-LT"/>
                    </w:rPr>
                  </w:pPr>
                  <w:r>
                    <w:rPr>
                      <w:sz w:val="20"/>
                    </w:rPr>
                    <w:t>Fiksuotoji norma, taikoma, kai priklauso nuo 41 d. d. (jeigu dirbama 5 d. d. per savaitę) arba nuo 49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2F552AAC"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466F8B09" w14:textId="77777777" w:rsidTr="00231EF5">
              <w:tc>
                <w:tcPr>
                  <w:tcW w:w="2889" w:type="dxa"/>
                  <w:tcBorders>
                    <w:top w:val="single" w:sz="8" w:space="0" w:color="auto"/>
                    <w:left w:val="single" w:sz="8" w:space="0" w:color="auto"/>
                    <w:bottom w:val="single" w:sz="8" w:space="0" w:color="auto"/>
                    <w:right w:val="single" w:sz="8" w:space="0" w:color="auto"/>
                  </w:tcBorders>
                </w:tcPr>
                <w:p w14:paraId="1043640C" w14:textId="77777777" w:rsidR="009E2E66" w:rsidRDefault="009E2E66" w:rsidP="009E2E66">
                  <w:pPr>
                    <w:jc w:val="center"/>
                    <w:rPr>
                      <w:sz w:val="20"/>
                    </w:rPr>
                  </w:pPr>
                  <w:r>
                    <w:rPr>
                      <w:sz w:val="20"/>
                    </w:rPr>
                    <w:t xml:space="preserve">Projektą vykdančio personalo darbo užmokesčio išlaidų dalis per mėnesį, skirta kasmetinėms atostogoms, kuri apskaičiuojama nuo tinkamų finansuoti faktiškai patirtų darbo užmokesčio išlaidų už faktiškai dirbtą laiką </w:t>
                  </w:r>
                </w:p>
                <w:p w14:paraId="0461E320"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3A52F008" w14:textId="77777777" w:rsidR="009E2E66" w:rsidRDefault="009E2E66" w:rsidP="009E2E66">
                  <w:pPr>
                    <w:jc w:val="center"/>
                    <w:rPr>
                      <w:sz w:val="20"/>
                    </w:rPr>
                  </w:pPr>
                  <w:r>
                    <w:rPr>
                      <w:sz w:val="20"/>
                    </w:rPr>
                    <w:t>FN-05-01</w:t>
                  </w:r>
                </w:p>
              </w:tc>
              <w:tc>
                <w:tcPr>
                  <w:tcW w:w="2268" w:type="dxa"/>
                  <w:tcBorders>
                    <w:top w:val="single" w:sz="8" w:space="0" w:color="auto"/>
                    <w:left w:val="single" w:sz="8" w:space="0" w:color="auto"/>
                    <w:bottom w:val="single" w:sz="8" w:space="0" w:color="auto"/>
                    <w:right w:val="single" w:sz="8" w:space="0" w:color="auto"/>
                  </w:tcBorders>
                  <w:vAlign w:val="center"/>
                </w:tcPr>
                <w:p w14:paraId="1ACF3F98"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1BC77826" w14:textId="77777777" w:rsidR="009E2E66" w:rsidRDefault="009E2E66" w:rsidP="009E2E66">
                  <w:pPr>
                    <w:rPr>
                      <w:sz w:val="20"/>
                      <w:lang w:eastAsia="lt-LT"/>
                    </w:rPr>
                  </w:pPr>
                  <w:r>
                    <w:rPr>
                      <w:sz w:val="20"/>
                    </w:rPr>
                    <w:t>Fiksuotoji norma, taikoma, kai priklauso 20 d. d. (jeigu dirbama 5 d. d. per savaitę) arba 24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4E58F9AF"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9E2E66" w14:paraId="7E53B869" w14:textId="77777777" w:rsidTr="00231EF5">
              <w:tc>
                <w:tcPr>
                  <w:tcW w:w="2889" w:type="dxa"/>
                  <w:tcBorders>
                    <w:top w:val="single" w:sz="8" w:space="0" w:color="auto"/>
                    <w:left w:val="single" w:sz="8" w:space="0" w:color="auto"/>
                    <w:bottom w:val="single" w:sz="8" w:space="0" w:color="auto"/>
                    <w:right w:val="single" w:sz="8" w:space="0" w:color="auto"/>
                  </w:tcBorders>
                </w:tcPr>
                <w:p w14:paraId="4035B7A7" w14:textId="77777777" w:rsidR="009E2E66" w:rsidRDefault="009E2E66" w:rsidP="009E2E66">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67D36446" w14:textId="77777777" w:rsidR="009E2E66" w:rsidRDefault="009E2E66" w:rsidP="009E2E66">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33BAACC5" w14:textId="77777777" w:rsidR="009E2E66" w:rsidRDefault="009E2E66" w:rsidP="009E2E66">
                  <w:pPr>
                    <w:jc w:val="center"/>
                    <w:rPr>
                      <w:sz w:val="20"/>
                    </w:rPr>
                  </w:pPr>
                  <w:r>
                    <w:rPr>
                      <w:sz w:val="20"/>
                    </w:rPr>
                    <w:t>FN-05-02</w:t>
                  </w:r>
                </w:p>
              </w:tc>
              <w:tc>
                <w:tcPr>
                  <w:tcW w:w="2268" w:type="dxa"/>
                  <w:tcBorders>
                    <w:top w:val="single" w:sz="8" w:space="0" w:color="auto"/>
                    <w:left w:val="single" w:sz="8" w:space="0" w:color="auto"/>
                    <w:bottom w:val="single" w:sz="8" w:space="0" w:color="auto"/>
                    <w:right w:val="single" w:sz="8" w:space="0" w:color="auto"/>
                  </w:tcBorders>
                  <w:vAlign w:val="center"/>
                </w:tcPr>
                <w:p w14:paraId="1B82C527" w14:textId="77777777" w:rsidR="009E2E66" w:rsidRDefault="009E2E66" w:rsidP="009E2E66">
                  <w:pPr>
                    <w:jc w:val="center"/>
                    <w:rPr>
                      <w:sz w:val="20"/>
                    </w:rPr>
                  </w:pPr>
                  <w:r>
                    <w:rPr>
                      <w:b/>
                      <w:bCs/>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02D23CDE" w14:textId="77777777" w:rsidR="009E2E66" w:rsidRDefault="009E2E66" w:rsidP="009E2E66">
                  <w:pPr>
                    <w:rPr>
                      <w:sz w:val="20"/>
                      <w:lang w:eastAsia="lt-LT"/>
                    </w:rPr>
                  </w:pPr>
                  <w:r>
                    <w:rPr>
                      <w:sz w:val="20"/>
                    </w:rPr>
                    <w:t>Fiksuotoji norma, taikoma, kai priklauso nuo 21 iki 25 d. d. (jeigu dirbama 5 d. d. per savaitę) arba nuo 25 iki 30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5675C001" w14:textId="77777777" w:rsidR="009E2E66" w:rsidRDefault="009E2E66" w:rsidP="009E2E66">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bl>
          <w:p w14:paraId="6AF69E71" w14:textId="77777777" w:rsidR="009E2E66" w:rsidRPr="00A11A40" w:rsidRDefault="009E2E66" w:rsidP="009E2E66">
            <w:pPr>
              <w:jc w:val="both"/>
              <w:rPr>
                <w:b/>
                <w:szCs w:val="24"/>
              </w:rPr>
            </w:pPr>
          </w:p>
          <w:p w14:paraId="12293B2F" w14:textId="77777777" w:rsidR="009E2E66" w:rsidRPr="00A11A40" w:rsidRDefault="009E2E66" w:rsidP="009E2E66">
            <w:pPr>
              <w:jc w:val="both"/>
              <w:rPr>
                <w:b/>
                <w:szCs w:val="24"/>
              </w:rPr>
            </w:pPr>
          </w:p>
        </w:tc>
      </w:tr>
    </w:tbl>
    <w:p w14:paraId="5D94B0D8" w14:textId="77777777" w:rsidR="00B831F4" w:rsidRDefault="00B831F4">
      <w:pPr>
        <w:rPr>
          <w:sz w:val="18"/>
          <w:szCs w:val="18"/>
        </w:rPr>
      </w:pPr>
    </w:p>
    <w:p w14:paraId="1E7BAFB9" w14:textId="6BAA2385" w:rsidR="00346368" w:rsidRPr="00346368" w:rsidRDefault="006B20A0" w:rsidP="00FC4E52">
      <w:pPr>
        <w:spacing w:line="276" w:lineRule="auto"/>
        <w:jc w:val="center"/>
        <w:rPr>
          <w:szCs w:val="24"/>
          <w:lang w:eastAsia="lt-LT"/>
        </w:rPr>
        <w:sectPr w:rsidR="00346368" w:rsidRPr="00346368" w:rsidSect="00101739">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851" w:left="1134" w:header="567" w:footer="567" w:gutter="0"/>
          <w:cols w:space="1296"/>
          <w:titlePg/>
          <w:docGrid w:linePitch="360"/>
        </w:sectPr>
      </w:pPr>
      <w:r>
        <w:rPr>
          <w:rFonts w:eastAsia="Calibri"/>
          <w:szCs w:val="24"/>
        </w:rPr>
        <w:t>________________</w:t>
      </w:r>
      <w:r w:rsidR="00101739">
        <w:rPr>
          <w:szCs w:val="24"/>
          <w:lang w:eastAsia="lt-LT"/>
        </w:rPr>
        <w:t>__________</w:t>
      </w:r>
    </w:p>
    <w:p w14:paraId="622EC022" w14:textId="2E21A0D8" w:rsidR="007F24B9" w:rsidRPr="008A4E5D" w:rsidRDefault="007F24B9" w:rsidP="00FC4E52">
      <w:pPr>
        <w:ind w:right="113"/>
        <w:rPr>
          <w:szCs w:val="24"/>
        </w:rPr>
      </w:pPr>
    </w:p>
    <w:sectPr w:rsidR="007F24B9" w:rsidRPr="008A4E5D" w:rsidSect="006E721D">
      <w:pgSz w:w="16838" w:h="11906" w:orient="landscape"/>
      <w:pgMar w:top="1701" w:right="567" w:bottom="851" w:left="1134"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dvinas Grikšas" w:date="2023-06-16T09:15:00Z" w:initials="EG">
    <w:p w14:paraId="1D074D6E" w14:textId="77777777" w:rsidR="002D3A4E" w:rsidRDefault="002D3A4E" w:rsidP="0063181E">
      <w:pPr>
        <w:pStyle w:val="CommentText"/>
      </w:pPr>
      <w:r>
        <w:rPr>
          <w:rStyle w:val="CommentReference"/>
        </w:rPr>
        <w:annotationRef/>
      </w:r>
      <w:r>
        <w:t>Šiuo metu keičiamas PP, kuriame bus patikslintas pavadinimas. Naujas pavadinimas bus tikslesnis ir labiau atitiks RRF operational agreement nurodytas formuluotes.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074D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6A694" w16cex:dateUtc="2023-06-1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74D6E" w16cid:durableId="2836A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07E7" w14:textId="77777777" w:rsidR="00424EB5" w:rsidRDefault="00424EB5">
      <w:pPr>
        <w:rPr>
          <w:sz w:val="22"/>
          <w:szCs w:val="22"/>
        </w:rPr>
      </w:pPr>
      <w:r>
        <w:rPr>
          <w:sz w:val="22"/>
          <w:szCs w:val="22"/>
        </w:rPr>
        <w:separator/>
      </w:r>
    </w:p>
  </w:endnote>
  <w:endnote w:type="continuationSeparator" w:id="0">
    <w:p w14:paraId="54AB0CE8" w14:textId="77777777" w:rsidR="00424EB5" w:rsidRDefault="00424EB5">
      <w:pPr>
        <w:rPr>
          <w:sz w:val="22"/>
          <w:szCs w:val="22"/>
        </w:rPr>
      </w:pPr>
      <w:r>
        <w:rPr>
          <w:sz w:val="22"/>
          <w:szCs w:val="22"/>
        </w:rPr>
        <w:continuationSeparator/>
      </w:r>
    </w:p>
  </w:endnote>
  <w:endnote w:type="continuationNotice" w:id="1">
    <w:p w14:paraId="45530DE8" w14:textId="77777777" w:rsidR="00424EB5" w:rsidRDefault="00424EB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B831F4" w:rsidRDefault="00B831F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B831F4" w:rsidRDefault="00B831F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B831F4" w:rsidRDefault="00B831F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2AA1" w14:textId="77777777" w:rsidR="00424EB5" w:rsidRDefault="00424EB5">
      <w:pPr>
        <w:rPr>
          <w:sz w:val="22"/>
          <w:szCs w:val="22"/>
        </w:rPr>
      </w:pPr>
      <w:r>
        <w:rPr>
          <w:sz w:val="22"/>
          <w:szCs w:val="22"/>
        </w:rPr>
        <w:separator/>
      </w:r>
    </w:p>
  </w:footnote>
  <w:footnote w:type="continuationSeparator" w:id="0">
    <w:p w14:paraId="545427B7" w14:textId="77777777" w:rsidR="00424EB5" w:rsidRDefault="00424EB5">
      <w:pPr>
        <w:rPr>
          <w:sz w:val="22"/>
          <w:szCs w:val="22"/>
        </w:rPr>
      </w:pPr>
      <w:r>
        <w:rPr>
          <w:sz w:val="22"/>
          <w:szCs w:val="22"/>
        </w:rPr>
        <w:continuationSeparator/>
      </w:r>
    </w:p>
  </w:footnote>
  <w:footnote w:type="continuationNotice" w:id="1">
    <w:p w14:paraId="642FBA9F" w14:textId="77777777" w:rsidR="00424EB5" w:rsidRDefault="00424EB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B831F4" w:rsidRDefault="00B831F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B831F4" w:rsidRDefault="006B20A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B831F4" w:rsidRDefault="00B831F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B831F4" w:rsidRDefault="00B831F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9CD"/>
    <w:multiLevelType w:val="hybridMultilevel"/>
    <w:tmpl w:val="B4025BEA"/>
    <w:lvl w:ilvl="0" w:tplc="AD88C910">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A51596"/>
    <w:multiLevelType w:val="hybridMultilevel"/>
    <w:tmpl w:val="B5109A50"/>
    <w:lvl w:ilvl="0" w:tplc="C02497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C5AF6"/>
    <w:multiLevelType w:val="hybridMultilevel"/>
    <w:tmpl w:val="739CC66A"/>
    <w:lvl w:ilvl="0" w:tplc="A676A57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43B26"/>
    <w:multiLevelType w:val="hybridMultilevel"/>
    <w:tmpl w:val="965A9212"/>
    <w:lvl w:ilvl="0" w:tplc="D04441E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604479"/>
    <w:multiLevelType w:val="multilevel"/>
    <w:tmpl w:val="36EC6330"/>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AA7E46"/>
    <w:multiLevelType w:val="hybridMultilevel"/>
    <w:tmpl w:val="8E34C8D0"/>
    <w:lvl w:ilvl="0" w:tplc="A386C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190F1F"/>
    <w:multiLevelType w:val="multilevel"/>
    <w:tmpl w:val="8A8A6D9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17721F"/>
    <w:multiLevelType w:val="hybridMultilevel"/>
    <w:tmpl w:val="0A6290DE"/>
    <w:lvl w:ilvl="0" w:tplc="6D9C54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83354B"/>
    <w:multiLevelType w:val="hybridMultilevel"/>
    <w:tmpl w:val="4120C780"/>
    <w:lvl w:ilvl="0" w:tplc="427C06C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78409">
    <w:abstractNumId w:val="6"/>
  </w:num>
  <w:num w:numId="2" w16cid:durableId="50429042">
    <w:abstractNumId w:val="3"/>
  </w:num>
  <w:num w:numId="3" w16cid:durableId="1818954511">
    <w:abstractNumId w:val="12"/>
  </w:num>
  <w:num w:numId="4" w16cid:durableId="1706638039">
    <w:abstractNumId w:val="7"/>
  </w:num>
  <w:num w:numId="5" w16cid:durableId="635335063">
    <w:abstractNumId w:val="0"/>
  </w:num>
  <w:num w:numId="6" w16cid:durableId="2039310256">
    <w:abstractNumId w:val="4"/>
  </w:num>
  <w:num w:numId="7" w16cid:durableId="914971538">
    <w:abstractNumId w:val="11"/>
  </w:num>
  <w:num w:numId="8" w16cid:durableId="958296696">
    <w:abstractNumId w:val="1"/>
  </w:num>
  <w:num w:numId="9" w16cid:durableId="806820424">
    <w:abstractNumId w:val="2"/>
  </w:num>
  <w:num w:numId="10" w16cid:durableId="1945454965">
    <w:abstractNumId w:val="8"/>
  </w:num>
  <w:num w:numId="11" w16cid:durableId="819156896">
    <w:abstractNumId w:val="9"/>
  </w:num>
  <w:num w:numId="12" w16cid:durableId="2067293454">
    <w:abstractNumId w:val="5"/>
  </w:num>
  <w:num w:numId="13" w16cid:durableId="2534369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vinas Grikšas">
    <w15:presenceInfo w15:providerId="AD" w15:userId="S::Edvinas.Griksas@eimin.lt::7c1f3183-eae7-4b4a-bace-e2e44b1f8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D63"/>
    <w:rsid w:val="000010D0"/>
    <w:rsid w:val="00005BF3"/>
    <w:rsid w:val="00054CF9"/>
    <w:rsid w:val="000C157E"/>
    <w:rsid w:val="000D0782"/>
    <w:rsid w:val="000D537B"/>
    <w:rsid w:val="000F5F82"/>
    <w:rsid w:val="00101739"/>
    <w:rsid w:val="001330CE"/>
    <w:rsid w:val="001373F0"/>
    <w:rsid w:val="00152AB4"/>
    <w:rsid w:val="0015385F"/>
    <w:rsid w:val="00191881"/>
    <w:rsid w:val="001A2B2D"/>
    <w:rsid w:val="001D4102"/>
    <w:rsid w:val="001E20B8"/>
    <w:rsid w:val="0021002A"/>
    <w:rsid w:val="00273D0C"/>
    <w:rsid w:val="00292800"/>
    <w:rsid w:val="00292D5C"/>
    <w:rsid w:val="002954EB"/>
    <w:rsid w:val="002A5FE6"/>
    <w:rsid w:val="002B2EED"/>
    <w:rsid w:val="002B6307"/>
    <w:rsid w:val="002D3A4E"/>
    <w:rsid w:val="002F1ED8"/>
    <w:rsid w:val="00317CFE"/>
    <w:rsid w:val="003203AE"/>
    <w:rsid w:val="00346368"/>
    <w:rsid w:val="00377D3A"/>
    <w:rsid w:val="00394437"/>
    <w:rsid w:val="003E2292"/>
    <w:rsid w:val="003F63CE"/>
    <w:rsid w:val="00411152"/>
    <w:rsid w:val="00413487"/>
    <w:rsid w:val="00424EB5"/>
    <w:rsid w:val="00436D64"/>
    <w:rsid w:val="004439DE"/>
    <w:rsid w:val="00462B2F"/>
    <w:rsid w:val="00476012"/>
    <w:rsid w:val="0049459E"/>
    <w:rsid w:val="004A0381"/>
    <w:rsid w:val="004C3D12"/>
    <w:rsid w:val="004E5018"/>
    <w:rsid w:val="00515109"/>
    <w:rsid w:val="005317B1"/>
    <w:rsid w:val="00532E62"/>
    <w:rsid w:val="0055082E"/>
    <w:rsid w:val="00576181"/>
    <w:rsid w:val="00577B47"/>
    <w:rsid w:val="00591CAC"/>
    <w:rsid w:val="00593607"/>
    <w:rsid w:val="005C3E6F"/>
    <w:rsid w:val="005F3FDD"/>
    <w:rsid w:val="005F5089"/>
    <w:rsid w:val="005F5B36"/>
    <w:rsid w:val="006075A1"/>
    <w:rsid w:val="00613249"/>
    <w:rsid w:val="0062182B"/>
    <w:rsid w:val="00627490"/>
    <w:rsid w:val="00647DE6"/>
    <w:rsid w:val="00656A95"/>
    <w:rsid w:val="006606F8"/>
    <w:rsid w:val="0066373F"/>
    <w:rsid w:val="00695794"/>
    <w:rsid w:val="0069585B"/>
    <w:rsid w:val="006A0E8C"/>
    <w:rsid w:val="006B20A0"/>
    <w:rsid w:val="006B2B07"/>
    <w:rsid w:val="006B3343"/>
    <w:rsid w:val="006E56B6"/>
    <w:rsid w:val="006E721D"/>
    <w:rsid w:val="0070046E"/>
    <w:rsid w:val="00701A6D"/>
    <w:rsid w:val="0073545F"/>
    <w:rsid w:val="00795FC8"/>
    <w:rsid w:val="007A4F5C"/>
    <w:rsid w:val="007A7E0F"/>
    <w:rsid w:val="007B53BE"/>
    <w:rsid w:val="007B5B6E"/>
    <w:rsid w:val="007C16B4"/>
    <w:rsid w:val="007D30B2"/>
    <w:rsid w:val="007F14D0"/>
    <w:rsid w:val="007F24B9"/>
    <w:rsid w:val="008019C2"/>
    <w:rsid w:val="00807683"/>
    <w:rsid w:val="00825AA1"/>
    <w:rsid w:val="00830B37"/>
    <w:rsid w:val="00836C7E"/>
    <w:rsid w:val="00842B8D"/>
    <w:rsid w:val="00873B80"/>
    <w:rsid w:val="008A4E5D"/>
    <w:rsid w:val="008B45DF"/>
    <w:rsid w:val="008C1498"/>
    <w:rsid w:val="008F1B00"/>
    <w:rsid w:val="008F2B4D"/>
    <w:rsid w:val="00940D22"/>
    <w:rsid w:val="009504E1"/>
    <w:rsid w:val="00954C57"/>
    <w:rsid w:val="0096318A"/>
    <w:rsid w:val="00995DAB"/>
    <w:rsid w:val="009A2E21"/>
    <w:rsid w:val="009E2E66"/>
    <w:rsid w:val="009F692A"/>
    <w:rsid w:val="00A11A40"/>
    <w:rsid w:val="00A1616A"/>
    <w:rsid w:val="00A30428"/>
    <w:rsid w:val="00A361B0"/>
    <w:rsid w:val="00A44D1C"/>
    <w:rsid w:val="00A4732A"/>
    <w:rsid w:val="00A5252C"/>
    <w:rsid w:val="00A52EA3"/>
    <w:rsid w:val="00A81810"/>
    <w:rsid w:val="00A92BB2"/>
    <w:rsid w:val="00A9765D"/>
    <w:rsid w:val="00AA781C"/>
    <w:rsid w:val="00AB2B4A"/>
    <w:rsid w:val="00AD7499"/>
    <w:rsid w:val="00AE030C"/>
    <w:rsid w:val="00AF55BA"/>
    <w:rsid w:val="00B01D3D"/>
    <w:rsid w:val="00B33395"/>
    <w:rsid w:val="00B503C8"/>
    <w:rsid w:val="00B70522"/>
    <w:rsid w:val="00B831F4"/>
    <w:rsid w:val="00BD263D"/>
    <w:rsid w:val="00BE0CF4"/>
    <w:rsid w:val="00BE2F74"/>
    <w:rsid w:val="00C0445C"/>
    <w:rsid w:val="00C12790"/>
    <w:rsid w:val="00C42C59"/>
    <w:rsid w:val="00C55D6C"/>
    <w:rsid w:val="00C57054"/>
    <w:rsid w:val="00C97867"/>
    <w:rsid w:val="00CD292E"/>
    <w:rsid w:val="00D1051F"/>
    <w:rsid w:val="00D2779D"/>
    <w:rsid w:val="00D33C3C"/>
    <w:rsid w:val="00D505C3"/>
    <w:rsid w:val="00D97350"/>
    <w:rsid w:val="00DA0249"/>
    <w:rsid w:val="00DB119E"/>
    <w:rsid w:val="00DB317F"/>
    <w:rsid w:val="00DD5B9F"/>
    <w:rsid w:val="00DF1567"/>
    <w:rsid w:val="00DF5F16"/>
    <w:rsid w:val="00E05163"/>
    <w:rsid w:val="00E05D9D"/>
    <w:rsid w:val="00E07745"/>
    <w:rsid w:val="00E15BB7"/>
    <w:rsid w:val="00E25771"/>
    <w:rsid w:val="00E4431D"/>
    <w:rsid w:val="00E630CA"/>
    <w:rsid w:val="00E75BA2"/>
    <w:rsid w:val="00E941FA"/>
    <w:rsid w:val="00EB1F78"/>
    <w:rsid w:val="00F035BC"/>
    <w:rsid w:val="00F16700"/>
    <w:rsid w:val="00F20611"/>
    <w:rsid w:val="00F36CF3"/>
    <w:rsid w:val="00F5496F"/>
    <w:rsid w:val="00F61BBD"/>
    <w:rsid w:val="00F64516"/>
    <w:rsid w:val="00F9100D"/>
    <w:rsid w:val="00FC4E52"/>
    <w:rsid w:val="00FE67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825AA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3F63CE"/>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3F63CE"/>
  </w:style>
  <w:style w:type="character" w:styleId="CommentReference">
    <w:name w:val="annotation reference"/>
    <w:basedOn w:val="DefaultParagraphFont"/>
    <w:uiPriority w:val="99"/>
    <w:semiHidden/>
    <w:unhideWhenUsed/>
    <w:rsid w:val="003F63CE"/>
    <w:rPr>
      <w:sz w:val="16"/>
      <w:szCs w:val="16"/>
    </w:rPr>
  </w:style>
  <w:style w:type="paragraph" w:styleId="CommentText">
    <w:name w:val="annotation text"/>
    <w:basedOn w:val="Normal"/>
    <w:link w:val="CommentTextChar"/>
    <w:uiPriority w:val="99"/>
    <w:unhideWhenUsed/>
    <w:rsid w:val="003F63CE"/>
    <w:rPr>
      <w:sz w:val="20"/>
    </w:rPr>
  </w:style>
  <w:style w:type="character" w:customStyle="1" w:styleId="CommentTextChar">
    <w:name w:val="Comment Text Char"/>
    <w:basedOn w:val="DefaultParagraphFont"/>
    <w:link w:val="CommentText"/>
    <w:uiPriority w:val="99"/>
    <w:rsid w:val="003F63CE"/>
    <w:rPr>
      <w:sz w:val="20"/>
    </w:rPr>
  </w:style>
  <w:style w:type="character" w:customStyle="1" w:styleId="ui-provider">
    <w:name w:val="ui-provider"/>
    <w:basedOn w:val="DefaultParagraphFont"/>
    <w:rsid w:val="00C42C59"/>
  </w:style>
  <w:style w:type="paragraph" w:customStyle="1" w:styleId="Default">
    <w:name w:val="Default"/>
    <w:rsid w:val="006B3343"/>
    <w:pPr>
      <w:autoSpaceDE w:val="0"/>
      <w:autoSpaceDN w:val="0"/>
      <w:adjustRightInd w:val="0"/>
    </w:pPr>
    <w:rPr>
      <w:rFonts w:ascii="EYInterstate" w:eastAsia="Calibri" w:hAnsi="EYInterstate" w:cs="EYInterstate"/>
      <w:color w:val="000000"/>
      <w:szCs w:val="24"/>
    </w:rPr>
  </w:style>
  <w:style w:type="paragraph" w:styleId="FootnoteText">
    <w:name w:val="footnote text"/>
    <w:basedOn w:val="Normal"/>
    <w:link w:val="FootnoteTextChar"/>
    <w:uiPriority w:val="99"/>
    <w:semiHidden/>
    <w:unhideWhenUsed/>
    <w:rsid w:val="006B3343"/>
    <w:pPr>
      <w:suppressAutoHyphens/>
    </w:pPr>
    <w:rPr>
      <w:sz w:val="20"/>
      <w:lang w:val="en-GB" w:eastAsia="ar-SA"/>
    </w:rPr>
  </w:style>
  <w:style w:type="character" w:customStyle="1" w:styleId="FootnoteTextChar">
    <w:name w:val="Footnote Text Char"/>
    <w:basedOn w:val="DefaultParagraphFont"/>
    <w:link w:val="FootnoteText"/>
    <w:uiPriority w:val="99"/>
    <w:semiHidden/>
    <w:rsid w:val="006B3343"/>
    <w:rPr>
      <w:sz w:val="20"/>
      <w:lang w:val="en-GB" w:eastAsia="ar-SA"/>
    </w:rPr>
  </w:style>
  <w:style w:type="character" w:styleId="FootnoteReference">
    <w:name w:val="footnote reference"/>
    <w:uiPriority w:val="99"/>
    <w:semiHidden/>
    <w:unhideWhenUsed/>
    <w:rsid w:val="006B3343"/>
    <w:rPr>
      <w:vertAlign w:val="superscript"/>
    </w:rPr>
  </w:style>
  <w:style w:type="character" w:styleId="Hyperlink">
    <w:name w:val="Hyperlink"/>
    <w:unhideWhenUsed/>
    <w:rsid w:val="007F24B9"/>
    <w:rPr>
      <w:color w:val="0000FF"/>
      <w:u w:val="single"/>
    </w:rPr>
  </w:style>
  <w:style w:type="paragraph" w:styleId="Revision">
    <w:name w:val="Revision"/>
    <w:hidden/>
    <w:semiHidden/>
    <w:rsid w:val="0049459E"/>
  </w:style>
  <w:style w:type="paragraph" w:styleId="Header">
    <w:name w:val="header"/>
    <w:basedOn w:val="Normal"/>
    <w:link w:val="HeaderChar"/>
    <w:semiHidden/>
    <w:unhideWhenUsed/>
    <w:rsid w:val="00394437"/>
    <w:pPr>
      <w:tabs>
        <w:tab w:val="center" w:pos="4819"/>
        <w:tab w:val="right" w:pos="9638"/>
      </w:tabs>
    </w:pPr>
  </w:style>
  <w:style w:type="character" w:customStyle="1" w:styleId="HeaderChar">
    <w:name w:val="Header Char"/>
    <w:basedOn w:val="DefaultParagraphFont"/>
    <w:link w:val="Header"/>
    <w:semiHidden/>
    <w:rsid w:val="00394437"/>
  </w:style>
  <w:style w:type="paragraph" w:styleId="Footer">
    <w:name w:val="footer"/>
    <w:basedOn w:val="Normal"/>
    <w:link w:val="FooterChar"/>
    <w:semiHidden/>
    <w:unhideWhenUsed/>
    <w:rsid w:val="00394437"/>
    <w:pPr>
      <w:tabs>
        <w:tab w:val="center" w:pos="4819"/>
        <w:tab w:val="right" w:pos="9638"/>
      </w:tabs>
    </w:pPr>
  </w:style>
  <w:style w:type="character" w:customStyle="1" w:styleId="FooterChar">
    <w:name w:val="Footer Char"/>
    <w:basedOn w:val="DefaultParagraphFont"/>
    <w:link w:val="Footer"/>
    <w:semiHidden/>
    <w:rsid w:val="00394437"/>
  </w:style>
  <w:style w:type="paragraph" w:styleId="CommentSubject">
    <w:name w:val="annotation subject"/>
    <w:basedOn w:val="CommentText"/>
    <w:next w:val="CommentText"/>
    <w:link w:val="CommentSubjectChar"/>
    <w:semiHidden/>
    <w:unhideWhenUsed/>
    <w:rsid w:val="004439DE"/>
    <w:rPr>
      <w:b/>
      <w:bCs/>
    </w:rPr>
  </w:style>
  <w:style w:type="character" w:customStyle="1" w:styleId="CommentSubjectChar">
    <w:name w:val="Comment Subject Char"/>
    <w:basedOn w:val="CommentTextChar"/>
    <w:link w:val="CommentSubject"/>
    <w:semiHidden/>
    <w:rsid w:val="004439DE"/>
    <w:rPr>
      <w:b/>
      <w:bCs/>
      <w:sz w:val="20"/>
    </w:rPr>
  </w:style>
  <w:style w:type="character" w:customStyle="1" w:styleId="Heading2Char">
    <w:name w:val="Heading 2 Char"/>
    <w:basedOn w:val="DefaultParagraphFont"/>
    <w:link w:val="Heading2"/>
    <w:rsid w:val="00825A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99112152">
      <w:bodyDiv w:val="1"/>
      <w:marLeft w:val="0"/>
      <w:marRight w:val="0"/>
      <w:marTop w:val="0"/>
      <w:marBottom w:val="0"/>
      <w:divBdr>
        <w:top w:val="none" w:sz="0" w:space="0" w:color="auto"/>
        <w:left w:val="none" w:sz="0" w:space="0" w:color="auto"/>
        <w:bottom w:val="none" w:sz="0" w:space="0" w:color="auto"/>
        <w:right w:val="none" w:sz="0" w:space="0" w:color="auto"/>
      </w:divBdr>
    </w:div>
    <w:div w:id="19689529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gracij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20987</Words>
  <Characters>11963</Characters>
  <Application>Microsoft Office Word</Application>
  <DocSecurity>4</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32885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Viktorija Misėkaitė</cp:lastModifiedBy>
  <cp:revision>2</cp:revision>
  <dcterms:created xsi:type="dcterms:W3CDTF">2023-06-20T06:07:00Z</dcterms:created>
  <dcterms:modified xsi:type="dcterms:W3CDTF">2023-06-20T06:07:00Z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