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5723F1A6" w:rsidR="0036662A" w:rsidRPr="00017566" w:rsidRDefault="0036662A" w:rsidP="00DD3616">
      <w:pPr>
        <w:jc w:val="center"/>
        <w:rPr>
          <w:b/>
          <w:bCs/>
        </w:rPr>
      </w:pPr>
      <w:r w:rsidRPr="00017566">
        <w:rPr>
          <w:b/>
          <w:bCs/>
        </w:rPr>
        <w:t xml:space="preserve">SOCIALINIŲ IR EKONOMINIŲ PARTNERIŲ PATEIKTŲ PASTABŲ IR PASIŪLYMŲ DĖL </w:t>
      </w:r>
      <w:r w:rsidR="00053ACF" w:rsidRPr="00053ACF">
        <w:rPr>
          <w:b/>
          <w:bCs/>
          <w:szCs w:val="24"/>
        </w:rPr>
        <w:t>2022–2030 METŲ PLĖTROS PROGRAMOS VALDYTOJOS LIETUVOS RESPUBLIKOS EKONOMIKOS IR INOVACIJŲ MINISTERIJOS EKONOMIKOS TRANSFORMACIJOS IR KONKURENCINGUMO PLĖTROS PROGRAMOS PAŽANGOS PRIEMONĖS NR. 05-001-01-05-05 „SKATINTI ĮMONES SKAITMENIZUOTIS“ VEIKLOS „SKATINTI LABAI MAŽŲ, MAŽŲ IR VIDUTINIŲ ĮMONIŲ SKAITMENINIMĄ, FINANSUOJANT E. PARDAVIMO SANDORIŲ SUDARYMO SPRENDIMŲ DIEGIMĄ, PASLAUGŲ IR PRODUKTŲ KONFIGŪRAVIMĄ IR VIZUALIZACIJĄ“</w:t>
      </w:r>
      <w:r w:rsidR="00053ACF">
        <w:rPr>
          <w:szCs w:val="24"/>
        </w:rPr>
        <w:t xml:space="preserve"> </w:t>
      </w:r>
      <w:r w:rsidR="00A323E0" w:rsidRPr="00DD3616">
        <w:rPr>
          <w:b/>
          <w:bCs/>
          <w:caps/>
        </w:rPr>
        <w:t>PROJEKTŲ ATRANKOS KRITERIJŲ DERINIMAS</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15616C90" w:rsidR="0036662A" w:rsidRPr="00017566" w:rsidRDefault="00F65129" w:rsidP="00335D39">
            <w:pPr>
              <w:rPr>
                <w:szCs w:val="24"/>
              </w:rPr>
            </w:pPr>
            <w:r w:rsidRPr="00017566">
              <w:rPr>
                <w:szCs w:val="24"/>
              </w:rPr>
              <w:t>202</w:t>
            </w:r>
            <w:r w:rsidR="00053ACF">
              <w:rPr>
                <w:szCs w:val="24"/>
              </w:rPr>
              <w:t>3</w:t>
            </w:r>
            <w:r w:rsidRPr="00017566">
              <w:rPr>
                <w:szCs w:val="24"/>
              </w:rPr>
              <w:t>-0</w:t>
            </w:r>
            <w:r w:rsidR="00601513">
              <w:rPr>
                <w:szCs w:val="24"/>
              </w:rPr>
              <w:t>5</w:t>
            </w:r>
            <w:r w:rsidRPr="00017566">
              <w:rPr>
                <w:szCs w:val="24"/>
              </w:rPr>
              <w:t>-</w:t>
            </w:r>
            <w:r w:rsidR="00601513">
              <w:rPr>
                <w:szCs w:val="24"/>
              </w:rPr>
              <w:t>11</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742B65">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742B65">
                  <w:rPr>
                    <w:b/>
                    <w:szCs w:val="24"/>
                  </w:rPr>
                </w:r>
                <w:r w:rsidR="00742B65">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57919826" w:rsidR="0036662A" w:rsidRPr="00017566" w:rsidRDefault="00742B65" w:rsidP="0070221E">
            <w:pPr>
              <w:rPr>
                <w:szCs w:val="24"/>
              </w:rPr>
            </w:pPr>
            <w:sdt>
              <w:sdtPr>
                <w:id w:val="-338542889"/>
              </w:sdtPr>
              <w:sdtEndPr/>
              <w:sdtContent>
                <w:r w:rsidR="00053ACF">
                  <w:fldChar w:fldCharType="begin">
                    <w:ffData>
                      <w:name w:val=""/>
                      <w:enabled w:val="0"/>
                      <w:calcOnExit w:val="0"/>
                      <w:checkBox>
                        <w:sizeAuto/>
                        <w:default w:val="0"/>
                      </w:checkBox>
                    </w:ffData>
                  </w:fldChar>
                </w:r>
                <w:r w:rsidR="00053ACF">
                  <w:instrText xml:space="preserve"> FORMCHECKBOX </w:instrText>
                </w:r>
                <w:r>
                  <w:fldChar w:fldCharType="separate"/>
                </w:r>
                <w:r w:rsidR="00053ACF">
                  <w:fldChar w:fldCharType="end"/>
                </w:r>
              </w:sdtContent>
            </w:sdt>
            <w:r w:rsidR="00015942" w:rsidRPr="00017566">
              <w:rPr>
                <w:szCs w:val="24"/>
              </w:rPr>
              <w:t xml:space="preserve"> </w:t>
            </w:r>
            <w:r w:rsidR="0036662A" w:rsidRPr="00017566">
              <w:rPr>
                <w:szCs w:val="24"/>
              </w:rPr>
              <w:t xml:space="preserve">Taip </w:t>
            </w:r>
            <w:sdt>
              <w:sdtPr>
                <w:id w:val="-1548671976"/>
              </w:sdtPr>
              <w:sdtEndPr/>
              <w:sdtContent>
                <w:r w:rsidR="0050761B">
                  <w:fldChar w:fldCharType="begin">
                    <w:ffData>
                      <w:name w:val=""/>
                      <w:enabled/>
                      <w:calcOnExit w:val="0"/>
                      <w:checkBox>
                        <w:sizeAuto/>
                        <w:default w:val="1"/>
                      </w:checkBox>
                    </w:ffData>
                  </w:fldChar>
                </w:r>
                <w:r w:rsidR="0050761B">
                  <w:instrText xml:space="preserve"> FORMCHECKBOX </w:instrText>
                </w:r>
                <w:r>
                  <w:fldChar w:fldCharType="separate"/>
                </w:r>
                <w:r w:rsidR="0050761B">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771" w:type="dxa"/>
        <w:tblLayout w:type="fixed"/>
        <w:tblLook w:val="04A0" w:firstRow="1" w:lastRow="0" w:firstColumn="1" w:lastColumn="0" w:noHBand="0" w:noVBand="1"/>
      </w:tblPr>
      <w:tblGrid>
        <w:gridCol w:w="567"/>
        <w:gridCol w:w="1560"/>
        <w:gridCol w:w="7541"/>
        <w:gridCol w:w="5103"/>
      </w:tblGrid>
      <w:tr w:rsidR="0036662A" w:rsidRPr="00B14CA7" w14:paraId="6A4E2F17" w14:textId="77777777" w:rsidTr="00B14CA7">
        <w:tc>
          <w:tcPr>
            <w:tcW w:w="567" w:type="dxa"/>
          </w:tcPr>
          <w:p w14:paraId="025A5EA9" w14:textId="77777777" w:rsidR="0036662A" w:rsidRPr="00B14CA7" w:rsidRDefault="0036662A" w:rsidP="00020CB7">
            <w:pPr>
              <w:jc w:val="center"/>
              <w:rPr>
                <w:b/>
                <w:sz w:val="20"/>
              </w:rPr>
            </w:pPr>
            <w:r w:rsidRPr="00B14CA7">
              <w:rPr>
                <w:b/>
                <w:sz w:val="20"/>
              </w:rPr>
              <w:t>Nr.</w:t>
            </w:r>
          </w:p>
        </w:tc>
        <w:tc>
          <w:tcPr>
            <w:tcW w:w="1560" w:type="dxa"/>
          </w:tcPr>
          <w:p w14:paraId="5FEE2DEB" w14:textId="7E1EC09F" w:rsidR="0036662A" w:rsidRPr="00B14CA7" w:rsidRDefault="0036662A" w:rsidP="00020CB7">
            <w:pPr>
              <w:jc w:val="center"/>
              <w:rPr>
                <w:b/>
                <w:sz w:val="20"/>
              </w:rPr>
            </w:pPr>
            <w:r w:rsidRPr="00B14CA7">
              <w:rPr>
                <w:b/>
                <w:sz w:val="20"/>
              </w:rPr>
              <w:t>Institucija</w:t>
            </w:r>
            <w:r w:rsidR="00601513" w:rsidRPr="00B14CA7">
              <w:rPr>
                <w:b/>
                <w:sz w:val="20"/>
              </w:rPr>
              <w:t>, organizacija</w:t>
            </w:r>
          </w:p>
        </w:tc>
        <w:tc>
          <w:tcPr>
            <w:tcW w:w="7541" w:type="dxa"/>
          </w:tcPr>
          <w:p w14:paraId="4F6476E0" w14:textId="77777777" w:rsidR="0036662A" w:rsidRPr="00B14CA7" w:rsidRDefault="0036662A" w:rsidP="00020CB7">
            <w:pPr>
              <w:jc w:val="center"/>
              <w:rPr>
                <w:b/>
                <w:sz w:val="20"/>
              </w:rPr>
            </w:pPr>
            <w:r w:rsidRPr="00B14CA7">
              <w:rPr>
                <w:b/>
                <w:bCs/>
                <w:sz w:val="20"/>
              </w:rPr>
              <w:t>Pastabos ir pasiūlymai</w:t>
            </w:r>
          </w:p>
        </w:tc>
        <w:tc>
          <w:tcPr>
            <w:tcW w:w="5103" w:type="dxa"/>
          </w:tcPr>
          <w:p w14:paraId="5C314C6F" w14:textId="77777777" w:rsidR="0036662A" w:rsidRPr="00B14CA7" w:rsidRDefault="0036662A" w:rsidP="00020CB7">
            <w:pPr>
              <w:jc w:val="center"/>
              <w:rPr>
                <w:b/>
                <w:sz w:val="20"/>
              </w:rPr>
            </w:pPr>
            <w:r w:rsidRPr="00B14CA7">
              <w:rPr>
                <w:b/>
                <w:bCs/>
                <w:sz w:val="20"/>
              </w:rPr>
              <w:t>Pastabų ir pasiūlymų vertinimas ir (jei taikoma) argumentai, kodėl neatsižvelgta į pastabas ar pasiūlymus</w:t>
            </w:r>
          </w:p>
        </w:tc>
      </w:tr>
      <w:tr w:rsidR="001E1992" w:rsidRPr="00B14CA7" w14:paraId="281D077B" w14:textId="77777777" w:rsidTr="00B14CA7">
        <w:trPr>
          <w:trHeight w:val="562"/>
        </w:trPr>
        <w:tc>
          <w:tcPr>
            <w:tcW w:w="567" w:type="dxa"/>
          </w:tcPr>
          <w:p w14:paraId="66C96C52" w14:textId="5A535EDC" w:rsidR="001E1992" w:rsidRPr="00B14CA7" w:rsidRDefault="001E1992" w:rsidP="00020CB7">
            <w:pPr>
              <w:jc w:val="center"/>
              <w:rPr>
                <w:bCs/>
                <w:sz w:val="20"/>
              </w:rPr>
            </w:pPr>
            <w:r w:rsidRPr="00B14CA7">
              <w:rPr>
                <w:bCs/>
                <w:sz w:val="20"/>
              </w:rPr>
              <w:t>1.</w:t>
            </w:r>
          </w:p>
        </w:tc>
        <w:tc>
          <w:tcPr>
            <w:tcW w:w="1560" w:type="dxa"/>
          </w:tcPr>
          <w:p w14:paraId="584D81CC" w14:textId="0E1E0308" w:rsidR="001E1992" w:rsidRPr="00B14CA7" w:rsidRDefault="001E1992" w:rsidP="00020CB7">
            <w:pPr>
              <w:rPr>
                <w:sz w:val="20"/>
              </w:rPr>
            </w:pPr>
            <w:proofErr w:type="spellStart"/>
            <w:r w:rsidRPr="00B14CA7">
              <w:rPr>
                <w:sz w:val="20"/>
              </w:rPr>
              <w:t>Ferox</w:t>
            </w:r>
            <w:proofErr w:type="spellEnd"/>
            <w:r w:rsidRPr="00B14CA7">
              <w:rPr>
                <w:sz w:val="20"/>
              </w:rPr>
              <w:t xml:space="preserve"> Baltic, UAB</w:t>
            </w:r>
          </w:p>
        </w:tc>
        <w:tc>
          <w:tcPr>
            <w:tcW w:w="7541" w:type="dxa"/>
          </w:tcPr>
          <w:p w14:paraId="307945A7" w14:textId="0E5B450B" w:rsidR="001E1992" w:rsidRPr="00B14CA7" w:rsidRDefault="001E1992" w:rsidP="00020CB7">
            <w:pPr>
              <w:rPr>
                <w:sz w:val="20"/>
              </w:rPr>
            </w:pPr>
            <w:r w:rsidRPr="00B14CA7">
              <w:rPr>
                <w:sz w:val="20"/>
              </w:rPr>
              <w:t>Ar MVĮ skaitmeninimo priemonėje SEO darbai, SEO diegimas yra tinkamos finansuoti išlaidos? </w:t>
            </w:r>
          </w:p>
        </w:tc>
        <w:tc>
          <w:tcPr>
            <w:tcW w:w="5103" w:type="dxa"/>
          </w:tcPr>
          <w:p w14:paraId="3771E9A4" w14:textId="1A36A93B" w:rsidR="001E1992" w:rsidRPr="00B14CA7" w:rsidRDefault="001E1992" w:rsidP="00020CB7">
            <w:pPr>
              <w:jc w:val="both"/>
              <w:rPr>
                <w:sz w:val="20"/>
              </w:rPr>
            </w:pPr>
            <w:r w:rsidRPr="00B14CA7">
              <w:rPr>
                <w:bCs/>
                <w:sz w:val="20"/>
              </w:rPr>
              <w:t xml:space="preserve">Veikla skirta </w:t>
            </w:r>
            <w:r w:rsidR="0087169A" w:rsidRPr="00B14CA7">
              <w:rPr>
                <w:bCs/>
                <w:sz w:val="20"/>
              </w:rPr>
              <w:t xml:space="preserve">sukurti </w:t>
            </w:r>
            <w:r w:rsidR="0087169A" w:rsidRPr="00B14CA7">
              <w:rPr>
                <w:sz w:val="20"/>
              </w:rPr>
              <w:t>e. prekybos pagrindu diegiamą parduotuvę / „verslas verslui“ (B2B)</w:t>
            </w:r>
            <w:r w:rsidR="008F266B">
              <w:rPr>
                <w:sz w:val="20"/>
              </w:rPr>
              <w:t>, „verslas klientui“ (B2C)</w:t>
            </w:r>
            <w:r w:rsidR="0087169A" w:rsidRPr="00B14CA7">
              <w:rPr>
                <w:sz w:val="20"/>
              </w:rPr>
              <w:t xml:space="preserve"> sprendim</w:t>
            </w:r>
            <w:r w:rsidR="00742B65">
              <w:rPr>
                <w:sz w:val="20"/>
              </w:rPr>
              <w:t>us</w:t>
            </w:r>
            <w:r w:rsidR="0087169A" w:rsidRPr="00B14CA7">
              <w:rPr>
                <w:sz w:val="20"/>
              </w:rPr>
              <w:t>, įskaitant ir integraciją su išteklių valdymo sistemomis ir (arba) produktų vaizdinei konfigūracijai</w:t>
            </w:r>
            <w:r w:rsidR="009F4BD9" w:rsidRPr="00B14CA7">
              <w:rPr>
                <w:sz w:val="20"/>
              </w:rPr>
              <w:t xml:space="preserve">. </w:t>
            </w:r>
            <w:r w:rsidR="006F4DC3" w:rsidRPr="00B14CA7">
              <w:rPr>
                <w:sz w:val="20"/>
              </w:rPr>
              <w:t>Vien t</w:t>
            </w:r>
            <w:r w:rsidR="009F4BD9" w:rsidRPr="00B14CA7">
              <w:rPr>
                <w:sz w:val="20"/>
              </w:rPr>
              <w:t xml:space="preserve">ik internetinių svetainių optimizavimas projekte neprisidėtų prie veiklos privalomų rodiklių ir tikslų pasiekimo. </w:t>
            </w:r>
            <w:r w:rsidR="006F4DC3" w:rsidRPr="00B14CA7">
              <w:rPr>
                <w:sz w:val="20"/>
              </w:rPr>
              <w:t xml:space="preserve">Tačiau bendrame e. pardavimo sandorio sprendime tokios išlaidos būtų tinkamos finansuoti. Yra galimybė </w:t>
            </w:r>
            <w:r w:rsidR="009F4BD9" w:rsidRPr="00B14CA7">
              <w:rPr>
                <w:sz w:val="20"/>
              </w:rPr>
              <w:t xml:space="preserve">tokias išlaidas priskirti </w:t>
            </w:r>
            <w:r w:rsidR="006F4DC3" w:rsidRPr="00B14CA7">
              <w:rPr>
                <w:sz w:val="20"/>
              </w:rPr>
              <w:t xml:space="preserve">ir </w:t>
            </w:r>
            <w:r w:rsidR="009F4BD9" w:rsidRPr="00B14CA7">
              <w:rPr>
                <w:sz w:val="20"/>
              </w:rPr>
              <w:t>prie netiesioginių išlaidų.</w:t>
            </w:r>
          </w:p>
        </w:tc>
      </w:tr>
      <w:tr w:rsidR="00DC1011" w:rsidRPr="00B14CA7" w14:paraId="6C137CCB" w14:textId="77777777" w:rsidTr="00B14CA7">
        <w:tc>
          <w:tcPr>
            <w:tcW w:w="567" w:type="dxa"/>
          </w:tcPr>
          <w:p w14:paraId="53E51EB8" w14:textId="14E67099" w:rsidR="00DC1011" w:rsidRPr="00B14CA7" w:rsidRDefault="00B71F86" w:rsidP="00020CB7">
            <w:pPr>
              <w:jc w:val="center"/>
              <w:rPr>
                <w:bCs/>
                <w:sz w:val="20"/>
              </w:rPr>
            </w:pPr>
            <w:r w:rsidRPr="00B14CA7">
              <w:rPr>
                <w:bCs/>
                <w:sz w:val="20"/>
              </w:rPr>
              <w:t>2</w:t>
            </w:r>
            <w:r w:rsidR="00F75651" w:rsidRPr="00B14CA7">
              <w:rPr>
                <w:bCs/>
                <w:sz w:val="20"/>
              </w:rPr>
              <w:t xml:space="preserve">. </w:t>
            </w:r>
          </w:p>
        </w:tc>
        <w:tc>
          <w:tcPr>
            <w:tcW w:w="1560" w:type="dxa"/>
          </w:tcPr>
          <w:p w14:paraId="17D85CF3" w14:textId="22FE3A22" w:rsidR="00DC1011" w:rsidRPr="00B14CA7" w:rsidRDefault="00297A12" w:rsidP="00020CB7">
            <w:pPr>
              <w:rPr>
                <w:sz w:val="20"/>
              </w:rPr>
            </w:pPr>
            <w:r w:rsidRPr="00B14CA7">
              <w:rPr>
                <w:sz w:val="20"/>
              </w:rPr>
              <w:t>EDIGINO</w:t>
            </w:r>
          </w:p>
        </w:tc>
        <w:tc>
          <w:tcPr>
            <w:tcW w:w="7541" w:type="dxa"/>
          </w:tcPr>
          <w:p w14:paraId="2FEF0742" w14:textId="77777777" w:rsidR="00F638E9" w:rsidRPr="00B14CA7" w:rsidRDefault="00F638E9" w:rsidP="009426AD">
            <w:pPr>
              <w:jc w:val="both"/>
              <w:rPr>
                <w:sz w:val="20"/>
              </w:rPr>
            </w:pPr>
            <w:r w:rsidRPr="00B14CA7">
              <w:rPr>
                <w:sz w:val="20"/>
              </w:rPr>
              <w:t>Turiu klausimą dėl projekto: „Skatinti įmones skaitmenizuotis“ veiklos „Skatinti labai mažų, mažų ir vidutinių įmonių skaitmeninimą, finansuojant e. pardavimo sandorių sudarymo sprendimų diegimą, paslaugų ir produktų konfigūravimą ir vizualizaciją“.</w:t>
            </w:r>
          </w:p>
          <w:p w14:paraId="7FF62D8A" w14:textId="77777777" w:rsidR="00F638E9" w:rsidRPr="00B14CA7" w:rsidRDefault="00F638E9" w:rsidP="009426AD">
            <w:pPr>
              <w:jc w:val="both"/>
              <w:rPr>
                <w:sz w:val="20"/>
              </w:rPr>
            </w:pPr>
          </w:p>
          <w:p w14:paraId="223DFAAD" w14:textId="77777777" w:rsidR="00F638E9" w:rsidRPr="00B14CA7" w:rsidRDefault="00F638E9" w:rsidP="009426AD">
            <w:pPr>
              <w:jc w:val="both"/>
              <w:rPr>
                <w:sz w:val="20"/>
              </w:rPr>
            </w:pPr>
            <w:r w:rsidRPr="00B14CA7">
              <w:rPr>
                <w:sz w:val="20"/>
              </w:rPr>
              <w:t>Turime kelis klientus kurie vykdo veiklas pagal individualią veiklą. Ar jie galės pretenduoti į šitą priemonę?</w:t>
            </w:r>
          </w:p>
          <w:p w14:paraId="6272A387" w14:textId="326F4CCF" w:rsidR="00DC1011" w:rsidRPr="00B14CA7" w:rsidRDefault="00DC1011" w:rsidP="009426AD">
            <w:pPr>
              <w:jc w:val="both"/>
              <w:rPr>
                <w:sz w:val="20"/>
              </w:rPr>
            </w:pPr>
          </w:p>
        </w:tc>
        <w:tc>
          <w:tcPr>
            <w:tcW w:w="5103" w:type="dxa"/>
          </w:tcPr>
          <w:p w14:paraId="62F8564C" w14:textId="650451AF" w:rsidR="00182879" w:rsidRPr="00B14CA7" w:rsidRDefault="00297A12" w:rsidP="00020CB7">
            <w:pPr>
              <w:jc w:val="both"/>
              <w:rPr>
                <w:b/>
                <w:sz w:val="20"/>
              </w:rPr>
            </w:pPr>
            <w:r w:rsidRPr="00B14CA7">
              <w:rPr>
                <w:sz w:val="20"/>
              </w:rPr>
              <w:t xml:space="preserve">Galimi pareiškėjai numatomi labai mažos, mažos ir vidutinės įmonės, todėl norint kandidatuoti į finansavimą Jūsų veiklos forma turėtų būti ne individualios veiklos pažyma, bet juridinis asmuo, pvz., </w:t>
            </w:r>
            <w:r w:rsidR="00B14CA7">
              <w:rPr>
                <w:sz w:val="20"/>
              </w:rPr>
              <w:t>i</w:t>
            </w:r>
            <w:r w:rsidR="006F4DC3" w:rsidRPr="00B14CA7">
              <w:rPr>
                <w:sz w:val="20"/>
              </w:rPr>
              <w:t xml:space="preserve">ndividuali įmonė, MB, </w:t>
            </w:r>
            <w:r w:rsidRPr="00B14CA7">
              <w:rPr>
                <w:sz w:val="20"/>
              </w:rPr>
              <w:t>UAB</w:t>
            </w:r>
            <w:r w:rsidRPr="00B14CA7">
              <w:rPr>
                <w:color w:val="ED5C57"/>
                <w:sz w:val="20"/>
              </w:rPr>
              <w:t>. </w:t>
            </w:r>
          </w:p>
        </w:tc>
      </w:tr>
      <w:tr w:rsidR="00C60C6F" w:rsidRPr="00B14CA7" w14:paraId="363F22FF" w14:textId="77777777" w:rsidTr="00B14CA7">
        <w:tc>
          <w:tcPr>
            <w:tcW w:w="567" w:type="dxa"/>
            <w:vMerge w:val="restart"/>
          </w:tcPr>
          <w:p w14:paraId="5581E481" w14:textId="781C8404" w:rsidR="00C60C6F" w:rsidRPr="00B14CA7" w:rsidRDefault="00C60C6F" w:rsidP="00020CB7">
            <w:pPr>
              <w:jc w:val="center"/>
              <w:rPr>
                <w:bCs/>
                <w:sz w:val="20"/>
              </w:rPr>
            </w:pPr>
            <w:r w:rsidRPr="00B14CA7">
              <w:rPr>
                <w:sz w:val="20"/>
              </w:rPr>
              <w:t>3.</w:t>
            </w:r>
          </w:p>
        </w:tc>
        <w:tc>
          <w:tcPr>
            <w:tcW w:w="1560" w:type="dxa"/>
            <w:vMerge w:val="restart"/>
          </w:tcPr>
          <w:p w14:paraId="73281E0C" w14:textId="2A0615E1" w:rsidR="00C60C6F" w:rsidRPr="00B14CA7" w:rsidRDefault="00C60C6F" w:rsidP="00020CB7">
            <w:pPr>
              <w:rPr>
                <w:sz w:val="20"/>
              </w:rPr>
            </w:pPr>
            <w:r w:rsidRPr="00B14CA7">
              <w:rPr>
                <w:sz w:val="20"/>
              </w:rPr>
              <w:t xml:space="preserve">UAB </w:t>
            </w:r>
            <w:proofErr w:type="spellStart"/>
            <w:r w:rsidRPr="00B14CA7">
              <w:rPr>
                <w:sz w:val="20"/>
              </w:rPr>
              <w:t>Sintesi</w:t>
            </w:r>
            <w:proofErr w:type="spellEnd"/>
            <w:r w:rsidRPr="00B14CA7">
              <w:rPr>
                <w:sz w:val="20"/>
              </w:rPr>
              <w:t xml:space="preserve"> </w:t>
            </w:r>
            <w:proofErr w:type="spellStart"/>
            <w:r w:rsidRPr="00B14CA7">
              <w:rPr>
                <w:sz w:val="20"/>
              </w:rPr>
              <w:t>consulting</w:t>
            </w:r>
            <w:proofErr w:type="spellEnd"/>
          </w:p>
        </w:tc>
        <w:tc>
          <w:tcPr>
            <w:tcW w:w="7541" w:type="dxa"/>
          </w:tcPr>
          <w:p w14:paraId="6515B5DB" w14:textId="44340FD0" w:rsidR="00C60C6F" w:rsidRPr="00B14CA7" w:rsidRDefault="00C60C6F" w:rsidP="009426AD">
            <w:pPr>
              <w:jc w:val="both"/>
              <w:rPr>
                <w:sz w:val="20"/>
              </w:rPr>
            </w:pPr>
            <w:r w:rsidRPr="00B14CA7">
              <w:rPr>
                <w:sz w:val="20"/>
              </w:rPr>
              <w:t>Ar teisingai suprantame, kad vienam pareiškėjui didžiausia skiriama finansavimo suma yra 20 000 Eur?</w:t>
            </w:r>
          </w:p>
        </w:tc>
        <w:tc>
          <w:tcPr>
            <w:tcW w:w="5103" w:type="dxa"/>
          </w:tcPr>
          <w:p w14:paraId="0CEE8A5F" w14:textId="4F4565E6" w:rsidR="00C60C6F" w:rsidRPr="004F24DB" w:rsidRDefault="00AF4CD9" w:rsidP="00020CB7">
            <w:pPr>
              <w:jc w:val="both"/>
              <w:rPr>
                <w:sz w:val="20"/>
              </w:rPr>
            </w:pPr>
            <w:r>
              <w:rPr>
                <w:sz w:val="20"/>
              </w:rPr>
              <w:t xml:space="preserve">Viešai paskelbtame projektų finansavimo sąlygų aprašo projekte </w:t>
            </w:r>
            <w:r w:rsidR="004F24DB">
              <w:rPr>
                <w:sz w:val="20"/>
              </w:rPr>
              <w:t xml:space="preserve">buvo </w:t>
            </w:r>
            <w:r>
              <w:rPr>
                <w:sz w:val="20"/>
              </w:rPr>
              <w:t>nurodyta, j</w:t>
            </w:r>
            <w:r w:rsidR="00C60C6F" w:rsidRPr="00B14CA7">
              <w:rPr>
                <w:sz w:val="20"/>
              </w:rPr>
              <w:t xml:space="preserve">ei diegiamas e. pardavimo sandorio sudarymo sprendimas ir produktų vaizdinė konfigūracija, </w:t>
            </w:r>
            <w:r w:rsidR="00C60C6F" w:rsidRPr="00B14CA7">
              <w:rPr>
                <w:sz w:val="20"/>
              </w:rPr>
              <w:lastRenderedPageBreak/>
              <w:t>didžiausia skiriama finansavimo suma yra 20 000 eurų, jei viena iš minėtų sričių – 10 000 eurų.</w:t>
            </w:r>
            <w:r w:rsidR="004F24DB">
              <w:rPr>
                <w:sz w:val="20"/>
              </w:rPr>
              <w:t xml:space="preserve"> Tačiau atsižvelgiant į išsakytas pastabas viešo aptarimo metu ir vertinant ir ekspertų nuomonę, didžiausia galima finansuoti suma nustatoma 50 000 eurų, atskirai veikloms po 25 000, jei vykdomos abi veiklos – 50 000 eurų.</w:t>
            </w:r>
          </w:p>
        </w:tc>
      </w:tr>
      <w:tr w:rsidR="00C60C6F" w:rsidRPr="00B14CA7" w14:paraId="1734FF58" w14:textId="77777777" w:rsidTr="00B14CA7">
        <w:tc>
          <w:tcPr>
            <w:tcW w:w="567" w:type="dxa"/>
            <w:vMerge/>
          </w:tcPr>
          <w:p w14:paraId="709D4E23" w14:textId="77777777" w:rsidR="00C60C6F" w:rsidRPr="00B14CA7" w:rsidRDefault="00C60C6F" w:rsidP="00020CB7">
            <w:pPr>
              <w:jc w:val="center"/>
              <w:rPr>
                <w:bCs/>
                <w:sz w:val="20"/>
              </w:rPr>
            </w:pPr>
          </w:p>
        </w:tc>
        <w:tc>
          <w:tcPr>
            <w:tcW w:w="1560" w:type="dxa"/>
            <w:vMerge/>
          </w:tcPr>
          <w:p w14:paraId="5DCB7885" w14:textId="77777777" w:rsidR="00C60C6F" w:rsidRPr="00B14CA7" w:rsidRDefault="00C60C6F" w:rsidP="00020CB7">
            <w:pPr>
              <w:rPr>
                <w:sz w:val="20"/>
              </w:rPr>
            </w:pPr>
          </w:p>
        </w:tc>
        <w:tc>
          <w:tcPr>
            <w:tcW w:w="7541" w:type="dxa"/>
          </w:tcPr>
          <w:p w14:paraId="01165192" w14:textId="77777777" w:rsidR="00C60C6F" w:rsidRPr="00B14CA7" w:rsidRDefault="00C60C6F" w:rsidP="00074F28">
            <w:pPr>
              <w:jc w:val="both"/>
              <w:rPr>
                <w:sz w:val="20"/>
              </w:rPr>
            </w:pPr>
            <w:r w:rsidRPr="00B14CA7">
              <w:rPr>
                <w:sz w:val="20"/>
              </w:rPr>
              <w:t xml:space="preserve">ES investicijų puslapyje viešai prieinamame kvietimų plane šio kvietimo apimtyje vienam pareiškėjui numatytas biudžetas 70 000 Eur, paskelbtame kvietimo projekte vienam pareiškėjui numatytas biudžetas siekia vos 20 000 Eur. Prašome paaiškinti šį informacijos neatitikimą. </w:t>
            </w:r>
          </w:p>
          <w:p w14:paraId="61DB5E0E" w14:textId="77777777" w:rsidR="00C60C6F" w:rsidRPr="00B14CA7" w:rsidRDefault="00C60C6F" w:rsidP="009426AD">
            <w:pPr>
              <w:jc w:val="both"/>
              <w:rPr>
                <w:sz w:val="20"/>
              </w:rPr>
            </w:pPr>
          </w:p>
        </w:tc>
        <w:tc>
          <w:tcPr>
            <w:tcW w:w="5103" w:type="dxa"/>
          </w:tcPr>
          <w:p w14:paraId="37B433D3" w14:textId="26838B4C" w:rsidR="00C60C6F" w:rsidRPr="00B14CA7" w:rsidRDefault="00C60C6F" w:rsidP="00020CB7">
            <w:pPr>
              <w:jc w:val="both"/>
              <w:rPr>
                <w:sz w:val="20"/>
              </w:rPr>
            </w:pPr>
            <w:r w:rsidRPr="00B14CA7">
              <w:rPr>
                <w:sz w:val="20"/>
              </w:rPr>
              <w:t xml:space="preserve">Kvietimų planas bus atnaujintas ir pakeista informacija, matėte pirminius planus, po konsultacijų su administruojančia institucija ir jos ekspertais, remiantis praėjusių finansavimo laikotarpių patirtimi, sumą </w:t>
            </w:r>
            <w:r w:rsidR="00B14CA7">
              <w:rPr>
                <w:sz w:val="20"/>
              </w:rPr>
              <w:t xml:space="preserve">buvo </w:t>
            </w:r>
            <w:r w:rsidRPr="00B14CA7">
              <w:rPr>
                <w:sz w:val="20"/>
              </w:rPr>
              <w:t>siūloma sumažinti.</w:t>
            </w:r>
            <w:r w:rsidR="00B14CA7">
              <w:rPr>
                <w:sz w:val="20"/>
              </w:rPr>
              <w:t xml:space="preserve"> Tačiau atsižvelgiant į išsakytas pastabas viešo aptarimo metu ir vertinant ir ekspertų nuomonę, didžiausia galima finansuoti suma nustatoma 50 000 eur</w:t>
            </w:r>
            <w:r w:rsidR="00E0238C">
              <w:rPr>
                <w:sz w:val="20"/>
              </w:rPr>
              <w:t>ų.</w:t>
            </w:r>
          </w:p>
        </w:tc>
      </w:tr>
      <w:tr w:rsidR="00C60C6F" w:rsidRPr="00B14CA7" w14:paraId="3E27388D" w14:textId="77777777" w:rsidTr="00B14CA7">
        <w:tc>
          <w:tcPr>
            <w:tcW w:w="567" w:type="dxa"/>
            <w:vMerge/>
          </w:tcPr>
          <w:p w14:paraId="270639E9" w14:textId="77777777" w:rsidR="00C60C6F" w:rsidRPr="00B14CA7" w:rsidRDefault="00C60C6F" w:rsidP="00020CB7">
            <w:pPr>
              <w:jc w:val="center"/>
              <w:rPr>
                <w:bCs/>
                <w:sz w:val="20"/>
              </w:rPr>
            </w:pPr>
          </w:p>
        </w:tc>
        <w:tc>
          <w:tcPr>
            <w:tcW w:w="1560" w:type="dxa"/>
            <w:vMerge/>
          </w:tcPr>
          <w:p w14:paraId="34E86CBF" w14:textId="77777777" w:rsidR="00C60C6F" w:rsidRPr="00B14CA7" w:rsidRDefault="00C60C6F" w:rsidP="00020CB7">
            <w:pPr>
              <w:rPr>
                <w:sz w:val="20"/>
              </w:rPr>
            </w:pPr>
          </w:p>
        </w:tc>
        <w:tc>
          <w:tcPr>
            <w:tcW w:w="7541" w:type="dxa"/>
          </w:tcPr>
          <w:p w14:paraId="13C0E119" w14:textId="77777777" w:rsidR="00C60C6F" w:rsidRPr="00B14CA7" w:rsidRDefault="00C60C6F" w:rsidP="00C60C6F">
            <w:pPr>
              <w:jc w:val="both"/>
              <w:rPr>
                <w:sz w:val="20"/>
              </w:rPr>
            </w:pPr>
            <w:r w:rsidRPr="00B14CA7">
              <w:rPr>
                <w:sz w:val="20"/>
              </w:rPr>
              <w:t xml:space="preserve">Atkreiptinas dėmesys, kad reikalavimas dėl pareiškėjo pardavimo pajamų iš savo pagamintos produkcijos vidurkio bei finansuojamos veiklos ne visai atitinka protingumo principą, kadangi pareiškėjas, turintis 100 000 Eur pardavimo pajamų iš savo pagamintos produkcijos daugeliu atveju jau bus įsidiegęs e. parduotuvę ir sėkmingai vykdys pardavimus. Siūlytume peržiūrėti šį kriterijų ir atitinkamai sumažinti pareiškėjo pardavimo pajamoms keliamus reikalavimus. </w:t>
            </w:r>
          </w:p>
          <w:p w14:paraId="53A0B1B4" w14:textId="77777777" w:rsidR="00C60C6F" w:rsidRPr="00B14CA7" w:rsidRDefault="00C60C6F" w:rsidP="009426AD">
            <w:pPr>
              <w:jc w:val="both"/>
              <w:rPr>
                <w:sz w:val="20"/>
              </w:rPr>
            </w:pPr>
          </w:p>
        </w:tc>
        <w:tc>
          <w:tcPr>
            <w:tcW w:w="5103" w:type="dxa"/>
          </w:tcPr>
          <w:p w14:paraId="27CC39DD" w14:textId="77777777" w:rsidR="00E828B5" w:rsidRDefault="00E828B5" w:rsidP="00C60C6F">
            <w:pPr>
              <w:jc w:val="both"/>
              <w:rPr>
                <w:sz w:val="20"/>
              </w:rPr>
            </w:pPr>
            <w:r>
              <w:rPr>
                <w:sz w:val="20"/>
              </w:rPr>
              <w:t xml:space="preserve">Neatsižvelgta. </w:t>
            </w:r>
          </w:p>
          <w:p w14:paraId="680CC6B4" w14:textId="5DC9F516" w:rsidR="00C60C6F" w:rsidRPr="00B14CA7" w:rsidRDefault="00C60C6F" w:rsidP="00C60C6F">
            <w:pPr>
              <w:jc w:val="both"/>
              <w:rPr>
                <w:sz w:val="20"/>
              </w:rPr>
            </w:pPr>
            <w:r w:rsidRPr="00B14CA7">
              <w:rPr>
                <w:sz w:val="20"/>
              </w:rPr>
              <w:t>Suma dėl pajamų nustatyta vadovaujantis praėjusių finansavimo laikotarpio duomenimi</w:t>
            </w:r>
            <w:r w:rsidR="003375A5">
              <w:rPr>
                <w:sz w:val="20"/>
              </w:rPr>
              <w:t>s.</w:t>
            </w:r>
          </w:p>
          <w:p w14:paraId="56CE29D2" w14:textId="77777777" w:rsidR="00C60C6F" w:rsidRPr="00B14CA7" w:rsidRDefault="00C60C6F" w:rsidP="00020CB7">
            <w:pPr>
              <w:jc w:val="both"/>
              <w:rPr>
                <w:sz w:val="20"/>
              </w:rPr>
            </w:pPr>
          </w:p>
        </w:tc>
      </w:tr>
      <w:tr w:rsidR="00C60C6F" w:rsidRPr="00B14CA7" w14:paraId="74B1DE22" w14:textId="77777777" w:rsidTr="00B14CA7">
        <w:tc>
          <w:tcPr>
            <w:tcW w:w="567" w:type="dxa"/>
            <w:vMerge/>
          </w:tcPr>
          <w:p w14:paraId="6B7B430F" w14:textId="77777777" w:rsidR="00C60C6F" w:rsidRPr="00B14CA7" w:rsidRDefault="00C60C6F" w:rsidP="00020CB7">
            <w:pPr>
              <w:jc w:val="center"/>
              <w:rPr>
                <w:bCs/>
                <w:sz w:val="20"/>
              </w:rPr>
            </w:pPr>
          </w:p>
        </w:tc>
        <w:tc>
          <w:tcPr>
            <w:tcW w:w="1560" w:type="dxa"/>
            <w:vMerge/>
          </w:tcPr>
          <w:p w14:paraId="72C886FD" w14:textId="77777777" w:rsidR="00C60C6F" w:rsidRPr="00B14CA7" w:rsidRDefault="00C60C6F" w:rsidP="00020CB7">
            <w:pPr>
              <w:rPr>
                <w:sz w:val="20"/>
              </w:rPr>
            </w:pPr>
          </w:p>
        </w:tc>
        <w:tc>
          <w:tcPr>
            <w:tcW w:w="7541" w:type="dxa"/>
          </w:tcPr>
          <w:p w14:paraId="7EAF1B45" w14:textId="77777777" w:rsidR="00C60C6F" w:rsidRPr="00B14CA7" w:rsidRDefault="00C60C6F" w:rsidP="00C60C6F">
            <w:pPr>
              <w:rPr>
                <w:sz w:val="20"/>
              </w:rPr>
            </w:pPr>
            <w:r w:rsidRPr="00B14CA7">
              <w:rPr>
                <w:sz w:val="20"/>
              </w:rPr>
              <w:t xml:space="preserve">Prašome paaiškinti sąvokų e. prekybos pagrindu diegiama parduotuvė ir e. pardavimo sandorių sprendimų diegimas skirtumus. </w:t>
            </w:r>
          </w:p>
          <w:p w14:paraId="11EF9186" w14:textId="77777777" w:rsidR="00C60C6F" w:rsidRPr="00B14CA7" w:rsidRDefault="00C60C6F" w:rsidP="009426AD">
            <w:pPr>
              <w:jc w:val="both"/>
              <w:rPr>
                <w:sz w:val="20"/>
              </w:rPr>
            </w:pPr>
          </w:p>
        </w:tc>
        <w:tc>
          <w:tcPr>
            <w:tcW w:w="5103" w:type="dxa"/>
          </w:tcPr>
          <w:p w14:paraId="2EAE6DAA" w14:textId="5ED590C2" w:rsidR="00C60C6F" w:rsidRPr="00B14CA7" w:rsidRDefault="004274A1" w:rsidP="00020CB7">
            <w:pPr>
              <w:jc w:val="both"/>
              <w:rPr>
                <w:sz w:val="20"/>
              </w:rPr>
            </w:pPr>
            <w:r>
              <w:rPr>
                <w:rFonts w:eastAsia="Calibri"/>
                <w:sz w:val="20"/>
              </w:rPr>
              <w:t>Skirtumų nėra, finansavimo sąlygų apraše bus patikslinamos formuluotės.</w:t>
            </w:r>
          </w:p>
        </w:tc>
      </w:tr>
      <w:tr w:rsidR="00C60C6F" w:rsidRPr="00B14CA7" w14:paraId="2D738564" w14:textId="77777777" w:rsidTr="00B14CA7">
        <w:tc>
          <w:tcPr>
            <w:tcW w:w="567" w:type="dxa"/>
            <w:vMerge/>
          </w:tcPr>
          <w:p w14:paraId="57F93A6E" w14:textId="77777777" w:rsidR="00C60C6F" w:rsidRPr="00B14CA7" w:rsidRDefault="00C60C6F" w:rsidP="00020CB7">
            <w:pPr>
              <w:jc w:val="center"/>
              <w:rPr>
                <w:bCs/>
                <w:sz w:val="20"/>
              </w:rPr>
            </w:pPr>
          </w:p>
        </w:tc>
        <w:tc>
          <w:tcPr>
            <w:tcW w:w="1560" w:type="dxa"/>
            <w:vMerge/>
          </w:tcPr>
          <w:p w14:paraId="0F43779D" w14:textId="77777777" w:rsidR="00C60C6F" w:rsidRPr="00B14CA7" w:rsidRDefault="00C60C6F" w:rsidP="00020CB7">
            <w:pPr>
              <w:rPr>
                <w:sz w:val="20"/>
              </w:rPr>
            </w:pPr>
          </w:p>
        </w:tc>
        <w:tc>
          <w:tcPr>
            <w:tcW w:w="7541" w:type="dxa"/>
          </w:tcPr>
          <w:p w14:paraId="2A5079DC" w14:textId="25E801EB" w:rsidR="00C60C6F" w:rsidRPr="00B14CA7" w:rsidRDefault="00C60C6F" w:rsidP="009426AD">
            <w:pPr>
              <w:jc w:val="both"/>
              <w:rPr>
                <w:sz w:val="20"/>
              </w:rPr>
            </w:pPr>
            <w:r w:rsidRPr="00B14CA7">
              <w:rPr>
                <w:sz w:val="20"/>
              </w:rPr>
              <w:t>Paaiškinkite kaip bus tikrinama ar pareiškėjas atitinka MTEPI prioritetus</w:t>
            </w:r>
          </w:p>
        </w:tc>
        <w:tc>
          <w:tcPr>
            <w:tcW w:w="5103" w:type="dxa"/>
          </w:tcPr>
          <w:p w14:paraId="6C5FACC2" w14:textId="2451C2E1" w:rsidR="00C60C6F" w:rsidRPr="00B14CA7" w:rsidRDefault="00E828B5" w:rsidP="00020CB7">
            <w:pPr>
              <w:jc w:val="both"/>
              <w:rPr>
                <w:sz w:val="20"/>
              </w:rPr>
            </w:pPr>
            <w:r>
              <w:rPr>
                <w:sz w:val="20"/>
              </w:rPr>
              <w:t>Vertina</w:t>
            </w:r>
            <w:r w:rsidR="004F24DB">
              <w:rPr>
                <w:sz w:val="20"/>
              </w:rPr>
              <w:t>nt</w:t>
            </w:r>
            <w:r>
              <w:rPr>
                <w:sz w:val="20"/>
              </w:rPr>
              <w:t xml:space="preserve"> bus </w:t>
            </w:r>
            <w:r w:rsidR="004274A1">
              <w:rPr>
                <w:sz w:val="20"/>
              </w:rPr>
              <w:t>vadovauja</w:t>
            </w:r>
            <w:r w:rsidR="004F24DB">
              <w:rPr>
                <w:sz w:val="20"/>
              </w:rPr>
              <w:t>masi</w:t>
            </w:r>
            <w:r w:rsidR="004274A1">
              <w:rPr>
                <w:sz w:val="20"/>
              </w:rPr>
              <w:t xml:space="preserve"> Koncepcija, priemonės įgyvendinimo plane pateikta informacija ir viešai prieinama informacija.</w:t>
            </w:r>
          </w:p>
        </w:tc>
      </w:tr>
      <w:tr w:rsidR="00B14CA7" w:rsidRPr="00B14CA7" w14:paraId="1E0483E5" w14:textId="77777777" w:rsidTr="00B14CA7">
        <w:tc>
          <w:tcPr>
            <w:tcW w:w="567" w:type="dxa"/>
            <w:vMerge w:val="restart"/>
          </w:tcPr>
          <w:p w14:paraId="558895BA" w14:textId="7EDA3B2F" w:rsidR="00B14CA7" w:rsidRPr="00B14CA7" w:rsidRDefault="00B14CA7" w:rsidP="00020CB7">
            <w:pPr>
              <w:jc w:val="center"/>
              <w:rPr>
                <w:bCs/>
                <w:sz w:val="20"/>
              </w:rPr>
            </w:pPr>
            <w:r w:rsidRPr="00B14CA7">
              <w:rPr>
                <w:bCs/>
                <w:sz w:val="20"/>
              </w:rPr>
              <w:t>4.</w:t>
            </w:r>
          </w:p>
        </w:tc>
        <w:tc>
          <w:tcPr>
            <w:tcW w:w="1560" w:type="dxa"/>
            <w:vMerge w:val="restart"/>
          </w:tcPr>
          <w:p w14:paraId="73E4DEFA" w14:textId="1A589D15" w:rsidR="00B14CA7" w:rsidRPr="00B14CA7" w:rsidRDefault="00B14CA7" w:rsidP="00020CB7">
            <w:pPr>
              <w:rPr>
                <w:sz w:val="20"/>
              </w:rPr>
            </w:pPr>
            <w:proofErr w:type="spellStart"/>
            <w:r w:rsidRPr="00B14CA7">
              <w:rPr>
                <w:sz w:val="20"/>
              </w:rPr>
              <w:t>Ferox</w:t>
            </w:r>
            <w:proofErr w:type="spellEnd"/>
            <w:r w:rsidRPr="00B14CA7">
              <w:rPr>
                <w:sz w:val="20"/>
              </w:rPr>
              <w:t xml:space="preserve"> Baltic, UAB</w:t>
            </w:r>
          </w:p>
        </w:tc>
        <w:tc>
          <w:tcPr>
            <w:tcW w:w="7541" w:type="dxa"/>
          </w:tcPr>
          <w:p w14:paraId="3276510C" w14:textId="77777777" w:rsidR="00B14CA7" w:rsidRPr="00B14CA7" w:rsidRDefault="00B14CA7" w:rsidP="009C5F59">
            <w:pPr>
              <w:spacing w:after="160" w:line="256" w:lineRule="auto"/>
              <w:jc w:val="both"/>
              <w:rPr>
                <w:sz w:val="20"/>
              </w:rPr>
            </w:pPr>
            <w:r w:rsidRPr="00B14CA7">
              <w:rPr>
                <w:sz w:val="20"/>
              </w:rPr>
              <w:t>Atsižvelgiant į tai, jog Aprašo Nr. 1.2.7. punkte nurodyta sąvoka „Vaizdinė konfigūracija“, prašome plačiau išaiškinti šią sąvoką, pateikiant konkrečius pavyzdžius.</w:t>
            </w:r>
          </w:p>
          <w:p w14:paraId="2E4B17EE" w14:textId="77777777" w:rsidR="00B14CA7" w:rsidRPr="00B14CA7" w:rsidRDefault="00B14CA7" w:rsidP="009426AD">
            <w:pPr>
              <w:jc w:val="both"/>
              <w:rPr>
                <w:sz w:val="20"/>
              </w:rPr>
            </w:pPr>
          </w:p>
        </w:tc>
        <w:tc>
          <w:tcPr>
            <w:tcW w:w="5103" w:type="dxa"/>
          </w:tcPr>
          <w:p w14:paraId="7739EA94" w14:textId="68C563B3" w:rsidR="003375A5" w:rsidRPr="003375A5" w:rsidRDefault="003375A5" w:rsidP="003375A5">
            <w:pPr>
              <w:jc w:val="both"/>
              <w:rPr>
                <w:sz w:val="20"/>
              </w:rPr>
            </w:pPr>
            <w:r w:rsidRPr="003375A5">
              <w:rPr>
                <w:sz w:val="20"/>
              </w:rPr>
              <w:t>Šiuo metu finansavimo sąlygų apraše sąvoka apibrėžta taip: tai procesas, leidžiantis keisti produkto parametrus ir matyti tuos pokyčius interaktyviame skaitmeniniame produkto modelyje.</w:t>
            </w:r>
          </w:p>
          <w:p w14:paraId="11E1C9B9" w14:textId="176C5824" w:rsidR="00B14CA7" w:rsidRPr="00B14CA7" w:rsidRDefault="003375A5" w:rsidP="00020CB7">
            <w:pPr>
              <w:jc w:val="both"/>
              <w:rPr>
                <w:sz w:val="20"/>
              </w:rPr>
            </w:pPr>
            <w:r>
              <w:rPr>
                <w:sz w:val="20"/>
              </w:rPr>
              <w:t xml:space="preserve">Todėl patys pareiškėjai čia įsivertina, kokia programinė įranga jiems yra aktuali ir galėtų pavyzdžiui, sudaryti </w:t>
            </w:r>
            <w:r w:rsidR="004274A1" w:rsidRPr="003375A5">
              <w:rPr>
                <w:sz w:val="20"/>
              </w:rPr>
              <w:t>galimybę klientui</w:t>
            </w:r>
            <w:r w:rsidR="004274A1" w:rsidRPr="004274A1">
              <w:rPr>
                <w:sz w:val="20"/>
              </w:rPr>
              <w:t xml:space="preserve"> (pirkėjui) </w:t>
            </w:r>
            <w:r w:rsidR="003F1F09">
              <w:rPr>
                <w:sz w:val="20"/>
              </w:rPr>
              <w:t xml:space="preserve">pvz.: el. parduotuvėje sukurti skaitmeninį produkto modelį ir </w:t>
            </w:r>
            <w:r w:rsidR="004274A1" w:rsidRPr="004274A1">
              <w:rPr>
                <w:sz w:val="20"/>
              </w:rPr>
              <w:t>keisti produkto savybes (spalvą, dydį, formą, matmenis ir kt.), taip gerinant kliento patirtį pirkimo procese. Tam</w:t>
            </w:r>
            <w:r>
              <w:rPr>
                <w:sz w:val="20"/>
              </w:rPr>
              <w:t xml:space="preserve">, pavyzdžiui, </w:t>
            </w:r>
            <w:r w:rsidR="004274A1" w:rsidRPr="004274A1">
              <w:rPr>
                <w:sz w:val="20"/>
              </w:rPr>
              <w:t>gali būti panaudojamos 2D ar 3D vizualizacijos.</w:t>
            </w:r>
            <w:r>
              <w:rPr>
                <w:sz w:val="20"/>
              </w:rPr>
              <w:t xml:space="preserve"> </w:t>
            </w:r>
          </w:p>
        </w:tc>
      </w:tr>
      <w:tr w:rsidR="00B14CA7" w:rsidRPr="00B14CA7" w14:paraId="27894AEE" w14:textId="77777777" w:rsidTr="00B14CA7">
        <w:tc>
          <w:tcPr>
            <w:tcW w:w="567" w:type="dxa"/>
            <w:vMerge/>
          </w:tcPr>
          <w:p w14:paraId="70FB3DF3" w14:textId="77777777" w:rsidR="00B14CA7" w:rsidRPr="00B14CA7" w:rsidRDefault="00B14CA7" w:rsidP="00020CB7">
            <w:pPr>
              <w:jc w:val="center"/>
              <w:rPr>
                <w:bCs/>
                <w:sz w:val="20"/>
              </w:rPr>
            </w:pPr>
          </w:p>
        </w:tc>
        <w:tc>
          <w:tcPr>
            <w:tcW w:w="1560" w:type="dxa"/>
            <w:vMerge/>
          </w:tcPr>
          <w:p w14:paraId="718497F9" w14:textId="77777777" w:rsidR="00B14CA7" w:rsidRPr="00B14CA7" w:rsidRDefault="00B14CA7" w:rsidP="00020CB7">
            <w:pPr>
              <w:rPr>
                <w:sz w:val="20"/>
              </w:rPr>
            </w:pPr>
          </w:p>
        </w:tc>
        <w:tc>
          <w:tcPr>
            <w:tcW w:w="7541" w:type="dxa"/>
          </w:tcPr>
          <w:p w14:paraId="06C71FAD" w14:textId="1E9F990F" w:rsidR="00B14CA7" w:rsidRPr="00B14CA7" w:rsidRDefault="00B14CA7" w:rsidP="003375A5">
            <w:pPr>
              <w:spacing w:after="160" w:line="256" w:lineRule="auto"/>
              <w:jc w:val="both"/>
              <w:rPr>
                <w:sz w:val="20"/>
              </w:rPr>
            </w:pPr>
            <w:r w:rsidRPr="00B14CA7">
              <w:rPr>
                <w:sz w:val="20"/>
              </w:rPr>
              <w:t>Aprašo punkte Nr. 2.2.5.4. nurodyta, kad juridiniai asmenys, gavę finansavimą pagal 2014–2020 metų Europos Sąjungos fondų investicijų veiksmų programos 13 prioriteto „Veiksmų, skirtų COVID-19 pandemijos sukeltai krizei įveikti, skatinimas ir pasirengimas aplinką tausojančiam, skaitmeniniam ir tvariam ekonomikos atgaivinimui“ priemonę Nr. 13.1.1-</w:t>
            </w:r>
            <w:r w:rsidRPr="00B14CA7">
              <w:rPr>
                <w:sz w:val="20"/>
              </w:rPr>
              <w:lastRenderedPageBreak/>
              <w:t>LVPA-K-860 „E. komercijos modelis COVID-19“, nėra tinkami Pareiškėjai. Atkreiptinas dėmesys, kad įmonės dažnai teikia kelių skirtingų sričių paslaugas, gamina skirtingas prekes, ar teikia paslaugas bei vykdo prekių gamybą: pvz. įmonė gali kepti duoną ir turėti atskirą liniją konservų gamybai, arba tie patys duonos kepėjai gamina ir konditerijos gaminius. Tokiu atveju nėra tikslinga parduoti vienoje el. prekybos platformoje visiškai skirtingos rūšies prekes ir/ar paslaugas. Taip pat natūraliai paieškos sistemoje pirkėjai ieško konkrečiai norimos prekės. Šis PFSA punktas išskiria pareiškėjus, kurie yra gavę paramą pagal priemonę Nr. 13.1.1-LVPA-K-860 „E. komercijos modelis COVID-19“. Tačiau tarp paramą gavusių įmonių yra tokių, kurios yra suinteresuotos įsidiegti e.</w:t>
            </w:r>
            <w:r w:rsidR="003375A5">
              <w:rPr>
                <w:sz w:val="20"/>
              </w:rPr>
              <w:t xml:space="preserve"> </w:t>
            </w:r>
            <w:r w:rsidRPr="00B14CA7">
              <w:rPr>
                <w:sz w:val="20"/>
              </w:rPr>
              <w:t>pardavimo sandorio sprendimus toms prekėms arba paslaugoms, kurioms dar neturi e. prekybos sprendimo. Taip pat yra įmonių, kurios gamina prekes skirtingais prekiniais ženklais, dažnu atveju naujo prekės ženklo gaminiai „paskęsta“ tarp ilgiau gaminamo (-ų) ir geriau rinkoje žinomų prekės ženklų. Tokioje situacijoje taip pat yra poreikis atskirti šias prekių grupes (gaminius) ir įsidiegus įmonėje antrą ar net trečią e. prekybos sprendimą vystyti kelis skirtingus prekės ženklus, didinti skirtingų prekių grupių pardavimus vienu metu, tokiu būdu generuojant ženkliai didesnes pajamas įmonei. Manome, jog šis kriterijus yra perteklinis ir ribojantis kelias skirtingas veiklas vykdančių įmonių konkurencingumą, todėl rekomenduotina panaikinti 2.2.5.4. šį reikalavimą.</w:t>
            </w:r>
          </w:p>
        </w:tc>
        <w:tc>
          <w:tcPr>
            <w:tcW w:w="5103" w:type="dxa"/>
          </w:tcPr>
          <w:p w14:paraId="2016D8D6" w14:textId="7DE03968" w:rsidR="00E828B5" w:rsidRPr="00E828B5" w:rsidRDefault="00FA2FC9" w:rsidP="00E0238C">
            <w:pPr>
              <w:jc w:val="both"/>
              <w:rPr>
                <w:sz w:val="20"/>
              </w:rPr>
            </w:pPr>
            <w:r>
              <w:rPr>
                <w:sz w:val="20"/>
              </w:rPr>
              <w:lastRenderedPageBreak/>
              <w:t>Neatsižvelgta dėl dvigubo finansavimo rizikų.</w:t>
            </w:r>
          </w:p>
        </w:tc>
      </w:tr>
      <w:tr w:rsidR="00B14CA7" w:rsidRPr="00B14CA7" w14:paraId="7FD19C4F" w14:textId="77777777" w:rsidTr="00B14CA7">
        <w:tc>
          <w:tcPr>
            <w:tcW w:w="567" w:type="dxa"/>
            <w:vMerge/>
          </w:tcPr>
          <w:p w14:paraId="74FE746C" w14:textId="77777777" w:rsidR="00B14CA7" w:rsidRPr="00B14CA7" w:rsidRDefault="00B14CA7" w:rsidP="00020CB7">
            <w:pPr>
              <w:jc w:val="center"/>
              <w:rPr>
                <w:bCs/>
                <w:sz w:val="20"/>
              </w:rPr>
            </w:pPr>
          </w:p>
        </w:tc>
        <w:tc>
          <w:tcPr>
            <w:tcW w:w="1560" w:type="dxa"/>
            <w:vMerge/>
          </w:tcPr>
          <w:p w14:paraId="60C551DD" w14:textId="77777777" w:rsidR="00B14CA7" w:rsidRPr="00B14CA7" w:rsidRDefault="00B14CA7" w:rsidP="00020CB7">
            <w:pPr>
              <w:rPr>
                <w:sz w:val="20"/>
              </w:rPr>
            </w:pPr>
          </w:p>
        </w:tc>
        <w:tc>
          <w:tcPr>
            <w:tcW w:w="7541" w:type="dxa"/>
          </w:tcPr>
          <w:p w14:paraId="7F964766" w14:textId="77777777" w:rsidR="00B14CA7" w:rsidRPr="00B14CA7" w:rsidRDefault="00B14CA7" w:rsidP="008E2AC8">
            <w:pPr>
              <w:spacing w:after="160" w:line="259" w:lineRule="auto"/>
              <w:jc w:val="both"/>
              <w:rPr>
                <w:sz w:val="20"/>
              </w:rPr>
            </w:pPr>
            <w:r w:rsidRPr="00B14CA7">
              <w:rPr>
                <w:sz w:val="20"/>
              </w:rPr>
              <w:t>Ministerijų planuojamų skelbti kvietimų teikti projektų įgyvendinimo planus sąraše atnaujintame 2023 m. gegužės 11 d. ir paskelbtame www.2021.esinvesticiojos.lt nurodyta, kad didžiausia galima skirti finansavimo lėšų suma projektui įgyvendinti yra 70 000 EUR, o PFSA projekte nurodyta, kad „2.3.5. Didžiausia galima projektui skirti finansavimo lėšų suma yra:</w:t>
            </w:r>
          </w:p>
          <w:p w14:paraId="433E019A" w14:textId="77777777" w:rsidR="00B14CA7" w:rsidRPr="00B14CA7" w:rsidRDefault="00B14CA7" w:rsidP="008E2AC8">
            <w:pPr>
              <w:jc w:val="both"/>
              <w:rPr>
                <w:sz w:val="20"/>
              </w:rPr>
            </w:pPr>
            <w:r w:rsidRPr="00B14CA7">
              <w:rPr>
                <w:sz w:val="20"/>
              </w:rPr>
              <w:t>2.3.5.1. 10 000,00 (dešimt tūkstančių) eurų e. prekybos pagrindu diegiamai parduotuvei / „verslas verslui“ (B2B) sprendimui, įskaitant ir integraciją su išteklių valdymo sistemomis;</w:t>
            </w:r>
          </w:p>
          <w:p w14:paraId="3CD03A00" w14:textId="77777777" w:rsidR="00B14CA7" w:rsidRPr="00B14CA7" w:rsidRDefault="00B14CA7" w:rsidP="008E2AC8">
            <w:pPr>
              <w:jc w:val="both"/>
              <w:rPr>
                <w:sz w:val="20"/>
              </w:rPr>
            </w:pPr>
            <w:r w:rsidRPr="00B14CA7">
              <w:rPr>
                <w:sz w:val="20"/>
              </w:rPr>
              <w:t>2.3.5.2. 10 000,00 (dešimt tūkstančių) eurų produktų vaizdinei konfigūracijai.</w:t>
            </w:r>
          </w:p>
          <w:p w14:paraId="1B4DEFAA" w14:textId="77777777" w:rsidR="00B14CA7" w:rsidRPr="00B14CA7" w:rsidRDefault="00B14CA7" w:rsidP="008E2AC8">
            <w:pPr>
              <w:jc w:val="both"/>
              <w:rPr>
                <w:sz w:val="20"/>
              </w:rPr>
            </w:pPr>
            <w:r w:rsidRPr="00B14CA7">
              <w:rPr>
                <w:sz w:val="20"/>
              </w:rPr>
              <w:t>2.3.5.3. 20 000,00 (dvidešimt tūkstančių) eurų e. pardavimo sandorių sprendimų diegimui ir produktų vaizdinei konfigūracijai.</w:t>
            </w:r>
          </w:p>
          <w:p w14:paraId="17F0022F" w14:textId="77777777" w:rsidR="00B14CA7" w:rsidRPr="00B14CA7" w:rsidRDefault="00B14CA7" w:rsidP="008E2AC8">
            <w:pPr>
              <w:jc w:val="both"/>
              <w:rPr>
                <w:sz w:val="20"/>
              </w:rPr>
            </w:pPr>
            <w:r w:rsidRPr="00B14CA7">
              <w:rPr>
                <w:sz w:val="20"/>
              </w:rPr>
              <w:t xml:space="preserve">Tai reiškia, kad pagal PFSA didžiausia vienam kvietimui finansavimo suma yra 20 000 EUR, kas yra 3,5 karto mažesnė suma nei buvo skelbta anksčiau. Tai yra iš esmės pakeistas PFSA reikalavimas, o tai labiausiai kenkia verslui (MVĮ), kadangi buvo ruoštasi diegti </w:t>
            </w:r>
            <w:proofErr w:type="spellStart"/>
            <w:r w:rsidRPr="00B14CA7">
              <w:rPr>
                <w:sz w:val="20"/>
              </w:rPr>
              <w:t>e.pardavimo</w:t>
            </w:r>
            <w:proofErr w:type="spellEnd"/>
            <w:r w:rsidRPr="00B14CA7">
              <w:rPr>
                <w:sz w:val="20"/>
              </w:rPr>
              <w:t xml:space="preserve"> sandorių sprendimus pagal tai kas buvo nurodyta (ir vis dar yra nurodyta) planuojamų skelbti kvietimų sąraše. Prašome paaiškinti susidariusią situaciją ir tikslinti PFSA 2.3.5. reikalavimą atsižvelgiant į projektų įgyvendinimo planų sąraše nurodytą informaciją. </w:t>
            </w:r>
          </w:p>
          <w:p w14:paraId="6D908C1B" w14:textId="77777777" w:rsidR="00B14CA7" w:rsidRPr="00B14CA7" w:rsidRDefault="00B14CA7" w:rsidP="008E2AC8">
            <w:pPr>
              <w:jc w:val="both"/>
              <w:rPr>
                <w:sz w:val="20"/>
              </w:rPr>
            </w:pPr>
            <w:bookmarkStart w:id="1" w:name="_Hlk136320315"/>
            <w:r w:rsidRPr="00B14CA7">
              <w:rPr>
                <w:sz w:val="20"/>
              </w:rPr>
              <w:t>Remiantis 2014–2020 metų Europos Sąjungos fondų investicijų veiksmų programos 13 prioriteto „Veiksmų, skirtų COVID-19 pandemijos sukeltai krizei įveikti, skatinimas ir pasirengimas aplinką tausojančiam, skaitmeniniam ir tvariam ekonomikos atgaivinimui“ priemonės Nr. 13.1.1-LVPA-K-860 „</w:t>
            </w:r>
            <w:proofErr w:type="spellStart"/>
            <w:r w:rsidRPr="00B14CA7">
              <w:rPr>
                <w:sz w:val="20"/>
              </w:rPr>
              <w:t>E.komercijos</w:t>
            </w:r>
            <w:proofErr w:type="spellEnd"/>
            <w:r w:rsidRPr="00B14CA7">
              <w:rPr>
                <w:sz w:val="20"/>
              </w:rPr>
              <w:t xml:space="preserve"> modelis COVID-19“ statistika, 2021 m. </w:t>
            </w:r>
            <w:r w:rsidRPr="00B14CA7">
              <w:rPr>
                <w:sz w:val="20"/>
              </w:rPr>
              <w:lastRenderedPageBreak/>
              <w:t>iš viso buvo pateiktos 1685 paraiškos. Vidutinė pateiktų paraiškų vertė – 55 607,59 EUR be PVM, vidutinė prašomo finansavimo vertė – 41 466,67 EUR be PVM. Įvertinus visas paraiškas ir skyrius joms finansavimą, vidutinė finansuojamų paraiškų vertė – 55 341,02 EUR be PVM, vidutinė finansavimo vertė – 41 299,28 EUR be PVM.</w:t>
            </w:r>
            <w:bookmarkEnd w:id="1"/>
            <w:r w:rsidRPr="00B14CA7">
              <w:rPr>
                <w:sz w:val="20"/>
              </w:rPr>
              <w:t xml:space="preserve"> Tuo tarpu remiantis MVĮ skaitmeninimas finansavimo sąlygų aprašo projekto 2.3.5.3. punktu, maksimali projekto prašomo finansavimo dalis gali būti 20 000 EUR be PVM. Prašome Jūsų paaiškinti, kodėl taip </w:t>
            </w:r>
            <w:proofErr w:type="spellStart"/>
            <w:r w:rsidRPr="00B14CA7">
              <w:rPr>
                <w:sz w:val="20"/>
              </w:rPr>
              <w:t>drąstiškai</w:t>
            </w:r>
            <w:proofErr w:type="spellEnd"/>
            <w:r w:rsidRPr="00B14CA7">
              <w:rPr>
                <w:sz w:val="20"/>
              </w:rPr>
              <w:t xml:space="preserve"> yra sumažintas vienam projektui galimas skirti finansavimas, kuomet ankstesnė praktika rodo, jog tiek prašomo finansavimo vertė, tiek bendra projekto vertė turėtų būti didesnė. Kyla didelė rizika, jog pareiškėjai su tokio finansavimo dydžiu negebės pasiekti priemonės rodiklių bei rezultatų, taip pat kokybiškai įgyvendinti projekto veiklas. Taip pat norime priminti, jog pastaraisiais metais Lietuvos rinkoje stebėtas didelis kainų augimas, didelė infliacija palyginus su tuo laikotarpiu, kuomet buvo rengiamos </w:t>
            </w:r>
            <w:proofErr w:type="spellStart"/>
            <w:r w:rsidRPr="00B14CA7">
              <w:rPr>
                <w:sz w:val="20"/>
              </w:rPr>
              <w:t>E.Komercijos</w:t>
            </w:r>
            <w:proofErr w:type="spellEnd"/>
            <w:r w:rsidRPr="00B14CA7">
              <w:rPr>
                <w:sz w:val="20"/>
              </w:rPr>
              <w:t xml:space="preserve"> modelio paraiškos. Atitinkamai šiandien numatomo finansavimo grynoji dabartinė vertė yra mažesnė nei 2021 m. Prašome atsižvelgti į šiuos faktus bei duomenis bei padidinti galimas maksimalias finansavimo vertes. Taip pat pridedame komercinius pasiūlymus, kuriuose matomi reali planuojamų diegti sprendimų vertė.</w:t>
            </w:r>
          </w:p>
          <w:p w14:paraId="0CE2643A" w14:textId="77777777" w:rsidR="00B14CA7" w:rsidRPr="00B14CA7" w:rsidRDefault="00B14CA7" w:rsidP="009426AD">
            <w:pPr>
              <w:jc w:val="both"/>
              <w:rPr>
                <w:sz w:val="20"/>
              </w:rPr>
            </w:pPr>
          </w:p>
        </w:tc>
        <w:tc>
          <w:tcPr>
            <w:tcW w:w="5103" w:type="dxa"/>
          </w:tcPr>
          <w:p w14:paraId="642BCFD9" w14:textId="230A30EC" w:rsidR="00B14CA7" w:rsidRPr="00B14CA7" w:rsidRDefault="003375A5" w:rsidP="00020CB7">
            <w:pPr>
              <w:jc w:val="both"/>
              <w:rPr>
                <w:sz w:val="20"/>
              </w:rPr>
            </w:pPr>
            <w:r w:rsidRPr="00B14CA7">
              <w:rPr>
                <w:sz w:val="20"/>
              </w:rPr>
              <w:lastRenderedPageBreak/>
              <w:t xml:space="preserve">Kvietimų planas bus atnaujintas ir pakeista informacija, matėte pirminius planus, po konsultacijų su administruojančia institucija ir jos ekspertais, remiantis praėjusių finansavimo laikotarpių patirtimi, sumą </w:t>
            </w:r>
            <w:r>
              <w:rPr>
                <w:sz w:val="20"/>
              </w:rPr>
              <w:t xml:space="preserve">buvo </w:t>
            </w:r>
            <w:r w:rsidRPr="00B14CA7">
              <w:rPr>
                <w:sz w:val="20"/>
              </w:rPr>
              <w:t>siūloma sumažinti.</w:t>
            </w:r>
            <w:r>
              <w:rPr>
                <w:sz w:val="20"/>
              </w:rPr>
              <w:t xml:space="preserve"> Tačiau atsižvelgiant į išsakytas pastabas viešo aptarimo metu ir vertinant ir ekspertų nuomonę, didžiausia galima finansuoti suma nustatoma 50 000 eurų</w:t>
            </w:r>
            <w:r w:rsidR="00E0238C">
              <w:rPr>
                <w:sz w:val="20"/>
              </w:rPr>
              <w:t>.</w:t>
            </w:r>
          </w:p>
        </w:tc>
      </w:tr>
      <w:tr w:rsidR="00B14CA7" w:rsidRPr="00B14CA7" w14:paraId="535EC5AA" w14:textId="77777777" w:rsidTr="00B14CA7">
        <w:tc>
          <w:tcPr>
            <w:tcW w:w="567" w:type="dxa"/>
            <w:vMerge/>
          </w:tcPr>
          <w:p w14:paraId="7A6F7456" w14:textId="77777777" w:rsidR="00B14CA7" w:rsidRPr="00B14CA7" w:rsidRDefault="00B14CA7" w:rsidP="00020CB7">
            <w:pPr>
              <w:jc w:val="center"/>
              <w:rPr>
                <w:sz w:val="20"/>
              </w:rPr>
            </w:pPr>
          </w:p>
        </w:tc>
        <w:tc>
          <w:tcPr>
            <w:tcW w:w="1560" w:type="dxa"/>
            <w:vMerge/>
          </w:tcPr>
          <w:p w14:paraId="20CF0B7E" w14:textId="77777777" w:rsidR="00B14CA7" w:rsidRPr="00B14CA7" w:rsidRDefault="00B14CA7" w:rsidP="00020CB7">
            <w:pPr>
              <w:rPr>
                <w:sz w:val="20"/>
              </w:rPr>
            </w:pPr>
          </w:p>
        </w:tc>
        <w:tc>
          <w:tcPr>
            <w:tcW w:w="7541" w:type="dxa"/>
          </w:tcPr>
          <w:p w14:paraId="048D63FE" w14:textId="7C49785D" w:rsidR="00B14CA7" w:rsidRPr="00B14CA7" w:rsidRDefault="00B14CA7" w:rsidP="008E2AC8">
            <w:pPr>
              <w:spacing w:after="160" w:line="259" w:lineRule="auto"/>
              <w:jc w:val="both"/>
              <w:rPr>
                <w:sz w:val="20"/>
              </w:rPr>
            </w:pPr>
            <w:r w:rsidRPr="00B14CA7">
              <w:rPr>
                <w:sz w:val="20"/>
              </w:rPr>
              <w:t>Prašome paaiškinti PFSA punktą Nr. 2.3.5.1. dėl  skiriamų 10 000 EUR e.</w:t>
            </w:r>
            <w:r w:rsidR="003375A5">
              <w:rPr>
                <w:sz w:val="20"/>
              </w:rPr>
              <w:t xml:space="preserve"> </w:t>
            </w:r>
            <w:r w:rsidRPr="00B14CA7">
              <w:rPr>
                <w:sz w:val="20"/>
              </w:rPr>
              <w:t xml:space="preserve">prekybos pagrindu diegiamai parduotuvei/„verslas verslui“ (B2B) sprendimui, įskaitant ir integraciją su išteklių valdymo sistemomis. Ar tai reiškia, kad diegiamas e. pardavimo sandorio sprendimas gali būti tik B2B ar gali būti ir B2C? </w:t>
            </w:r>
          </w:p>
          <w:p w14:paraId="41F8AB2D" w14:textId="77777777" w:rsidR="00B14CA7" w:rsidRPr="00B14CA7" w:rsidRDefault="00B14CA7" w:rsidP="009426AD">
            <w:pPr>
              <w:jc w:val="both"/>
              <w:rPr>
                <w:sz w:val="20"/>
              </w:rPr>
            </w:pPr>
          </w:p>
        </w:tc>
        <w:tc>
          <w:tcPr>
            <w:tcW w:w="5103" w:type="dxa"/>
          </w:tcPr>
          <w:p w14:paraId="7BCBC558" w14:textId="67276E34" w:rsidR="00B14CA7" w:rsidRPr="00B14CA7" w:rsidRDefault="003375A5" w:rsidP="00020CB7">
            <w:pPr>
              <w:jc w:val="both"/>
              <w:rPr>
                <w:sz w:val="20"/>
              </w:rPr>
            </w:pPr>
            <w:r>
              <w:rPr>
                <w:sz w:val="20"/>
              </w:rPr>
              <w:t xml:space="preserve">Gali būti ir B2C, </w:t>
            </w:r>
            <w:r w:rsidR="00E828B5">
              <w:rPr>
                <w:sz w:val="20"/>
              </w:rPr>
              <w:t xml:space="preserve">PFSA </w:t>
            </w:r>
            <w:r>
              <w:rPr>
                <w:sz w:val="20"/>
              </w:rPr>
              <w:t>bus patikslinta formuluotė.</w:t>
            </w:r>
          </w:p>
        </w:tc>
      </w:tr>
      <w:tr w:rsidR="00B14CA7" w:rsidRPr="00B14CA7" w14:paraId="2E7A22FA" w14:textId="77777777" w:rsidTr="00B14CA7">
        <w:tc>
          <w:tcPr>
            <w:tcW w:w="567" w:type="dxa"/>
            <w:vMerge/>
          </w:tcPr>
          <w:p w14:paraId="00981232" w14:textId="77777777" w:rsidR="00B14CA7" w:rsidRPr="00B14CA7" w:rsidRDefault="00B14CA7" w:rsidP="00020CB7">
            <w:pPr>
              <w:jc w:val="center"/>
              <w:rPr>
                <w:sz w:val="20"/>
              </w:rPr>
            </w:pPr>
          </w:p>
        </w:tc>
        <w:tc>
          <w:tcPr>
            <w:tcW w:w="1560" w:type="dxa"/>
            <w:vMerge/>
          </w:tcPr>
          <w:p w14:paraId="64FEAA41" w14:textId="77777777" w:rsidR="00B14CA7" w:rsidRPr="00B14CA7" w:rsidRDefault="00B14CA7" w:rsidP="00020CB7">
            <w:pPr>
              <w:rPr>
                <w:sz w:val="20"/>
              </w:rPr>
            </w:pPr>
          </w:p>
        </w:tc>
        <w:tc>
          <w:tcPr>
            <w:tcW w:w="7541" w:type="dxa"/>
          </w:tcPr>
          <w:p w14:paraId="0316E0C9" w14:textId="77777777" w:rsidR="00B14CA7" w:rsidRPr="00B14CA7" w:rsidRDefault="00B14CA7" w:rsidP="008E2AC8">
            <w:pPr>
              <w:spacing w:after="160" w:line="259" w:lineRule="auto"/>
              <w:jc w:val="both"/>
              <w:rPr>
                <w:sz w:val="20"/>
              </w:rPr>
            </w:pPr>
            <w:r w:rsidRPr="00B14CA7">
              <w:rPr>
                <w:sz w:val="20"/>
              </w:rPr>
              <w:t xml:space="preserve">Pagal PFSA punktą Nr. 8.3. Didžiausią galimą projekto finansuojamąją dalį sudaro iki 50 proc. visų tinkamų finansuoti projekto išlaidų. </w:t>
            </w:r>
          </w:p>
          <w:p w14:paraId="1FBA2E3A" w14:textId="77777777" w:rsidR="00B14CA7" w:rsidRPr="00B14CA7" w:rsidRDefault="00B14CA7" w:rsidP="008E2AC8">
            <w:pPr>
              <w:jc w:val="both"/>
              <w:rPr>
                <w:sz w:val="20"/>
              </w:rPr>
            </w:pPr>
            <w:r w:rsidRPr="00B14CA7">
              <w:rPr>
                <w:sz w:val="20"/>
              </w:rPr>
              <w:t>Remiantis 2014–2020 metų Europos Sąjungos fondų investicijų veiksmų programos 13 prioriteto „Veiksmų, skirtų COVID-19 pandemijos sukeltai krizei įveikti, skatinimas ir pasirengimas aplinką tausojančiam, skaitmeniniam ir tvariam ekonomikos atgaivinimui“ priemonės Nr. 13.1.1-LVPA-K-860 „E. komercijos modelis COVID-19“ finansavimo sąlygų aprašu, maksimalus galimas paramos intensyvumas siekė 75 proc. Tuo tarpu priemonės MVĮ skaitmeninimas atveju – 50 proc. Prašome Jūsų padidinti projektų finansavimo intensyvumą dėl kelių priežasčių:</w:t>
            </w:r>
          </w:p>
          <w:p w14:paraId="448C2B2F" w14:textId="77777777" w:rsidR="00B14CA7" w:rsidRPr="00B14CA7" w:rsidRDefault="00B14CA7" w:rsidP="008E2AC8">
            <w:pPr>
              <w:jc w:val="both"/>
              <w:rPr>
                <w:sz w:val="20"/>
              </w:rPr>
            </w:pPr>
            <w:r w:rsidRPr="00B14CA7">
              <w:rPr>
                <w:sz w:val="20"/>
              </w:rPr>
              <w:t>a) 2023 m. – ekonominio nuosmukio metai, didelė infliacija, didėjantis nedarbas;</w:t>
            </w:r>
          </w:p>
          <w:p w14:paraId="506178D3" w14:textId="77777777" w:rsidR="00B14CA7" w:rsidRPr="00B14CA7" w:rsidRDefault="00B14CA7" w:rsidP="008E2AC8">
            <w:pPr>
              <w:jc w:val="both"/>
              <w:rPr>
                <w:sz w:val="20"/>
              </w:rPr>
            </w:pPr>
            <w:r w:rsidRPr="00B14CA7">
              <w:rPr>
                <w:sz w:val="20"/>
              </w:rPr>
              <w:t xml:space="preserve">b) auganti tarpbankinė palūkanų norma EURIBOR – mažesnis finansavimo intensyvumas verčia įmones daugiau skolintis rinkoje, kuomet Europos centrinis bankas nuolatos didina bazinę palūkanų normą, atitinkamai našta perkeliama besiskolinančiam SVV. Europos centrinio banko duomenimis, bazinė palūkanų norma tikėtina 2023 m. bus keliama dar du kartus.  </w:t>
            </w:r>
          </w:p>
          <w:p w14:paraId="18D67242" w14:textId="77777777" w:rsidR="00B14CA7" w:rsidRPr="00B14CA7" w:rsidRDefault="00B14CA7" w:rsidP="009426AD">
            <w:pPr>
              <w:jc w:val="both"/>
              <w:rPr>
                <w:sz w:val="20"/>
              </w:rPr>
            </w:pPr>
          </w:p>
        </w:tc>
        <w:tc>
          <w:tcPr>
            <w:tcW w:w="5103" w:type="dxa"/>
          </w:tcPr>
          <w:p w14:paraId="02B4C53A" w14:textId="72EE248F" w:rsidR="00E828B5" w:rsidRPr="00E828B5" w:rsidRDefault="00E828B5" w:rsidP="00062328">
            <w:pPr>
              <w:pStyle w:val="NormalWeb"/>
              <w:spacing w:before="0" w:beforeAutospacing="0" w:after="0" w:afterAutospacing="0"/>
              <w:jc w:val="both"/>
              <w:rPr>
                <w:sz w:val="20"/>
                <w:szCs w:val="20"/>
              </w:rPr>
            </w:pPr>
            <w:r w:rsidRPr="00E828B5">
              <w:rPr>
                <w:sz w:val="20"/>
                <w:szCs w:val="20"/>
              </w:rPr>
              <w:t>Neatsižvelgta.</w:t>
            </w:r>
          </w:p>
          <w:p w14:paraId="75EA0977" w14:textId="43B7F4B3" w:rsidR="003618F1" w:rsidRPr="00B14CA7" w:rsidRDefault="003618F1" w:rsidP="00062328">
            <w:pPr>
              <w:pStyle w:val="NormalWeb"/>
              <w:spacing w:before="0" w:beforeAutospacing="0" w:after="0" w:afterAutospacing="0"/>
              <w:jc w:val="both"/>
              <w:rPr>
                <w:sz w:val="20"/>
                <w:szCs w:val="20"/>
              </w:rPr>
            </w:pPr>
            <w:r w:rsidRPr="003618F1">
              <w:rPr>
                <w:sz w:val="20"/>
                <w:szCs w:val="20"/>
              </w:rPr>
              <w:t xml:space="preserve">Sprendimas dėl finansavimo intensyvumo priimtas vadovaujantis </w:t>
            </w:r>
            <w:r w:rsidR="00062328" w:rsidRPr="00062328">
              <w:rPr>
                <w:sz w:val="20"/>
                <w:szCs w:val="20"/>
              </w:rPr>
              <w:t>2021 m. birželio 24 d. Europos Parlamento ir Tarybos reglament</w:t>
            </w:r>
            <w:r w:rsidR="00062328">
              <w:rPr>
                <w:sz w:val="20"/>
                <w:szCs w:val="20"/>
              </w:rPr>
              <w:t>o</w:t>
            </w:r>
            <w:r w:rsidR="00062328" w:rsidRPr="00062328">
              <w:rPr>
                <w:sz w:val="20"/>
                <w:szCs w:val="20"/>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r w:rsidR="00062328">
              <w:rPr>
                <w:sz w:val="20"/>
                <w:szCs w:val="20"/>
              </w:rPr>
              <w:t xml:space="preserve">, 112 straipsniu, kuriame numatyta, kad Sostinės regione finansavimo intensyvumas negali viršyti 50 proc. </w:t>
            </w:r>
            <w:r w:rsidR="00E828B5">
              <w:rPr>
                <w:sz w:val="20"/>
                <w:szCs w:val="20"/>
              </w:rPr>
              <w:t xml:space="preserve">Taip pat </w:t>
            </w:r>
            <w:r w:rsidR="00807C29" w:rsidRPr="00E0238C">
              <w:rPr>
                <w:sz w:val="20"/>
                <w:szCs w:val="20"/>
              </w:rPr>
              <w:t>2021–2027 metų Europos Sąjungos fondų investicijų program</w:t>
            </w:r>
            <w:r w:rsidR="00807C29">
              <w:rPr>
                <w:sz w:val="20"/>
                <w:szCs w:val="20"/>
              </w:rPr>
              <w:t>oje yra nustatytas privačių lėšų indėlis, kuris negali būti mažesnis 50 proc. ir Vidurio ir vakarų Lietuvos regione.</w:t>
            </w:r>
          </w:p>
        </w:tc>
      </w:tr>
      <w:tr w:rsidR="00B14CA7" w:rsidRPr="00B14CA7" w14:paraId="6F701A7F" w14:textId="77777777" w:rsidTr="00B14CA7">
        <w:tc>
          <w:tcPr>
            <w:tcW w:w="567" w:type="dxa"/>
            <w:vMerge/>
          </w:tcPr>
          <w:p w14:paraId="34AA036F" w14:textId="77777777" w:rsidR="00B14CA7" w:rsidRPr="00B14CA7" w:rsidRDefault="00B14CA7" w:rsidP="00020CB7">
            <w:pPr>
              <w:jc w:val="center"/>
              <w:rPr>
                <w:sz w:val="20"/>
              </w:rPr>
            </w:pPr>
          </w:p>
        </w:tc>
        <w:tc>
          <w:tcPr>
            <w:tcW w:w="1560" w:type="dxa"/>
            <w:vMerge/>
          </w:tcPr>
          <w:p w14:paraId="795298B4" w14:textId="77777777" w:rsidR="00B14CA7" w:rsidRPr="00B14CA7" w:rsidRDefault="00B14CA7" w:rsidP="00020CB7">
            <w:pPr>
              <w:rPr>
                <w:sz w:val="20"/>
              </w:rPr>
            </w:pPr>
          </w:p>
        </w:tc>
        <w:tc>
          <w:tcPr>
            <w:tcW w:w="7541" w:type="dxa"/>
          </w:tcPr>
          <w:p w14:paraId="222B375E" w14:textId="77777777" w:rsidR="00B14CA7" w:rsidRPr="00B14CA7" w:rsidRDefault="00B14CA7" w:rsidP="008E2AC8">
            <w:pPr>
              <w:spacing w:after="160" w:line="259" w:lineRule="auto"/>
              <w:jc w:val="both"/>
              <w:rPr>
                <w:sz w:val="20"/>
              </w:rPr>
            </w:pPr>
            <w:r w:rsidRPr="00B14CA7">
              <w:rPr>
                <w:sz w:val="20"/>
              </w:rPr>
              <w:t xml:space="preserve">Pirmas specialus projektų kriterijus reikalauja, kad MVĮ vykdoma veikla atitiktų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 Vertinama, ar MVĮ vykdoma veikla prisideda prie Koncepcijos ir atitinka bent vieno šios Koncepcijos prioriteto įgyvendinimo tematiką. Tačiau pagal PFSA punktą Nr. 2.3.10. kuriame nurodyta, kad jei Pareiškėjas teikia PĮP įgyvendinti projektą Sostinės regione, kartu su PĮP pateiktame PFSA 3 priede nurodo, kuriai iš Koncepcijoje nustatytų MTEPI (sumaniosios specializacijos) prioritetų (toliau – MTEPI prioritetai) priskirtina MVĮ vykdoma veikla, taip pat nurodo, kurią MTEPI prioriteto įgyvendinimo tematiką atitinka projekto vykdoma veikla. Prašome paaiškinti ar MVĮ vykdoma veikla turi prisidėti prie Koncepcijos ir atitikti bent vieno šios Koncepcijos prioriteto įgyvendinimo tematiką, ar ir projekto vykdoma veikla turi atitikti bent vieną Koncepcijos prioriteto įgyvendinimo tematiką. Taip pat rašome pateikti konkretų sąrašą duomenų arba dokumentų, kuriuos turės pateikti pareiškėjas, pagal kuriuos vertinsite atitikimą šiam kriterijui. </w:t>
            </w:r>
          </w:p>
          <w:p w14:paraId="70B93A5B" w14:textId="77777777" w:rsidR="00B14CA7" w:rsidRPr="00B14CA7" w:rsidRDefault="00B14CA7" w:rsidP="009426AD">
            <w:pPr>
              <w:jc w:val="both"/>
              <w:rPr>
                <w:sz w:val="20"/>
              </w:rPr>
            </w:pPr>
          </w:p>
        </w:tc>
        <w:tc>
          <w:tcPr>
            <w:tcW w:w="5103" w:type="dxa"/>
          </w:tcPr>
          <w:p w14:paraId="0D00B6C3" w14:textId="73F04D98" w:rsidR="00B14CA7" w:rsidRPr="00B14CA7" w:rsidRDefault="003C7C78" w:rsidP="00020CB7">
            <w:pPr>
              <w:jc w:val="both"/>
              <w:rPr>
                <w:sz w:val="20"/>
              </w:rPr>
            </w:pPr>
            <w:r w:rsidRPr="00B14CA7">
              <w:rPr>
                <w:sz w:val="20"/>
              </w:rPr>
              <w:t>MVĮ vykdoma veikla tur</w:t>
            </w:r>
            <w:r w:rsidR="00AF4CD9">
              <w:rPr>
                <w:sz w:val="20"/>
              </w:rPr>
              <w:t>i atitikti</w:t>
            </w:r>
            <w:r w:rsidRPr="00B14CA7">
              <w:rPr>
                <w:sz w:val="20"/>
              </w:rPr>
              <w:t xml:space="preserve"> </w:t>
            </w:r>
            <w:hyperlink r:id="rId11" w:history="1">
              <w:r w:rsidR="00AF4CD9" w:rsidRPr="002E7E63">
                <w:rPr>
                  <w:rStyle w:val="Hyperlink"/>
                  <w:sz w:val="20"/>
                </w:rPr>
                <w:t>Mokslinių tyrimų ir eksperimentinės plėtros i</w:t>
              </w:r>
            </w:hyperlink>
            <w:r w:rsidR="00AF4CD9" w:rsidRPr="002E7E63">
              <w:rPr>
                <w:rStyle w:val="Hyperlink"/>
                <w:sz w:val="20"/>
              </w:rPr>
              <w:t>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p>
        </w:tc>
      </w:tr>
      <w:tr w:rsidR="00B14CA7" w:rsidRPr="00B14CA7" w14:paraId="5CB09804" w14:textId="77777777" w:rsidTr="00B14CA7">
        <w:tc>
          <w:tcPr>
            <w:tcW w:w="567" w:type="dxa"/>
            <w:vMerge/>
          </w:tcPr>
          <w:p w14:paraId="5A6AC8A5" w14:textId="77777777" w:rsidR="00B14CA7" w:rsidRPr="00B14CA7" w:rsidRDefault="00B14CA7" w:rsidP="00020CB7">
            <w:pPr>
              <w:jc w:val="center"/>
              <w:rPr>
                <w:sz w:val="20"/>
              </w:rPr>
            </w:pPr>
          </w:p>
        </w:tc>
        <w:tc>
          <w:tcPr>
            <w:tcW w:w="1560" w:type="dxa"/>
            <w:vMerge/>
          </w:tcPr>
          <w:p w14:paraId="4DA059E7" w14:textId="77777777" w:rsidR="00B14CA7" w:rsidRPr="00B14CA7" w:rsidRDefault="00B14CA7" w:rsidP="00020CB7">
            <w:pPr>
              <w:rPr>
                <w:sz w:val="20"/>
              </w:rPr>
            </w:pPr>
          </w:p>
        </w:tc>
        <w:tc>
          <w:tcPr>
            <w:tcW w:w="7541" w:type="dxa"/>
          </w:tcPr>
          <w:p w14:paraId="059D1E25" w14:textId="77777777" w:rsidR="00B14CA7" w:rsidRPr="00B14CA7" w:rsidRDefault="00B14CA7" w:rsidP="008E2AC8">
            <w:pPr>
              <w:spacing w:after="160" w:line="259" w:lineRule="auto"/>
              <w:jc w:val="both"/>
              <w:rPr>
                <w:sz w:val="20"/>
              </w:rPr>
            </w:pPr>
            <w:r w:rsidRPr="00B14CA7">
              <w:rPr>
                <w:sz w:val="20"/>
              </w:rPr>
              <w:t xml:space="preserve">Kaip minėta Naujos Kartos Lietuva plane “efektyviai išnaudojamos skaitmeninių technologijų galimybės turi potencialą tapti Lietuvos ekonomikos varikliu, sparčiai likviduoti pandemijos sukeltus padarinius”, tačiau skiriama maksimali 20 000 EUR suma, nors ir svarbi, yra nepakankama, kad efektyviai išnaudotume visas šiuolaikines galimybes ir pasiektume “ilgalaikį ekonominį variklio poveikį”. Skaitmeninių technologijų naudojimas ekonomikoje yra sudėtingas procesas, reikalaujantis daug didesnių investicijų. Kitos Europos šalys ir pasaulio lyderės investuoja daug didesnes sumas į skaitmenines technologijas. Norint būti konkurencingiems ir išlaikyti žingsnį su globaliais konkurentais, Lietuva taip pat turėtų skirti didesnę finansavimo sumą skaitmeninių technologijų diegimui. Naujos Kartos Lietuvos plane numatyta skaitmeninė transformacija ekonomikos augimui yra svarbi iniciatyva, skirta spręsti iššūkius, susijusius su įrankių ir technologinių sprendimų trūkumu, kuris neigiamai veikia skaitmeninės visuomenės plėtrą ir lygias galimybes. Elektroninės paslaugos ir skaitmeninis turinys yra efektyvūs būdai didinti paslaugų prieinamumą, ypač pažeidžiamoms gyventojų grupėms. Tačiau, norint pasiekti šiuos tikslus, būtina skirti pakankamai finansinių išteklių. Tokia menka dotacijos suma nesugebės adekvačiai išspręsti egzistuojančios problemos, ypač atsižvelgiant į tai, kad įmonės planuojami skaitmeniniai sprendimai yra kompleksiški. Kompleksiškumas yra svarbus aspektas, nes skaitmeninė transformacija apima ne tik elektroninio turinio kūrimą ir paslaugų skaitmeninimą (ypatingai įmonėms nedalyvavusioms e-komercijos kvietime" bet ir tokius svarbius elementus kaip saugumas, duomenų valdymas ir tinklo infrastruktūra. Tinkamai </w:t>
            </w:r>
            <w:r w:rsidRPr="00B14CA7">
              <w:rPr>
                <w:sz w:val="20"/>
              </w:rPr>
              <w:lastRenderedPageBreak/>
              <w:t>įgyvendinti šiuos aspektus reikalauja didesnių finansinių investicijų, kad būtų galima pasiekti teigiamą ir ilgalaikį poveikį ekonomikai. Todėl prašome atsižvelgti į pastabas ir likti prie anksčiau planuotų finansuojamų sumų.</w:t>
            </w:r>
          </w:p>
          <w:p w14:paraId="1BA5C557" w14:textId="77777777" w:rsidR="00B14CA7" w:rsidRPr="00B14CA7" w:rsidRDefault="00B14CA7" w:rsidP="009426AD">
            <w:pPr>
              <w:jc w:val="both"/>
              <w:rPr>
                <w:sz w:val="20"/>
              </w:rPr>
            </w:pPr>
          </w:p>
        </w:tc>
        <w:tc>
          <w:tcPr>
            <w:tcW w:w="5103" w:type="dxa"/>
          </w:tcPr>
          <w:p w14:paraId="41906CF4" w14:textId="4E4755E3" w:rsidR="00B14CA7" w:rsidRPr="00B14CA7" w:rsidRDefault="003C7C78" w:rsidP="00020CB7">
            <w:pPr>
              <w:jc w:val="both"/>
              <w:rPr>
                <w:sz w:val="20"/>
              </w:rPr>
            </w:pPr>
            <w:r w:rsidRPr="00B14CA7">
              <w:rPr>
                <w:sz w:val="20"/>
              </w:rPr>
              <w:lastRenderedPageBreak/>
              <w:t xml:space="preserve">Kvietimų planas bus atnaujintas ir pakeista informacija, matėte pirminius planus, po konsultacijų su administruojančia institucija ir jos ekspertais, remiantis praėjusių finansavimo laikotarpių patirtimi, sumą </w:t>
            </w:r>
            <w:r>
              <w:rPr>
                <w:sz w:val="20"/>
              </w:rPr>
              <w:t xml:space="preserve">buvo </w:t>
            </w:r>
            <w:r w:rsidRPr="00B14CA7">
              <w:rPr>
                <w:sz w:val="20"/>
              </w:rPr>
              <w:t>siūloma sumažinti.</w:t>
            </w:r>
            <w:r>
              <w:rPr>
                <w:sz w:val="20"/>
              </w:rPr>
              <w:t xml:space="preserve"> Tačiau atsižvelgiant į išsakytas pastabas viešo aptarimo metu ir vertinant ir ekspertų nuomonę, didžiausia galima finansuoti suma nustatoma 50 000 eurų</w:t>
            </w:r>
            <w:r w:rsidR="00E0238C">
              <w:rPr>
                <w:sz w:val="20"/>
              </w:rPr>
              <w:t>.</w:t>
            </w:r>
            <w:r>
              <w:rPr>
                <w:sz w:val="20"/>
              </w:rPr>
              <w:t xml:space="preserve"> </w:t>
            </w:r>
          </w:p>
        </w:tc>
      </w:tr>
      <w:tr w:rsidR="00B14CA7" w:rsidRPr="00B14CA7" w14:paraId="616849BD" w14:textId="77777777" w:rsidTr="00B14CA7">
        <w:tc>
          <w:tcPr>
            <w:tcW w:w="567" w:type="dxa"/>
            <w:vMerge/>
          </w:tcPr>
          <w:p w14:paraId="00081CF3" w14:textId="24CFDD7D" w:rsidR="00B14CA7" w:rsidRPr="00B14CA7" w:rsidRDefault="00B14CA7" w:rsidP="00020CB7">
            <w:pPr>
              <w:jc w:val="center"/>
              <w:rPr>
                <w:sz w:val="20"/>
              </w:rPr>
            </w:pPr>
          </w:p>
        </w:tc>
        <w:tc>
          <w:tcPr>
            <w:tcW w:w="1560" w:type="dxa"/>
            <w:vMerge/>
          </w:tcPr>
          <w:p w14:paraId="524B4170" w14:textId="77777777" w:rsidR="00B14CA7" w:rsidRPr="00B14CA7" w:rsidRDefault="00B14CA7" w:rsidP="00020CB7">
            <w:pPr>
              <w:rPr>
                <w:sz w:val="20"/>
              </w:rPr>
            </w:pPr>
          </w:p>
        </w:tc>
        <w:tc>
          <w:tcPr>
            <w:tcW w:w="7541" w:type="dxa"/>
          </w:tcPr>
          <w:p w14:paraId="44CC3A45" w14:textId="5AE38DAC" w:rsidR="00B14CA7" w:rsidRPr="00B14CA7" w:rsidRDefault="00B14CA7" w:rsidP="008E2AC8">
            <w:pPr>
              <w:rPr>
                <w:sz w:val="20"/>
              </w:rPr>
            </w:pPr>
            <w:r w:rsidRPr="00B14CA7">
              <w:rPr>
                <w:sz w:val="20"/>
              </w:rPr>
              <w:t>Negali dalyvauti įmonė, kuri turi e.</w:t>
            </w:r>
            <w:r w:rsidR="003C7C78">
              <w:rPr>
                <w:sz w:val="20"/>
              </w:rPr>
              <w:t xml:space="preserve"> </w:t>
            </w:r>
            <w:r w:rsidRPr="00B14CA7">
              <w:rPr>
                <w:sz w:val="20"/>
              </w:rPr>
              <w:t>komerciją, tačiau balus gauna ta, kuri neturi. Tokiu atveju visi gauna balus... Tai yra akivaizdžios klaidos.</w:t>
            </w:r>
          </w:p>
          <w:p w14:paraId="2C1A4824" w14:textId="77777777" w:rsidR="00B14CA7" w:rsidRPr="00B14CA7" w:rsidRDefault="00B14CA7" w:rsidP="009426AD">
            <w:pPr>
              <w:jc w:val="both"/>
              <w:rPr>
                <w:sz w:val="20"/>
              </w:rPr>
            </w:pPr>
          </w:p>
        </w:tc>
        <w:tc>
          <w:tcPr>
            <w:tcW w:w="5103" w:type="dxa"/>
          </w:tcPr>
          <w:p w14:paraId="074E498D" w14:textId="1CCC3098" w:rsidR="00B14CA7" w:rsidRPr="00B14CA7" w:rsidRDefault="003C7C78" w:rsidP="00020CB7">
            <w:pPr>
              <w:jc w:val="both"/>
              <w:rPr>
                <w:sz w:val="20"/>
              </w:rPr>
            </w:pPr>
            <w:r>
              <w:rPr>
                <w:sz w:val="20"/>
              </w:rPr>
              <w:t>Nėra nustatyto reikalavimo, kad įmonės, turinčios e. komercijos sprendimus, negali dalyvauti kvietime, yra nustatytas prioritetinis kriterijus, t. y. bus suteikiami papildomi balai tokioms įmonėms, kurios nėra įgyvendinusios panašių sprendimų. Atkreiptinas dėmesys, kad šiuo kriterijumi siekiama didinti aukštą skaitmeninio intensyvumo lygį turinčių įmonių skaičių.</w:t>
            </w:r>
          </w:p>
        </w:tc>
      </w:tr>
      <w:tr w:rsidR="00CE28F2" w:rsidRPr="00B14CA7" w14:paraId="439996CD" w14:textId="77777777" w:rsidTr="00B14CA7">
        <w:tc>
          <w:tcPr>
            <w:tcW w:w="567" w:type="dxa"/>
            <w:vMerge w:val="restart"/>
          </w:tcPr>
          <w:p w14:paraId="0E79EDE8" w14:textId="77777777" w:rsidR="00CE28F2" w:rsidRPr="00B14CA7" w:rsidRDefault="00CE28F2" w:rsidP="00020CB7">
            <w:pPr>
              <w:jc w:val="center"/>
              <w:rPr>
                <w:sz w:val="20"/>
              </w:rPr>
            </w:pPr>
          </w:p>
        </w:tc>
        <w:tc>
          <w:tcPr>
            <w:tcW w:w="1560" w:type="dxa"/>
            <w:vMerge w:val="restart"/>
          </w:tcPr>
          <w:p w14:paraId="76A89F5D" w14:textId="019DF646" w:rsidR="00CE28F2" w:rsidRPr="00B14CA7" w:rsidRDefault="00CE28F2" w:rsidP="00020CB7">
            <w:pPr>
              <w:rPr>
                <w:sz w:val="20"/>
              </w:rPr>
            </w:pPr>
            <w:r w:rsidRPr="00B14CA7">
              <w:rPr>
                <w:sz w:val="20"/>
              </w:rPr>
              <w:t>Lietuvos verslo konfederacija ICC Lietuva</w:t>
            </w:r>
          </w:p>
        </w:tc>
        <w:tc>
          <w:tcPr>
            <w:tcW w:w="7541" w:type="dxa"/>
          </w:tcPr>
          <w:p w14:paraId="5398EA77" w14:textId="77777777" w:rsidR="00CE28F2" w:rsidRPr="008E2AC8" w:rsidRDefault="00CE28F2" w:rsidP="008E2AC8">
            <w:pPr>
              <w:autoSpaceDE w:val="0"/>
              <w:autoSpaceDN w:val="0"/>
              <w:adjustRightInd w:val="0"/>
              <w:rPr>
                <w:sz w:val="20"/>
              </w:rPr>
            </w:pPr>
          </w:p>
          <w:p w14:paraId="2C67BC16" w14:textId="77777777" w:rsidR="00CE28F2" w:rsidRPr="008E2AC8" w:rsidRDefault="00CE28F2" w:rsidP="008E2AC8">
            <w:pPr>
              <w:autoSpaceDE w:val="0"/>
              <w:autoSpaceDN w:val="0"/>
              <w:adjustRightInd w:val="0"/>
              <w:rPr>
                <w:sz w:val="20"/>
              </w:rPr>
            </w:pPr>
            <w:r w:rsidRPr="008E2AC8">
              <w:rPr>
                <w:sz w:val="20"/>
              </w:rPr>
              <w:t xml:space="preserve">Patikslinti PFSA projektą, nustatant 70 tūkst. Eur didžiausią galimą skirti finansavimo lėšų sumą projektui įgyvendinti, kaip tokia buvo (yra) nurodyta Plane; </w:t>
            </w:r>
          </w:p>
          <w:p w14:paraId="3DF6BAEE" w14:textId="77777777" w:rsidR="00CE28F2" w:rsidRPr="00B14CA7" w:rsidRDefault="00CE28F2" w:rsidP="009426AD">
            <w:pPr>
              <w:jc w:val="both"/>
              <w:rPr>
                <w:sz w:val="20"/>
              </w:rPr>
            </w:pPr>
          </w:p>
        </w:tc>
        <w:tc>
          <w:tcPr>
            <w:tcW w:w="5103" w:type="dxa"/>
          </w:tcPr>
          <w:p w14:paraId="3D6E17F3" w14:textId="673E5DA9" w:rsidR="00CE28F2" w:rsidRPr="00B14CA7" w:rsidRDefault="003C7C78" w:rsidP="00020CB7">
            <w:pPr>
              <w:jc w:val="both"/>
              <w:rPr>
                <w:sz w:val="20"/>
              </w:rPr>
            </w:pPr>
            <w:r w:rsidRPr="00B14CA7">
              <w:rPr>
                <w:sz w:val="20"/>
              </w:rPr>
              <w:t xml:space="preserve">Kvietimų planas bus atnaujintas ir pakeista informacija, matėte pirminius planus, po konsultacijų su administruojančia institucija ir jos ekspertais, remiantis praėjusių finansavimo laikotarpių patirtimi, sumą </w:t>
            </w:r>
            <w:r>
              <w:rPr>
                <w:sz w:val="20"/>
              </w:rPr>
              <w:t xml:space="preserve">buvo </w:t>
            </w:r>
            <w:r w:rsidRPr="00B14CA7">
              <w:rPr>
                <w:sz w:val="20"/>
              </w:rPr>
              <w:t>siūloma sumažinti.</w:t>
            </w:r>
            <w:r>
              <w:rPr>
                <w:sz w:val="20"/>
              </w:rPr>
              <w:t xml:space="preserve"> Tačiau atsižvelgiant į išsakytas pastabas viešo aptarimo metu ir vertinant ir ekspertų nuomonę, didžiausia galima finansuoti suma nustatoma 50 000 eurų</w:t>
            </w:r>
            <w:r w:rsidR="00E0238C">
              <w:rPr>
                <w:sz w:val="20"/>
              </w:rPr>
              <w:t>.</w:t>
            </w:r>
          </w:p>
        </w:tc>
      </w:tr>
      <w:tr w:rsidR="00CE28F2" w:rsidRPr="00B14CA7" w14:paraId="3AB06A6B" w14:textId="77777777" w:rsidTr="00B14CA7">
        <w:tc>
          <w:tcPr>
            <w:tcW w:w="567" w:type="dxa"/>
            <w:vMerge/>
          </w:tcPr>
          <w:p w14:paraId="11FE8A6D" w14:textId="77777777" w:rsidR="00CE28F2" w:rsidRPr="00B14CA7" w:rsidRDefault="00CE28F2" w:rsidP="00020CB7">
            <w:pPr>
              <w:jc w:val="center"/>
              <w:rPr>
                <w:sz w:val="20"/>
              </w:rPr>
            </w:pPr>
          </w:p>
        </w:tc>
        <w:tc>
          <w:tcPr>
            <w:tcW w:w="1560" w:type="dxa"/>
            <w:vMerge/>
          </w:tcPr>
          <w:p w14:paraId="6D112500" w14:textId="77777777" w:rsidR="00CE28F2" w:rsidRPr="00B14CA7" w:rsidRDefault="00CE28F2" w:rsidP="00020CB7">
            <w:pPr>
              <w:rPr>
                <w:sz w:val="20"/>
              </w:rPr>
            </w:pPr>
          </w:p>
        </w:tc>
        <w:tc>
          <w:tcPr>
            <w:tcW w:w="7541" w:type="dxa"/>
          </w:tcPr>
          <w:p w14:paraId="5D42D244" w14:textId="77777777" w:rsidR="00CE28F2" w:rsidRPr="008E2AC8" w:rsidRDefault="00CE28F2" w:rsidP="008E2AC8">
            <w:pPr>
              <w:autoSpaceDE w:val="0"/>
              <w:autoSpaceDN w:val="0"/>
              <w:adjustRightInd w:val="0"/>
              <w:rPr>
                <w:sz w:val="20"/>
              </w:rPr>
            </w:pPr>
            <w:r w:rsidRPr="008E2AC8">
              <w:rPr>
                <w:sz w:val="20"/>
              </w:rPr>
              <w:t>Apsvarstyti galimybę didinti finansavimo intensyvumą, atsižvelgiant į anksčiau teiktos finansinės paramos paklausumą pagal priemonę „</w:t>
            </w:r>
            <w:proofErr w:type="spellStart"/>
            <w:r w:rsidRPr="008E2AC8">
              <w:rPr>
                <w:sz w:val="20"/>
              </w:rPr>
              <w:t>E.komercijos</w:t>
            </w:r>
            <w:proofErr w:type="spellEnd"/>
            <w:r w:rsidRPr="008E2AC8">
              <w:rPr>
                <w:sz w:val="20"/>
              </w:rPr>
              <w:t xml:space="preserve"> modelis COVID-19“, mažėjančią įmonių prieigą prie kapitalo dėl Euro zonoje griežtinamos pinigų politikos ir reikšmingai išaugusio kainų lygio. </w:t>
            </w:r>
          </w:p>
          <w:p w14:paraId="45C5740D" w14:textId="77777777" w:rsidR="00CE28F2" w:rsidRPr="00B14CA7" w:rsidRDefault="00CE28F2" w:rsidP="009426AD">
            <w:pPr>
              <w:jc w:val="both"/>
              <w:rPr>
                <w:sz w:val="20"/>
              </w:rPr>
            </w:pPr>
          </w:p>
        </w:tc>
        <w:tc>
          <w:tcPr>
            <w:tcW w:w="5103" w:type="dxa"/>
          </w:tcPr>
          <w:p w14:paraId="4301E4B9" w14:textId="101E7D7B" w:rsidR="00CE28F2" w:rsidRPr="00B14CA7" w:rsidRDefault="003C7C78" w:rsidP="00020CB7">
            <w:pPr>
              <w:jc w:val="both"/>
              <w:rPr>
                <w:sz w:val="20"/>
              </w:rPr>
            </w:pPr>
            <w:r w:rsidRPr="003618F1">
              <w:rPr>
                <w:sz w:val="20"/>
              </w:rPr>
              <w:t xml:space="preserve">Sprendimas dėl finansavimo intensyvumo priimtas vadovaujantis </w:t>
            </w:r>
            <w:r w:rsidRPr="00062328">
              <w:rPr>
                <w:sz w:val="20"/>
              </w:rPr>
              <w:t>2021 m. birželio 24 d. Europos Parlamento ir Tarybos reglament</w:t>
            </w:r>
            <w:r>
              <w:rPr>
                <w:sz w:val="20"/>
              </w:rPr>
              <w:t>o</w:t>
            </w:r>
            <w:r w:rsidRPr="00062328">
              <w:rPr>
                <w:sz w:val="20"/>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r>
              <w:rPr>
                <w:sz w:val="20"/>
              </w:rPr>
              <w:t xml:space="preserve">, 112 straipsniu, kuriame numatyta, kad Sostinės regione finansavimo intensyvumas negali viršyti 50 proc. </w:t>
            </w:r>
            <w:r w:rsidR="00807C29">
              <w:rPr>
                <w:sz w:val="20"/>
              </w:rPr>
              <w:t xml:space="preserve"> Taip pat </w:t>
            </w:r>
            <w:r w:rsidR="00807C29" w:rsidRPr="00630672">
              <w:rPr>
                <w:sz w:val="20"/>
              </w:rPr>
              <w:t>2021–2027 metų Europos Sąjungos fondų investicijų program</w:t>
            </w:r>
            <w:r w:rsidR="00807C29">
              <w:rPr>
                <w:sz w:val="20"/>
              </w:rPr>
              <w:t>oje yra nustatytas privačių lėšų indėlis, kuris negali būti mažesnis 50 proc. ir Vidurio ir vakarų Lietuvos regione.</w:t>
            </w:r>
          </w:p>
        </w:tc>
      </w:tr>
      <w:tr w:rsidR="00CE28F2" w:rsidRPr="00B14CA7" w14:paraId="15B519D5" w14:textId="77777777" w:rsidTr="00B14CA7">
        <w:tc>
          <w:tcPr>
            <w:tcW w:w="567" w:type="dxa"/>
            <w:vMerge w:val="restart"/>
          </w:tcPr>
          <w:p w14:paraId="6DBC1F66" w14:textId="77777777" w:rsidR="00CE28F2" w:rsidRPr="00B14CA7" w:rsidRDefault="00CE28F2" w:rsidP="00020CB7">
            <w:pPr>
              <w:jc w:val="center"/>
              <w:rPr>
                <w:sz w:val="20"/>
              </w:rPr>
            </w:pPr>
          </w:p>
        </w:tc>
        <w:tc>
          <w:tcPr>
            <w:tcW w:w="1560" w:type="dxa"/>
            <w:vMerge w:val="restart"/>
          </w:tcPr>
          <w:p w14:paraId="2FA5AE6A" w14:textId="77777777" w:rsidR="00CE28F2" w:rsidRPr="00B14CA7" w:rsidRDefault="00CE28F2" w:rsidP="00CE28F2">
            <w:pPr>
              <w:spacing w:line="254" w:lineRule="auto"/>
              <w:rPr>
                <w:sz w:val="20"/>
              </w:rPr>
            </w:pPr>
            <w:r w:rsidRPr="00B14CA7">
              <w:rPr>
                <w:sz w:val="20"/>
              </w:rPr>
              <w:t>UAB "Sėkmės sprendimai"</w:t>
            </w:r>
          </w:p>
          <w:p w14:paraId="650D74F4" w14:textId="77777777" w:rsidR="00CE28F2" w:rsidRPr="00B14CA7" w:rsidRDefault="00CE28F2" w:rsidP="00020CB7">
            <w:pPr>
              <w:rPr>
                <w:sz w:val="20"/>
              </w:rPr>
            </w:pPr>
          </w:p>
        </w:tc>
        <w:tc>
          <w:tcPr>
            <w:tcW w:w="7541" w:type="dxa"/>
          </w:tcPr>
          <w:p w14:paraId="50F9F555"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2.2.5.4. yra nurodyta, kad netinka Pareiškėjai, kurie yra gavę finansavimą pagal priemonę “E-komercijos modelis covid-19”. Siūlome:</w:t>
            </w:r>
          </w:p>
          <w:p w14:paraId="204591BA"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 xml:space="preserve">a.       Leisti minėtiems Pareiškėjams dalyvauti šiame kvietime, tačiau su apribojimais, kad finansavimo tai pačiai paslaugai ar produktui, kuriam buvo gautas finansavimas pagal minėtą priemonę, nebūtų teikiamas. Tai leistų įmonėms, kurios veikia keliose srityse, efektyviau teikti paslaugas. Pvz. Jei įmonė gamina kosmetikos gaminius ir padarė el. Parduotuvę šiems gaminiams pardavinėti pagal “E-komercijos modelis covid19” priemonę, </w:t>
            </w:r>
            <w:r w:rsidRPr="00B14CA7">
              <w:rPr>
                <w:rFonts w:ascii="Times New Roman" w:eastAsia="Times New Roman" w:hAnsi="Times New Roman" w:cs="Times New Roman"/>
                <w:sz w:val="20"/>
                <w:szCs w:val="20"/>
              </w:rPr>
              <w:lastRenderedPageBreak/>
              <w:t>leisti jai dalyvauti priemonėje “MVĮ skaitmeninimas” tačiau su kitomis paslaugomis, pvz. Makiažo paslaugos, makiažo pamokų pardavimo paslaugos.</w:t>
            </w:r>
          </w:p>
          <w:p w14:paraId="504C99DE" w14:textId="77777777" w:rsidR="00CE28F2" w:rsidRPr="00B14CA7" w:rsidRDefault="00CE28F2" w:rsidP="009426AD">
            <w:pPr>
              <w:jc w:val="both"/>
              <w:rPr>
                <w:sz w:val="20"/>
              </w:rPr>
            </w:pPr>
          </w:p>
        </w:tc>
        <w:tc>
          <w:tcPr>
            <w:tcW w:w="5103" w:type="dxa"/>
          </w:tcPr>
          <w:p w14:paraId="25B7C2B3" w14:textId="18B1F8D9" w:rsidR="00CE28F2" w:rsidRPr="003C7C78" w:rsidRDefault="00870F24" w:rsidP="00020CB7">
            <w:pPr>
              <w:jc w:val="both"/>
              <w:rPr>
                <w:b/>
                <w:bCs/>
                <w:sz w:val="20"/>
              </w:rPr>
            </w:pPr>
            <w:r>
              <w:rPr>
                <w:sz w:val="20"/>
              </w:rPr>
              <w:lastRenderedPageBreak/>
              <w:t>Neatsižvelgta dėl dvigubo finansavimo rizikų.</w:t>
            </w:r>
          </w:p>
        </w:tc>
      </w:tr>
      <w:tr w:rsidR="00CE28F2" w:rsidRPr="00B14CA7" w14:paraId="5F4EB008" w14:textId="77777777" w:rsidTr="00B14CA7">
        <w:tc>
          <w:tcPr>
            <w:tcW w:w="567" w:type="dxa"/>
            <w:vMerge/>
          </w:tcPr>
          <w:p w14:paraId="7691E9D7" w14:textId="77777777" w:rsidR="00CE28F2" w:rsidRPr="00B14CA7" w:rsidRDefault="00CE28F2" w:rsidP="00020CB7">
            <w:pPr>
              <w:jc w:val="center"/>
              <w:rPr>
                <w:sz w:val="20"/>
              </w:rPr>
            </w:pPr>
          </w:p>
        </w:tc>
        <w:tc>
          <w:tcPr>
            <w:tcW w:w="1560" w:type="dxa"/>
            <w:vMerge/>
          </w:tcPr>
          <w:p w14:paraId="56C4DD4F" w14:textId="77777777" w:rsidR="00CE28F2" w:rsidRPr="00B14CA7" w:rsidRDefault="00CE28F2" w:rsidP="00020CB7">
            <w:pPr>
              <w:rPr>
                <w:sz w:val="20"/>
              </w:rPr>
            </w:pPr>
          </w:p>
        </w:tc>
        <w:tc>
          <w:tcPr>
            <w:tcW w:w="7541" w:type="dxa"/>
          </w:tcPr>
          <w:p w14:paraId="002ACA26"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Prašome finansuoti ir klientų savitarnos sprendimus (pavyzdžiui kaip jie buvo apibrėžti “E-komercijos modelis covid19” priemonėje). Tai leistų gerokai išplėsti naudą gaunančių įmonių skaičių, ypač paslaugų sektoriuje, kadangi dalis paslaugų (bei jų pardavimas) yra tęstinio pobūdžio.</w:t>
            </w:r>
          </w:p>
          <w:p w14:paraId="596AF172" w14:textId="77777777" w:rsidR="00CE28F2" w:rsidRPr="00B14CA7" w:rsidRDefault="00CE28F2" w:rsidP="009426AD">
            <w:pPr>
              <w:jc w:val="both"/>
              <w:rPr>
                <w:sz w:val="20"/>
              </w:rPr>
            </w:pPr>
          </w:p>
        </w:tc>
        <w:tc>
          <w:tcPr>
            <w:tcW w:w="5103" w:type="dxa"/>
          </w:tcPr>
          <w:p w14:paraId="35ADF144" w14:textId="593D0829" w:rsidR="00807C29" w:rsidRPr="00807C29" w:rsidRDefault="00807C29" w:rsidP="00807C29">
            <w:pPr>
              <w:pStyle w:val="pf0"/>
              <w:jc w:val="both"/>
              <w:rPr>
                <w:sz w:val="20"/>
                <w:szCs w:val="20"/>
              </w:rPr>
            </w:pPr>
            <w:r>
              <w:rPr>
                <w:sz w:val="20"/>
                <w:szCs w:val="20"/>
              </w:rPr>
              <w:t>„</w:t>
            </w:r>
            <w:r w:rsidRPr="00807C29">
              <w:rPr>
                <w:sz w:val="20"/>
                <w:szCs w:val="20"/>
              </w:rPr>
              <w:t>E. komercijos modelis</w:t>
            </w:r>
            <w:r>
              <w:rPr>
                <w:sz w:val="20"/>
                <w:szCs w:val="20"/>
              </w:rPr>
              <w:t>“</w:t>
            </w:r>
            <w:r w:rsidRPr="00807C29">
              <w:rPr>
                <w:sz w:val="20"/>
                <w:szCs w:val="20"/>
              </w:rPr>
              <w:t xml:space="preserve"> PFSA: </w:t>
            </w:r>
            <w:r w:rsidRPr="00807C29">
              <w:rPr>
                <w:b/>
                <w:bCs/>
                <w:sz w:val="20"/>
                <w:szCs w:val="20"/>
              </w:rPr>
              <w:t>Klientų savitarnos sprendimai</w:t>
            </w:r>
            <w:r w:rsidRPr="00807C29">
              <w:rPr>
                <w:sz w:val="20"/>
                <w:szCs w:val="20"/>
              </w:rPr>
              <w:t xml:space="preserve"> – informacinėmis technologijomis paremti sprendimai, skirti klientams savarankiškai užsisakyti pačios įmonės pagamintą produkciją ir už ją sumokėti, pardavimo informacijai valdyti, pačios įmonės pagamintos produkcijos pristatymui ir (arba) tiekimui (teikimui) sekti, susijusiems dokumentams rengti ir saugoti, problemų sprendimo savitarnai ir kitoms savitarnos operacijoms atlikti. Tinkama finansuoti tik ta gamybos ir paslaugų užsakymų valdymo sprendimų dalis, kuri susijusi su klientų savitarnos sprendimais. </w:t>
            </w:r>
          </w:p>
          <w:p w14:paraId="6D0D8EFB" w14:textId="77777777" w:rsidR="00807C29" w:rsidRPr="00807C29" w:rsidRDefault="00807C29" w:rsidP="00807C29">
            <w:pPr>
              <w:pStyle w:val="pf0"/>
              <w:jc w:val="both"/>
              <w:rPr>
                <w:sz w:val="20"/>
                <w:szCs w:val="20"/>
              </w:rPr>
            </w:pPr>
            <w:r w:rsidRPr="00807C29">
              <w:rPr>
                <w:sz w:val="20"/>
                <w:szCs w:val="20"/>
              </w:rPr>
              <w:t xml:space="preserve">MVĮ skaitmeninimas PFSA: </w:t>
            </w:r>
            <w:r w:rsidRPr="00807C29">
              <w:rPr>
                <w:b/>
                <w:bCs/>
                <w:sz w:val="20"/>
                <w:szCs w:val="20"/>
              </w:rPr>
              <w:t>E. pardavimo sandorio sudarymo sprendimas</w:t>
            </w:r>
            <w:r w:rsidRPr="00807C29">
              <w:rPr>
                <w:sz w:val="20"/>
                <w:szCs w:val="20"/>
              </w:rPr>
              <w:t xml:space="preserve"> - informacinėmis technologijomis paremti sprendimai, leidžiantys vykdyti savo pačių pagamintos produkcijos (gaminių ir (ar) paslaugų) pirkimo ir pardavimo procesą internetu, įskaitant ir gaminių ir (ar) paslaugų paieškos, krepšelio (užsakymo) suformavimo, mokėjimo atlikimo bei užsakymo įvykdymo ir valdymo funkcijas (pavyzdžiui el. parduotuvė, „verslas verslui“ (B2B) sprendimas, įskaitant ir integraciją su išteklių valdymo sistemomis tiek, kiek tai būtina e. pardavimo sandorio sudarymo sprendimui). </w:t>
            </w:r>
          </w:p>
          <w:p w14:paraId="76BD82C5" w14:textId="61A28EF0" w:rsidR="00CE28F2" w:rsidRPr="00E0238C" w:rsidRDefault="00807C29" w:rsidP="001E7DBF">
            <w:pPr>
              <w:pStyle w:val="pf0"/>
              <w:jc w:val="both"/>
            </w:pPr>
            <w:r w:rsidRPr="00807C29">
              <w:rPr>
                <w:sz w:val="20"/>
                <w:szCs w:val="20"/>
              </w:rPr>
              <w:t>Praktiškai visos funkcijos yra tos pačios</w:t>
            </w:r>
            <w:r>
              <w:rPr>
                <w:sz w:val="20"/>
                <w:szCs w:val="20"/>
              </w:rPr>
              <w:t>,</w:t>
            </w:r>
            <w:r w:rsidRPr="00807C29">
              <w:rPr>
                <w:sz w:val="20"/>
                <w:szCs w:val="20"/>
              </w:rPr>
              <w:t xml:space="preserve"> tik sąvokos patikslintos, kad būtų aiškiau, kas finansuojama</w:t>
            </w:r>
            <w:r>
              <w:rPr>
                <w:sz w:val="20"/>
                <w:szCs w:val="20"/>
              </w:rPr>
              <w:t>, todėl minimi sprendimai veiklos apimtyje yra tinkami finansuoti.</w:t>
            </w:r>
          </w:p>
        </w:tc>
      </w:tr>
      <w:tr w:rsidR="00CE28F2" w:rsidRPr="00B14CA7" w14:paraId="179BFBF9" w14:textId="77777777" w:rsidTr="00B14CA7">
        <w:trPr>
          <w:trHeight w:val="70"/>
        </w:trPr>
        <w:tc>
          <w:tcPr>
            <w:tcW w:w="567" w:type="dxa"/>
            <w:vMerge/>
          </w:tcPr>
          <w:p w14:paraId="5E9B64E0" w14:textId="0708CFE7" w:rsidR="00CE28F2" w:rsidRPr="00B14CA7" w:rsidRDefault="00CE28F2" w:rsidP="00020CB7">
            <w:pPr>
              <w:jc w:val="center"/>
              <w:rPr>
                <w:sz w:val="20"/>
              </w:rPr>
            </w:pPr>
          </w:p>
        </w:tc>
        <w:tc>
          <w:tcPr>
            <w:tcW w:w="1560" w:type="dxa"/>
            <w:vMerge/>
          </w:tcPr>
          <w:p w14:paraId="0A79BDCB" w14:textId="074981D2" w:rsidR="00CE28F2" w:rsidRPr="00B14CA7" w:rsidRDefault="00CE28F2" w:rsidP="00020CB7">
            <w:pPr>
              <w:rPr>
                <w:sz w:val="20"/>
              </w:rPr>
            </w:pPr>
          </w:p>
        </w:tc>
        <w:tc>
          <w:tcPr>
            <w:tcW w:w="7541" w:type="dxa"/>
          </w:tcPr>
          <w:p w14:paraId="077E8179"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 xml:space="preserve">2.3.5. punkte ir </w:t>
            </w:r>
            <w:proofErr w:type="spellStart"/>
            <w:r w:rsidRPr="00B14CA7">
              <w:rPr>
                <w:rFonts w:ascii="Times New Roman" w:eastAsia="Times New Roman" w:hAnsi="Times New Roman" w:cs="Times New Roman"/>
                <w:sz w:val="20"/>
                <w:szCs w:val="20"/>
              </w:rPr>
              <w:t>papunktčiuose</w:t>
            </w:r>
            <w:proofErr w:type="spellEnd"/>
            <w:r w:rsidRPr="00B14CA7">
              <w:rPr>
                <w:rFonts w:ascii="Times New Roman" w:eastAsia="Times New Roman" w:hAnsi="Times New Roman" w:cs="Times New Roman"/>
                <w:sz w:val="20"/>
                <w:szCs w:val="20"/>
              </w:rPr>
              <w:t xml:space="preserve"> nurodyta, kad didžiausia galima projektui skirti finansavimo lėšų suma yra 20 000 Eur. Prašome grąžinti projektų atrankos kriterijų projekte buvusią 70 000 Eur sumą bei neišskirti paramos sumos į 2 kategorijas (diegimas bei vaizdinė konfigūraciją), kadangi</w:t>
            </w:r>
          </w:p>
          <w:p w14:paraId="1B39C013"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 xml:space="preserve">a.       sudėtingesni e. pardavimo sandorių sprendimai kainuoja pakankamai brangiai. </w:t>
            </w:r>
          </w:p>
          <w:p w14:paraId="118A4676"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 xml:space="preserve">b.       kai diegiama el. parduotuvė vaizdinė konfigūracija ne visada reikalinga (pvz. prekės neturi vizualinių variantų). </w:t>
            </w:r>
          </w:p>
          <w:p w14:paraId="00BDE122"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c.       IT paslaugų kainos nuolat didėja</w:t>
            </w:r>
          </w:p>
          <w:p w14:paraId="7B72D51B" w14:textId="6C9250D6" w:rsidR="00CE28F2" w:rsidRPr="00B14CA7" w:rsidRDefault="00CE28F2" w:rsidP="009426AD">
            <w:pPr>
              <w:jc w:val="both"/>
              <w:rPr>
                <w:sz w:val="20"/>
              </w:rPr>
            </w:pPr>
          </w:p>
        </w:tc>
        <w:tc>
          <w:tcPr>
            <w:tcW w:w="5103" w:type="dxa"/>
          </w:tcPr>
          <w:p w14:paraId="0E18A339" w14:textId="52B1CB9A" w:rsidR="00CE28F2" w:rsidRDefault="003A67CC" w:rsidP="00F636EC">
            <w:pPr>
              <w:jc w:val="both"/>
              <w:rPr>
                <w:sz w:val="20"/>
              </w:rPr>
            </w:pPr>
            <w:r w:rsidRPr="00B14CA7">
              <w:rPr>
                <w:sz w:val="20"/>
              </w:rPr>
              <w:t xml:space="preserve">Kvietimų planas bus atnaujintas ir pakeista informacija, matėte pirminius planus, po konsultacijų su administruojančia institucija ir jos ekspertais, remiantis praėjusių finansavimo laikotarpių patirtimi, sumą </w:t>
            </w:r>
            <w:r>
              <w:rPr>
                <w:sz w:val="20"/>
              </w:rPr>
              <w:t xml:space="preserve">buvo </w:t>
            </w:r>
            <w:r w:rsidRPr="00B14CA7">
              <w:rPr>
                <w:sz w:val="20"/>
              </w:rPr>
              <w:t>siūloma sumažinti.</w:t>
            </w:r>
            <w:r>
              <w:rPr>
                <w:sz w:val="20"/>
              </w:rPr>
              <w:t xml:space="preserve"> Tačiau atsižvelgiant į išsakytas pastabas viešo aptarimo metu ir vertinant ir ekspertų nuomonę, didžiausia galima finansuoti suma nustatoma 50 000 eurų</w:t>
            </w:r>
            <w:r w:rsidR="00E0238C">
              <w:rPr>
                <w:sz w:val="20"/>
              </w:rPr>
              <w:t>.</w:t>
            </w:r>
          </w:p>
          <w:p w14:paraId="7A0722B7" w14:textId="77777777" w:rsidR="001E7DBF" w:rsidRDefault="001E7DBF" w:rsidP="001E7DBF">
            <w:pPr>
              <w:rPr>
                <w:sz w:val="20"/>
              </w:rPr>
            </w:pPr>
          </w:p>
          <w:p w14:paraId="7F666E22" w14:textId="6AE01D18" w:rsidR="001E7DBF" w:rsidRPr="001E7DBF" w:rsidRDefault="001E7DBF" w:rsidP="001E7DBF">
            <w:pPr>
              <w:jc w:val="center"/>
              <w:rPr>
                <w:sz w:val="20"/>
              </w:rPr>
            </w:pPr>
          </w:p>
        </w:tc>
      </w:tr>
      <w:tr w:rsidR="00CE28F2" w:rsidRPr="00B14CA7" w14:paraId="5A5DA386" w14:textId="77777777" w:rsidTr="00B14CA7">
        <w:trPr>
          <w:trHeight w:val="70"/>
        </w:trPr>
        <w:tc>
          <w:tcPr>
            <w:tcW w:w="567" w:type="dxa"/>
            <w:vMerge/>
          </w:tcPr>
          <w:p w14:paraId="73AE8164" w14:textId="77777777" w:rsidR="00CE28F2" w:rsidRPr="00B14CA7" w:rsidRDefault="00CE28F2" w:rsidP="00020CB7">
            <w:pPr>
              <w:jc w:val="center"/>
              <w:rPr>
                <w:sz w:val="20"/>
              </w:rPr>
            </w:pPr>
          </w:p>
        </w:tc>
        <w:tc>
          <w:tcPr>
            <w:tcW w:w="1560" w:type="dxa"/>
            <w:vMerge/>
          </w:tcPr>
          <w:p w14:paraId="08A6D8EF" w14:textId="77777777" w:rsidR="00CE28F2" w:rsidRPr="00B14CA7" w:rsidRDefault="00CE28F2" w:rsidP="00020CB7">
            <w:pPr>
              <w:rPr>
                <w:sz w:val="20"/>
              </w:rPr>
            </w:pPr>
          </w:p>
        </w:tc>
        <w:tc>
          <w:tcPr>
            <w:tcW w:w="7541" w:type="dxa"/>
          </w:tcPr>
          <w:p w14:paraId="7DCD4CC1"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Esant galimybei prašome padidinti finansavimo intensyvumą bent iki 75 proc. bent jau Vidurio ir vakarų Lietuvos regionui.</w:t>
            </w:r>
          </w:p>
          <w:p w14:paraId="03DD0931" w14:textId="77777777" w:rsidR="00CE28F2" w:rsidRPr="00B14CA7" w:rsidRDefault="00CE28F2" w:rsidP="00CE28F2">
            <w:pPr>
              <w:pStyle w:val="gmail-msolistparagraph"/>
              <w:spacing w:before="0" w:beforeAutospacing="0" w:after="0" w:afterAutospacing="0" w:line="254" w:lineRule="auto"/>
              <w:ind w:left="426"/>
              <w:rPr>
                <w:rFonts w:ascii="Times New Roman" w:eastAsia="Times New Roman" w:hAnsi="Times New Roman" w:cs="Times New Roman"/>
                <w:sz w:val="20"/>
                <w:szCs w:val="20"/>
              </w:rPr>
            </w:pPr>
          </w:p>
        </w:tc>
        <w:tc>
          <w:tcPr>
            <w:tcW w:w="5103" w:type="dxa"/>
          </w:tcPr>
          <w:p w14:paraId="51B65166" w14:textId="47C32B8E" w:rsidR="00CE28F2" w:rsidRPr="00B14CA7" w:rsidRDefault="003A67CC" w:rsidP="00F636EC">
            <w:pPr>
              <w:jc w:val="both"/>
              <w:rPr>
                <w:sz w:val="20"/>
              </w:rPr>
            </w:pPr>
            <w:r w:rsidRPr="003618F1">
              <w:rPr>
                <w:sz w:val="20"/>
              </w:rPr>
              <w:t xml:space="preserve">Sprendimas dėl finansavimo intensyvumo priimtas vadovaujantis </w:t>
            </w:r>
            <w:r w:rsidRPr="00062328">
              <w:rPr>
                <w:sz w:val="20"/>
              </w:rPr>
              <w:t>2021 m. birželio 24 d. Europos Parlamento ir Tarybos reglament</w:t>
            </w:r>
            <w:r>
              <w:rPr>
                <w:sz w:val="20"/>
              </w:rPr>
              <w:t>o</w:t>
            </w:r>
            <w:r w:rsidRPr="00062328">
              <w:rPr>
                <w:sz w:val="20"/>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r>
              <w:rPr>
                <w:sz w:val="20"/>
              </w:rPr>
              <w:t xml:space="preserve">, 112 straipsniu, kuriame numatyta, kad Sostinės regione finansavimo intensyvumas negali viršyti 50 proc. </w:t>
            </w:r>
            <w:r w:rsidR="00807C29">
              <w:rPr>
                <w:sz w:val="20"/>
              </w:rPr>
              <w:t xml:space="preserve">Taip pat </w:t>
            </w:r>
            <w:r w:rsidR="00807C29" w:rsidRPr="00630672">
              <w:rPr>
                <w:sz w:val="20"/>
              </w:rPr>
              <w:t>2021–2027 metų Europos Sąjungos fondų investicijų program</w:t>
            </w:r>
            <w:r w:rsidR="00807C29">
              <w:rPr>
                <w:sz w:val="20"/>
              </w:rPr>
              <w:t>oje yra nustatytas privačių lėšų indėlis, kuris negali būti mažesnis 50 proc. ir Vidurio ir vakarų Lietuvos regione.</w:t>
            </w:r>
          </w:p>
        </w:tc>
      </w:tr>
      <w:tr w:rsidR="00CE28F2" w:rsidRPr="00B14CA7" w14:paraId="3B53E853" w14:textId="77777777" w:rsidTr="00B14CA7">
        <w:trPr>
          <w:trHeight w:val="70"/>
        </w:trPr>
        <w:tc>
          <w:tcPr>
            <w:tcW w:w="567" w:type="dxa"/>
            <w:vMerge/>
          </w:tcPr>
          <w:p w14:paraId="2DB7A1AE" w14:textId="77777777" w:rsidR="00CE28F2" w:rsidRPr="00B14CA7" w:rsidRDefault="00CE28F2" w:rsidP="00020CB7">
            <w:pPr>
              <w:jc w:val="center"/>
              <w:rPr>
                <w:sz w:val="20"/>
              </w:rPr>
            </w:pPr>
          </w:p>
        </w:tc>
        <w:tc>
          <w:tcPr>
            <w:tcW w:w="1560" w:type="dxa"/>
            <w:vMerge/>
          </w:tcPr>
          <w:p w14:paraId="78C25F2F" w14:textId="77777777" w:rsidR="00CE28F2" w:rsidRPr="00B14CA7" w:rsidRDefault="00CE28F2" w:rsidP="00020CB7">
            <w:pPr>
              <w:rPr>
                <w:sz w:val="20"/>
              </w:rPr>
            </w:pPr>
          </w:p>
        </w:tc>
        <w:tc>
          <w:tcPr>
            <w:tcW w:w="7541" w:type="dxa"/>
          </w:tcPr>
          <w:p w14:paraId="53CA7925" w14:textId="0CE3B104"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Kadangi e. pardavimo sandorių sistemos ypač aktualios jaunoms sparčiai augančioms įmonėms, siūlome sumažinti pardavimo pajamų iš savo produkcijos reikalavimą iki 50 000 Eur. Kaip alternatyvą būtų galima įdėti reikalavimą šiemet (2023 m) pasiekti 100 000 Eur apyvartą, kurio neįgyvendinus tokio tipo įmonėms parama nebūtų išmokama.  </w:t>
            </w:r>
          </w:p>
        </w:tc>
        <w:tc>
          <w:tcPr>
            <w:tcW w:w="5103" w:type="dxa"/>
          </w:tcPr>
          <w:p w14:paraId="7DFE9159" w14:textId="77777777" w:rsidR="00AF4CD9" w:rsidRPr="00AF4CD9" w:rsidRDefault="00AF4CD9" w:rsidP="003A67CC">
            <w:pPr>
              <w:jc w:val="both"/>
              <w:rPr>
                <w:b/>
                <w:bCs/>
                <w:sz w:val="20"/>
              </w:rPr>
            </w:pPr>
            <w:r w:rsidRPr="00AF4CD9">
              <w:rPr>
                <w:b/>
                <w:bCs/>
                <w:sz w:val="20"/>
              </w:rPr>
              <w:t>Neatsižvelgta.</w:t>
            </w:r>
          </w:p>
          <w:p w14:paraId="5C3A15FA" w14:textId="50E1B58C" w:rsidR="003A67CC" w:rsidRPr="00B14CA7" w:rsidRDefault="003A67CC" w:rsidP="003A67CC">
            <w:pPr>
              <w:jc w:val="both"/>
              <w:rPr>
                <w:sz w:val="20"/>
              </w:rPr>
            </w:pPr>
            <w:r w:rsidRPr="00B14CA7">
              <w:rPr>
                <w:sz w:val="20"/>
              </w:rPr>
              <w:t>Suma dėl pajamų nustatyta vadovaujantis praėjusių finansavimo laikotarpio duomenimi</w:t>
            </w:r>
            <w:r>
              <w:rPr>
                <w:sz w:val="20"/>
              </w:rPr>
              <w:t>s.</w:t>
            </w:r>
          </w:p>
          <w:p w14:paraId="19967003" w14:textId="77777777" w:rsidR="00CE28F2" w:rsidRPr="00B14CA7" w:rsidRDefault="00CE28F2" w:rsidP="00F636EC">
            <w:pPr>
              <w:jc w:val="both"/>
              <w:rPr>
                <w:sz w:val="20"/>
              </w:rPr>
            </w:pPr>
          </w:p>
        </w:tc>
      </w:tr>
      <w:tr w:rsidR="00CE28F2" w:rsidRPr="00B14CA7" w14:paraId="76ADED50" w14:textId="77777777" w:rsidTr="00B14CA7">
        <w:trPr>
          <w:trHeight w:val="70"/>
        </w:trPr>
        <w:tc>
          <w:tcPr>
            <w:tcW w:w="567" w:type="dxa"/>
            <w:vMerge/>
          </w:tcPr>
          <w:p w14:paraId="347D2F69" w14:textId="77777777" w:rsidR="00CE28F2" w:rsidRPr="00B14CA7" w:rsidRDefault="00CE28F2" w:rsidP="00020CB7">
            <w:pPr>
              <w:jc w:val="center"/>
              <w:rPr>
                <w:sz w:val="20"/>
              </w:rPr>
            </w:pPr>
          </w:p>
        </w:tc>
        <w:tc>
          <w:tcPr>
            <w:tcW w:w="1560" w:type="dxa"/>
            <w:vMerge/>
          </w:tcPr>
          <w:p w14:paraId="4190931B" w14:textId="77777777" w:rsidR="00CE28F2" w:rsidRPr="00B14CA7" w:rsidRDefault="00CE28F2" w:rsidP="00020CB7">
            <w:pPr>
              <w:rPr>
                <w:sz w:val="20"/>
              </w:rPr>
            </w:pPr>
          </w:p>
        </w:tc>
        <w:tc>
          <w:tcPr>
            <w:tcW w:w="7541" w:type="dxa"/>
          </w:tcPr>
          <w:p w14:paraId="1CD48B50"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 xml:space="preserve">Projektų atrankos kriterijuje Eilės Nr. 2 (specialusis) nurodyta vertinama, ar pajamos iš savos produkcijos sudaro ne mažiau kaip 51 proc. Siūlome pašalinti šį ribojimą, tai leis įmonėms, kurios vykdo mišrią veiklą, vystyti gamybos ar paslaugų veiklą. Juolab, kad 100 000 Eur pardavimo pajamų iš savo produkcijos turėjimas per 2 paskutinius metus išlieka, kas rodo, kad įmonė ne tik perpardavinėja. Pavyzdys – E-komercijos modelis </w:t>
            </w:r>
            <w:proofErr w:type="spellStart"/>
            <w:r w:rsidRPr="00B14CA7">
              <w:rPr>
                <w:rFonts w:ascii="Times New Roman" w:eastAsia="Times New Roman" w:hAnsi="Times New Roman" w:cs="Times New Roman"/>
                <w:sz w:val="20"/>
                <w:szCs w:val="20"/>
              </w:rPr>
              <w:t>covid</w:t>
            </w:r>
            <w:proofErr w:type="spellEnd"/>
            <w:r w:rsidRPr="00B14CA7">
              <w:rPr>
                <w:rFonts w:ascii="Times New Roman" w:eastAsia="Times New Roman" w:hAnsi="Times New Roman" w:cs="Times New Roman"/>
                <w:sz w:val="20"/>
                <w:szCs w:val="20"/>
              </w:rPr>
              <w:t xml:space="preserve"> 19 bei Kūrybiniai čekiai šio reikalavimo nebuvo.</w:t>
            </w:r>
          </w:p>
          <w:p w14:paraId="626842FB" w14:textId="77777777" w:rsidR="00CE28F2" w:rsidRPr="00B14CA7" w:rsidRDefault="00CE28F2" w:rsidP="00CE28F2">
            <w:pPr>
              <w:pStyle w:val="gmail-msolistparagraph"/>
              <w:spacing w:before="0" w:beforeAutospacing="0" w:after="0" w:afterAutospacing="0" w:line="254" w:lineRule="auto"/>
              <w:ind w:left="426"/>
              <w:rPr>
                <w:rFonts w:ascii="Times New Roman" w:eastAsia="Times New Roman" w:hAnsi="Times New Roman" w:cs="Times New Roman"/>
                <w:sz w:val="20"/>
                <w:szCs w:val="20"/>
              </w:rPr>
            </w:pPr>
          </w:p>
        </w:tc>
        <w:tc>
          <w:tcPr>
            <w:tcW w:w="5103" w:type="dxa"/>
          </w:tcPr>
          <w:p w14:paraId="6AD63FC2" w14:textId="641F5B0A" w:rsidR="00AF4CD9" w:rsidRPr="00AF4CD9" w:rsidRDefault="00AF4CD9" w:rsidP="00F636EC">
            <w:pPr>
              <w:jc w:val="both"/>
              <w:rPr>
                <w:b/>
                <w:bCs/>
                <w:sz w:val="20"/>
              </w:rPr>
            </w:pPr>
            <w:r w:rsidRPr="00AF4CD9">
              <w:rPr>
                <w:b/>
                <w:bCs/>
                <w:sz w:val="20"/>
              </w:rPr>
              <w:t>Neatsižvelgta.</w:t>
            </w:r>
          </w:p>
          <w:p w14:paraId="20B81B4B" w14:textId="77777777" w:rsidR="00CE28F2" w:rsidRDefault="003A67CC" w:rsidP="00F636EC">
            <w:pPr>
              <w:jc w:val="both"/>
              <w:rPr>
                <w:sz w:val="20"/>
              </w:rPr>
            </w:pPr>
            <w:r>
              <w:rPr>
                <w:sz w:val="20"/>
              </w:rPr>
              <w:t>Kriterijai jau yra patvirtinti ir keitimai šiame kvietime nėra numatomi.</w:t>
            </w:r>
          </w:p>
          <w:p w14:paraId="54DE7EA9" w14:textId="01B54B7E" w:rsidR="0011654F" w:rsidRPr="00B14CA7" w:rsidRDefault="0011654F" w:rsidP="00F636EC">
            <w:pPr>
              <w:jc w:val="both"/>
              <w:rPr>
                <w:sz w:val="20"/>
              </w:rPr>
            </w:pPr>
            <w:r>
              <w:rPr>
                <w:sz w:val="20"/>
              </w:rPr>
              <w:t xml:space="preserve">Pažymime, kad įmonės galės vykdyti mišrią veiklą (gamybą, paslaugų teikimą, prekių perpardavimą), tik </w:t>
            </w:r>
            <w:r w:rsidR="001030C4">
              <w:rPr>
                <w:sz w:val="20"/>
              </w:rPr>
              <w:t xml:space="preserve">pajamos </w:t>
            </w:r>
            <w:r>
              <w:rPr>
                <w:sz w:val="20"/>
              </w:rPr>
              <w:t>iš savo pagamint</w:t>
            </w:r>
            <w:r w:rsidR="001030C4">
              <w:rPr>
                <w:sz w:val="20"/>
              </w:rPr>
              <w:t>os</w:t>
            </w:r>
            <w:r>
              <w:rPr>
                <w:sz w:val="20"/>
              </w:rPr>
              <w:t xml:space="preserve"> produkcij</w:t>
            </w:r>
            <w:r w:rsidR="001030C4">
              <w:rPr>
                <w:sz w:val="20"/>
              </w:rPr>
              <w:t>os (gaminių gamybos ir paslaugų teikimo)</w:t>
            </w:r>
            <w:r>
              <w:rPr>
                <w:sz w:val="20"/>
              </w:rPr>
              <w:t xml:space="preserve"> </w:t>
            </w:r>
            <w:r w:rsidR="001030C4">
              <w:rPr>
                <w:sz w:val="20"/>
              </w:rPr>
              <w:t xml:space="preserve">turi sudaryti ne mažiau kaip 51 </w:t>
            </w:r>
            <w:proofErr w:type="spellStart"/>
            <w:r w:rsidR="001030C4">
              <w:rPr>
                <w:sz w:val="20"/>
              </w:rPr>
              <w:t>proc</w:t>
            </w:r>
            <w:proofErr w:type="spellEnd"/>
            <w:r w:rsidR="001030C4">
              <w:rPr>
                <w:sz w:val="20"/>
              </w:rPr>
              <w:t>, visų gautų pajamų.</w:t>
            </w:r>
          </w:p>
        </w:tc>
      </w:tr>
      <w:tr w:rsidR="00CE28F2" w:rsidRPr="00B14CA7" w14:paraId="3196FEB7" w14:textId="77777777" w:rsidTr="00B14CA7">
        <w:trPr>
          <w:trHeight w:val="70"/>
        </w:trPr>
        <w:tc>
          <w:tcPr>
            <w:tcW w:w="567" w:type="dxa"/>
            <w:vMerge/>
          </w:tcPr>
          <w:p w14:paraId="07392CDF" w14:textId="77777777" w:rsidR="00CE28F2" w:rsidRPr="00B14CA7" w:rsidRDefault="00CE28F2" w:rsidP="00020CB7">
            <w:pPr>
              <w:jc w:val="center"/>
              <w:rPr>
                <w:sz w:val="20"/>
              </w:rPr>
            </w:pPr>
          </w:p>
        </w:tc>
        <w:tc>
          <w:tcPr>
            <w:tcW w:w="1560" w:type="dxa"/>
            <w:vMerge/>
          </w:tcPr>
          <w:p w14:paraId="377B170B" w14:textId="77777777" w:rsidR="00CE28F2" w:rsidRPr="00B14CA7" w:rsidRDefault="00CE28F2" w:rsidP="00020CB7">
            <w:pPr>
              <w:rPr>
                <w:sz w:val="20"/>
              </w:rPr>
            </w:pPr>
          </w:p>
        </w:tc>
        <w:tc>
          <w:tcPr>
            <w:tcW w:w="7541" w:type="dxa"/>
          </w:tcPr>
          <w:p w14:paraId="4194BDD8" w14:textId="77777777"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Projektų atrankos kriterijuje Eilės Nr. 5 (prioritetinis) nurodyta, kad balai bus skiriami MVĮ, kurios anksčiau savo veikloje nebuvo įdiegusios e. pardavimo sandorių sudarymo, produktų konfigūravimo ir vizualizacijos sprendimų. Galima gauti iki 25 balų, tačiau nėra detalizuojama už ką galima gauti 25 balus, o už ką pvz. 5 balus.</w:t>
            </w:r>
          </w:p>
          <w:p w14:paraId="082FC509" w14:textId="77777777" w:rsidR="00CE28F2" w:rsidRPr="00B14CA7" w:rsidRDefault="00CE28F2" w:rsidP="00CE28F2">
            <w:pPr>
              <w:pStyle w:val="gmail-msolistparagraph"/>
              <w:spacing w:before="0" w:beforeAutospacing="0" w:after="0" w:afterAutospacing="0" w:line="254" w:lineRule="auto"/>
              <w:ind w:left="426"/>
              <w:rPr>
                <w:rFonts w:ascii="Times New Roman" w:eastAsia="Times New Roman" w:hAnsi="Times New Roman" w:cs="Times New Roman"/>
                <w:sz w:val="20"/>
                <w:szCs w:val="20"/>
              </w:rPr>
            </w:pPr>
          </w:p>
        </w:tc>
        <w:tc>
          <w:tcPr>
            <w:tcW w:w="5103" w:type="dxa"/>
          </w:tcPr>
          <w:p w14:paraId="2BA69B0D" w14:textId="21F4713E" w:rsidR="00CE28F2" w:rsidRPr="00B14CA7" w:rsidRDefault="003A67CC" w:rsidP="00F636EC">
            <w:pPr>
              <w:jc w:val="both"/>
              <w:rPr>
                <w:sz w:val="20"/>
              </w:rPr>
            </w:pPr>
            <w:r>
              <w:rPr>
                <w:sz w:val="20"/>
              </w:rPr>
              <w:t>Už atitikimą šiam kriterijų skiriami 5 balai, kurie dauginami iš koeficiento 5 ir gaunami 25 balai.</w:t>
            </w:r>
          </w:p>
        </w:tc>
      </w:tr>
      <w:tr w:rsidR="00CE28F2" w:rsidRPr="00B14CA7" w14:paraId="2DC4FE90" w14:textId="77777777" w:rsidTr="00B14CA7">
        <w:trPr>
          <w:trHeight w:val="70"/>
        </w:trPr>
        <w:tc>
          <w:tcPr>
            <w:tcW w:w="567" w:type="dxa"/>
            <w:vMerge/>
          </w:tcPr>
          <w:p w14:paraId="25633A00" w14:textId="77777777" w:rsidR="00CE28F2" w:rsidRPr="00B14CA7" w:rsidRDefault="00CE28F2" w:rsidP="00020CB7">
            <w:pPr>
              <w:jc w:val="center"/>
              <w:rPr>
                <w:sz w:val="20"/>
              </w:rPr>
            </w:pPr>
          </w:p>
        </w:tc>
        <w:tc>
          <w:tcPr>
            <w:tcW w:w="1560" w:type="dxa"/>
            <w:vMerge/>
          </w:tcPr>
          <w:p w14:paraId="6AB4DFEC" w14:textId="77777777" w:rsidR="00CE28F2" w:rsidRPr="00B14CA7" w:rsidRDefault="00CE28F2" w:rsidP="00020CB7">
            <w:pPr>
              <w:rPr>
                <w:sz w:val="20"/>
              </w:rPr>
            </w:pPr>
          </w:p>
        </w:tc>
        <w:tc>
          <w:tcPr>
            <w:tcW w:w="7541" w:type="dxa"/>
          </w:tcPr>
          <w:p w14:paraId="37FF5D57" w14:textId="430BBF08" w:rsidR="00CE28F2" w:rsidRPr="00B14CA7" w:rsidRDefault="00CE28F2" w:rsidP="00B14CA7">
            <w:pPr>
              <w:pStyle w:val="gmail-msolistparagraph"/>
              <w:spacing w:before="0" w:beforeAutospacing="0" w:after="0" w:afterAutospacing="0" w:line="254" w:lineRule="auto"/>
              <w:rPr>
                <w:rFonts w:ascii="Times New Roman" w:eastAsia="Times New Roman" w:hAnsi="Times New Roman" w:cs="Times New Roman"/>
                <w:sz w:val="20"/>
                <w:szCs w:val="20"/>
              </w:rPr>
            </w:pPr>
            <w:r w:rsidRPr="00B14CA7">
              <w:rPr>
                <w:rFonts w:ascii="Times New Roman" w:eastAsia="Times New Roman" w:hAnsi="Times New Roman" w:cs="Times New Roman"/>
                <w:sz w:val="20"/>
                <w:szCs w:val="20"/>
              </w:rPr>
              <w:t>Projektų atrankos kriterijuje Eilės Nr. 6 (prioritetinis) nurodyta, kad balai bus skiriami projektą vykdančioms labai mažoms ir mažoms įmonėms, tačiau aiškiai nenurodytas balų skaičius už konkretų esamą įmonės statusą</w:t>
            </w:r>
          </w:p>
        </w:tc>
        <w:tc>
          <w:tcPr>
            <w:tcW w:w="5103" w:type="dxa"/>
          </w:tcPr>
          <w:p w14:paraId="5AACAF11" w14:textId="616FF44F" w:rsidR="00CE28F2" w:rsidRPr="00B14CA7" w:rsidRDefault="003A67CC" w:rsidP="00F636EC">
            <w:pPr>
              <w:jc w:val="both"/>
              <w:rPr>
                <w:sz w:val="20"/>
              </w:rPr>
            </w:pPr>
            <w:r>
              <w:rPr>
                <w:sz w:val="20"/>
              </w:rPr>
              <w:t>Tiek labai maža, tiek maža įmonė gaus papildomus  balus</w:t>
            </w:r>
            <w:r w:rsidR="00AF4CD9">
              <w:rPr>
                <w:sz w:val="20"/>
              </w:rPr>
              <w:t>.</w:t>
            </w:r>
          </w:p>
        </w:tc>
      </w:tr>
    </w:tbl>
    <w:p w14:paraId="00AABEA2" w14:textId="77777777" w:rsidR="005C5ECB" w:rsidRPr="00CE28F2" w:rsidRDefault="005C5ECB"/>
    <w:sectPr w:rsidR="005C5ECB" w:rsidRPr="00CE28F2" w:rsidSect="003940F3">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6EE9" w14:textId="77777777" w:rsidR="00242329" w:rsidRDefault="00242329" w:rsidP="003940F3">
      <w:r>
        <w:separator/>
      </w:r>
    </w:p>
  </w:endnote>
  <w:endnote w:type="continuationSeparator" w:id="0">
    <w:p w14:paraId="413A67B4" w14:textId="77777777" w:rsidR="00242329" w:rsidRDefault="00242329"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E7C7" w14:textId="77777777" w:rsidR="00242329" w:rsidRDefault="00242329" w:rsidP="003940F3">
      <w:r>
        <w:separator/>
      </w:r>
    </w:p>
  </w:footnote>
  <w:footnote w:type="continuationSeparator" w:id="0">
    <w:p w14:paraId="119C36E4" w14:textId="77777777" w:rsidR="00242329" w:rsidRDefault="00242329"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7B7"/>
    <w:multiLevelType w:val="hybridMultilevel"/>
    <w:tmpl w:val="82A67B6E"/>
    <w:lvl w:ilvl="0" w:tplc="A81473C4">
      <w:start w:val="1"/>
      <w:numFmt w:val="decimal"/>
      <w:lvlText w:val="%1."/>
      <w:lvlJc w:val="left"/>
      <w:pPr>
        <w:ind w:left="720" w:hanging="360"/>
      </w:pPr>
    </w:lvl>
    <w:lvl w:ilvl="1" w:tplc="801AF7C4">
      <w:start w:val="1"/>
      <w:numFmt w:val="lowerLetter"/>
      <w:lvlText w:val="%2."/>
      <w:lvlJc w:val="left"/>
      <w:pPr>
        <w:ind w:left="1440" w:hanging="360"/>
      </w:pPr>
    </w:lvl>
    <w:lvl w:ilvl="2" w:tplc="A8BCC85C">
      <w:start w:val="1"/>
      <w:numFmt w:val="lowerRoman"/>
      <w:lvlText w:val="%3."/>
      <w:lvlJc w:val="right"/>
      <w:pPr>
        <w:ind w:left="2160" w:hanging="180"/>
      </w:pPr>
    </w:lvl>
    <w:lvl w:ilvl="3" w:tplc="E76E1A12">
      <w:start w:val="1"/>
      <w:numFmt w:val="decimal"/>
      <w:lvlText w:val="%4."/>
      <w:lvlJc w:val="left"/>
      <w:pPr>
        <w:ind w:left="2880" w:hanging="360"/>
      </w:pPr>
    </w:lvl>
    <w:lvl w:ilvl="4" w:tplc="96C81506">
      <w:start w:val="1"/>
      <w:numFmt w:val="lowerLetter"/>
      <w:lvlText w:val="%5."/>
      <w:lvlJc w:val="left"/>
      <w:pPr>
        <w:ind w:left="3600" w:hanging="360"/>
      </w:pPr>
    </w:lvl>
    <w:lvl w:ilvl="5" w:tplc="FB0E14E8">
      <w:start w:val="1"/>
      <w:numFmt w:val="lowerRoman"/>
      <w:lvlText w:val="%6."/>
      <w:lvlJc w:val="right"/>
      <w:pPr>
        <w:ind w:left="4320" w:hanging="180"/>
      </w:pPr>
    </w:lvl>
    <w:lvl w:ilvl="6" w:tplc="7A046DE8">
      <w:start w:val="1"/>
      <w:numFmt w:val="decimal"/>
      <w:lvlText w:val="%7."/>
      <w:lvlJc w:val="left"/>
      <w:pPr>
        <w:ind w:left="5040" w:hanging="360"/>
      </w:pPr>
    </w:lvl>
    <w:lvl w:ilvl="7" w:tplc="D65AC394">
      <w:start w:val="1"/>
      <w:numFmt w:val="lowerLetter"/>
      <w:lvlText w:val="%8."/>
      <w:lvlJc w:val="left"/>
      <w:pPr>
        <w:ind w:left="5760" w:hanging="360"/>
      </w:pPr>
    </w:lvl>
    <w:lvl w:ilvl="8" w:tplc="75D83D0E">
      <w:start w:val="1"/>
      <w:numFmt w:val="lowerRoman"/>
      <w:lvlText w:val="%9."/>
      <w:lvlJc w:val="right"/>
      <w:pPr>
        <w:ind w:left="6480" w:hanging="180"/>
      </w:p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33B7227D"/>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50309"/>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8287768"/>
    <w:multiLevelType w:val="hybridMultilevel"/>
    <w:tmpl w:val="51B068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11795E"/>
    <w:multiLevelType w:val="hybridMultilevel"/>
    <w:tmpl w:val="00CE2688"/>
    <w:lvl w:ilvl="0" w:tplc="71D20B7C">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94A3E60"/>
    <w:multiLevelType w:val="hybridMultilevel"/>
    <w:tmpl w:val="38B6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8430E2"/>
    <w:multiLevelType w:val="hybridMultilevel"/>
    <w:tmpl w:val="234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193377737">
    <w:abstractNumId w:val="16"/>
  </w:num>
  <w:num w:numId="2" w16cid:durableId="885410026">
    <w:abstractNumId w:val="15"/>
  </w:num>
  <w:num w:numId="3" w16cid:durableId="1562981366">
    <w:abstractNumId w:val="17"/>
  </w:num>
  <w:num w:numId="4" w16cid:durableId="392239668">
    <w:abstractNumId w:val="2"/>
  </w:num>
  <w:num w:numId="5" w16cid:durableId="308630702">
    <w:abstractNumId w:val="3"/>
  </w:num>
  <w:num w:numId="6" w16cid:durableId="2060545454">
    <w:abstractNumId w:val="1"/>
  </w:num>
  <w:num w:numId="7" w16cid:durableId="1447046276">
    <w:abstractNumId w:val="4"/>
  </w:num>
  <w:num w:numId="8" w16cid:durableId="1946957105">
    <w:abstractNumId w:val="7"/>
  </w:num>
  <w:num w:numId="9" w16cid:durableId="861014471">
    <w:abstractNumId w:val="18"/>
  </w:num>
  <w:num w:numId="10" w16cid:durableId="863636958">
    <w:abstractNumId w:val="6"/>
  </w:num>
  <w:num w:numId="11" w16cid:durableId="213858329">
    <w:abstractNumId w:val="19"/>
  </w:num>
  <w:num w:numId="12" w16cid:durableId="1547982564">
    <w:abstractNumId w:val="12"/>
  </w:num>
  <w:num w:numId="13" w16cid:durableId="2051760053">
    <w:abstractNumId w:val="10"/>
  </w:num>
  <w:num w:numId="14" w16cid:durableId="443229702">
    <w:abstractNumId w:val="14"/>
  </w:num>
  <w:num w:numId="15" w16cid:durableId="573585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634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13143">
    <w:abstractNumId w:val="13"/>
  </w:num>
  <w:num w:numId="18" w16cid:durableId="88645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945466">
    <w:abstractNumId w:val="0"/>
  </w:num>
  <w:num w:numId="20" w16cid:durableId="570042958">
    <w:abstractNumId w:val="8"/>
  </w:num>
  <w:num w:numId="21" w16cid:durableId="1261446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F36"/>
    <w:rsid w:val="00005FAA"/>
    <w:rsid w:val="00007463"/>
    <w:rsid w:val="0001428A"/>
    <w:rsid w:val="00015942"/>
    <w:rsid w:val="00016435"/>
    <w:rsid w:val="00017566"/>
    <w:rsid w:val="000202E8"/>
    <w:rsid w:val="00020CB7"/>
    <w:rsid w:val="00023010"/>
    <w:rsid w:val="000240C4"/>
    <w:rsid w:val="00030D25"/>
    <w:rsid w:val="00030DBB"/>
    <w:rsid w:val="0003188A"/>
    <w:rsid w:val="00032985"/>
    <w:rsid w:val="00033CEB"/>
    <w:rsid w:val="00044CAB"/>
    <w:rsid w:val="00046DFE"/>
    <w:rsid w:val="000503C5"/>
    <w:rsid w:val="00050427"/>
    <w:rsid w:val="00053ACF"/>
    <w:rsid w:val="00053D41"/>
    <w:rsid w:val="00055508"/>
    <w:rsid w:val="00060B0B"/>
    <w:rsid w:val="00062328"/>
    <w:rsid w:val="00062518"/>
    <w:rsid w:val="00063152"/>
    <w:rsid w:val="000640C7"/>
    <w:rsid w:val="00066215"/>
    <w:rsid w:val="000671F1"/>
    <w:rsid w:val="00070B21"/>
    <w:rsid w:val="00070ED6"/>
    <w:rsid w:val="00070EF3"/>
    <w:rsid w:val="00074F28"/>
    <w:rsid w:val="00077247"/>
    <w:rsid w:val="00081BC9"/>
    <w:rsid w:val="000844E7"/>
    <w:rsid w:val="000909EB"/>
    <w:rsid w:val="00095A64"/>
    <w:rsid w:val="00095B14"/>
    <w:rsid w:val="00096A65"/>
    <w:rsid w:val="000A0E20"/>
    <w:rsid w:val="000A3FD2"/>
    <w:rsid w:val="000B19E9"/>
    <w:rsid w:val="000B1AF5"/>
    <w:rsid w:val="000B2D7C"/>
    <w:rsid w:val="000B4B61"/>
    <w:rsid w:val="000B7125"/>
    <w:rsid w:val="000C6DCD"/>
    <w:rsid w:val="000D22BB"/>
    <w:rsid w:val="000D2E71"/>
    <w:rsid w:val="000D3EFE"/>
    <w:rsid w:val="000D748B"/>
    <w:rsid w:val="000E057B"/>
    <w:rsid w:val="000E128C"/>
    <w:rsid w:val="000E1F0C"/>
    <w:rsid w:val="000E275C"/>
    <w:rsid w:val="000E5A48"/>
    <w:rsid w:val="000E7A99"/>
    <w:rsid w:val="000F1049"/>
    <w:rsid w:val="000F4E81"/>
    <w:rsid w:val="000F5CE6"/>
    <w:rsid w:val="001030C4"/>
    <w:rsid w:val="00105F91"/>
    <w:rsid w:val="00106571"/>
    <w:rsid w:val="001132AD"/>
    <w:rsid w:val="00115372"/>
    <w:rsid w:val="0011654F"/>
    <w:rsid w:val="00124A1B"/>
    <w:rsid w:val="00143277"/>
    <w:rsid w:val="001445E4"/>
    <w:rsid w:val="00150B26"/>
    <w:rsid w:val="00156FCF"/>
    <w:rsid w:val="00157004"/>
    <w:rsid w:val="001577E4"/>
    <w:rsid w:val="00162289"/>
    <w:rsid w:val="001661A8"/>
    <w:rsid w:val="001705CF"/>
    <w:rsid w:val="00175B04"/>
    <w:rsid w:val="00182879"/>
    <w:rsid w:val="0018373E"/>
    <w:rsid w:val="0018469B"/>
    <w:rsid w:val="00184FC3"/>
    <w:rsid w:val="00186511"/>
    <w:rsid w:val="0019085C"/>
    <w:rsid w:val="00191782"/>
    <w:rsid w:val="001923DD"/>
    <w:rsid w:val="00194702"/>
    <w:rsid w:val="001A0E47"/>
    <w:rsid w:val="001A5935"/>
    <w:rsid w:val="001C2F60"/>
    <w:rsid w:val="001C65B5"/>
    <w:rsid w:val="001D0FA0"/>
    <w:rsid w:val="001D3C04"/>
    <w:rsid w:val="001D6507"/>
    <w:rsid w:val="001D6F4A"/>
    <w:rsid w:val="001E1992"/>
    <w:rsid w:val="001E4CE7"/>
    <w:rsid w:val="001E6748"/>
    <w:rsid w:val="001E67A5"/>
    <w:rsid w:val="001E754D"/>
    <w:rsid w:val="001E7DBF"/>
    <w:rsid w:val="0020434A"/>
    <w:rsid w:val="0020614F"/>
    <w:rsid w:val="00207E63"/>
    <w:rsid w:val="00211B2A"/>
    <w:rsid w:val="00212ADD"/>
    <w:rsid w:val="00224286"/>
    <w:rsid w:val="0022435B"/>
    <w:rsid w:val="00227E2E"/>
    <w:rsid w:val="0023024D"/>
    <w:rsid w:val="00233335"/>
    <w:rsid w:val="00234AE2"/>
    <w:rsid w:val="002364BE"/>
    <w:rsid w:val="00241069"/>
    <w:rsid w:val="00241C69"/>
    <w:rsid w:val="00242329"/>
    <w:rsid w:val="0024541C"/>
    <w:rsid w:val="00247BB5"/>
    <w:rsid w:val="00256BE3"/>
    <w:rsid w:val="00266F48"/>
    <w:rsid w:val="00270AE5"/>
    <w:rsid w:val="00271242"/>
    <w:rsid w:val="0027186C"/>
    <w:rsid w:val="002730D8"/>
    <w:rsid w:val="002805B2"/>
    <w:rsid w:val="00280FCB"/>
    <w:rsid w:val="00281473"/>
    <w:rsid w:val="00282D46"/>
    <w:rsid w:val="002923A6"/>
    <w:rsid w:val="002929F7"/>
    <w:rsid w:val="00294FB1"/>
    <w:rsid w:val="00297A12"/>
    <w:rsid w:val="00297D19"/>
    <w:rsid w:val="002A27A2"/>
    <w:rsid w:val="002A2BDD"/>
    <w:rsid w:val="002B1648"/>
    <w:rsid w:val="002B1AF9"/>
    <w:rsid w:val="002B31F3"/>
    <w:rsid w:val="002C57F4"/>
    <w:rsid w:val="002C7407"/>
    <w:rsid w:val="002C79BA"/>
    <w:rsid w:val="002D0B08"/>
    <w:rsid w:val="002D1CED"/>
    <w:rsid w:val="002D4D56"/>
    <w:rsid w:val="002D6D79"/>
    <w:rsid w:val="002E1B28"/>
    <w:rsid w:val="002E7E63"/>
    <w:rsid w:val="002F3746"/>
    <w:rsid w:val="002F697B"/>
    <w:rsid w:val="003113C8"/>
    <w:rsid w:val="00316D2C"/>
    <w:rsid w:val="00316DF4"/>
    <w:rsid w:val="003214A4"/>
    <w:rsid w:val="00330974"/>
    <w:rsid w:val="00330EC9"/>
    <w:rsid w:val="00333A39"/>
    <w:rsid w:val="003375A5"/>
    <w:rsid w:val="00344A49"/>
    <w:rsid w:val="0034540C"/>
    <w:rsid w:val="00347151"/>
    <w:rsid w:val="00347C65"/>
    <w:rsid w:val="003529B3"/>
    <w:rsid w:val="003618F1"/>
    <w:rsid w:val="003652F0"/>
    <w:rsid w:val="00366151"/>
    <w:rsid w:val="0036662A"/>
    <w:rsid w:val="003865B8"/>
    <w:rsid w:val="00391584"/>
    <w:rsid w:val="0039259D"/>
    <w:rsid w:val="003940F3"/>
    <w:rsid w:val="0039580B"/>
    <w:rsid w:val="00397AD7"/>
    <w:rsid w:val="003A18E7"/>
    <w:rsid w:val="003A1AD9"/>
    <w:rsid w:val="003A332E"/>
    <w:rsid w:val="003A67CC"/>
    <w:rsid w:val="003B2FAE"/>
    <w:rsid w:val="003B6643"/>
    <w:rsid w:val="003B726A"/>
    <w:rsid w:val="003C6054"/>
    <w:rsid w:val="003C7C78"/>
    <w:rsid w:val="003D4EB4"/>
    <w:rsid w:val="003E09D5"/>
    <w:rsid w:val="003E77A4"/>
    <w:rsid w:val="003F1F09"/>
    <w:rsid w:val="003F5676"/>
    <w:rsid w:val="003F7DF8"/>
    <w:rsid w:val="0040628C"/>
    <w:rsid w:val="004136A8"/>
    <w:rsid w:val="00414392"/>
    <w:rsid w:val="00417DC7"/>
    <w:rsid w:val="00421AD5"/>
    <w:rsid w:val="004274A1"/>
    <w:rsid w:val="004322A4"/>
    <w:rsid w:val="00435B06"/>
    <w:rsid w:val="004378EE"/>
    <w:rsid w:val="00447D74"/>
    <w:rsid w:val="00447F7C"/>
    <w:rsid w:val="00452AAF"/>
    <w:rsid w:val="00452FA3"/>
    <w:rsid w:val="00455305"/>
    <w:rsid w:val="004631DA"/>
    <w:rsid w:val="004639C4"/>
    <w:rsid w:val="00475D1E"/>
    <w:rsid w:val="00475E13"/>
    <w:rsid w:val="00482B56"/>
    <w:rsid w:val="004853EA"/>
    <w:rsid w:val="00485F22"/>
    <w:rsid w:val="00487204"/>
    <w:rsid w:val="004876E5"/>
    <w:rsid w:val="004923DB"/>
    <w:rsid w:val="0049531C"/>
    <w:rsid w:val="004A0897"/>
    <w:rsid w:val="004A42BF"/>
    <w:rsid w:val="004A5F41"/>
    <w:rsid w:val="004A607E"/>
    <w:rsid w:val="004A6A07"/>
    <w:rsid w:val="004A704E"/>
    <w:rsid w:val="004B1CC3"/>
    <w:rsid w:val="004B2CD5"/>
    <w:rsid w:val="004B5C52"/>
    <w:rsid w:val="004C1CE4"/>
    <w:rsid w:val="004C44BD"/>
    <w:rsid w:val="004C58E9"/>
    <w:rsid w:val="004D11D5"/>
    <w:rsid w:val="004D1FB6"/>
    <w:rsid w:val="004D5FC3"/>
    <w:rsid w:val="004D66FF"/>
    <w:rsid w:val="004E0590"/>
    <w:rsid w:val="004E358F"/>
    <w:rsid w:val="004E6B69"/>
    <w:rsid w:val="004F24DB"/>
    <w:rsid w:val="004F7609"/>
    <w:rsid w:val="005004F3"/>
    <w:rsid w:val="005054C5"/>
    <w:rsid w:val="0050761B"/>
    <w:rsid w:val="00510A85"/>
    <w:rsid w:val="005206B0"/>
    <w:rsid w:val="00520904"/>
    <w:rsid w:val="00527115"/>
    <w:rsid w:val="0053023F"/>
    <w:rsid w:val="005303DC"/>
    <w:rsid w:val="00530480"/>
    <w:rsid w:val="0053182B"/>
    <w:rsid w:val="005376D6"/>
    <w:rsid w:val="0054453C"/>
    <w:rsid w:val="00547C74"/>
    <w:rsid w:val="005516A5"/>
    <w:rsid w:val="005533C2"/>
    <w:rsid w:val="00563838"/>
    <w:rsid w:val="00563B3D"/>
    <w:rsid w:val="005671CE"/>
    <w:rsid w:val="005702A5"/>
    <w:rsid w:val="00571253"/>
    <w:rsid w:val="0057371A"/>
    <w:rsid w:val="00581B51"/>
    <w:rsid w:val="005903F9"/>
    <w:rsid w:val="00593EE0"/>
    <w:rsid w:val="005953D7"/>
    <w:rsid w:val="00597AFF"/>
    <w:rsid w:val="005A0AC7"/>
    <w:rsid w:val="005A3FE6"/>
    <w:rsid w:val="005A4A5F"/>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5F2639"/>
    <w:rsid w:val="00601513"/>
    <w:rsid w:val="00605339"/>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B0D85"/>
    <w:rsid w:val="006B526A"/>
    <w:rsid w:val="006B75D2"/>
    <w:rsid w:val="006C0163"/>
    <w:rsid w:val="006C0AD7"/>
    <w:rsid w:val="006D1718"/>
    <w:rsid w:val="006E05A9"/>
    <w:rsid w:val="006E0B8B"/>
    <w:rsid w:val="006E16C9"/>
    <w:rsid w:val="006E67AE"/>
    <w:rsid w:val="006E798D"/>
    <w:rsid w:val="006E7C89"/>
    <w:rsid w:val="006F23CE"/>
    <w:rsid w:val="006F4DC3"/>
    <w:rsid w:val="0070221E"/>
    <w:rsid w:val="007070F4"/>
    <w:rsid w:val="00707C95"/>
    <w:rsid w:val="00710DD2"/>
    <w:rsid w:val="0072623F"/>
    <w:rsid w:val="007263AF"/>
    <w:rsid w:val="00727011"/>
    <w:rsid w:val="007350FF"/>
    <w:rsid w:val="007410B0"/>
    <w:rsid w:val="00741C32"/>
    <w:rsid w:val="00742585"/>
    <w:rsid w:val="00742B6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03394"/>
    <w:rsid w:val="00807C29"/>
    <w:rsid w:val="00811BF1"/>
    <w:rsid w:val="008127AF"/>
    <w:rsid w:val="00814122"/>
    <w:rsid w:val="00817EF3"/>
    <w:rsid w:val="0082428A"/>
    <w:rsid w:val="008359DC"/>
    <w:rsid w:val="00852673"/>
    <w:rsid w:val="0085384B"/>
    <w:rsid w:val="0085430B"/>
    <w:rsid w:val="00856EDA"/>
    <w:rsid w:val="008576A6"/>
    <w:rsid w:val="00865C80"/>
    <w:rsid w:val="008663E3"/>
    <w:rsid w:val="00870F24"/>
    <w:rsid w:val="0087169A"/>
    <w:rsid w:val="00880909"/>
    <w:rsid w:val="008820BA"/>
    <w:rsid w:val="00885C3D"/>
    <w:rsid w:val="00890A7C"/>
    <w:rsid w:val="008923B9"/>
    <w:rsid w:val="00894683"/>
    <w:rsid w:val="008A3E24"/>
    <w:rsid w:val="008A53CB"/>
    <w:rsid w:val="008A5A0D"/>
    <w:rsid w:val="008B3037"/>
    <w:rsid w:val="008C3DAE"/>
    <w:rsid w:val="008C4CE9"/>
    <w:rsid w:val="008D4415"/>
    <w:rsid w:val="008D444C"/>
    <w:rsid w:val="008D55D4"/>
    <w:rsid w:val="008D5F38"/>
    <w:rsid w:val="008D7278"/>
    <w:rsid w:val="008E2069"/>
    <w:rsid w:val="008E2AC8"/>
    <w:rsid w:val="008E3A92"/>
    <w:rsid w:val="008E3C68"/>
    <w:rsid w:val="008F266B"/>
    <w:rsid w:val="008F38C3"/>
    <w:rsid w:val="008F56B6"/>
    <w:rsid w:val="00914A06"/>
    <w:rsid w:val="009220EC"/>
    <w:rsid w:val="00926630"/>
    <w:rsid w:val="00933886"/>
    <w:rsid w:val="00934F45"/>
    <w:rsid w:val="009422B0"/>
    <w:rsid w:val="009426AD"/>
    <w:rsid w:val="00947C9D"/>
    <w:rsid w:val="00954EEB"/>
    <w:rsid w:val="00956C1E"/>
    <w:rsid w:val="0097341D"/>
    <w:rsid w:val="009913E3"/>
    <w:rsid w:val="009924A0"/>
    <w:rsid w:val="0099342A"/>
    <w:rsid w:val="009961A8"/>
    <w:rsid w:val="009A1219"/>
    <w:rsid w:val="009A3E23"/>
    <w:rsid w:val="009A662F"/>
    <w:rsid w:val="009B2BC0"/>
    <w:rsid w:val="009B3957"/>
    <w:rsid w:val="009B4714"/>
    <w:rsid w:val="009B7A40"/>
    <w:rsid w:val="009C1904"/>
    <w:rsid w:val="009C5F59"/>
    <w:rsid w:val="009C687C"/>
    <w:rsid w:val="009D3B8E"/>
    <w:rsid w:val="009D3BAD"/>
    <w:rsid w:val="009E1857"/>
    <w:rsid w:val="009E4DA6"/>
    <w:rsid w:val="009E58D9"/>
    <w:rsid w:val="009E69E2"/>
    <w:rsid w:val="009E7F18"/>
    <w:rsid w:val="009F0535"/>
    <w:rsid w:val="009F4BD9"/>
    <w:rsid w:val="00A00DB1"/>
    <w:rsid w:val="00A05F9C"/>
    <w:rsid w:val="00A076DC"/>
    <w:rsid w:val="00A127C6"/>
    <w:rsid w:val="00A23D91"/>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86A73"/>
    <w:rsid w:val="00A91F0C"/>
    <w:rsid w:val="00A937EF"/>
    <w:rsid w:val="00A9443D"/>
    <w:rsid w:val="00AA30C9"/>
    <w:rsid w:val="00AA3EF8"/>
    <w:rsid w:val="00AB2F7C"/>
    <w:rsid w:val="00AB4283"/>
    <w:rsid w:val="00AC4B6C"/>
    <w:rsid w:val="00AC6352"/>
    <w:rsid w:val="00AC644B"/>
    <w:rsid w:val="00AC73C3"/>
    <w:rsid w:val="00AD5789"/>
    <w:rsid w:val="00AE3CE8"/>
    <w:rsid w:val="00AE4ABF"/>
    <w:rsid w:val="00AE6787"/>
    <w:rsid w:val="00AF029B"/>
    <w:rsid w:val="00AF0898"/>
    <w:rsid w:val="00AF0A0D"/>
    <w:rsid w:val="00AF1F99"/>
    <w:rsid w:val="00AF25D0"/>
    <w:rsid w:val="00AF2A89"/>
    <w:rsid w:val="00AF4CD9"/>
    <w:rsid w:val="00B00E19"/>
    <w:rsid w:val="00B058B6"/>
    <w:rsid w:val="00B0591B"/>
    <w:rsid w:val="00B06DF8"/>
    <w:rsid w:val="00B07C1B"/>
    <w:rsid w:val="00B14AA0"/>
    <w:rsid w:val="00B14CA7"/>
    <w:rsid w:val="00B259E5"/>
    <w:rsid w:val="00B26628"/>
    <w:rsid w:val="00B3130A"/>
    <w:rsid w:val="00B33BD8"/>
    <w:rsid w:val="00B41981"/>
    <w:rsid w:val="00B42F3A"/>
    <w:rsid w:val="00B4351C"/>
    <w:rsid w:val="00B44625"/>
    <w:rsid w:val="00B46548"/>
    <w:rsid w:val="00B47BB9"/>
    <w:rsid w:val="00B51113"/>
    <w:rsid w:val="00B64726"/>
    <w:rsid w:val="00B66D73"/>
    <w:rsid w:val="00B67720"/>
    <w:rsid w:val="00B70A77"/>
    <w:rsid w:val="00B71F86"/>
    <w:rsid w:val="00B7378D"/>
    <w:rsid w:val="00B748DF"/>
    <w:rsid w:val="00B75709"/>
    <w:rsid w:val="00B87121"/>
    <w:rsid w:val="00B905D0"/>
    <w:rsid w:val="00B92508"/>
    <w:rsid w:val="00B92EC5"/>
    <w:rsid w:val="00B9676C"/>
    <w:rsid w:val="00BA3F54"/>
    <w:rsid w:val="00BA57E5"/>
    <w:rsid w:val="00BA694E"/>
    <w:rsid w:val="00BB138B"/>
    <w:rsid w:val="00BC4039"/>
    <w:rsid w:val="00BC5BDA"/>
    <w:rsid w:val="00BD0780"/>
    <w:rsid w:val="00BD17AE"/>
    <w:rsid w:val="00BD4663"/>
    <w:rsid w:val="00BE1C9A"/>
    <w:rsid w:val="00BE1E8F"/>
    <w:rsid w:val="00BE6468"/>
    <w:rsid w:val="00BE6CC1"/>
    <w:rsid w:val="00BF587A"/>
    <w:rsid w:val="00BF7592"/>
    <w:rsid w:val="00C02E76"/>
    <w:rsid w:val="00C13806"/>
    <w:rsid w:val="00C146A1"/>
    <w:rsid w:val="00C1798F"/>
    <w:rsid w:val="00C2262B"/>
    <w:rsid w:val="00C23560"/>
    <w:rsid w:val="00C24850"/>
    <w:rsid w:val="00C25577"/>
    <w:rsid w:val="00C25B44"/>
    <w:rsid w:val="00C3317D"/>
    <w:rsid w:val="00C33E49"/>
    <w:rsid w:val="00C35591"/>
    <w:rsid w:val="00C35A56"/>
    <w:rsid w:val="00C40546"/>
    <w:rsid w:val="00C41BD5"/>
    <w:rsid w:val="00C41EDB"/>
    <w:rsid w:val="00C42FA7"/>
    <w:rsid w:val="00C469DB"/>
    <w:rsid w:val="00C52B5C"/>
    <w:rsid w:val="00C535B1"/>
    <w:rsid w:val="00C5774B"/>
    <w:rsid w:val="00C60C6F"/>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6AA8"/>
    <w:rsid w:val="00CB7939"/>
    <w:rsid w:val="00CC5451"/>
    <w:rsid w:val="00CD7F0A"/>
    <w:rsid w:val="00CE28F2"/>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087"/>
    <w:rsid w:val="00D85ACE"/>
    <w:rsid w:val="00D965B9"/>
    <w:rsid w:val="00DB3586"/>
    <w:rsid w:val="00DB5C6B"/>
    <w:rsid w:val="00DC1011"/>
    <w:rsid w:val="00DC11E3"/>
    <w:rsid w:val="00DC5385"/>
    <w:rsid w:val="00DC769B"/>
    <w:rsid w:val="00DC7728"/>
    <w:rsid w:val="00DC7AB7"/>
    <w:rsid w:val="00DD3616"/>
    <w:rsid w:val="00DD622B"/>
    <w:rsid w:val="00DD6CB9"/>
    <w:rsid w:val="00DE1BD0"/>
    <w:rsid w:val="00DE27F8"/>
    <w:rsid w:val="00DE55A6"/>
    <w:rsid w:val="00DE693B"/>
    <w:rsid w:val="00E010D9"/>
    <w:rsid w:val="00E0238C"/>
    <w:rsid w:val="00E14905"/>
    <w:rsid w:val="00E17087"/>
    <w:rsid w:val="00E307F8"/>
    <w:rsid w:val="00E30E83"/>
    <w:rsid w:val="00E314FC"/>
    <w:rsid w:val="00E409B4"/>
    <w:rsid w:val="00E42B0B"/>
    <w:rsid w:val="00E47083"/>
    <w:rsid w:val="00E47926"/>
    <w:rsid w:val="00E52C47"/>
    <w:rsid w:val="00E53DCA"/>
    <w:rsid w:val="00E6399A"/>
    <w:rsid w:val="00E71AB0"/>
    <w:rsid w:val="00E72F4B"/>
    <w:rsid w:val="00E730FB"/>
    <w:rsid w:val="00E828B5"/>
    <w:rsid w:val="00E8785C"/>
    <w:rsid w:val="00E87AF4"/>
    <w:rsid w:val="00E95B1A"/>
    <w:rsid w:val="00EA47FF"/>
    <w:rsid w:val="00EB6DB9"/>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47A9"/>
    <w:rsid w:val="00F063F4"/>
    <w:rsid w:val="00F07C3A"/>
    <w:rsid w:val="00F12C7D"/>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36EC"/>
    <w:rsid w:val="00F638E9"/>
    <w:rsid w:val="00F64252"/>
    <w:rsid w:val="00F65129"/>
    <w:rsid w:val="00F66624"/>
    <w:rsid w:val="00F66BB6"/>
    <w:rsid w:val="00F66C18"/>
    <w:rsid w:val="00F7164D"/>
    <w:rsid w:val="00F74AD4"/>
    <w:rsid w:val="00F74C31"/>
    <w:rsid w:val="00F75651"/>
    <w:rsid w:val="00F760E7"/>
    <w:rsid w:val="00F7759E"/>
    <w:rsid w:val="00F822A7"/>
    <w:rsid w:val="00F8394C"/>
    <w:rsid w:val="00F83B83"/>
    <w:rsid w:val="00F860AD"/>
    <w:rsid w:val="00F90E2E"/>
    <w:rsid w:val="00FA05C8"/>
    <w:rsid w:val="00FA1112"/>
    <w:rsid w:val="00FA1C73"/>
    <w:rsid w:val="00FA2FC9"/>
    <w:rsid w:val="00FA2FE9"/>
    <w:rsid w:val="00FB2A58"/>
    <w:rsid w:val="00FB32DA"/>
    <w:rsid w:val="00FC1DE0"/>
    <w:rsid w:val="00FC48EB"/>
    <w:rsid w:val="00FC7091"/>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efault">
    <w:name w:val="Default"/>
    <w:rsid w:val="00316DF4"/>
    <w:pPr>
      <w:autoSpaceDE w:val="0"/>
      <w:autoSpaceDN w:val="0"/>
      <w:adjustRightInd w:val="0"/>
      <w:spacing w:after="0"/>
      <w:jc w:val="left"/>
    </w:pPr>
    <w:rPr>
      <w:color w:val="000000"/>
      <w:szCs w:val="24"/>
    </w:rPr>
  </w:style>
  <w:style w:type="paragraph" w:customStyle="1" w:styleId="gmail-msolistparagraph">
    <w:name w:val="gmail-msolistparagraph"/>
    <w:basedOn w:val="Normal"/>
    <w:rsid w:val="00CE28F2"/>
    <w:pPr>
      <w:spacing w:before="100" w:beforeAutospacing="1" w:after="100" w:afterAutospacing="1"/>
    </w:pPr>
    <w:rPr>
      <w:rFonts w:ascii="Calibri" w:eastAsiaTheme="minorHAnsi" w:hAnsi="Calibri" w:cs="Calibri"/>
      <w:sz w:val="22"/>
      <w:szCs w:val="22"/>
    </w:rPr>
  </w:style>
  <w:style w:type="paragraph" w:styleId="NormalWeb">
    <w:name w:val="Normal (Web)"/>
    <w:basedOn w:val="Normal"/>
    <w:uiPriority w:val="99"/>
    <w:unhideWhenUsed/>
    <w:rsid w:val="003618F1"/>
    <w:pPr>
      <w:spacing w:before="100" w:beforeAutospacing="1" w:after="100" w:afterAutospacing="1"/>
    </w:pPr>
    <w:rPr>
      <w:szCs w:val="24"/>
    </w:rPr>
  </w:style>
  <w:style w:type="paragraph" w:customStyle="1" w:styleId="pf0">
    <w:name w:val="pf0"/>
    <w:basedOn w:val="Normal"/>
    <w:rsid w:val="00807C29"/>
    <w:pPr>
      <w:spacing w:before="100" w:beforeAutospacing="1" w:after="100" w:afterAutospacing="1"/>
    </w:pPr>
    <w:rPr>
      <w:szCs w:val="24"/>
    </w:rPr>
  </w:style>
  <w:style w:type="character" w:customStyle="1" w:styleId="cf01">
    <w:name w:val="cf01"/>
    <w:basedOn w:val="DefaultParagraphFont"/>
    <w:rsid w:val="00807C29"/>
    <w:rPr>
      <w:rFonts w:ascii="Segoe UI" w:hAnsi="Segoe UI" w:cs="Segoe UI" w:hint="default"/>
      <w:sz w:val="18"/>
      <w:szCs w:val="18"/>
    </w:rPr>
  </w:style>
  <w:style w:type="character" w:customStyle="1" w:styleId="cf11">
    <w:name w:val="cf11"/>
    <w:basedOn w:val="DefaultParagraphFont"/>
    <w:rsid w:val="00807C2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317">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27888025">
      <w:bodyDiv w:val="1"/>
      <w:marLeft w:val="0"/>
      <w:marRight w:val="0"/>
      <w:marTop w:val="0"/>
      <w:marBottom w:val="0"/>
      <w:divBdr>
        <w:top w:val="none" w:sz="0" w:space="0" w:color="auto"/>
        <w:left w:val="none" w:sz="0" w:space="0" w:color="auto"/>
        <w:bottom w:val="none" w:sz="0" w:space="0" w:color="auto"/>
        <w:right w:val="none" w:sz="0" w:space="0" w:color="auto"/>
      </w:divBdr>
    </w:div>
    <w:div w:id="231814667">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83525066">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65664184">
      <w:bodyDiv w:val="1"/>
      <w:marLeft w:val="0"/>
      <w:marRight w:val="0"/>
      <w:marTop w:val="0"/>
      <w:marBottom w:val="0"/>
      <w:divBdr>
        <w:top w:val="none" w:sz="0" w:space="0" w:color="auto"/>
        <w:left w:val="none" w:sz="0" w:space="0" w:color="auto"/>
        <w:bottom w:val="none" w:sz="0" w:space="0" w:color="auto"/>
        <w:right w:val="none" w:sz="0" w:space="0" w:color="auto"/>
      </w:divBdr>
    </w:div>
    <w:div w:id="661197588">
      <w:bodyDiv w:val="1"/>
      <w:marLeft w:val="0"/>
      <w:marRight w:val="0"/>
      <w:marTop w:val="0"/>
      <w:marBottom w:val="0"/>
      <w:divBdr>
        <w:top w:val="none" w:sz="0" w:space="0" w:color="auto"/>
        <w:left w:val="none" w:sz="0" w:space="0" w:color="auto"/>
        <w:bottom w:val="none" w:sz="0" w:space="0" w:color="auto"/>
        <w:right w:val="none" w:sz="0" w:space="0" w:color="auto"/>
      </w:divBdr>
    </w:div>
    <w:div w:id="745147535">
      <w:bodyDiv w:val="1"/>
      <w:marLeft w:val="0"/>
      <w:marRight w:val="0"/>
      <w:marTop w:val="0"/>
      <w:marBottom w:val="0"/>
      <w:divBdr>
        <w:top w:val="none" w:sz="0" w:space="0" w:color="auto"/>
        <w:left w:val="none" w:sz="0" w:space="0" w:color="auto"/>
        <w:bottom w:val="none" w:sz="0" w:space="0" w:color="auto"/>
        <w:right w:val="none" w:sz="0" w:space="0" w:color="auto"/>
      </w:divBdr>
    </w:div>
    <w:div w:id="762651193">
      <w:bodyDiv w:val="1"/>
      <w:marLeft w:val="0"/>
      <w:marRight w:val="0"/>
      <w:marTop w:val="0"/>
      <w:marBottom w:val="0"/>
      <w:divBdr>
        <w:top w:val="none" w:sz="0" w:space="0" w:color="auto"/>
        <w:left w:val="none" w:sz="0" w:space="0" w:color="auto"/>
        <w:bottom w:val="none" w:sz="0" w:space="0" w:color="auto"/>
        <w:right w:val="none" w:sz="0" w:space="0" w:color="auto"/>
      </w:divBdr>
    </w:div>
    <w:div w:id="767434540">
      <w:bodyDiv w:val="1"/>
      <w:marLeft w:val="0"/>
      <w:marRight w:val="0"/>
      <w:marTop w:val="0"/>
      <w:marBottom w:val="0"/>
      <w:divBdr>
        <w:top w:val="none" w:sz="0" w:space="0" w:color="auto"/>
        <w:left w:val="none" w:sz="0" w:space="0" w:color="auto"/>
        <w:bottom w:val="none" w:sz="0" w:space="0" w:color="auto"/>
        <w:right w:val="none" w:sz="0" w:space="0" w:color="auto"/>
      </w:divBdr>
    </w:div>
    <w:div w:id="800655316">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93333683">
      <w:bodyDiv w:val="1"/>
      <w:marLeft w:val="0"/>
      <w:marRight w:val="0"/>
      <w:marTop w:val="0"/>
      <w:marBottom w:val="0"/>
      <w:divBdr>
        <w:top w:val="none" w:sz="0" w:space="0" w:color="auto"/>
        <w:left w:val="none" w:sz="0" w:space="0" w:color="auto"/>
        <w:bottom w:val="none" w:sz="0" w:space="0" w:color="auto"/>
        <w:right w:val="none" w:sz="0" w:space="0" w:color="auto"/>
      </w:divBdr>
    </w:div>
    <w:div w:id="1019618785">
      <w:bodyDiv w:val="1"/>
      <w:marLeft w:val="0"/>
      <w:marRight w:val="0"/>
      <w:marTop w:val="0"/>
      <w:marBottom w:val="0"/>
      <w:divBdr>
        <w:top w:val="none" w:sz="0" w:space="0" w:color="auto"/>
        <w:left w:val="none" w:sz="0" w:space="0" w:color="auto"/>
        <w:bottom w:val="none" w:sz="0" w:space="0" w:color="auto"/>
        <w:right w:val="none" w:sz="0" w:space="0" w:color="auto"/>
      </w:divBdr>
    </w:div>
    <w:div w:id="1036003478">
      <w:bodyDiv w:val="1"/>
      <w:marLeft w:val="0"/>
      <w:marRight w:val="0"/>
      <w:marTop w:val="0"/>
      <w:marBottom w:val="0"/>
      <w:divBdr>
        <w:top w:val="none" w:sz="0" w:space="0" w:color="auto"/>
        <w:left w:val="none" w:sz="0" w:space="0" w:color="auto"/>
        <w:bottom w:val="none" w:sz="0" w:space="0" w:color="auto"/>
        <w:right w:val="none" w:sz="0" w:space="0" w:color="auto"/>
      </w:divBdr>
    </w:div>
    <w:div w:id="1049256562">
      <w:bodyDiv w:val="1"/>
      <w:marLeft w:val="0"/>
      <w:marRight w:val="0"/>
      <w:marTop w:val="0"/>
      <w:marBottom w:val="0"/>
      <w:divBdr>
        <w:top w:val="none" w:sz="0" w:space="0" w:color="auto"/>
        <w:left w:val="none" w:sz="0" w:space="0" w:color="auto"/>
        <w:bottom w:val="none" w:sz="0" w:space="0" w:color="auto"/>
        <w:right w:val="none" w:sz="0" w:space="0" w:color="auto"/>
      </w:divBdr>
    </w:div>
    <w:div w:id="1056515308">
      <w:bodyDiv w:val="1"/>
      <w:marLeft w:val="0"/>
      <w:marRight w:val="0"/>
      <w:marTop w:val="0"/>
      <w:marBottom w:val="0"/>
      <w:divBdr>
        <w:top w:val="none" w:sz="0" w:space="0" w:color="auto"/>
        <w:left w:val="none" w:sz="0" w:space="0" w:color="auto"/>
        <w:bottom w:val="none" w:sz="0" w:space="0" w:color="auto"/>
        <w:right w:val="none" w:sz="0" w:space="0" w:color="auto"/>
      </w:divBdr>
    </w:div>
    <w:div w:id="1078749374">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50193716">
      <w:bodyDiv w:val="1"/>
      <w:marLeft w:val="0"/>
      <w:marRight w:val="0"/>
      <w:marTop w:val="0"/>
      <w:marBottom w:val="0"/>
      <w:divBdr>
        <w:top w:val="none" w:sz="0" w:space="0" w:color="auto"/>
        <w:left w:val="none" w:sz="0" w:space="0" w:color="auto"/>
        <w:bottom w:val="none" w:sz="0" w:space="0" w:color="auto"/>
        <w:right w:val="none" w:sz="0" w:space="0" w:color="auto"/>
      </w:divBdr>
    </w:div>
    <w:div w:id="1254244540">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109653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531527956">
      <w:bodyDiv w:val="1"/>
      <w:marLeft w:val="0"/>
      <w:marRight w:val="0"/>
      <w:marTop w:val="0"/>
      <w:marBottom w:val="0"/>
      <w:divBdr>
        <w:top w:val="none" w:sz="0" w:space="0" w:color="auto"/>
        <w:left w:val="none" w:sz="0" w:space="0" w:color="auto"/>
        <w:bottom w:val="none" w:sz="0" w:space="0" w:color="auto"/>
        <w:right w:val="none" w:sz="0" w:space="0" w:color="auto"/>
      </w:divBdr>
    </w:div>
    <w:div w:id="1569925861">
      <w:bodyDiv w:val="1"/>
      <w:marLeft w:val="0"/>
      <w:marRight w:val="0"/>
      <w:marTop w:val="0"/>
      <w:marBottom w:val="0"/>
      <w:divBdr>
        <w:top w:val="none" w:sz="0" w:space="0" w:color="auto"/>
        <w:left w:val="none" w:sz="0" w:space="0" w:color="auto"/>
        <w:bottom w:val="none" w:sz="0" w:space="0" w:color="auto"/>
        <w:right w:val="none" w:sz="0" w:space="0" w:color="auto"/>
      </w:divBdr>
    </w:div>
    <w:div w:id="1637683477">
      <w:bodyDiv w:val="1"/>
      <w:marLeft w:val="0"/>
      <w:marRight w:val="0"/>
      <w:marTop w:val="0"/>
      <w:marBottom w:val="0"/>
      <w:divBdr>
        <w:top w:val="none" w:sz="0" w:space="0" w:color="auto"/>
        <w:left w:val="none" w:sz="0" w:space="0" w:color="auto"/>
        <w:bottom w:val="none" w:sz="0" w:space="0" w:color="auto"/>
        <w:right w:val="none" w:sz="0" w:space="0" w:color="auto"/>
      </w:divBdr>
    </w:div>
    <w:div w:id="1668897795">
      <w:bodyDiv w:val="1"/>
      <w:marLeft w:val="0"/>
      <w:marRight w:val="0"/>
      <w:marTop w:val="0"/>
      <w:marBottom w:val="0"/>
      <w:divBdr>
        <w:top w:val="none" w:sz="0" w:space="0" w:color="auto"/>
        <w:left w:val="none" w:sz="0" w:space="0" w:color="auto"/>
        <w:bottom w:val="none" w:sz="0" w:space="0" w:color="auto"/>
        <w:right w:val="none" w:sz="0" w:space="0" w:color="auto"/>
      </w:divBdr>
    </w:div>
    <w:div w:id="1694921694">
      <w:bodyDiv w:val="1"/>
      <w:marLeft w:val="0"/>
      <w:marRight w:val="0"/>
      <w:marTop w:val="0"/>
      <w:marBottom w:val="0"/>
      <w:divBdr>
        <w:top w:val="none" w:sz="0" w:space="0" w:color="auto"/>
        <w:left w:val="none" w:sz="0" w:space="0" w:color="auto"/>
        <w:bottom w:val="none" w:sz="0" w:space="0" w:color="auto"/>
        <w:right w:val="none" w:sz="0" w:space="0" w:color="auto"/>
      </w:divBdr>
    </w:div>
    <w:div w:id="1702899963">
      <w:bodyDiv w:val="1"/>
      <w:marLeft w:val="0"/>
      <w:marRight w:val="0"/>
      <w:marTop w:val="0"/>
      <w:marBottom w:val="0"/>
      <w:divBdr>
        <w:top w:val="none" w:sz="0" w:space="0" w:color="auto"/>
        <w:left w:val="none" w:sz="0" w:space="0" w:color="auto"/>
        <w:bottom w:val="none" w:sz="0" w:space="0" w:color="auto"/>
        <w:right w:val="none" w:sz="0" w:space="0" w:color="auto"/>
      </w:divBdr>
    </w:div>
    <w:div w:id="1716851444">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763062590">
      <w:bodyDiv w:val="1"/>
      <w:marLeft w:val="0"/>
      <w:marRight w:val="0"/>
      <w:marTop w:val="0"/>
      <w:marBottom w:val="0"/>
      <w:divBdr>
        <w:top w:val="none" w:sz="0" w:space="0" w:color="auto"/>
        <w:left w:val="none" w:sz="0" w:space="0" w:color="auto"/>
        <w:bottom w:val="none" w:sz="0" w:space="0" w:color="auto"/>
        <w:right w:val="none" w:sz="0" w:space="0" w:color="auto"/>
      </w:divBdr>
    </w:div>
    <w:div w:id="1992903637">
      <w:bodyDiv w:val="1"/>
      <w:marLeft w:val="0"/>
      <w:marRight w:val="0"/>
      <w:marTop w:val="0"/>
      <w:marBottom w:val="0"/>
      <w:divBdr>
        <w:top w:val="none" w:sz="0" w:space="0" w:color="auto"/>
        <w:left w:val="none" w:sz="0" w:space="0" w:color="auto"/>
        <w:bottom w:val="none" w:sz="0" w:space="0" w:color="auto"/>
        <w:right w:val="none" w:sz="0" w:space="0" w:color="auto"/>
      </w:divBdr>
    </w:div>
    <w:div w:id="1997689127">
      <w:bodyDiv w:val="1"/>
      <w:marLeft w:val="0"/>
      <w:marRight w:val="0"/>
      <w:marTop w:val="0"/>
      <w:marBottom w:val="0"/>
      <w:divBdr>
        <w:top w:val="none" w:sz="0" w:space="0" w:color="auto"/>
        <w:left w:val="none" w:sz="0" w:space="0" w:color="auto"/>
        <w:bottom w:val="none" w:sz="0" w:space="0" w:color="auto"/>
        <w:right w:val="none" w:sz="0" w:space="0" w:color="auto"/>
      </w:divBdr>
    </w:div>
    <w:div w:id="2100514381">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5583D917-2EA8-4BDB-A53F-DDD2F43A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16410</Words>
  <Characters>9355</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Edita Rudakaitė-Šaukštel</cp:lastModifiedBy>
  <cp:revision>4</cp:revision>
  <dcterms:created xsi:type="dcterms:W3CDTF">2023-06-01T12:04:00Z</dcterms:created>
  <dcterms:modified xsi:type="dcterms:W3CDTF">2023-06-01T12:08:00Z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