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29FFA5D5" w:rsidR="0036662A" w:rsidRPr="00F67604" w:rsidRDefault="0036662A" w:rsidP="0036662A">
      <w:pPr>
        <w:jc w:val="center"/>
        <w:rPr>
          <w:b/>
          <w:bCs/>
          <w:szCs w:val="24"/>
        </w:rPr>
      </w:pPr>
      <w:r w:rsidRPr="00F67604">
        <w:rPr>
          <w:b/>
          <w:bCs/>
          <w:szCs w:val="24"/>
        </w:rPr>
        <w:t xml:space="preserve">LIETUVOS RESPUBLIKOS </w:t>
      </w:r>
      <w:r w:rsidR="00AA30C9" w:rsidRPr="00F67604">
        <w:rPr>
          <w:b/>
          <w:bCs/>
          <w:szCs w:val="24"/>
        </w:rPr>
        <w:t>EKONOMIKOS IR INOVACIJŲ</w:t>
      </w:r>
      <w:r w:rsidRPr="00F67604">
        <w:rPr>
          <w:b/>
          <w:bCs/>
          <w:szCs w:val="24"/>
        </w:rPr>
        <w:t xml:space="preserve"> MINISTERIJA</w:t>
      </w:r>
    </w:p>
    <w:p w14:paraId="4BE9C383" w14:textId="77777777" w:rsidR="0036662A" w:rsidRPr="00F67604" w:rsidRDefault="0036662A" w:rsidP="0036662A">
      <w:pPr>
        <w:jc w:val="center"/>
        <w:rPr>
          <w:b/>
          <w:bCs/>
          <w:szCs w:val="24"/>
        </w:rPr>
      </w:pPr>
    </w:p>
    <w:p w14:paraId="61FE5354" w14:textId="1ADE0365" w:rsidR="0036662A" w:rsidRPr="00F67604" w:rsidRDefault="00053ACF" w:rsidP="00DD3616">
      <w:pPr>
        <w:jc w:val="center"/>
        <w:rPr>
          <w:b/>
          <w:bCs/>
          <w:szCs w:val="24"/>
        </w:rPr>
      </w:pPr>
      <w:r w:rsidRPr="00F67604">
        <w:rPr>
          <w:b/>
          <w:bCs/>
          <w:szCs w:val="24"/>
        </w:rPr>
        <w:t>2022–2030 METŲ PLĖTROS PROGRAMOS VALDYTOJOS LIETUVOS RESPUBLIKOS EKONOMIKOS IR INOVACIJŲ MINISTERIJOS EKONOMIKOS TRANSFORMACIJOS IR KONKURENCINGUMO PLĖTROS PROGRAMOS PAŽANGOS PRIEMONĖS NR. 05-001-01-0</w:t>
      </w:r>
      <w:r w:rsidR="00A27A58" w:rsidRPr="00F67604">
        <w:rPr>
          <w:b/>
          <w:bCs/>
          <w:szCs w:val="24"/>
        </w:rPr>
        <w:t>4</w:t>
      </w:r>
      <w:r w:rsidRPr="00F67604">
        <w:rPr>
          <w:b/>
          <w:bCs/>
          <w:szCs w:val="24"/>
        </w:rPr>
        <w:t>-0</w:t>
      </w:r>
      <w:r w:rsidR="00A27A58" w:rsidRPr="00F67604">
        <w:rPr>
          <w:b/>
          <w:bCs/>
          <w:szCs w:val="24"/>
        </w:rPr>
        <w:t>2</w:t>
      </w:r>
      <w:r w:rsidRPr="00F67604">
        <w:rPr>
          <w:b/>
          <w:bCs/>
          <w:szCs w:val="24"/>
        </w:rPr>
        <w:t xml:space="preserve"> „SKATINTI ĮMONES </w:t>
      </w:r>
      <w:r w:rsidR="00A27A58" w:rsidRPr="00F67604">
        <w:rPr>
          <w:b/>
          <w:bCs/>
          <w:szCs w:val="24"/>
        </w:rPr>
        <w:t>PEREITI</w:t>
      </w:r>
      <w:r w:rsidR="00894F3E" w:rsidRPr="00F67604">
        <w:rPr>
          <w:b/>
          <w:bCs/>
          <w:szCs w:val="24"/>
        </w:rPr>
        <w:t xml:space="preserve"> INK NEUTRALIOS KLIMATUI EKONOMIKOS</w:t>
      </w:r>
      <w:r w:rsidRPr="00F67604">
        <w:rPr>
          <w:b/>
          <w:bCs/>
          <w:szCs w:val="24"/>
        </w:rPr>
        <w:t>“ VEIKLOS „S</w:t>
      </w:r>
      <w:r w:rsidR="00894F3E" w:rsidRPr="00F67604">
        <w:rPr>
          <w:b/>
          <w:bCs/>
          <w:szCs w:val="24"/>
        </w:rPr>
        <w:t>UDARYTI SĄLYGAS</w:t>
      </w:r>
      <w:r w:rsidR="00E74451" w:rsidRPr="00F67604">
        <w:rPr>
          <w:b/>
          <w:bCs/>
          <w:szCs w:val="24"/>
        </w:rPr>
        <w:t xml:space="preserve"> TVARIAI PRAMONĖS LABAI</w:t>
      </w:r>
      <w:r w:rsidRPr="00F67604">
        <w:rPr>
          <w:b/>
          <w:bCs/>
          <w:szCs w:val="24"/>
        </w:rPr>
        <w:t xml:space="preserve"> MAŽŲ, MAŽŲ IR VIDUTINIŲ ĮMONIŲ </w:t>
      </w:r>
      <w:r w:rsidR="00E74451" w:rsidRPr="00F67604">
        <w:rPr>
          <w:b/>
          <w:bCs/>
          <w:szCs w:val="24"/>
        </w:rPr>
        <w:t>TRANSFORMACIJAI</w:t>
      </w:r>
      <w:r w:rsidRPr="00F67604">
        <w:rPr>
          <w:b/>
          <w:bCs/>
          <w:szCs w:val="24"/>
        </w:rPr>
        <w:t>“</w:t>
      </w:r>
      <w:r w:rsidRPr="00F67604">
        <w:rPr>
          <w:szCs w:val="24"/>
        </w:rPr>
        <w:t xml:space="preserve"> </w:t>
      </w:r>
      <w:r w:rsidR="00FE676E" w:rsidRPr="00F67604">
        <w:rPr>
          <w:b/>
          <w:bCs/>
          <w:szCs w:val="24"/>
        </w:rPr>
        <w:t>POVEIKLĖ „</w:t>
      </w:r>
      <w:r w:rsidR="00574FB9">
        <w:rPr>
          <w:b/>
          <w:bCs/>
          <w:szCs w:val="24"/>
        </w:rPr>
        <w:t>SKATINTI INOVATYVIŲ APLINKAI DRAUGIŠKŲ, T. Y. TVARIŲ PRODUKTŲ GAMYBĄ SKATINANČIŲ, TECHNOLOGIJŲ KŪRIMĄ, DEMONSTRAVIMĄ LABAI MAŽOSE, MAŽOSE IR VIDUTINĖSE ĮMONĖSE, VEIKIANČIOSE SUMANIOSIOS SPECIALIZACIJOS SRITYSE</w:t>
      </w:r>
      <w:r w:rsidR="00F746FF" w:rsidRPr="00F67604">
        <w:rPr>
          <w:b/>
          <w:bCs/>
          <w:szCs w:val="24"/>
        </w:rPr>
        <w:t xml:space="preserve"> (VIDURIO IR VAKARŲ</w:t>
      </w:r>
      <w:r w:rsidR="00F47F31" w:rsidRPr="00F67604">
        <w:rPr>
          <w:b/>
          <w:bCs/>
          <w:szCs w:val="24"/>
        </w:rPr>
        <w:t xml:space="preserve"> LIETUVOS REGIONAS)</w:t>
      </w:r>
      <w:r w:rsidR="00077F31" w:rsidRPr="00F67604">
        <w:rPr>
          <w:b/>
          <w:bCs/>
          <w:szCs w:val="24"/>
        </w:rPr>
        <w:t>“</w:t>
      </w:r>
      <w:r w:rsidR="001F45EE" w:rsidRPr="00F67604">
        <w:rPr>
          <w:b/>
          <w:bCs/>
          <w:szCs w:val="24"/>
        </w:rPr>
        <w:t xml:space="preserve"> </w:t>
      </w:r>
      <w:r w:rsidR="00A3561A">
        <w:rPr>
          <w:b/>
          <w:bCs/>
          <w:szCs w:val="24"/>
        </w:rPr>
        <w:t xml:space="preserve">FINANSAVIMO SĄLYGŲ APRAŠO </w:t>
      </w:r>
      <w:r w:rsidR="00A323E0" w:rsidRPr="00A3561A">
        <w:rPr>
          <w:b/>
          <w:bCs/>
          <w:caps/>
          <w:szCs w:val="24"/>
        </w:rPr>
        <w:t>PROJEKT</w:t>
      </w:r>
      <w:r w:rsidR="001B1DDA" w:rsidRPr="00A3561A">
        <w:rPr>
          <w:b/>
          <w:bCs/>
          <w:caps/>
          <w:szCs w:val="24"/>
        </w:rPr>
        <w:t>o derinim</w:t>
      </w:r>
      <w:r w:rsidR="003074D9">
        <w:rPr>
          <w:b/>
          <w:bCs/>
          <w:caps/>
          <w:szCs w:val="24"/>
        </w:rPr>
        <w:t>as</w:t>
      </w:r>
    </w:p>
    <w:p w14:paraId="74CF9614" w14:textId="77777777" w:rsidR="0036662A" w:rsidRPr="00F67604" w:rsidRDefault="0036662A" w:rsidP="0036662A">
      <w:pPr>
        <w:rPr>
          <w:b/>
          <w:bCs/>
          <w:szCs w:val="24"/>
        </w:rPr>
      </w:pPr>
    </w:p>
    <w:p w14:paraId="7EC3A8AB" w14:textId="2422A9D9" w:rsidR="00762CDC" w:rsidRDefault="00762CDC" w:rsidP="0036662A">
      <w:pPr>
        <w:rPr>
          <w:b/>
          <w:bCs/>
          <w:i/>
          <w:iCs/>
          <w:szCs w:val="24"/>
        </w:rPr>
      </w:pPr>
      <w:r w:rsidRPr="00F67604">
        <w:rPr>
          <w:b/>
          <w:bCs/>
          <w:i/>
          <w:iCs/>
          <w:szCs w:val="24"/>
        </w:rPr>
        <w:t>Viešųjų interesų viršenybei užtikrinti pastabas ir pasiūlymus teikiantys asmenys privalo teisės aktų nustatytas tvarka ir priemonėmis vengti interesų konflikto ir elgtis taip, kad nekiltų abejonių, kad toks konfliktas yra.</w:t>
      </w:r>
    </w:p>
    <w:p w14:paraId="4265982D" w14:textId="77777777" w:rsidR="00F67604" w:rsidRPr="00F67604" w:rsidRDefault="00F67604" w:rsidP="0036662A">
      <w:pPr>
        <w:rPr>
          <w:b/>
          <w:bCs/>
          <w:i/>
          <w:iCs/>
          <w:szCs w:val="24"/>
        </w:rPr>
      </w:pPr>
    </w:p>
    <w:p w14:paraId="6B7D6390" w14:textId="77777777" w:rsidR="00D349AA" w:rsidRPr="00F67604" w:rsidRDefault="00D349AA" w:rsidP="0036662A">
      <w:pPr>
        <w:rPr>
          <w:b/>
          <w:bCs/>
          <w:i/>
          <w:iCs/>
          <w:szCs w:val="24"/>
        </w:rPr>
      </w:pPr>
    </w:p>
    <w:tbl>
      <w:tblPr>
        <w:tblStyle w:val="TableGrid"/>
        <w:tblW w:w="14742" w:type="dxa"/>
        <w:tblInd w:w="108" w:type="dxa"/>
        <w:tblLook w:val="04A0" w:firstRow="1" w:lastRow="0" w:firstColumn="1" w:lastColumn="0" w:noHBand="0" w:noVBand="1"/>
      </w:tblPr>
      <w:tblGrid>
        <w:gridCol w:w="6804"/>
        <w:gridCol w:w="7938"/>
      </w:tblGrid>
      <w:tr w:rsidR="0036662A" w:rsidRPr="00F67604" w14:paraId="186CD4CE" w14:textId="77777777" w:rsidTr="00335D39">
        <w:tc>
          <w:tcPr>
            <w:tcW w:w="6804" w:type="dxa"/>
          </w:tcPr>
          <w:p w14:paraId="5ABD71ED" w14:textId="53972006" w:rsidR="0036662A" w:rsidRPr="00F67604" w:rsidRDefault="0036662A" w:rsidP="00335D39">
            <w:pPr>
              <w:rPr>
                <w:b/>
                <w:szCs w:val="24"/>
              </w:rPr>
            </w:pPr>
            <w:r w:rsidRPr="00F67604">
              <w:rPr>
                <w:b/>
                <w:szCs w:val="24"/>
              </w:rPr>
              <w:t xml:space="preserve">Paskelbimo </w:t>
            </w:r>
            <w:r w:rsidRPr="00F67604">
              <w:rPr>
                <w:szCs w:val="24"/>
              </w:rPr>
              <w:t>www.</w:t>
            </w:r>
            <w:r w:rsidR="005B09A6" w:rsidRPr="00F67604">
              <w:rPr>
                <w:szCs w:val="24"/>
              </w:rPr>
              <w:t xml:space="preserve"> 2021.esinvesticijos.lt </w:t>
            </w:r>
            <w:r w:rsidRPr="00F67604">
              <w:rPr>
                <w:b/>
                <w:szCs w:val="24"/>
              </w:rPr>
              <w:t>data</w:t>
            </w:r>
          </w:p>
        </w:tc>
        <w:tc>
          <w:tcPr>
            <w:tcW w:w="7938" w:type="dxa"/>
          </w:tcPr>
          <w:p w14:paraId="30C88A42" w14:textId="15616C90" w:rsidR="0036662A" w:rsidRPr="00F67604" w:rsidRDefault="00F65129" w:rsidP="00335D39">
            <w:pPr>
              <w:rPr>
                <w:szCs w:val="24"/>
              </w:rPr>
            </w:pPr>
            <w:r w:rsidRPr="00F67604">
              <w:rPr>
                <w:szCs w:val="24"/>
              </w:rPr>
              <w:t>202</w:t>
            </w:r>
            <w:r w:rsidR="00053ACF" w:rsidRPr="00F67604">
              <w:rPr>
                <w:szCs w:val="24"/>
              </w:rPr>
              <w:t>3</w:t>
            </w:r>
            <w:r w:rsidRPr="00F67604">
              <w:rPr>
                <w:szCs w:val="24"/>
              </w:rPr>
              <w:t>-0</w:t>
            </w:r>
            <w:r w:rsidR="00601513" w:rsidRPr="00F67604">
              <w:rPr>
                <w:szCs w:val="24"/>
              </w:rPr>
              <w:t>5</w:t>
            </w:r>
            <w:r w:rsidRPr="00F67604">
              <w:rPr>
                <w:szCs w:val="24"/>
              </w:rPr>
              <w:t>-</w:t>
            </w:r>
            <w:r w:rsidR="00601513" w:rsidRPr="00F67604">
              <w:rPr>
                <w:szCs w:val="24"/>
              </w:rPr>
              <w:t>11</w:t>
            </w:r>
          </w:p>
        </w:tc>
      </w:tr>
      <w:tr w:rsidR="0036662A" w:rsidRPr="00F67604" w14:paraId="0B887416" w14:textId="77777777" w:rsidTr="00335D39">
        <w:tc>
          <w:tcPr>
            <w:tcW w:w="6804" w:type="dxa"/>
          </w:tcPr>
          <w:p w14:paraId="222C999C" w14:textId="77777777" w:rsidR="0036662A" w:rsidRPr="00F67604" w:rsidRDefault="0036662A" w:rsidP="00335D39">
            <w:pPr>
              <w:rPr>
                <w:b/>
                <w:szCs w:val="24"/>
              </w:rPr>
            </w:pPr>
            <w:r w:rsidRPr="00F67604">
              <w:rPr>
                <w:b/>
                <w:szCs w:val="24"/>
              </w:rPr>
              <w:t>Ar gauta pastabų ir (ar) pasiūlymų?</w:t>
            </w:r>
          </w:p>
          <w:p w14:paraId="240DC70C" w14:textId="77777777" w:rsidR="0036662A" w:rsidRPr="00F67604" w:rsidRDefault="0036662A" w:rsidP="0036662A">
            <w:pPr>
              <w:rPr>
                <w:i/>
                <w:szCs w:val="24"/>
              </w:rPr>
            </w:pPr>
            <w:r w:rsidRPr="00F67604">
              <w:rPr>
                <w:i/>
                <w:szCs w:val="24"/>
              </w:rPr>
              <w:t>Jei pastabų ir pasiūlymų nebuvo gauta, į kitą klausimą neatsakoma ir žemiau esanti lentelė nepildoma</w:t>
            </w:r>
          </w:p>
        </w:tc>
        <w:tc>
          <w:tcPr>
            <w:tcW w:w="7938" w:type="dxa"/>
          </w:tcPr>
          <w:p w14:paraId="3F99D4E0" w14:textId="289C4488" w:rsidR="0036662A" w:rsidRPr="00F67604" w:rsidRDefault="005B09A6" w:rsidP="0070221E">
            <w:pPr>
              <w:rPr>
                <w:szCs w:val="24"/>
              </w:rPr>
            </w:pPr>
            <w:r w:rsidRPr="00F67604">
              <w:rPr>
                <w:szCs w:val="24"/>
              </w:rPr>
              <w:fldChar w:fldCharType="begin">
                <w:ffData>
                  <w:name w:val="Check1"/>
                  <w:enabled/>
                  <w:calcOnExit w:val="0"/>
                  <w:checkBox>
                    <w:sizeAuto/>
                    <w:default w:val="1"/>
                  </w:checkBox>
                </w:ffData>
              </w:fldChar>
            </w:r>
            <w:bookmarkStart w:id="0" w:name="Check1"/>
            <w:r w:rsidRPr="00F67604">
              <w:rPr>
                <w:szCs w:val="24"/>
              </w:rPr>
              <w:instrText xml:space="preserve"> FORMCHECKBOX </w:instrText>
            </w:r>
            <w:r w:rsidR="00361A8F">
              <w:rPr>
                <w:szCs w:val="24"/>
              </w:rPr>
            </w:r>
            <w:r w:rsidR="00361A8F">
              <w:rPr>
                <w:szCs w:val="24"/>
              </w:rPr>
              <w:fldChar w:fldCharType="separate"/>
            </w:r>
            <w:r w:rsidRPr="00F67604">
              <w:rPr>
                <w:szCs w:val="24"/>
              </w:rPr>
              <w:fldChar w:fldCharType="end"/>
            </w:r>
            <w:bookmarkEnd w:id="0"/>
            <w:r w:rsidR="0036662A" w:rsidRPr="00F67604">
              <w:rPr>
                <w:szCs w:val="24"/>
              </w:rPr>
              <w:t xml:space="preserve"> Taip </w:t>
            </w:r>
            <w:sdt>
              <w:sdtPr>
                <w:rPr>
                  <w:szCs w:val="24"/>
                </w:rPr>
                <w:id w:val="164368749"/>
              </w:sdtPr>
              <w:sdtEndPr/>
              <w:sdtContent>
                <w:r w:rsidRPr="00F67604">
                  <w:rPr>
                    <w:b/>
                    <w:szCs w:val="24"/>
                  </w:rPr>
                  <w:fldChar w:fldCharType="begin">
                    <w:ffData>
                      <w:name w:val=""/>
                      <w:enabled/>
                      <w:calcOnExit w:val="0"/>
                      <w:checkBox>
                        <w:sizeAuto/>
                        <w:default w:val="0"/>
                      </w:checkBox>
                    </w:ffData>
                  </w:fldChar>
                </w:r>
                <w:r w:rsidRPr="00F67604">
                  <w:rPr>
                    <w:b/>
                    <w:szCs w:val="24"/>
                  </w:rPr>
                  <w:instrText xml:space="preserve"> FORMCHECKBOX </w:instrText>
                </w:r>
                <w:r w:rsidR="00361A8F">
                  <w:rPr>
                    <w:b/>
                    <w:szCs w:val="24"/>
                  </w:rPr>
                </w:r>
                <w:r w:rsidR="00361A8F">
                  <w:rPr>
                    <w:b/>
                    <w:szCs w:val="24"/>
                  </w:rPr>
                  <w:fldChar w:fldCharType="separate"/>
                </w:r>
                <w:r w:rsidRPr="00F67604">
                  <w:rPr>
                    <w:b/>
                    <w:szCs w:val="24"/>
                  </w:rPr>
                  <w:fldChar w:fldCharType="end"/>
                </w:r>
                <w:r w:rsidR="0036662A" w:rsidRPr="00F67604">
                  <w:rPr>
                    <w:szCs w:val="24"/>
                  </w:rPr>
                  <w:t xml:space="preserve"> </w:t>
                </w:r>
              </w:sdtContent>
            </w:sdt>
            <w:r w:rsidR="0036662A" w:rsidRPr="00F67604">
              <w:rPr>
                <w:szCs w:val="24"/>
              </w:rPr>
              <w:t xml:space="preserve"> Ne</w:t>
            </w:r>
            <w:r w:rsidR="0036662A" w:rsidRPr="00F67604">
              <w:rPr>
                <w:szCs w:val="24"/>
              </w:rPr>
              <w:fldChar w:fldCharType="begin"/>
            </w:r>
            <w:r w:rsidR="0036662A" w:rsidRPr="00F67604">
              <w:rPr>
                <w:szCs w:val="24"/>
              </w:rPr>
              <w:instrText xml:space="preserve"> FILLIN   \* MERGEFORMAT </w:instrText>
            </w:r>
            <w:r w:rsidR="0036662A" w:rsidRPr="00F67604">
              <w:rPr>
                <w:szCs w:val="24"/>
              </w:rPr>
              <w:fldChar w:fldCharType="end"/>
            </w:r>
          </w:p>
        </w:tc>
      </w:tr>
      <w:tr w:rsidR="0036662A" w:rsidRPr="00F67604" w14:paraId="48ACEA96" w14:textId="77777777" w:rsidTr="00335D39">
        <w:tc>
          <w:tcPr>
            <w:tcW w:w="6804" w:type="dxa"/>
          </w:tcPr>
          <w:p w14:paraId="0CDA3A40" w14:textId="77777777" w:rsidR="0036662A" w:rsidRPr="00F67604" w:rsidRDefault="0036662A" w:rsidP="00335D39">
            <w:pPr>
              <w:rPr>
                <w:b/>
                <w:szCs w:val="24"/>
              </w:rPr>
            </w:pPr>
            <w:r w:rsidRPr="00F67604">
              <w:rPr>
                <w:b/>
                <w:szCs w:val="24"/>
              </w:rPr>
              <w:t>Ar į visas pastabas ir (ar) pasiūlymus atsižvelgta?</w:t>
            </w:r>
          </w:p>
          <w:p w14:paraId="2AF95CF4" w14:textId="77777777" w:rsidR="0036662A" w:rsidRPr="00F67604" w:rsidRDefault="0036662A" w:rsidP="00335D39">
            <w:pPr>
              <w:rPr>
                <w:i/>
                <w:szCs w:val="24"/>
              </w:rPr>
            </w:pPr>
            <w:r w:rsidRPr="00F67604">
              <w:rPr>
                <w:i/>
                <w:szCs w:val="24"/>
              </w:rPr>
              <w:t>Jei atsižvelgta į visas pastabas ir (ar) pasiūlymus, žemiau esanti lentelė nepildoma</w:t>
            </w:r>
          </w:p>
        </w:tc>
        <w:tc>
          <w:tcPr>
            <w:tcW w:w="7938" w:type="dxa"/>
          </w:tcPr>
          <w:p w14:paraId="3B6FBCDB" w14:textId="57919826" w:rsidR="0036662A" w:rsidRPr="00F67604" w:rsidRDefault="00361A8F" w:rsidP="0070221E">
            <w:pPr>
              <w:rPr>
                <w:szCs w:val="24"/>
              </w:rPr>
            </w:pPr>
            <w:sdt>
              <w:sdtPr>
                <w:rPr>
                  <w:szCs w:val="24"/>
                </w:rPr>
                <w:id w:val="-338542889"/>
              </w:sdtPr>
              <w:sdtEndPr/>
              <w:sdtContent>
                <w:r w:rsidR="00053ACF" w:rsidRPr="00F67604">
                  <w:rPr>
                    <w:szCs w:val="24"/>
                  </w:rPr>
                  <w:fldChar w:fldCharType="begin">
                    <w:ffData>
                      <w:name w:val=""/>
                      <w:enabled w:val="0"/>
                      <w:calcOnExit w:val="0"/>
                      <w:checkBox>
                        <w:sizeAuto/>
                        <w:default w:val="0"/>
                      </w:checkBox>
                    </w:ffData>
                  </w:fldChar>
                </w:r>
                <w:r w:rsidR="00053ACF" w:rsidRPr="00F67604">
                  <w:rPr>
                    <w:szCs w:val="24"/>
                  </w:rPr>
                  <w:instrText xml:space="preserve"> FORMCHECKBOX </w:instrText>
                </w:r>
                <w:r>
                  <w:rPr>
                    <w:szCs w:val="24"/>
                  </w:rPr>
                </w:r>
                <w:r>
                  <w:rPr>
                    <w:szCs w:val="24"/>
                  </w:rPr>
                  <w:fldChar w:fldCharType="separate"/>
                </w:r>
                <w:r w:rsidR="00053ACF" w:rsidRPr="00F67604">
                  <w:rPr>
                    <w:szCs w:val="24"/>
                  </w:rPr>
                  <w:fldChar w:fldCharType="end"/>
                </w:r>
              </w:sdtContent>
            </w:sdt>
            <w:r w:rsidR="00015942" w:rsidRPr="00F67604">
              <w:rPr>
                <w:szCs w:val="24"/>
              </w:rPr>
              <w:t xml:space="preserve"> </w:t>
            </w:r>
            <w:r w:rsidR="0036662A" w:rsidRPr="00F67604">
              <w:rPr>
                <w:szCs w:val="24"/>
              </w:rPr>
              <w:t xml:space="preserve">Taip </w:t>
            </w:r>
            <w:sdt>
              <w:sdtPr>
                <w:rPr>
                  <w:szCs w:val="24"/>
                </w:rPr>
                <w:id w:val="-1548671976"/>
              </w:sdtPr>
              <w:sdtEndPr/>
              <w:sdtContent>
                <w:r w:rsidR="0050761B" w:rsidRPr="00F67604">
                  <w:rPr>
                    <w:szCs w:val="24"/>
                  </w:rPr>
                  <w:fldChar w:fldCharType="begin">
                    <w:ffData>
                      <w:name w:val=""/>
                      <w:enabled/>
                      <w:calcOnExit w:val="0"/>
                      <w:checkBox>
                        <w:sizeAuto/>
                        <w:default w:val="1"/>
                      </w:checkBox>
                    </w:ffData>
                  </w:fldChar>
                </w:r>
                <w:r w:rsidR="0050761B" w:rsidRPr="00F67604">
                  <w:rPr>
                    <w:szCs w:val="24"/>
                  </w:rPr>
                  <w:instrText xml:space="preserve"> FORMCHECKBOX </w:instrText>
                </w:r>
                <w:r>
                  <w:rPr>
                    <w:szCs w:val="24"/>
                  </w:rPr>
                </w:r>
                <w:r>
                  <w:rPr>
                    <w:szCs w:val="24"/>
                  </w:rPr>
                  <w:fldChar w:fldCharType="separate"/>
                </w:r>
                <w:r w:rsidR="0050761B" w:rsidRPr="00F67604">
                  <w:rPr>
                    <w:szCs w:val="24"/>
                  </w:rPr>
                  <w:fldChar w:fldCharType="end"/>
                </w:r>
              </w:sdtContent>
            </w:sdt>
            <w:r w:rsidR="0036662A" w:rsidRPr="00F67604">
              <w:rPr>
                <w:szCs w:val="24"/>
              </w:rPr>
              <w:t xml:space="preserve"> Ne </w:t>
            </w:r>
          </w:p>
        </w:tc>
      </w:tr>
    </w:tbl>
    <w:p w14:paraId="2CB04BD8" w14:textId="77777777" w:rsidR="0036662A" w:rsidRDefault="0036662A" w:rsidP="0036662A">
      <w:pPr>
        <w:rPr>
          <w:szCs w:val="24"/>
        </w:rPr>
      </w:pPr>
    </w:p>
    <w:p w14:paraId="7B70F8BA" w14:textId="77777777" w:rsidR="00DE1870" w:rsidRPr="00F67604" w:rsidRDefault="00DE1870" w:rsidP="0036662A">
      <w:pPr>
        <w:rPr>
          <w:szCs w:val="24"/>
        </w:rPr>
      </w:pPr>
    </w:p>
    <w:tbl>
      <w:tblPr>
        <w:tblStyle w:val="TableGrid"/>
        <w:tblW w:w="14879" w:type="dxa"/>
        <w:tblLayout w:type="fixed"/>
        <w:tblLook w:val="04A0" w:firstRow="1" w:lastRow="0" w:firstColumn="1" w:lastColumn="0" w:noHBand="0" w:noVBand="1"/>
      </w:tblPr>
      <w:tblGrid>
        <w:gridCol w:w="567"/>
        <w:gridCol w:w="1560"/>
        <w:gridCol w:w="7541"/>
        <w:gridCol w:w="5211"/>
      </w:tblGrid>
      <w:tr w:rsidR="0036662A" w:rsidRPr="00157875" w14:paraId="6A4E2F17" w14:textId="77777777" w:rsidTr="00DE1870">
        <w:tc>
          <w:tcPr>
            <w:tcW w:w="567" w:type="dxa"/>
            <w:tcBorders>
              <w:top w:val="single" w:sz="4" w:space="0" w:color="auto"/>
              <w:left w:val="single" w:sz="4" w:space="0" w:color="auto"/>
              <w:bottom w:val="single" w:sz="4" w:space="0" w:color="auto"/>
              <w:right w:val="single" w:sz="4" w:space="0" w:color="auto"/>
            </w:tcBorders>
          </w:tcPr>
          <w:p w14:paraId="025A5EA9" w14:textId="77777777" w:rsidR="0036662A" w:rsidRPr="00157875" w:rsidRDefault="0036662A" w:rsidP="00020CB7">
            <w:pPr>
              <w:jc w:val="center"/>
              <w:rPr>
                <w:b/>
                <w:szCs w:val="24"/>
              </w:rPr>
            </w:pPr>
            <w:r w:rsidRPr="00157875">
              <w:rPr>
                <w:b/>
                <w:szCs w:val="24"/>
              </w:rPr>
              <w:t>Nr.</w:t>
            </w:r>
          </w:p>
        </w:tc>
        <w:tc>
          <w:tcPr>
            <w:tcW w:w="1560" w:type="dxa"/>
            <w:tcBorders>
              <w:top w:val="single" w:sz="4" w:space="0" w:color="auto"/>
              <w:left w:val="single" w:sz="4" w:space="0" w:color="auto"/>
              <w:bottom w:val="single" w:sz="4" w:space="0" w:color="auto"/>
              <w:right w:val="single" w:sz="4" w:space="0" w:color="auto"/>
            </w:tcBorders>
          </w:tcPr>
          <w:p w14:paraId="5FEE2DEB" w14:textId="7E1EC09F" w:rsidR="0036662A" w:rsidRPr="00157875" w:rsidRDefault="0036662A" w:rsidP="00020CB7">
            <w:pPr>
              <w:jc w:val="center"/>
              <w:rPr>
                <w:b/>
                <w:szCs w:val="24"/>
              </w:rPr>
            </w:pPr>
            <w:r w:rsidRPr="00157875">
              <w:rPr>
                <w:b/>
                <w:szCs w:val="24"/>
              </w:rPr>
              <w:t>Institucija</w:t>
            </w:r>
            <w:r w:rsidR="00601513" w:rsidRPr="00157875">
              <w:rPr>
                <w:b/>
                <w:szCs w:val="24"/>
              </w:rPr>
              <w:t>, organizacija</w:t>
            </w:r>
          </w:p>
        </w:tc>
        <w:tc>
          <w:tcPr>
            <w:tcW w:w="7541" w:type="dxa"/>
            <w:tcBorders>
              <w:top w:val="single" w:sz="4" w:space="0" w:color="auto"/>
              <w:left w:val="single" w:sz="4" w:space="0" w:color="auto"/>
              <w:bottom w:val="single" w:sz="4" w:space="0" w:color="auto"/>
              <w:right w:val="single" w:sz="4" w:space="0" w:color="auto"/>
            </w:tcBorders>
          </w:tcPr>
          <w:p w14:paraId="4F6476E0" w14:textId="77777777" w:rsidR="0036662A" w:rsidRPr="00157875" w:rsidRDefault="0036662A" w:rsidP="00020CB7">
            <w:pPr>
              <w:jc w:val="center"/>
              <w:rPr>
                <w:b/>
                <w:szCs w:val="24"/>
              </w:rPr>
            </w:pPr>
            <w:r w:rsidRPr="00157875">
              <w:rPr>
                <w:b/>
                <w:bCs/>
                <w:szCs w:val="24"/>
              </w:rPr>
              <w:t>Pastabos ir pasiūlymai</w:t>
            </w:r>
          </w:p>
        </w:tc>
        <w:tc>
          <w:tcPr>
            <w:tcW w:w="5211" w:type="dxa"/>
            <w:tcBorders>
              <w:top w:val="single" w:sz="4" w:space="0" w:color="auto"/>
              <w:left w:val="single" w:sz="4" w:space="0" w:color="auto"/>
              <w:bottom w:val="single" w:sz="4" w:space="0" w:color="auto"/>
              <w:right w:val="single" w:sz="4" w:space="0" w:color="auto"/>
            </w:tcBorders>
          </w:tcPr>
          <w:p w14:paraId="5C314C6F" w14:textId="77777777" w:rsidR="0036662A" w:rsidRPr="00157875" w:rsidRDefault="0036662A" w:rsidP="00020CB7">
            <w:pPr>
              <w:jc w:val="center"/>
              <w:rPr>
                <w:b/>
                <w:szCs w:val="24"/>
              </w:rPr>
            </w:pPr>
            <w:r w:rsidRPr="00157875">
              <w:rPr>
                <w:b/>
                <w:bCs/>
                <w:szCs w:val="24"/>
              </w:rPr>
              <w:t>Pastabų ir pasiūlymų vertinimas ir (jei taikoma) argumentai, kodėl neatsižvelgta į pastabas ar pasiūlymus</w:t>
            </w:r>
          </w:p>
        </w:tc>
      </w:tr>
      <w:tr w:rsidR="001B1DDA" w:rsidRPr="00157875" w14:paraId="363F22FF" w14:textId="77777777" w:rsidTr="00585B98">
        <w:trPr>
          <w:trHeight w:val="2762"/>
        </w:trPr>
        <w:tc>
          <w:tcPr>
            <w:tcW w:w="567" w:type="dxa"/>
            <w:tcBorders>
              <w:top w:val="single" w:sz="4" w:space="0" w:color="auto"/>
              <w:bottom w:val="single" w:sz="4" w:space="0" w:color="auto"/>
            </w:tcBorders>
          </w:tcPr>
          <w:p w14:paraId="5581E481" w14:textId="713774DD" w:rsidR="001B1DDA" w:rsidRPr="00157875" w:rsidRDefault="001B1DDA" w:rsidP="00020CB7">
            <w:pPr>
              <w:jc w:val="center"/>
              <w:rPr>
                <w:bCs/>
                <w:szCs w:val="24"/>
              </w:rPr>
            </w:pPr>
            <w:r w:rsidRPr="00157875">
              <w:rPr>
                <w:szCs w:val="24"/>
              </w:rPr>
              <w:lastRenderedPageBreak/>
              <w:t>1.</w:t>
            </w:r>
          </w:p>
        </w:tc>
        <w:tc>
          <w:tcPr>
            <w:tcW w:w="1560" w:type="dxa"/>
            <w:tcBorders>
              <w:top w:val="single" w:sz="4" w:space="0" w:color="auto"/>
              <w:bottom w:val="single" w:sz="4" w:space="0" w:color="auto"/>
            </w:tcBorders>
          </w:tcPr>
          <w:p w14:paraId="1BED452B" w14:textId="49B39EF3" w:rsidR="001B1DDA" w:rsidRPr="00361A8F" w:rsidRDefault="001B1DDA" w:rsidP="00361A8F">
            <w:pPr>
              <w:spacing w:after="80"/>
              <w:rPr>
                <w:color w:val="302957"/>
                <w:szCs w:val="24"/>
                <w:lang w:val="en-US"/>
              </w:rPr>
            </w:pPr>
            <w:r w:rsidRPr="00157875">
              <w:rPr>
                <w:color w:val="002060"/>
                <w:szCs w:val="24"/>
                <w:bdr w:val="none" w:sz="0" w:space="0" w:color="auto" w:frame="1"/>
                <w:shd w:val="clear" w:color="auto" w:fill="FFFFFF"/>
              </w:rPr>
              <w:t>ManuFuture Lab skyrius</w:t>
            </w:r>
            <w:r w:rsidRPr="00157875">
              <w:rPr>
                <w:color w:val="002060"/>
                <w:szCs w:val="24"/>
                <w:lang w:val="en-US"/>
              </w:rPr>
              <w:t xml:space="preserve">| Proveržio departamentas </w:t>
            </w:r>
          </w:p>
          <w:p w14:paraId="73281E0C" w14:textId="61414240" w:rsidR="001B1DDA" w:rsidRPr="00157875" w:rsidRDefault="001B1DDA" w:rsidP="001B1DDA">
            <w:pPr>
              <w:rPr>
                <w:szCs w:val="24"/>
              </w:rPr>
            </w:pPr>
          </w:p>
        </w:tc>
        <w:tc>
          <w:tcPr>
            <w:tcW w:w="7541" w:type="dxa"/>
            <w:tcBorders>
              <w:top w:val="single" w:sz="4" w:space="0" w:color="auto"/>
              <w:bottom w:val="single" w:sz="4" w:space="0" w:color="auto"/>
            </w:tcBorders>
          </w:tcPr>
          <w:p w14:paraId="34928FB6" w14:textId="5E3F5022" w:rsidR="001B1DDA" w:rsidRPr="00157875" w:rsidRDefault="00AF4773" w:rsidP="001B1DDA">
            <w:pPr>
              <w:rPr>
                <w:szCs w:val="24"/>
              </w:rPr>
            </w:pPr>
            <w:r w:rsidRPr="00157875">
              <w:rPr>
                <w:szCs w:val="24"/>
              </w:rPr>
              <w:t>A</w:t>
            </w:r>
            <w:r w:rsidR="001B1DDA" w:rsidRPr="00157875">
              <w:rPr>
                <w:szCs w:val="24"/>
              </w:rPr>
              <w:t>r mokslo ir studijų institucijos, esančios ir turinčios laboratorijas su įranga Vilniuje, galės būti minėto projekto, skirto VVL regionui,  partneriais.</w:t>
            </w:r>
          </w:p>
          <w:p w14:paraId="75A00697" w14:textId="77777777" w:rsidR="001B1DDA" w:rsidRPr="00157875" w:rsidRDefault="001B1DDA" w:rsidP="001B1DDA">
            <w:pPr>
              <w:rPr>
                <w:szCs w:val="24"/>
              </w:rPr>
            </w:pPr>
            <w:r w:rsidRPr="00157875">
              <w:rPr>
                <w:szCs w:val="24"/>
              </w:rPr>
              <w:t>Tyrimai ypač priklausantys MT TPL klasifikavimui, vyks  laboratorijose. Laboratorijos su įranga neišveši į VVL regioną. Nebūtų teisinga apriboti Vilniaus mokslininkų dalyvavimą, o ir VVL MSI ne visi turi tam galimybes atlikti tam tikrus tyrimus.</w:t>
            </w:r>
          </w:p>
          <w:p w14:paraId="6515B5DB" w14:textId="1729C804" w:rsidR="001B1DDA" w:rsidRPr="00157875" w:rsidRDefault="001B1DDA" w:rsidP="001B1DDA">
            <w:pPr>
              <w:rPr>
                <w:szCs w:val="24"/>
              </w:rPr>
            </w:pPr>
          </w:p>
        </w:tc>
        <w:tc>
          <w:tcPr>
            <w:tcW w:w="5211" w:type="dxa"/>
            <w:tcBorders>
              <w:top w:val="single" w:sz="4" w:space="0" w:color="auto"/>
              <w:bottom w:val="single" w:sz="4" w:space="0" w:color="auto"/>
            </w:tcBorders>
          </w:tcPr>
          <w:p w14:paraId="756B733E" w14:textId="17364078" w:rsidR="001C6721" w:rsidRPr="00157875" w:rsidRDefault="001B1DDA" w:rsidP="001C6721">
            <w:pPr>
              <w:rPr>
                <w:caps/>
                <w:szCs w:val="24"/>
              </w:rPr>
            </w:pPr>
            <w:r w:rsidRPr="00157875">
              <w:rPr>
                <w:szCs w:val="24"/>
              </w:rPr>
              <w:t xml:space="preserve"> </w:t>
            </w:r>
            <w:r w:rsidR="001860EE" w:rsidRPr="00157875">
              <w:rPr>
                <w:color w:val="000000"/>
                <w:szCs w:val="24"/>
              </w:rPr>
              <w:t>Projekto ar jo dalies (veiklos) išlaidų priskyrimas įgyvendinimo regionui nustatomas projekto sutartyje. Jei projekto sutartyje nustatytas požymis, kad projektas arba jo dalis (veikla) įgyvendinami Vidurio ir vakarų Lietuvos regione, visos projekto ar jo dalies (veiklos) išlaidos priskiriamos atitinkamam įgyvendinimo regionui. Visi tokio projekto ar jo dalies (veiklos) rodiklių pasiekimai priskiriami atitinkamam įgyvendinimo regionui.</w:t>
            </w:r>
          </w:p>
          <w:p w14:paraId="1E148D81" w14:textId="74C6FCF7" w:rsidR="00585B98" w:rsidRPr="00157875" w:rsidRDefault="001860EE" w:rsidP="00585B98">
            <w:pPr>
              <w:pStyle w:val="ListParagraph"/>
              <w:tabs>
                <w:tab w:val="left" w:pos="711"/>
              </w:tabs>
              <w:ind w:left="2" w:hanging="2"/>
              <w:jc w:val="both"/>
              <w:rPr>
                <w:szCs w:val="24"/>
              </w:rPr>
            </w:pPr>
            <w:r w:rsidRPr="00157875">
              <w:rPr>
                <w:szCs w:val="24"/>
              </w:rPr>
              <w:t xml:space="preserve">Aprašo 2.4.1 papunktis nurodo: </w:t>
            </w:r>
          </w:p>
          <w:p w14:paraId="45E8AE37" w14:textId="299396FF" w:rsidR="001860EE" w:rsidRPr="00157875" w:rsidRDefault="001860EE" w:rsidP="004922EC">
            <w:pPr>
              <w:pStyle w:val="ListParagraph"/>
              <w:tabs>
                <w:tab w:val="left" w:pos="711"/>
              </w:tabs>
              <w:ind w:left="2" w:hanging="2"/>
              <w:jc w:val="both"/>
              <w:rPr>
                <w:szCs w:val="24"/>
              </w:rPr>
            </w:pPr>
            <w:r w:rsidRPr="00157875">
              <w:rPr>
                <w:szCs w:val="24"/>
              </w:rPr>
              <w:t>Projektų veiklos įgyvendinamos Vidurio ir vakarų Lietuvos regione. Projektų veiklų priskyrimo regionui vertinimas atliekamas vadovaujantis 2021–2027 metų Europos Sąjungos fondų investicijų programos projektų išlaidų paskirstymo regionams rekomendacijomis, paskelbtomis Europos Sąjungos (toliau–ES) investicijų interneto svetainėje https://2021.esinvesticijos.lt/dokumentai/2021-2027-metu-europos-sajungos-fondu-investiciju-programos-projektu-islaidu-paskirstymo-regionams-rekomendacijos.</w:t>
            </w:r>
          </w:p>
          <w:p w14:paraId="0CEE8A5F" w14:textId="0A704D4C" w:rsidR="001B1DDA" w:rsidRPr="00157875" w:rsidRDefault="001B1DDA" w:rsidP="00020CB7">
            <w:pPr>
              <w:jc w:val="both"/>
              <w:rPr>
                <w:szCs w:val="24"/>
              </w:rPr>
            </w:pPr>
          </w:p>
        </w:tc>
      </w:tr>
      <w:tr w:rsidR="004922EC" w:rsidRPr="00157875" w14:paraId="2DB39D34" w14:textId="77777777" w:rsidTr="00637EA7">
        <w:trPr>
          <w:trHeight w:val="627"/>
        </w:trPr>
        <w:tc>
          <w:tcPr>
            <w:tcW w:w="567" w:type="dxa"/>
            <w:vMerge w:val="restart"/>
            <w:tcBorders>
              <w:top w:val="single" w:sz="4" w:space="0" w:color="auto"/>
            </w:tcBorders>
          </w:tcPr>
          <w:p w14:paraId="0C27677D" w14:textId="6B137430" w:rsidR="004922EC" w:rsidRPr="00157875" w:rsidRDefault="004922EC" w:rsidP="00020CB7">
            <w:pPr>
              <w:jc w:val="center"/>
              <w:rPr>
                <w:szCs w:val="24"/>
              </w:rPr>
            </w:pPr>
            <w:r w:rsidRPr="00157875">
              <w:rPr>
                <w:szCs w:val="24"/>
              </w:rPr>
              <w:t>2.</w:t>
            </w:r>
          </w:p>
        </w:tc>
        <w:tc>
          <w:tcPr>
            <w:tcW w:w="1560" w:type="dxa"/>
            <w:vMerge w:val="restart"/>
            <w:tcBorders>
              <w:top w:val="single" w:sz="4" w:space="0" w:color="auto"/>
            </w:tcBorders>
          </w:tcPr>
          <w:p w14:paraId="6AD0D18A" w14:textId="77777777" w:rsidR="004922EC" w:rsidRPr="00157875" w:rsidRDefault="004922EC" w:rsidP="00585B98">
            <w:pPr>
              <w:rPr>
                <w:szCs w:val="24"/>
              </w:rPr>
            </w:pPr>
            <w:r w:rsidRPr="00157875">
              <w:rPr>
                <w:szCs w:val="24"/>
              </w:rPr>
              <w:t>UAB "Sėkmės sprendimai"</w:t>
            </w:r>
          </w:p>
          <w:p w14:paraId="68037F03" w14:textId="77777777" w:rsidR="004922EC" w:rsidRPr="00157875" w:rsidRDefault="004922EC" w:rsidP="00585B98">
            <w:pPr>
              <w:rPr>
                <w:szCs w:val="24"/>
              </w:rPr>
            </w:pPr>
            <w:r w:rsidRPr="00157875">
              <w:rPr>
                <w:szCs w:val="24"/>
              </w:rPr>
              <w:t>Tel. +370-659-37318</w:t>
            </w:r>
          </w:p>
          <w:p w14:paraId="692C74DF" w14:textId="77777777" w:rsidR="004922EC" w:rsidRPr="00157875" w:rsidRDefault="004922EC" w:rsidP="00585B98">
            <w:pPr>
              <w:rPr>
                <w:szCs w:val="24"/>
              </w:rPr>
            </w:pPr>
            <w:r w:rsidRPr="00157875">
              <w:rPr>
                <w:szCs w:val="24"/>
              </w:rPr>
              <w:t>V. Grybo g. 19, Vilnius</w:t>
            </w:r>
          </w:p>
          <w:p w14:paraId="5EB9EEA4" w14:textId="77777777" w:rsidR="004922EC" w:rsidRPr="00157875" w:rsidRDefault="004922EC" w:rsidP="001B1DDA">
            <w:pPr>
              <w:spacing w:after="80"/>
              <w:rPr>
                <w:color w:val="302957"/>
                <w:szCs w:val="24"/>
                <w:lang w:val="en-US"/>
              </w:rPr>
            </w:pPr>
          </w:p>
        </w:tc>
        <w:tc>
          <w:tcPr>
            <w:tcW w:w="7541" w:type="dxa"/>
            <w:tcBorders>
              <w:top w:val="single" w:sz="4" w:space="0" w:color="auto"/>
              <w:bottom w:val="single" w:sz="4" w:space="0" w:color="auto"/>
            </w:tcBorders>
          </w:tcPr>
          <w:p w14:paraId="4AEE69DD" w14:textId="77777777" w:rsidR="004922EC" w:rsidRPr="00157875" w:rsidRDefault="004922EC" w:rsidP="00585B98">
            <w:pPr>
              <w:rPr>
                <w:szCs w:val="24"/>
              </w:rPr>
            </w:pPr>
            <w:r w:rsidRPr="00157875">
              <w:rPr>
                <w:szCs w:val="24"/>
              </w:rPr>
              <w:t>1. Prašome sumažinti svorio koeficientą už pirmą prioritetinį atrankos kriterijų (Projekto įgyvendinimo metu sukurtų inovatyvių aplinkai draugiškų technologijų technologinės parengties lygis.), kadangi tai užkerta kelią naujų idėjų vystymui. </w:t>
            </w:r>
          </w:p>
          <w:p w14:paraId="1E04E751" w14:textId="77777777" w:rsidR="004922EC" w:rsidRPr="00157875" w:rsidRDefault="004922EC" w:rsidP="001B1DDA">
            <w:pPr>
              <w:rPr>
                <w:szCs w:val="24"/>
              </w:rPr>
            </w:pPr>
          </w:p>
        </w:tc>
        <w:tc>
          <w:tcPr>
            <w:tcW w:w="5211" w:type="dxa"/>
            <w:tcBorders>
              <w:top w:val="single" w:sz="4" w:space="0" w:color="auto"/>
            </w:tcBorders>
          </w:tcPr>
          <w:p w14:paraId="1B8062E9" w14:textId="77777777" w:rsidR="007D5223" w:rsidRPr="00157875" w:rsidRDefault="007D5223" w:rsidP="007D5223">
            <w:pPr>
              <w:rPr>
                <w:b/>
                <w:bCs/>
                <w:szCs w:val="24"/>
              </w:rPr>
            </w:pPr>
            <w:r w:rsidRPr="00157875">
              <w:rPr>
                <w:b/>
                <w:bCs/>
                <w:szCs w:val="24"/>
              </w:rPr>
              <w:t xml:space="preserve">Neatsižvelgta. </w:t>
            </w:r>
          </w:p>
          <w:p w14:paraId="3D2ACAD2" w14:textId="3D091AC6" w:rsidR="00950660" w:rsidRPr="00157875" w:rsidRDefault="00157875" w:rsidP="007D5223">
            <w:pPr>
              <w:rPr>
                <w:szCs w:val="24"/>
              </w:rPr>
            </w:pPr>
            <w:r w:rsidRPr="00157875">
              <w:rPr>
                <w:szCs w:val="24"/>
              </w:rPr>
              <w:t xml:space="preserve">Siekiamybė yra skatinti  </w:t>
            </w:r>
            <w:r w:rsidR="007D5223" w:rsidRPr="00157875">
              <w:rPr>
                <w:szCs w:val="24"/>
              </w:rPr>
              <w:t>kuriamų inovatyvių aplinkai draugiškų technologijų įgyvendinim</w:t>
            </w:r>
            <w:r w:rsidRPr="00157875">
              <w:rPr>
                <w:szCs w:val="24"/>
              </w:rPr>
              <w:t>ą</w:t>
            </w:r>
            <w:r w:rsidR="007D5223" w:rsidRPr="00157875">
              <w:rPr>
                <w:szCs w:val="24"/>
              </w:rPr>
              <w:t xml:space="preserve">. </w:t>
            </w:r>
          </w:p>
        </w:tc>
      </w:tr>
      <w:tr w:rsidR="004922EC" w:rsidRPr="00157875" w14:paraId="655E6F73" w14:textId="77777777" w:rsidTr="00637EA7">
        <w:trPr>
          <w:trHeight w:val="627"/>
        </w:trPr>
        <w:tc>
          <w:tcPr>
            <w:tcW w:w="567" w:type="dxa"/>
            <w:vMerge/>
          </w:tcPr>
          <w:p w14:paraId="28A043C7" w14:textId="77777777" w:rsidR="004922EC" w:rsidRPr="00157875" w:rsidRDefault="004922EC" w:rsidP="00020CB7">
            <w:pPr>
              <w:jc w:val="center"/>
              <w:rPr>
                <w:szCs w:val="24"/>
              </w:rPr>
            </w:pPr>
          </w:p>
        </w:tc>
        <w:tc>
          <w:tcPr>
            <w:tcW w:w="1560" w:type="dxa"/>
            <w:vMerge/>
          </w:tcPr>
          <w:p w14:paraId="2754ED08" w14:textId="77777777" w:rsidR="004922EC" w:rsidRPr="00157875" w:rsidRDefault="004922EC" w:rsidP="00585B98">
            <w:pPr>
              <w:rPr>
                <w:szCs w:val="24"/>
              </w:rPr>
            </w:pPr>
          </w:p>
        </w:tc>
        <w:tc>
          <w:tcPr>
            <w:tcW w:w="7541" w:type="dxa"/>
            <w:tcBorders>
              <w:top w:val="single" w:sz="4" w:space="0" w:color="auto"/>
              <w:bottom w:val="single" w:sz="4" w:space="0" w:color="auto"/>
            </w:tcBorders>
          </w:tcPr>
          <w:p w14:paraId="767A8039" w14:textId="77777777" w:rsidR="004922EC" w:rsidRPr="00157875" w:rsidRDefault="004922EC" w:rsidP="00585B98">
            <w:pPr>
              <w:rPr>
                <w:szCs w:val="24"/>
              </w:rPr>
            </w:pPr>
            <w:r w:rsidRPr="00157875">
              <w:rPr>
                <w:szCs w:val="24"/>
              </w:rPr>
              <w:t>2. Kaip papildomą prioritetinį atrankos kriterijų siūlome įtraukti aplinkosauginio poveikio mastą: produkto būvio ciklo metu energijos sąnaudų, žaliavų, susidarančių atliekų, pavojingų medžiagų kiekio sumažėjimas procentais. Tai paskatintų didesnį aplinkosauginį efektą turinčių projektų atrinkimą.</w:t>
            </w:r>
          </w:p>
          <w:p w14:paraId="0016072E" w14:textId="77777777" w:rsidR="004922EC" w:rsidRPr="00157875" w:rsidRDefault="004922EC" w:rsidP="004922EC">
            <w:pPr>
              <w:rPr>
                <w:szCs w:val="24"/>
              </w:rPr>
            </w:pPr>
          </w:p>
        </w:tc>
        <w:tc>
          <w:tcPr>
            <w:tcW w:w="5211" w:type="dxa"/>
          </w:tcPr>
          <w:p w14:paraId="6942E8D7" w14:textId="43DDEE33" w:rsidR="007B201C" w:rsidRPr="00157875" w:rsidRDefault="007D5223" w:rsidP="007B201C">
            <w:pPr>
              <w:pStyle w:val="xpf0"/>
              <w:shd w:val="clear" w:color="auto" w:fill="FFFFFF"/>
              <w:rPr>
                <w:rStyle w:val="contentpasted2"/>
                <w:rFonts w:ascii="Times New Roman" w:hAnsi="Times New Roman" w:cs="Times New Roman"/>
                <w:b/>
                <w:bCs/>
                <w:color w:val="000000"/>
                <w:sz w:val="24"/>
                <w:szCs w:val="24"/>
              </w:rPr>
            </w:pPr>
            <w:r w:rsidRPr="00157875">
              <w:rPr>
                <w:rStyle w:val="contentpasted2"/>
                <w:rFonts w:ascii="Times New Roman" w:hAnsi="Times New Roman" w:cs="Times New Roman"/>
                <w:b/>
                <w:bCs/>
                <w:color w:val="000000"/>
                <w:sz w:val="24"/>
                <w:szCs w:val="24"/>
              </w:rPr>
              <w:t>Neatsižvelgta.</w:t>
            </w:r>
          </w:p>
          <w:p w14:paraId="77EF96B0" w14:textId="4C8E3104" w:rsidR="007B201C" w:rsidRPr="00157875" w:rsidRDefault="007D5223" w:rsidP="003074D9">
            <w:pPr>
              <w:tabs>
                <w:tab w:val="left" w:pos="426"/>
                <w:tab w:val="left" w:pos="711"/>
                <w:tab w:val="left" w:pos="743"/>
              </w:tabs>
              <w:ind w:left="2" w:hanging="2"/>
              <w:jc w:val="both"/>
              <w:rPr>
                <w:szCs w:val="24"/>
              </w:rPr>
            </w:pPr>
            <w:r w:rsidRPr="00157875">
              <w:rPr>
                <w:szCs w:val="24"/>
              </w:rPr>
              <w:t>Kriterijų viešas aptarimas vyko</w:t>
            </w:r>
            <w:r w:rsidRPr="00157875">
              <w:rPr>
                <w:color w:val="444444"/>
                <w:spacing w:val="2"/>
                <w:szCs w:val="24"/>
                <w:shd w:val="clear" w:color="auto" w:fill="FFFFFF"/>
              </w:rPr>
              <w:t> iki 2023 m. balandžio 26 d. (imtinai).</w:t>
            </w:r>
            <w:r w:rsidRPr="00157875">
              <w:rPr>
                <w:szCs w:val="24"/>
              </w:rPr>
              <w:t xml:space="preserve"> </w:t>
            </w:r>
            <w:r w:rsidR="007B201C" w:rsidRPr="00157875">
              <w:rPr>
                <w:szCs w:val="24"/>
              </w:rPr>
              <w:t xml:space="preserve">Nustatyti projektų atrankos kriterijai, patvirtinti </w:t>
            </w:r>
            <w:r w:rsidR="007B201C" w:rsidRPr="00157875">
              <w:rPr>
                <w:szCs w:val="24"/>
              </w:rPr>
              <w:br/>
              <w:t xml:space="preserve">2021–2027 metų Europos Sąjungos fondų investicijų programos stebėsenos komiteto 2023 m.  </w:t>
            </w:r>
            <w:r w:rsidR="007B201C" w:rsidRPr="00157875">
              <w:rPr>
                <w:szCs w:val="24"/>
              </w:rPr>
              <w:lastRenderedPageBreak/>
              <w:t xml:space="preserve">gegužės 24 d. protokoliniu sprendimu Nr. 46P-5(11). </w:t>
            </w:r>
          </w:p>
          <w:p w14:paraId="79CD34C2" w14:textId="77777777" w:rsidR="007B201C" w:rsidRPr="00157875" w:rsidRDefault="007B201C" w:rsidP="00AE1566">
            <w:pPr>
              <w:tabs>
                <w:tab w:val="left" w:pos="426"/>
                <w:tab w:val="left" w:pos="711"/>
                <w:tab w:val="left" w:pos="743"/>
              </w:tabs>
              <w:ind w:left="743" w:hanging="743"/>
              <w:jc w:val="both"/>
              <w:rPr>
                <w:szCs w:val="24"/>
              </w:rPr>
            </w:pPr>
          </w:p>
          <w:p w14:paraId="681E16D2" w14:textId="77777777" w:rsidR="004922EC" w:rsidRPr="00157875" w:rsidRDefault="004922EC" w:rsidP="007B201C">
            <w:pPr>
              <w:tabs>
                <w:tab w:val="left" w:pos="426"/>
                <w:tab w:val="left" w:pos="711"/>
                <w:tab w:val="left" w:pos="743"/>
              </w:tabs>
              <w:ind w:left="743" w:hanging="743"/>
              <w:jc w:val="both"/>
              <w:rPr>
                <w:szCs w:val="24"/>
              </w:rPr>
            </w:pPr>
          </w:p>
        </w:tc>
      </w:tr>
      <w:tr w:rsidR="004922EC" w:rsidRPr="00157875" w14:paraId="2B8B257F" w14:textId="77777777" w:rsidTr="00637EA7">
        <w:trPr>
          <w:trHeight w:val="627"/>
        </w:trPr>
        <w:tc>
          <w:tcPr>
            <w:tcW w:w="567" w:type="dxa"/>
            <w:vMerge/>
          </w:tcPr>
          <w:p w14:paraId="72E66B3C" w14:textId="77777777" w:rsidR="004922EC" w:rsidRPr="00157875" w:rsidRDefault="004922EC" w:rsidP="00020CB7">
            <w:pPr>
              <w:jc w:val="center"/>
              <w:rPr>
                <w:szCs w:val="24"/>
              </w:rPr>
            </w:pPr>
          </w:p>
        </w:tc>
        <w:tc>
          <w:tcPr>
            <w:tcW w:w="1560" w:type="dxa"/>
            <w:vMerge/>
          </w:tcPr>
          <w:p w14:paraId="0CACE28C" w14:textId="77777777" w:rsidR="004922EC" w:rsidRPr="00157875" w:rsidRDefault="004922EC" w:rsidP="00585B98">
            <w:pPr>
              <w:rPr>
                <w:szCs w:val="24"/>
              </w:rPr>
            </w:pPr>
          </w:p>
        </w:tc>
        <w:tc>
          <w:tcPr>
            <w:tcW w:w="7541" w:type="dxa"/>
            <w:tcBorders>
              <w:top w:val="single" w:sz="4" w:space="0" w:color="auto"/>
              <w:bottom w:val="single" w:sz="4" w:space="0" w:color="auto"/>
            </w:tcBorders>
          </w:tcPr>
          <w:p w14:paraId="385ACD25" w14:textId="4B9B638F" w:rsidR="004922EC" w:rsidRPr="00157875" w:rsidRDefault="004922EC" w:rsidP="00585B98">
            <w:pPr>
              <w:rPr>
                <w:szCs w:val="24"/>
              </w:rPr>
            </w:pPr>
            <w:r w:rsidRPr="00157875">
              <w:rPr>
                <w:szCs w:val="24"/>
              </w:rPr>
              <w:t>3. Prašome leisti kvietime dalyvauti įmonėms nuo 1 metų amžiau ir apskaičiuoti jų vidutines pajamas nuo įkūrimo datos. Tai leistų konkurse dalyvauti neseniai įsteigtoms įmonėms bei prisidėtų prie didesnės projektų įvairovės.</w:t>
            </w:r>
          </w:p>
          <w:p w14:paraId="5F7BD12D" w14:textId="77777777" w:rsidR="004922EC" w:rsidRPr="00157875" w:rsidRDefault="004922EC" w:rsidP="001B1DDA">
            <w:pPr>
              <w:rPr>
                <w:szCs w:val="24"/>
              </w:rPr>
            </w:pPr>
          </w:p>
        </w:tc>
        <w:tc>
          <w:tcPr>
            <w:tcW w:w="5211" w:type="dxa"/>
          </w:tcPr>
          <w:p w14:paraId="077602C9" w14:textId="77777777" w:rsidR="00157875" w:rsidRPr="00157875" w:rsidRDefault="007B201C" w:rsidP="00157875">
            <w:pPr>
              <w:tabs>
                <w:tab w:val="left" w:pos="426"/>
                <w:tab w:val="left" w:pos="711"/>
                <w:tab w:val="left" w:pos="743"/>
              </w:tabs>
              <w:ind w:left="2" w:hanging="2"/>
              <w:jc w:val="both"/>
              <w:rPr>
                <w:szCs w:val="24"/>
              </w:rPr>
            </w:pPr>
            <w:r w:rsidRPr="00157875">
              <w:rPr>
                <w:b/>
                <w:bCs/>
                <w:szCs w:val="24"/>
              </w:rPr>
              <w:t>Neatsižvelgta.</w:t>
            </w:r>
            <w:r w:rsidRPr="00157875">
              <w:rPr>
                <w:szCs w:val="24"/>
              </w:rPr>
              <w:t xml:space="preserve"> </w:t>
            </w:r>
            <w:r w:rsidR="00157875" w:rsidRPr="00157875">
              <w:rPr>
                <w:szCs w:val="24"/>
              </w:rPr>
              <w:t>Kriterijų viešas aptarimas vyko</w:t>
            </w:r>
            <w:r w:rsidR="00157875" w:rsidRPr="00157875">
              <w:rPr>
                <w:color w:val="444444"/>
                <w:spacing w:val="2"/>
                <w:szCs w:val="24"/>
                <w:shd w:val="clear" w:color="auto" w:fill="FFFFFF"/>
              </w:rPr>
              <w:t> iki 2023 m. balandžio 26 d. (imtinai).</w:t>
            </w:r>
            <w:r w:rsidR="00157875" w:rsidRPr="00157875">
              <w:rPr>
                <w:szCs w:val="24"/>
              </w:rPr>
              <w:t xml:space="preserve"> Nustatyti projektų atrankos kriterijai, patvirtinti </w:t>
            </w:r>
            <w:r w:rsidR="00157875" w:rsidRPr="00157875">
              <w:rPr>
                <w:szCs w:val="24"/>
              </w:rPr>
              <w:br/>
              <w:t xml:space="preserve">2021–2027 metų Europos Sąjungos fondų investicijų programos stebėsenos komiteto 2023 m.  gegužės 24 d. protokoliniu sprendimu Nr. 46P-5(11). </w:t>
            </w:r>
          </w:p>
          <w:p w14:paraId="2C148DA8" w14:textId="77777777" w:rsidR="004922EC" w:rsidRPr="00157875" w:rsidRDefault="004922EC" w:rsidP="007D5223">
            <w:pPr>
              <w:jc w:val="both"/>
              <w:rPr>
                <w:szCs w:val="24"/>
              </w:rPr>
            </w:pPr>
          </w:p>
        </w:tc>
      </w:tr>
      <w:tr w:rsidR="004922EC" w:rsidRPr="00157875" w14:paraId="6C23DB62" w14:textId="77777777" w:rsidTr="00637EA7">
        <w:trPr>
          <w:trHeight w:val="627"/>
        </w:trPr>
        <w:tc>
          <w:tcPr>
            <w:tcW w:w="567" w:type="dxa"/>
            <w:vMerge/>
          </w:tcPr>
          <w:p w14:paraId="142A4D36" w14:textId="77777777" w:rsidR="004922EC" w:rsidRPr="00157875" w:rsidRDefault="004922EC" w:rsidP="00020CB7">
            <w:pPr>
              <w:jc w:val="center"/>
              <w:rPr>
                <w:szCs w:val="24"/>
              </w:rPr>
            </w:pPr>
          </w:p>
        </w:tc>
        <w:tc>
          <w:tcPr>
            <w:tcW w:w="1560" w:type="dxa"/>
            <w:vMerge/>
          </w:tcPr>
          <w:p w14:paraId="35E0BC74" w14:textId="77777777" w:rsidR="004922EC" w:rsidRPr="00157875" w:rsidRDefault="004922EC" w:rsidP="00585B98">
            <w:pPr>
              <w:rPr>
                <w:szCs w:val="24"/>
              </w:rPr>
            </w:pPr>
          </w:p>
        </w:tc>
        <w:tc>
          <w:tcPr>
            <w:tcW w:w="7541" w:type="dxa"/>
            <w:tcBorders>
              <w:top w:val="single" w:sz="4" w:space="0" w:color="auto"/>
              <w:bottom w:val="single" w:sz="4" w:space="0" w:color="auto"/>
            </w:tcBorders>
          </w:tcPr>
          <w:p w14:paraId="4AB7DD11" w14:textId="234745E9" w:rsidR="004922EC" w:rsidRPr="00157875" w:rsidRDefault="004922EC" w:rsidP="00585B98">
            <w:pPr>
              <w:rPr>
                <w:szCs w:val="24"/>
              </w:rPr>
            </w:pPr>
            <w:r w:rsidRPr="00157875">
              <w:rPr>
                <w:szCs w:val="24"/>
              </w:rPr>
              <w:t>4. Paskutiniame prioritetiniame atrankos kriterijuje yra reikalavimas " ,</w:t>
            </w:r>
            <w:r w:rsidRPr="00157875">
              <w:rPr>
                <w:i/>
                <w:iCs/>
                <w:szCs w:val="24"/>
              </w:rPr>
              <w:t>kurių surinkimo ir susidarymo atliekų apdorojimo metu kiekiai yra didžiausi.</w:t>
            </w:r>
            <w:r w:rsidRPr="00157875">
              <w:rPr>
                <w:szCs w:val="24"/>
              </w:rPr>
              <w:t xml:space="preserve">" - siūlome sukonkretinti kriterijų apibrėžiant, kad technologija turi naudoti bendroje žaliavų struktūroje bent 10% gamybinių atliekų, o ne atliekas kurių kiekiai didžiausi. </w:t>
            </w:r>
          </w:p>
          <w:p w14:paraId="09AA6B96" w14:textId="77777777" w:rsidR="004922EC" w:rsidRPr="00157875" w:rsidRDefault="004922EC" w:rsidP="001B1DDA">
            <w:pPr>
              <w:rPr>
                <w:szCs w:val="24"/>
              </w:rPr>
            </w:pPr>
          </w:p>
        </w:tc>
        <w:tc>
          <w:tcPr>
            <w:tcW w:w="5211" w:type="dxa"/>
          </w:tcPr>
          <w:p w14:paraId="60864D91" w14:textId="77777777" w:rsidR="009F76D1" w:rsidRPr="00157875" w:rsidRDefault="009F76D1" w:rsidP="009F76D1">
            <w:pPr>
              <w:tabs>
                <w:tab w:val="left" w:pos="426"/>
                <w:tab w:val="left" w:pos="711"/>
                <w:tab w:val="left" w:pos="743"/>
              </w:tabs>
              <w:ind w:left="743" w:hanging="743"/>
              <w:jc w:val="both"/>
              <w:rPr>
                <w:b/>
                <w:bCs/>
                <w:szCs w:val="24"/>
              </w:rPr>
            </w:pPr>
            <w:r w:rsidRPr="00157875">
              <w:rPr>
                <w:b/>
                <w:bCs/>
                <w:szCs w:val="24"/>
              </w:rPr>
              <w:t>Neatsižvelgta.</w:t>
            </w:r>
          </w:p>
          <w:p w14:paraId="47BFAEE8" w14:textId="77777777" w:rsidR="00157875" w:rsidRPr="00157875" w:rsidRDefault="00157875" w:rsidP="00157875">
            <w:pPr>
              <w:tabs>
                <w:tab w:val="left" w:pos="426"/>
                <w:tab w:val="left" w:pos="711"/>
                <w:tab w:val="left" w:pos="743"/>
              </w:tabs>
              <w:ind w:left="2" w:hanging="2"/>
              <w:jc w:val="both"/>
              <w:rPr>
                <w:szCs w:val="24"/>
              </w:rPr>
            </w:pPr>
            <w:r w:rsidRPr="00157875">
              <w:rPr>
                <w:szCs w:val="24"/>
              </w:rPr>
              <w:t>Kriterijų viešas aptarimas vyko</w:t>
            </w:r>
            <w:r w:rsidRPr="00157875">
              <w:rPr>
                <w:color w:val="444444"/>
                <w:spacing w:val="2"/>
                <w:szCs w:val="24"/>
                <w:shd w:val="clear" w:color="auto" w:fill="FFFFFF"/>
              </w:rPr>
              <w:t> iki 2023 m. balandžio 26 d. (imtinai).</w:t>
            </w:r>
            <w:r w:rsidRPr="00157875">
              <w:rPr>
                <w:szCs w:val="24"/>
              </w:rPr>
              <w:t xml:space="preserve"> Nustatyti projektų atrankos kriterijai, patvirtinti </w:t>
            </w:r>
            <w:r w:rsidRPr="00157875">
              <w:rPr>
                <w:szCs w:val="24"/>
              </w:rPr>
              <w:br/>
              <w:t xml:space="preserve">2021–2027 metų Europos Sąjungos fondų investicijų programos stebėsenos komiteto 2023 m.  gegužės 24 d. protokoliniu sprendimu Nr. 46P-5(11). </w:t>
            </w:r>
          </w:p>
          <w:p w14:paraId="73ACDCBA" w14:textId="77777777" w:rsidR="00157875" w:rsidRPr="00157875" w:rsidRDefault="00157875" w:rsidP="009F76D1">
            <w:pPr>
              <w:tabs>
                <w:tab w:val="left" w:pos="426"/>
                <w:tab w:val="left" w:pos="711"/>
                <w:tab w:val="left" w:pos="743"/>
              </w:tabs>
              <w:ind w:left="743" w:hanging="743"/>
              <w:jc w:val="both"/>
              <w:rPr>
                <w:b/>
                <w:bCs/>
                <w:szCs w:val="24"/>
              </w:rPr>
            </w:pPr>
          </w:p>
          <w:p w14:paraId="69EE0ADE" w14:textId="00AD558C" w:rsidR="004922EC" w:rsidRPr="00157875" w:rsidRDefault="004922EC" w:rsidP="009F76D1">
            <w:pPr>
              <w:tabs>
                <w:tab w:val="left" w:pos="2"/>
                <w:tab w:val="left" w:pos="426"/>
                <w:tab w:val="left" w:pos="743"/>
              </w:tabs>
              <w:ind w:left="2" w:hanging="2"/>
              <w:jc w:val="both"/>
              <w:rPr>
                <w:szCs w:val="24"/>
              </w:rPr>
            </w:pPr>
          </w:p>
        </w:tc>
      </w:tr>
      <w:tr w:rsidR="004922EC" w:rsidRPr="00157875" w14:paraId="34700DB3" w14:textId="77777777" w:rsidTr="00637EA7">
        <w:trPr>
          <w:trHeight w:val="627"/>
        </w:trPr>
        <w:tc>
          <w:tcPr>
            <w:tcW w:w="567" w:type="dxa"/>
          </w:tcPr>
          <w:p w14:paraId="6BFCA379" w14:textId="77777777" w:rsidR="004922EC" w:rsidRPr="00157875" w:rsidRDefault="004922EC" w:rsidP="00020CB7">
            <w:pPr>
              <w:jc w:val="center"/>
              <w:rPr>
                <w:szCs w:val="24"/>
              </w:rPr>
            </w:pPr>
          </w:p>
        </w:tc>
        <w:tc>
          <w:tcPr>
            <w:tcW w:w="1560" w:type="dxa"/>
            <w:vMerge/>
          </w:tcPr>
          <w:p w14:paraId="561857BC" w14:textId="77777777" w:rsidR="004922EC" w:rsidRPr="00157875" w:rsidRDefault="004922EC" w:rsidP="00585B98">
            <w:pPr>
              <w:rPr>
                <w:szCs w:val="24"/>
              </w:rPr>
            </w:pPr>
          </w:p>
        </w:tc>
        <w:tc>
          <w:tcPr>
            <w:tcW w:w="7541" w:type="dxa"/>
            <w:tcBorders>
              <w:top w:val="single" w:sz="4" w:space="0" w:color="auto"/>
              <w:bottom w:val="single" w:sz="4" w:space="0" w:color="auto"/>
            </w:tcBorders>
          </w:tcPr>
          <w:p w14:paraId="6F098767" w14:textId="0051B0C6" w:rsidR="004922EC" w:rsidRPr="00157875" w:rsidRDefault="004922EC" w:rsidP="004922EC">
            <w:pPr>
              <w:rPr>
                <w:szCs w:val="24"/>
              </w:rPr>
            </w:pPr>
            <w:r w:rsidRPr="00157875">
              <w:rPr>
                <w:szCs w:val="24"/>
              </w:rPr>
              <w:t>5. Prašome tiksliau apibrėžti sąvoką  "tvarus produktas (gaminys)", pavyzdžiui įdedant reikalavimą, kad produkto būvio ciklo metu turėtų bent 10% sumažėti: energijos sąnaudos arba žaliavų kiekis, arba susidarančių atliekų kiekis arba pavojingų medžiagų kiekis.  </w:t>
            </w:r>
          </w:p>
          <w:p w14:paraId="7EEAAE05" w14:textId="77777777" w:rsidR="004922EC" w:rsidRPr="00157875" w:rsidRDefault="004922EC" w:rsidP="00585B98">
            <w:pPr>
              <w:rPr>
                <w:szCs w:val="24"/>
              </w:rPr>
            </w:pPr>
          </w:p>
        </w:tc>
        <w:tc>
          <w:tcPr>
            <w:tcW w:w="5211" w:type="dxa"/>
          </w:tcPr>
          <w:p w14:paraId="4B3CA50B" w14:textId="0FFA284D" w:rsidR="009F76D1" w:rsidRPr="00157875" w:rsidRDefault="004922EC" w:rsidP="004922EC">
            <w:pPr>
              <w:pStyle w:val="xmsonormal"/>
              <w:shd w:val="clear" w:color="auto" w:fill="FFFFFF"/>
              <w:rPr>
                <w:rStyle w:val="contentpasted2"/>
                <w:rFonts w:ascii="Times New Roman" w:hAnsi="Times New Roman" w:cs="Times New Roman"/>
                <w:b/>
                <w:bCs/>
                <w:color w:val="000000"/>
                <w:sz w:val="24"/>
                <w:szCs w:val="24"/>
              </w:rPr>
            </w:pPr>
            <w:r w:rsidRPr="00157875">
              <w:rPr>
                <w:rStyle w:val="contentpasted2"/>
                <w:rFonts w:ascii="Times New Roman" w:hAnsi="Times New Roman" w:cs="Times New Roman"/>
                <w:b/>
                <w:bCs/>
                <w:color w:val="000000"/>
                <w:sz w:val="24"/>
                <w:szCs w:val="24"/>
              </w:rPr>
              <w:t xml:space="preserve">Atsižvelgta. </w:t>
            </w:r>
            <w:r w:rsidR="009F76D1" w:rsidRPr="00157875">
              <w:rPr>
                <w:rStyle w:val="contentpasted2"/>
                <w:rFonts w:ascii="Times New Roman" w:hAnsi="Times New Roman" w:cs="Times New Roman"/>
                <w:color w:val="000000"/>
                <w:sz w:val="24"/>
                <w:szCs w:val="24"/>
              </w:rPr>
              <w:t>Sąvoka patikslinta.</w:t>
            </w:r>
          </w:p>
          <w:p w14:paraId="614AECB1" w14:textId="7C2FA793" w:rsidR="004922EC" w:rsidRPr="00157875" w:rsidRDefault="004922EC" w:rsidP="004922EC">
            <w:pPr>
              <w:pStyle w:val="xmsonormal"/>
              <w:shd w:val="clear" w:color="auto" w:fill="FFFFFF"/>
              <w:rPr>
                <w:rFonts w:ascii="Times New Roman" w:hAnsi="Times New Roman" w:cs="Times New Roman"/>
                <w:color w:val="000000"/>
                <w:sz w:val="24"/>
                <w:szCs w:val="24"/>
              </w:rPr>
            </w:pPr>
            <w:r w:rsidRPr="00157875">
              <w:rPr>
                <w:rStyle w:val="contentpasted2"/>
                <w:rFonts w:ascii="Times New Roman" w:hAnsi="Times New Roman" w:cs="Times New Roman"/>
                <w:b/>
                <w:bCs/>
                <w:color w:val="000000"/>
                <w:sz w:val="24"/>
                <w:szCs w:val="24"/>
              </w:rPr>
              <w:t>Aplinkai palankus produktas arba technologija</w:t>
            </w:r>
            <w:r w:rsidRPr="00157875">
              <w:rPr>
                <w:rStyle w:val="contentpasted2"/>
                <w:rFonts w:ascii="Times New Roman" w:hAnsi="Times New Roman" w:cs="Times New Roman"/>
                <w:color w:val="000000"/>
                <w:sz w:val="24"/>
                <w:szCs w:val="24"/>
              </w:rPr>
              <w:t xml:space="preserve"> (toliau – tvarus produktas) – produktas arba technologija, skirti gamtos ištekliams tausoti, beatliekei gamybai, atliekų pakartotiniam naudojimui ir (ar) perdirbimui skatinti, neigiamam poveikiui aplinkai dėl oro taršos, nuotekų taršos ir atliekų susidarymo mažinti, arba produktas arba technologija, kurių neigiamas poveikis aplinkai yra mažesnis nei alternatyvių produktų ar technologijų (kuriems pagaminti mažėja sunaudojamų žaliavų kiekis arba </w:t>
            </w:r>
            <w:r w:rsidRPr="00157875">
              <w:rPr>
                <w:rStyle w:val="contentpasted2"/>
                <w:rFonts w:ascii="Times New Roman" w:hAnsi="Times New Roman" w:cs="Times New Roman"/>
                <w:color w:val="000000"/>
                <w:sz w:val="24"/>
                <w:szCs w:val="24"/>
              </w:rPr>
              <w:lastRenderedPageBreak/>
              <w:t>kurių taikymas padeda sumažinti sunaudojamų žaliavų kiekį; kurie sunaudoja mažiau energijos arba kurių taikymas padeda sunaudoti mažiau energijos; kuriems pagaminti naudojamas mažesnis kenksmingų medžiagų kiekis arba iš viso nenaudojama jokių kenksmingų medžiagų, arba aplinkai palankių produktų taikymas padeda sumažinti gamyboje naudojamų kenksmingų medžiagų kiekį, arba padeda iš viso išvengti kenksmingų medžiagų naudojimo; kuriuos galima perdirbti suėjus jų galiojimo terminui arba kurių taikymas padeda perdirbti produktus suėjus jų galiojimo terminui).</w:t>
            </w:r>
          </w:p>
          <w:p w14:paraId="0C22F725" w14:textId="77777777" w:rsidR="004922EC" w:rsidRPr="00157875" w:rsidRDefault="004922EC" w:rsidP="00AE1566">
            <w:pPr>
              <w:tabs>
                <w:tab w:val="left" w:pos="426"/>
                <w:tab w:val="left" w:pos="711"/>
                <w:tab w:val="left" w:pos="743"/>
              </w:tabs>
              <w:ind w:left="743" w:hanging="743"/>
              <w:jc w:val="both"/>
              <w:rPr>
                <w:szCs w:val="24"/>
              </w:rPr>
            </w:pPr>
          </w:p>
        </w:tc>
      </w:tr>
    </w:tbl>
    <w:p w14:paraId="00AABEA2" w14:textId="77777777" w:rsidR="005C5ECB" w:rsidRPr="00F67604" w:rsidRDefault="005C5ECB">
      <w:pPr>
        <w:rPr>
          <w:szCs w:val="24"/>
        </w:rPr>
      </w:pPr>
    </w:p>
    <w:sectPr w:rsidR="005C5ECB" w:rsidRPr="00F67604" w:rsidSect="003940F3">
      <w:headerReference w:type="default" r:id="rId1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4A40" w14:textId="77777777" w:rsidR="00EB610E" w:rsidRDefault="00EB610E" w:rsidP="003940F3">
      <w:r>
        <w:separator/>
      </w:r>
    </w:p>
  </w:endnote>
  <w:endnote w:type="continuationSeparator" w:id="0">
    <w:p w14:paraId="6708510C" w14:textId="77777777" w:rsidR="00EB610E" w:rsidRDefault="00EB610E"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8E35" w14:textId="77777777" w:rsidR="00EB610E" w:rsidRDefault="00EB610E" w:rsidP="003940F3">
      <w:r>
        <w:separator/>
      </w:r>
    </w:p>
  </w:footnote>
  <w:footnote w:type="continuationSeparator" w:id="0">
    <w:p w14:paraId="08AF332E" w14:textId="77777777" w:rsidR="00EB610E" w:rsidRDefault="00EB610E" w:rsidP="0039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7B7"/>
    <w:multiLevelType w:val="hybridMultilevel"/>
    <w:tmpl w:val="82A67B6E"/>
    <w:lvl w:ilvl="0" w:tplc="A81473C4">
      <w:start w:val="1"/>
      <w:numFmt w:val="decimal"/>
      <w:lvlText w:val="%1."/>
      <w:lvlJc w:val="left"/>
      <w:pPr>
        <w:ind w:left="720" w:hanging="360"/>
      </w:pPr>
    </w:lvl>
    <w:lvl w:ilvl="1" w:tplc="801AF7C4">
      <w:start w:val="1"/>
      <w:numFmt w:val="lowerLetter"/>
      <w:lvlText w:val="%2."/>
      <w:lvlJc w:val="left"/>
      <w:pPr>
        <w:ind w:left="1440" w:hanging="360"/>
      </w:pPr>
    </w:lvl>
    <w:lvl w:ilvl="2" w:tplc="A8BCC85C">
      <w:start w:val="1"/>
      <w:numFmt w:val="lowerRoman"/>
      <w:lvlText w:val="%3."/>
      <w:lvlJc w:val="right"/>
      <w:pPr>
        <w:ind w:left="2160" w:hanging="180"/>
      </w:pPr>
    </w:lvl>
    <w:lvl w:ilvl="3" w:tplc="E76E1A12">
      <w:start w:val="1"/>
      <w:numFmt w:val="decimal"/>
      <w:lvlText w:val="%4."/>
      <w:lvlJc w:val="left"/>
      <w:pPr>
        <w:ind w:left="2880" w:hanging="360"/>
      </w:pPr>
    </w:lvl>
    <w:lvl w:ilvl="4" w:tplc="96C81506">
      <w:start w:val="1"/>
      <w:numFmt w:val="lowerLetter"/>
      <w:lvlText w:val="%5."/>
      <w:lvlJc w:val="left"/>
      <w:pPr>
        <w:ind w:left="3600" w:hanging="360"/>
      </w:pPr>
    </w:lvl>
    <w:lvl w:ilvl="5" w:tplc="FB0E14E8">
      <w:start w:val="1"/>
      <w:numFmt w:val="lowerRoman"/>
      <w:lvlText w:val="%6."/>
      <w:lvlJc w:val="right"/>
      <w:pPr>
        <w:ind w:left="4320" w:hanging="180"/>
      </w:pPr>
    </w:lvl>
    <w:lvl w:ilvl="6" w:tplc="7A046DE8">
      <w:start w:val="1"/>
      <w:numFmt w:val="decimal"/>
      <w:lvlText w:val="%7."/>
      <w:lvlJc w:val="left"/>
      <w:pPr>
        <w:ind w:left="5040" w:hanging="360"/>
      </w:pPr>
    </w:lvl>
    <w:lvl w:ilvl="7" w:tplc="D65AC394">
      <w:start w:val="1"/>
      <w:numFmt w:val="lowerLetter"/>
      <w:lvlText w:val="%8."/>
      <w:lvlJc w:val="left"/>
      <w:pPr>
        <w:ind w:left="5760" w:hanging="360"/>
      </w:pPr>
    </w:lvl>
    <w:lvl w:ilvl="8" w:tplc="75D83D0E">
      <w:start w:val="1"/>
      <w:numFmt w:val="lowerRoman"/>
      <w:lvlText w:val="%9."/>
      <w:lvlJc w:val="right"/>
      <w:pPr>
        <w:ind w:left="6480" w:hanging="180"/>
      </w:p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33B7227D"/>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4597DBB"/>
    <w:multiLevelType w:val="multilevel"/>
    <w:tmpl w:val="8482F400"/>
    <w:lvl w:ilvl="0">
      <w:start w:val="2"/>
      <w:numFmt w:val="decimal"/>
      <w:lvlText w:val="%1."/>
      <w:lvlJc w:val="left"/>
      <w:pPr>
        <w:ind w:left="540" w:hanging="540"/>
      </w:pPr>
    </w:lvl>
    <w:lvl w:ilvl="1">
      <w:start w:val="3"/>
      <w:numFmt w:val="decimal"/>
      <w:lvlText w:val="%1.%2."/>
      <w:lvlJc w:val="left"/>
      <w:pPr>
        <w:ind w:left="540" w:hanging="54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50309"/>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287768"/>
    <w:multiLevelType w:val="hybridMultilevel"/>
    <w:tmpl w:val="51B068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11795E"/>
    <w:multiLevelType w:val="hybridMultilevel"/>
    <w:tmpl w:val="00CE2688"/>
    <w:lvl w:ilvl="0" w:tplc="71D20B7C">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94A3E60"/>
    <w:multiLevelType w:val="hybridMultilevel"/>
    <w:tmpl w:val="38B6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8430E2"/>
    <w:multiLevelType w:val="hybridMultilevel"/>
    <w:tmpl w:val="234E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193377737">
    <w:abstractNumId w:val="17"/>
  </w:num>
  <w:num w:numId="2" w16cid:durableId="885410026">
    <w:abstractNumId w:val="16"/>
  </w:num>
  <w:num w:numId="3" w16cid:durableId="1562981366">
    <w:abstractNumId w:val="18"/>
  </w:num>
  <w:num w:numId="4" w16cid:durableId="392239668">
    <w:abstractNumId w:val="2"/>
  </w:num>
  <w:num w:numId="5" w16cid:durableId="308630702">
    <w:abstractNumId w:val="3"/>
  </w:num>
  <w:num w:numId="6" w16cid:durableId="2060545454">
    <w:abstractNumId w:val="1"/>
  </w:num>
  <w:num w:numId="7" w16cid:durableId="1447046276">
    <w:abstractNumId w:val="4"/>
  </w:num>
  <w:num w:numId="8" w16cid:durableId="1946957105">
    <w:abstractNumId w:val="8"/>
  </w:num>
  <w:num w:numId="9" w16cid:durableId="861014471">
    <w:abstractNumId w:val="19"/>
  </w:num>
  <w:num w:numId="10" w16cid:durableId="863636958">
    <w:abstractNumId w:val="7"/>
  </w:num>
  <w:num w:numId="11" w16cid:durableId="213858329">
    <w:abstractNumId w:val="20"/>
  </w:num>
  <w:num w:numId="12" w16cid:durableId="1547982564">
    <w:abstractNumId w:val="13"/>
  </w:num>
  <w:num w:numId="13" w16cid:durableId="2051760053">
    <w:abstractNumId w:val="11"/>
  </w:num>
  <w:num w:numId="14" w16cid:durableId="443229702">
    <w:abstractNumId w:val="15"/>
  </w:num>
  <w:num w:numId="15" w16cid:durableId="5735853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634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413143">
    <w:abstractNumId w:val="14"/>
  </w:num>
  <w:num w:numId="18" w16cid:durableId="88645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945466">
    <w:abstractNumId w:val="0"/>
  </w:num>
  <w:num w:numId="20" w16cid:durableId="570042958">
    <w:abstractNumId w:val="9"/>
  </w:num>
  <w:num w:numId="21" w16cid:durableId="1261446500">
    <w:abstractNumId w:val="5"/>
  </w:num>
  <w:num w:numId="22" w16cid:durableId="1962488928">
    <w:abstractNumId w:val="6"/>
    <w:lvlOverride w:ilvl="0">
      <w:startOverride w:val="2"/>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F36"/>
    <w:rsid w:val="00001E2A"/>
    <w:rsid w:val="00005FAA"/>
    <w:rsid w:val="00007463"/>
    <w:rsid w:val="00011D58"/>
    <w:rsid w:val="0001428A"/>
    <w:rsid w:val="00015942"/>
    <w:rsid w:val="00016435"/>
    <w:rsid w:val="00017566"/>
    <w:rsid w:val="000202E8"/>
    <w:rsid w:val="00020CB7"/>
    <w:rsid w:val="00023010"/>
    <w:rsid w:val="00023C7A"/>
    <w:rsid w:val="000240C4"/>
    <w:rsid w:val="00030D25"/>
    <w:rsid w:val="00030DBB"/>
    <w:rsid w:val="0003188A"/>
    <w:rsid w:val="00032985"/>
    <w:rsid w:val="00033CEB"/>
    <w:rsid w:val="00044CAB"/>
    <w:rsid w:val="00045720"/>
    <w:rsid w:val="00046DFE"/>
    <w:rsid w:val="000503C5"/>
    <w:rsid w:val="00050427"/>
    <w:rsid w:val="000528E1"/>
    <w:rsid w:val="00053ACF"/>
    <w:rsid w:val="00053D41"/>
    <w:rsid w:val="00055508"/>
    <w:rsid w:val="00060B0B"/>
    <w:rsid w:val="00062328"/>
    <w:rsid w:val="00062518"/>
    <w:rsid w:val="00063152"/>
    <w:rsid w:val="000640C7"/>
    <w:rsid w:val="00066215"/>
    <w:rsid w:val="000671F1"/>
    <w:rsid w:val="00070B21"/>
    <w:rsid w:val="00070ED6"/>
    <w:rsid w:val="00070EF3"/>
    <w:rsid w:val="00071D60"/>
    <w:rsid w:val="00071EC6"/>
    <w:rsid w:val="00074F28"/>
    <w:rsid w:val="00077247"/>
    <w:rsid w:val="00077F31"/>
    <w:rsid w:val="00081BC9"/>
    <w:rsid w:val="000844E7"/>
    <w:rsid w:val="00087B93"/>
    <w:rsid w:val="000909EB"/>
    <w:rsid w:val="00095A64"/>
    <w:rsid w:val="00095B14"/>
    <w:rsid w:val="00096A65"/>
    <w:rsid w:val="000A0E20"/>
    <w:rsid w:val="000A3CD8"/>
    <w:rsid w:val="000A3FD2"/>
    <w:rsid w:val="000A4E95"/>
    <w:rsid w:val="000B19E9"/>
    <w:rsid w:val="000B1AF5"/>
    <w:rsid w:val="000B2D7C"/>
    <w:rsid w:val="000B4B61"/>
    <w:rsid w:val="000B7125"/>
    <w:rsid w:val="000C149A"/>
    <w:rsid w:val="000C6DCD"/>
    <w:rsid w:val="000D01C0"/>
    <w:rsid w:val="000D22BB"/>
    <w:rsid w:val="000D2E71"/>
    <w:rsid w:val="000D38EF"/>
    <w:rsid w:val="000D3EFE"/>
    <w:rsid w:val="000D748B"/>
    <w:rsid w:val="000E057B"/>
    <w:rsid w:val="000E128C"/>
    <w:rsid w:val="000E1F0C"/>
    <w:rsid w:val="000E275C"/>
    <w:rsid w:val="000E5A48"/>
    <w:rsid w:val="000E7A99"/>
    <w:rsid w:val="000F1049"/>
    <w:rsid w:val="000F4E81"/>
    <w:rsid w:val="000F5CE6"/>
    <w:rsid w:val="000F6B11"/>
    <w:rsid w:val="001030C4"/>
    <w:rsid w:val="00105F91"/>
    <w:rsid w:val="00106261"/>
    <w:rsid w:val="00106571"/>
    <w:rsid w:val="001132AD"/>
    <w:rsid w:val="001151CC"/>
    <w:rsid w:val="00115372"/>
    <w:rsid w:val="0011654F"/>
    <w:rsid w:val="00123C5A"/>
    <w:rsid w:val="00124A1B"/>
    <w:rsid w:val="0013526F"/>
    <w:rsid w:val="00143277"/>
    <w:rsid w:val="001445E4"/>
    <w:rsid w:val="00150B26"/>
    <w:rsid w:val="00156FCF"/>
    <w:rsid w:val="00157004"/>
    <w:rsid w:val="001577E4"/>
    <w:rsid w:val="00157875"/>
    <w:rsid w:val="00162289"/>
    <w:rsid w:val="001661A8"/>
    <w:rsid w:val="0016754B"/>
    <w:rsid w:val="001705CF"/>
    <w:rsid w:val="00175B04"/>
    <w:rsid w:val="00182879"/>
    <w:rsid w:val="0018373E"/>
    <w:rsid w:val="0018469B"/>
    <w:rsid w:val="00184FC3"/>
    <w:rsid w:val="001860EE"/>
    <w:rsid w:val="00186511"/>
    <w:rsid w:val="0019085C"/>
    <w:rsid w:val="00191782"/>
    <w:rsid w:val="001923DD"/>
    <w:rsid w:val="00194702"/>
    <w:rsid w:val="001A0715"/>
    <w:rsid w:val="001A0E47"/>
    <w:rsid w:val="001A5935"/>
    <w:rsid w:val="001B1DDA"/>
    <w:rsid w:val="001B7A8C"/>
    <w:rsid w:val="001C2F60"/>
    <w:rsid w:val="001C5863"/>
    <w:rsid w:val="001C65B5"/>
    <w:rsid w:val="001C6721"/>
    <w:rsid w:val="001C74A5"/>
    <w:rsid w:val="001D0FA0"/>
    <w:rsid w:val="001D3C04"/>
    <w:rsid w:val="001D6507"/>
    <w:rsid w:val="001D6F4A"/>
    <w:rsid w:val="001E1992"/>
    <w:rsid w:val="001E4CE7"/>
    <w:rsid w:val="001E6748"/>
    <w:rsid w:val="001E67A5"/>
    <w:rsid w:val="001E754D"/>
    <w:rsid w:val="001E7DBF"/>
    <w:rsid w:val="001F45EE"/>
    <w:rsid w:val="0020434A"/>
    <w:rsid w:val="0020614F"/>
    <w:rsid w:val="00207E63"/>
    <w:rsid w:val="00211B2A"/>
    <w:rsid w:val="00212ADD"/>
    <w:rsid w:val="0021307B"/>
    <w:rsid w:val="002157E4"/>
    <w:rsid w:val="00224286"/>
    <w:rsid w:val="0022435B"/>
    <w:rsid w:val="00227E2E"/>
    <w:rsid w:val="0023024D"/>
    <w:rsid w:val="00233335"/>
    <w:rsid w:val="00234AE2"/>
    <w:rsid w:val="002364BE"/>
    <w:rsid w:val="00236B3C"/>
    <w:rsid w:val="00241069"/>
    <w:rsid w:val="00241C69"/>
    <w:rsid w:val="00242329"/>
    <w:rsid w:val="0024541C"/>
    <w:rsid w:val="00247BB5"/>
    <w:rsid w:val="00256BE3"/>
    <w:rsid w:val="00260059"/>
    <w:rsid w:val="00266F48"/>
    <w:rsid w:val="00270AE5"/>
    <w:rsid w:val="00271242"/>
    <w:rsid w:val="0027186C"/>
    <w:rsid w:val="002730D8"/>
    <w:rsid w:val="002805B2"/>
    <w:rsid w:val="00280FCB"/>
    <w:rsid w:val="00281473"/>
    <w:rsid w:val="00282D46"/>
    <w:rsid w:val="00287A03"/>
    <w:rsid w:val="00287DF8"/>
    <w:rsid w:val="002923A6"/>
    <w:rsid w:val="002929F7"/>
    <w:rsid w:val="00294FB1"/>
    <w:rsid w:val="00297A12"/>
    <w:rsid w:val="00297D19"/>
    <w:rsid w:val="002A27A2"/>
    <w:rsid w:val="002A2BDD"/>
    <w:rsid w:val="002A4D95"/>
    <w:rsid w:val="002B1648"/>
    <w:rsid w:val="002B1AF9"/>
    <w:rsid w:val="002B31F3"/>
    <w:rsid w:val="002C5324"/>
    <w:rsid w:val="002C57F4"/>
    <w:rsid w:val="002C7407"/>
    <w:rsid w:val="002C79BA"/>
    <w:rsid w:val="002D0B08"/>
    <w:rsid w:val="002D1CED"/>
    <w:rsid w:val="002D26E9"/>
    <w:rsid w:val="002D32DE"/>
    <w:rsid w:val="002D4434"/>
    <w:rsid w:val="002D4D56"/>
    <w:rsid w:val="002D6D79"/>
    <w:rsid w:val="002E1B28"/>
    <w:rsid w:val="002E7E63"/>
    <w:rsid w:val="002F101F"/>
    <w:rsid w:val="002F3746"/>
    <w:rsid w:val="002F697B"/>
    <w:rsid w:val="002F7485"/>
    <w:rsid w:val="002F7773"/>
    <w:rsid w:val="003051DD"/>
    <w:rsid w:val="003074D9"/>
    <w:rsid w:val="003113C8"/>
    <w:rsid w:val="00316D2C"/>
    <w:rsid w:val="00316DF4"/>
    <w:rsid w:val="003214A4"/>
    <w:rsid w:val="00322FBD"/>
    <w:rsid w:val="00330974"/>
    <w:rsid w:val="00330EC9"/>
    <w:rsid w:val="00332C48"/>
    <w:rsid w:val="00333A39"/>
    <w:rsid w:val="0033720D"/>
    <w:rsid w:val="003375A5"/>
    <w:rsid w:val="00337714"/>
    <w:rsid w:val="00344A49"/>
    <w:rsid w:val="0034540C"/>
    <w:rsid w:val="00347151"/>
    <w:rsid w:val="00347C65"/>
    <w:rsid w:val="00350A8F"/>
    <w:rsid w:val="00350BCF"/>
    <w:rsid w:val="003529B3"/>
    <w:rsid w:val="003618F1"/>
    <w:rsid w:val="00361A8F"/>
    <w:rsid w:val="003652F0"/>
    <w:rsid w:val="00366151"/>
    <w:rsid w:val="0036662A"/>
    <w:rsid w:val="003770A3"/>
    <w:rsid w:val="003865B8"/>
    <w:rsid w:val="00391584"/>
    <w:rsid w:val="0039259D"/>
    <w:rsid w:val="003940F3"/>
    <w:rsid w:val="0039580B"/>
    <w:rsid w:val="00397AD7"/>
    <w:rsid w:val="003A18E7"/>
    <w:rsid w:val="003A1AD9"/>
    <w:rsid w:val="003A332E"/>
    <w:rsid w:val="003A67CC"/>
    <w:rsid w:val="003B2FAE"/>
    <w:rsid w:val="003B6643"/>
    <w:rsid w:val="003B726A"/>
    <w:rsid w:val="003C6054"/>
    <w:rsid w:val="003C7C78"/>
    <w:rsid w:val="003D2A00"/>
    <w:rsid w:val="003D31C9"/>
    <w:rsid w:val="003D4EB4"/>
    <w:rsid w:val="003E09D5"/>
    <w:rsid w:val="003E317C"/>
    <w:rsid w:val="003E77A4"/>
    <w:rsid w:val="003F1F09"/>
    <w:rsid w:val="003F5676"/>
    <w:rsid w:val="003F5C05"/>
    <w:rsid w:val="003F7DB5"/>
    <w:rsid w:val="003F7DF8"/>
    <w:rsid w:val="0040628C"/>
    <w:rsid w:val="00412E1D"/>
    <w:rsid w:val="004136A8"/>
    <w:rsid w:val="00414392"/>
    <w:rsid w:val="00414933"/>
    <w:rsid w:val="00417DC7"/>
    <w:rsid w:val="00421AD5"/>
    <w:rsid w:val="004274A1"/>
    <w:rsid w:val="004322A4"/>
    <w:rsid w:val="00435B06"/>
    <w:rsid w:val="004378EE"/>
    <w:rsid w:val="00443108"/>
    <w:rsid w:val="00445954"/>
    <w:rsid w:val="00447BE9"/>
    <w:rsid w:val="00447D74"/>
    <w:rsid w:val="00447F7C"/>
    <w:rsid w:val="00452AAF"/>
    <w:rsid w:val="00452FA3"/>
    <w:rsid w:val="004548EB"/>
    <w:rsid w:val="00455305"/>
    <w:rsid w:val="004621E3"/>
    <w:rsid w:val="004625FA"/>
    <w:rsid w:val="004631DA"/>
    <w:rsid w:val="004639C4"/>
    <w:rsid w:val="004642AB"/>
    <w:rsid w:val="00465E4E"/>
    <w:rsid w:val="00475D1E"/>
    <w:rsid w:val="00475E13"/>
    <w:rsid w:val="00482B56"/>
    <w:rsid w:val="004853EA"/>
    <w:rsid w:val="00485F22"/>
    <w:rsid w:val="00487204"/>
    <w:rsid w:val="004876E5"/>
    <w:rsid w:val="004922EC"/>
    <w:rsid w:val="004923DB"/>
    <w:rsid w:val="0049531C"/>
    <w:rsid w:val="004A0897"/>
    <w:rsid w:val="004A42BF"/>
    <w:rsid w:val="004A5F41"/>
    <w:rsid w:val="004A607E"/>
    <w:rsid w:val="004A6A07"/>
    <w:rsid w:val="004A704E"/>
    <w:rsid w:val="004B19F6"/>
    <w:rsid w:val="004B1CC3"/>
    <w:rsid w:val="004B2B0E"/>
    <w:rsid w:val="004B2CD5"/>
    <w:rsid w:val="004B5C52"/>
    <w:rsid w:val="004C1CE4"/>
    <w:rsid w:val="004C44BD"/>
    <w:rsid w:val="004C58E9"/>
    <w:rsid w:val="004C73E3"/>
    <w:rsid w:val="004D11D5"/>
    <w:rsid w:val="004D1891"/>
    <w:rsid w:val="004D1F5E"/>
    <w:rsid w:val="004D1FB6"/>
    <w:rsid w:val="004D5FC3"/>
    <w:rsid w:val="004D66FF"/>
    <w:rsid w:val="004E0590"/>
    <w:rsid w:val="004E34AE"/>
    <w:rsid w:val="004E358F"/>
    <w:rsid w:val="004E6B69"/>
    <w:rsid w:val="004F24DB"/>
    <w:rsid w:val="004F7609"/>
    <w:rsid w:val="005004F3"/>
    <w:rsid w:val="005054C5"/>
    <w:rsid w:val="0050761B"/>
    <w:rsid w:val="00507CF2"/>
    <w:rsid w:val="00510A85"/>
    <w:rsid w:val="005206B0"/>
    <w:rsid w:val="00520904"/>
    <w:rsid w:val="00524296"/>
    <w:rsid w:val="00527115"/>
    <w:rsid w:val="0053023F"/>
    <w:rsid w:val="005303DC"/>
    <w:rsid w:val="00530480"/>
    <w:rsid w:val="0053182B"/>
    <w:rsid w:val="00535AA7"/>
    <w:rsid w:val="005376D6"/>
    <w:rsid w:val="0054453C"/>
    <w:rsid w:val="00547C74"/>
    <w:rsid w:val="005516A5"/>
    <w:rsid w:val="005533C2"/>
    <w:rsid w:val="00563838"/>
    <w:rsid w:val="00563B3D"/>
    <w:rsid w:val="005671CE"/>
    <w:rsid w:val="005702A5"/>
    <w:rsid w:val="00571253"/>
    <w:rsid w:val="0057371A"/>
    <w:rsid w:val="00574773"/>
    <w:rsid w:val="00574FB9"/>
    <w:rsid w:val="00581B51"/>
    <w:rsid w:val="00585B98"/>
    <w:rsid w:val="005903F9"/>
    <w:rsid w:val="00593EE0"/>
    <w:rsid w:val="005953D7"/>
    <w:rsid w:val="0059553F"/>
    <w:rsid w:val="00597AFF"/>
    <w:rsid w:val="005A0AC7"/>
    <w:rsid w:val="005A3FE6"/>
    <w:rsid w:val="005A4A5F"/>
    <w:rsid w:val="005A771F"/>
    <w:rsid w:val="005B09A6"/>
    <w:rsid w:val="005B1293"/>
    <w:rsid w:val="005B79FB"/>
    <w:rsid w:val="005B7C13"/>
    <w:rsid w:val="005C065E"/>
    <w:rsid w:val="005C11A9"/>
    <w:rsid w:val="005C195C"/>
    <w:rsid w:val="005C492A"/>
    <w:rsid w:val="005C5B4A"/>
    <w:rsid w:val="005C5ECB"/>
    <w:rsid w:val="005C6641"/>
    <w:rsid w:val="005D0D6B"/>
    <w:rsid w:val="005D1053"/>
    <w:rsid w:val="005E0604"/>
    <w:rsid w:val="005E1221"/>
    <w:rsid w:val="005E5744"/>
    <w:rsid w:val="005F038F"/>
    <w:rsid w:val="005F0F88"/>
    <w:rsid w:val="005F238D"/>
    <w:rsid w:val="005F2639"/>
    <w:rsid w:val="005F69F9"/>
    <w:rsid w:val="00601513"/>
    <w:rsid w:val="006018AF"/>
    <w:rsid w:val="00605339"/>
    <w:rsid w:val="00606628"/>
    <w:rsid w:val="006078D1"/>
    <w:rsid w:val="00607C88"/>
    <w:rsid w:val="006106A7"/>
    <w:rsid w:val="00611C52"/>
    <w:rsid w:val="00613BBB"/>
    <w:rsid w:val="00615ACB"/>
    <w:rsid w:val="006179ED"/>
    <w:rsid w:val="006246EE"/>
    <w:rsid w:val="006259D7"/>
    <w:rsid w:val="00626D21"/>
    <w:rsid w:val="006301B9"/>
    <w:rsid w:val="00631726"/>
    <w:rsid w:val="00633EC5"/>
    <w:rsid w:val="006351B9"/>
    <w:rsid w:val="00635B87"/>
    <w:rsid w:val="00645285"/>
    <w:rsid w:val="006507EE"/>
    <w:rsid w:val="006539B7"/>
    <w:rsid w:val="00661D02"/>
    <w:rsid w:val="00665BE2"/>
    <w:rsid w:val="00667447"/>
    <w:rsid w:val="0067708D"/>
    <w:rsid w:val="0067787C"/>
    <w:rsid w:val="00677B1E"/>
    <w:rsid w:val="00677C93"/>
    <w:rsid w:val="006824CC"/>
    <w:rsid w:val="006836FA"/>
    <w:rsid w:val="00686E67"/>
    <w:rsid w:val="00690AB6"/>
    <w:rsid w:val="00690B46"/>
    <w:rsid w:val="00696DBF"/>
    <w:rsid w:val="00696E7D"/>
    <w:rsid w:val="006A1E78"/>
    <w:rsid w:val="006A22E2"/>
    <w:rsid w:val="006A594C"/>
    <w:rsid w:val="006A5E93"/>
    <w:rsid w:val="006B0D85"/>
    <w:rsid w:val="006B526A"/>
    <w:rsid w:val="006B6438"/>
    <w:rsid w:val="006B75D2"/>
    <w:rsid w:val="006C0163"/>
    <w:rsid w:val="006C0AD7"/>
    <w:rsid w:val="006C3052"/>
    <w:rsid w:val="006D1718"/>
    <w:rsid w:val="006D211A"/>
    <w:rsid w:val="006D6A83"/>
    <w:rsid w:val="006E05A9"/>
    <w:rsid w:val="006E0B8B"/>
    <w:rsid w:val="006E16C9"/>
    <w:rsid w:val="006E67AE"/>
    <w:rsid w:val="006E798D"/>
    <w:rsid w:val="006E7C89"/>
    <w:rsid w:val="006F23CE"/>
    <w:rsid w:val="006F4DC3"/>
    <w:rsid w:val="00700C63"/>
    <w:rsid w:val="0070221E"/>
    <w:rsid w:val="007070F4"/>
    <w:rsid w:val="00707C95"/>
    <w:rsid w:val="00710DD2"/>
    <w:rsid w:val="007144B8"/>
    <w:rsid w:val="007161B7"/>
    <w:rsid w:val="00716CA0"/>
    <w:rsid w:val="0072623F"/>
    <w:rsid w:val="007263AF"/>
    <w:rsid w:val="00727011"/>
    <w:rsid w:val="007350FF"/>
    <w:rsid w:val="00735563"/>
    <w:rsid w:val="007410B0"/>
    <w:rsid w:val="00741C32"/>
    <w:rsid w:val="00742585"/>
    <w:rsid w:val="00742B65"/>
    <w:rsid w:val="007451F7"/>
    <w:rsid w:val="00747BC9"/>
    <w:rsid w:val="00751DDD"/>
    <w:rsid w:val="00752AAE"/>
    <w:rsid w:val="007537EC"/>
    <w:rsid w:val="00755DA7"/>
    <w:rsid w:val="007568F7"/>
    <w:rsid w:val="00757BCA"/>
    <w:rsid w:val="00760318"/>
    <w:rsid w:val="00761496"/>
    <w:rsid w:val="00761F33"/>
    <w:rsid w:val="00762CDC"/>
    <w:rsid w:val="007769FC"/>
    <w:rsid w:val="00777B27"/>
    <w:rsid w:val="00782259"/>
    <w:rsid w:val="0078534B"/>
    <w:rsid w:val="00787C89"/>
    <w:rsid w:val="00791279"/>
    <w:rsid w:val="00796A60"/>
    <w:rsid w:val="007972A2"/>
    <w:rsid w:val="007A617E"/>
    <w:rsid w:val="007B201C"/>
    <w:rsid w:val="007B3E81"/>
    <w:rsid w:val="007C1CA1"/>
    <w:rsid w:val="007D3038"/>
    <w:rsid w:val="007D42C6"/>
    <w:rsid w:val="007D5223"/>
    <w:rsid w:val="007E1501"/>
    <w:rsid w:val="007E33DA"/>
    <w:rsid w:val="007E69B5"/>
    <w:rsid w:val="007F4A94"/>
    <w:rsid w:val="007F5F38"/>
    <w:rsid w:val="007F601B"/>
    <w:rsid w:val="0080172F"/>
    <w:rsid w:val="00803394"/>
    <w:rsid w:val="00807C29"/>
    <w:rsid w:val="00811BF1"/>
    <w:rsid w:val="00811D1E"/>
    <w:rsid w:val="008127AF"/>
    <w:rsid w:val="00814122"/>
    <w:rsid w:val="00817EF3"/>
    <w:rsid w:val="0082428A"/>
    <w:rsid w:val="00833525"/>
    <w:rsid w:val="0083519C"/>
    <w:rsid w:val="008359DC"/>
    <w:rsid w:val="00847050"/>
    <w:rsid w:val="00852673"/>
    <w:rsid w:val="0085361D"/>
    <w:rsid w:val="0085384B"/>
    <w:rsid w:val="0085430B"/>
    <w:rsid w:val="00856EDA"/>
    <w:rsid w:val="008576A6"/>
    <w:rsid w:val="00865C80"/>
    <w:rsid w:val="008663E3"/>
    <w:rsid w:val="00870F24"/>
    <w:rsid w:val="0087169A"/>
    <w:rsid w:val="008760B6"/>
    <w:rsid w:val="008766BD"/>
    <w:rsid w:val="008805A7"/>
    <w:rsid w:val="00880909"/>
    <w:rsid w:val="008820BA"/>
    <w:rsid w:val="00885C3D"/>
    <w:rsid w:val="0088623D"/>
    <w:rsid w:val="00890A7C"/>
    <w:rsid w:val="008923B9"/>
    <w:rsid w:val="00894683"/>
    <w:rsid w:val="00894F3E"/>
    <w:rsid w:val="008A2A7E"/>
    <w:rsid w:val="008A39C3"/>
    <w:rsid w:val="008A3E24"/>
    <w:rsid w:val="008A53CB"/>
    <w:rsid w:val="008A5A0D"/>
    <w:rsid w:val="008B3037"/>
    <w:rsid w:val="008B3D42"/>
    <w:rsid w:val="008C04B8"/>
    <w:rsid w:val="008C2FC2"/>
    <w:rsid w:val="008C3DAE"/>
    <w:rsid w:val="008C4CE9"/>
    <w:rsid w:val="008D4415"/>
    <w:rsid w:val="008D444C"/>
    <w:rsid w:val="008D55D4"/>
    <w:rsid w:val="008D5F38"/>
    <w:rsid w:val="008D7278"/>
    <w:rsid w:val="008E2069"/>
    <w:rsid w:val="008E2AC8"/>
    <w:rsid w:val="008E3A92"/>
    <w:rsid w:val="008E3C68"/>
    <w:rsid w:val="008E5FE3"/>
    <w:rsid w:val="008F249E"/>
    <w:rsid w:val="008F266B"/>
    <w:rsid w:val="008F38C3"/>
    <w:rsid w:val="008F56B6"/>
    <w:rsid w:val="00914A06"/>
    <w:rsid w:val="00920FE0"/>
    <w:rsid w:val="009220EC"/>
    <w:rsid w:val="00923F59"/>
    <w:rsid w:val="009252A7"/>
    <w:rsid w:val="00926630"/>
    <w:rsid w:val="00933886"/>
    <w:rsid w:val="00933EC7"/>
    <w:rsid w:val="00934F45"/>
    <w:rsid w:val="009422B0"/>
    <w:rsid w:val="009426AD"/>
    <w:rsid w:val="00947C9D"/>
    <w:rsid w:val="00950660"/>
    <w:rsid w:val="009539B5"/>
    <w:rsid w:val="00954EEB"/>
    <w:rsid w:val="00956C1E"/>
    <w:rsid w:val="00965A4A"/>
    <w:rsid w:val="0097341D"/>
    <w:rsid w:val="009913E3"/>
    <w:rsid w:val="009924A0"/>
    <w:rsid w:val="0099342A"/>
    <w:rsid w:val="009961A8"/>
    <w:rsid w:val="009A1219"/>
    <w:rsid w:val="009A3E23"/>
    <w:rsid w:val="009A662F"/>
    <w:rsid w:val="009A74ED"/>
    <w:rsid w:val="009B12A5"/>
    <w:rsid w:val="009B1D42"/>
    <w:rsid w:val="009B2BC0"/>
    <w:rsid w:val="009B3957"/>
    <w:rsid w:val="009B4714"/>
    <w:rsid w:val="009B7A40"/>
    <w:rsid w:val="009C1904"/>
    <w:rsid w:val="009C2574"/>
    <w:rsid w:val="009C5F59"/>
    <w:rsid w:val="009C687C"/>
    <w:rsid w:val="009D3B8E"/>
    <w:rsid w:val="009D3BAD"/>
    <w:rsid w:val="009D77B9"/>
    <w:rsid w:val="009E1857"/>
    <w:rsid w:val="009E4DA6"/>
    <w:rsid w:val="009E58D9"/>
    <w:rsid w:val="009E69E2"/>
    <w:rsid w:val="009E7F18"/>
    <w:rsid w:val="009F0535"/>
    <w:rsid w:val="009F4BD9"/>
    <w:rsid w:val="009F4F2C"/>
    <w:rsid w:val="009F76D1"/>
    <w:rsid w:val="00A00DB1"/>
    <w:rsid w:val="00A0227F"/>
    <w:rsid w:val="00A05F9C"/>
    <w:rsid w:val="00A076DC"/>
    <w:rsid w:val="00A127C6"/>
    <w:rsid w:val="00A21E98"/>
    <w:rsid w:val="00A23D91"/>
    <w:rsid w:val="00A2404C"/>
    <w:rsid w:val="00A24DB0"/>
    <w:rsid w:val="00A26CB7"/>
    <w:rsid w:val="00A2721F"/>
    <w:rsid w:val="00A27A58"/>
    <w:rsid w:val="00A31C11"/>
    <w:rsid w:val="00A323E0"/>
    <w:rsid w:val="00A34915"/>
    <w:rsid w:val="00A351DE"/>
    <w:rsid w:val="00A3535C"/>
    <w:rsid w:val="00A35603"/>
    <w:rsid w:val="00A3561A"/>
    <w:rsid w:val="00A37D8F"/>
    <w:rsid w:val="00A4128B"/>
    <w:rsid w:val="00A442E9"/>
    <w:rsid w:val="00A4680F"/>
    <w:rsid w:val="00A47552"/>
    <w:rsid w:val="00A47E71"/>
    <w:rsid w:val="00A502D4"/>
    <w:rsid w:val="00A51B2D"/>
    <w:rsid w:val="00A52C00"/>
    <w:rsid w:val="00A533D4"/>
    <w:rsid w:val="00A54BBD"/>
    <w:rsid w:val="00A54EFE"/>
    <w:rsid w:val="00A65189"/>
    <w:rsid w:val="00A6632E"/>
    <w:rsid w:val="00A7066D"/>
    <w:rsid w:val="00A709C3"/>
    <w:rsid w:val="00A70FA4"/>
    <w:rsid w:val="00A725A8"/>
    <w:rsid w:val="00A73B39"/>
    <w:rsid w:val="00A80ADA"/>
    <w:rsid w:val="00A845D7"/>
    <w:rsid w:val="00A86A73"/>
    <w:rsid w:val="00A91F0C"/>
    <w:rsid w:val="00A924F6"/>
    <w:rsid w:val="00A937EF"/>
    <w:rsid w:val="00A9443D"/>
    <w:rsid w:val="00AA30C9"/>
    <w:rsid w:val="00AA3EF8"/>
    <w:rsid w:val="00AA43DE"/>
    <w:rsid w:val="00AB2F7C"/>
    <w:rsid w:val="00AB4283"/>
    <w:rsid w:val="00AB5E3E"/>
    <w:rsid w:val="00AC0280"/>
    <w:rsid w:val="00AC3D56"/>
    <w:rsid w:val="00AC3EC0"/>
    <w:rsid w:val="00AC4B6C"/>
    <w:rsid w:val="00AC6352"/>
    <w:rsid w:val="00AC644B"/>
    <w:rsid w:val="00AC73C3"/>
    <w:rsid w:val="00AD4D1D"/>
    <w:rsid w:val="00AD5789"/>
    <w:rsid w:val="00AE1566"/>
    <w:rsid w:val="00AE3CE8"/>
    <w:rsid w:val="00AE4ABF"/>
    <w:rsid w:val="00AE6787"/>
    <w:rsid w:val="00AE7ABD"/>
    <w:rsid w:val="00AF029B"/>
    <w:rsid w:val="00AF0898"/>
    <w:rsid w:val="00AF0A0D"/>
    <w:rsid w:val="00AF1F99"/>
    <w:rsid w:val="00AF25D0"/>
    <w:rsid w:val="00AF2A89"/>
    <w:rsid w:val="00AF4773"/>
    <w:rsid w:val="00AF4CD9"/>
    <w:rsid w:val="00AF7E8E"/>
    <w:rsid w:val="00B00E19"/>
    <w:rsid w:val="00B058B6"/>
    <w:rsid w:val="00B0591B"/>
    <w:rsid w:val="00B06DF8"/>
    <w:rsid w:val="00B07C1B"/>
    <w:rsid w:val="00B14AA0"/>
    <w:rsid w:val="00B14CA7"/>
    <w:rsid w:val="00B259E5"/>
    <w:rsid w:val="00B26628"/>
    <w:rsid w:val="00B3130A"/>
    <w:rsid w:val="00B33BD8"/>
    <w:rsid w:val="00B34380"/>
    <w:rsid w:val="00B35289"/>
    <w:rsid w:val="00B41981"/>
    <w:rsid w:val="00B42F3A"/>
    <w:rsid w:val="00B4351C"/>
    <w:rsid w:val="00B44625"/>
    <w:rsid w:val="00B46548"/>
    <w:rsid w:val="00B46C88"/>
    <w:rsid w:val="00B47BB9"/>
    <w:rsid w:val="00B51113"/>
    <w:rsid w:val="00B60DC7"/>
    <w:rsid w:val="00B63CB5"/>
    <w:rsid w:val="00B64726"/>
    <w:rsid w:val="00B66D73"/>
    <w:rsid w:val="00B66FD1"/>
    <w:rsid w:val="00B67720"/>
    <w:rsid w:val="00B67F36"/>
    <w:rsid w:val="00B67F6C"/>
    <w:rsid w:val="00B70A77"/>
    <w:rsid w:val="00B71F86"/>
    <w:rsid w:val="00B7378D"/>
    <w:rsid w:val="00B748DF"/>
    <w:rsid w:val="00B75709"/>
    <w:rsid w:val="00B87121"/>
    <w:rsid w:val="00B90428"/>
    <w:rsid w:val="00B905D0"/>
    <w:rsid w:val="00B92508"/>
    <w:rsid w:val="00B92EC5"/>
    <w:rsid w:val="00B9676C"/>
    <w:rsid w:val="00BA182B"/>
    <w:rsid w:val="00BA3EA9"/>
    <w:rsid w:val="00BA3F54"/>
    <w:rsid w:val="00BA4A89"/>
    <w:rsid w:val="00BA57E5"/>
    <w:rsid w:val="00BA694E"/>
    <w:rsid w:val="00BB138B"/>
    <w:rsid w:val="00BC4039"/>
    <w:rsid w:val="00BC5BDA"/>
    <w:rsid w:val="00BD0780"/>
    <w:rsid w:val="00BD16E6"/>
    <w:rsid w:val="00BD17AE"/>
    <w:rsid w:val="00BD4663"/>
    <w:rsid w:val="00BE1C9A"/>
    <w:rsid w:val="00BE1E8F"/>
    <w:rsid w:val="00BE6468"/>
    <w:rsid w:val="00BE6CC1"/>
    <w:rsid w:val="00BF4AFC"/>
    <w:rsid w:val="00BF587A"/>
    <w:rsid w:val="00BF7592"/>
    <w:rsid w:val="00C00493"/>
    <w:rsid w:val="00C02E76"/>
    <w:rsid w:val="00C071BC"/>
    <w:rsid w:val="00C13806"/>
    <w:rsid w:val="00C146A1"/>
    <w:rsid w:val="00C14D8B"/>
    <w:rsid w:val="00C1798F"/>
    <w:rsid w:val="00C21DB8"/>
    <w:rsid w:val="00C2262B"/>
    <w:rsid w:val="00C23560"/>
    <w:rsid w:val="00C24850"/>
    <w:rsid w:val="00C25577"/>
    <w:rsid w:val="00C25B44"/>
    <w:rsid w:val="00C3317D"/>
    <w:rsid w:val="00C33E49"/>
    <w:rsid w:val="00C35591"/>
    <w:rsid w:val="00C35A56"/>
    <w:rsid w:val="00C36AD1"/>
    <w:rsid w:val="00C40546"/>
    <w:rsid w:val="00C41BD5"/>
    <w:rsid w:val="00C41EDB"/>
    <w:rsid w:val="00C42FA7"/>
    <w:rsid w:val="00C469DB"/>
    <w:rsid w:val="00C47F49"/>
    <w:rsid w:val="00C51E84"/>
    <w:rsid w:val="00C52B5C"/>
    <w:rsid w:val="00C535B1"/>
    <w:rsid w:val="00C5524F"/>
    <w:rsid w:val="00C564CE"/>
    <w:rsid w:val="00C5774B"/>
    <w:rsid w:val="00C60C6F"/>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5320"/>
    <w:rsid w:val="00CA6AE7"/>
    <w:rsid w:val="00CB1D02"/>
    <w:rsid w:val="00CB2043"/>
    <w:rsid w:val="00CB2790"/>
    <w:rsid w:val="00CB505F"/>
    <w:rsid w:val="00CB6AA8"/>
    <w:rsid w:val="00CB7939"/>
    <w:rsid w:val="00CC5451"/>
    <w:rsid w:val="00CD369F"/>
    <w:rsid w:val="00CD7F0A"/>
    <w:rsid w:val="00CE0D8E"/>
    <w:rsid w:val="00CE118D"/>
    <w:rsid w:val="00CE28F2"/>
    <w:rsid w:val="00CE3166"/>
    <w:rsid w:val="00CE3F94"/>
    <w:rsid w:val="00CE53AB"/>
    <w:rsid w:val="00CE757A"/>
    <w:rsid w:val="00CF169A"/>
    <w:rsid w:val="00CF1DFC"/>
    <w:rsid w:val="00CF2C5D"/>
    <w:rsid w:val="00CF78C6"/>
    <w:rsid w:val="00CF7C87"/>
    <w:rsid w:val="00D0429B"/>
    <w:rsid w:val="00D11324"/>
    <w:rsid w:val="00D16B4A"/>
    <w:rsid w:val="00D16C72"/>
    <w:rsid w:val="00D22C55"/>
    <w:rsid w:val="00D245EA"/>
    <w:rsid w:val="00D24AF2"/>
    <w:rsid w:val="00D30904"/>
    <w:rsid w:val="00D32C4D"/>
    <w:rsid w:val="00D349AA"/>
    <w:rsid w:val="00D36D9D"/>
    <w:rsid w:val="00D3775B"/>
    <w:rsid w:val="00D4190F"/>
    <w:rsid w:val="00D44882"/>
    <w:rsid w:val="00D548C8"/>
    <w:rsid w:val="00D54ED4"/>
    <w:rsid w:val="00D5513F"/>
    <w:rsid w:val="00D554B6"/>
    <w:rsid w:val="00D6001B"/>
    <w:rsid w:val="00D60A31"/>
    <w:rsid w:val="00D633A3"/>
    <w:rsid w:val="00D64E07"/>
    <w:rsid w:val="00D661C8"/>
    <w:rsid w:val="00D66763"/>
    <w:rsid w:val="00D7108A"/>
    <w:rsid w:val="00D73ECD"/>
    <w:rsid w:val="00D74043"/>
    <w:rsid w:val="00D74707"/>
    <w:rsid w:val="00D75FA7"/>
    <w:rsid w:val="00D85087"/>
    <w:rsid w:val="00D85ACE"/>
    <w:rsid w:val="00D94B6D"/>
    <w:rsid w:val="00D965B9"/>
    <w:rsid w:val="00DB3586"/>
    <w:rsid w:val="00DB5C6B"/>
    <w:rsid w:val="00DB7241"/>
    <w:rsid w:val="00DC1011"/>
    <w:rsid w:val="00DC11E3"/>
    <w:rsid w:val="00DC5385"/>
    <w:rsid w:val="00DC769B"/>
    <w:rsid w:val="00DC7728"/>
    <w:rsid w:val="00DC7AB7"/>
    <w:rsid w:val="00DD2599"/>
    <w:rsid w:val="00DD3616"/>
    <w:rsid w:val="00DD556C"/>
    <w:rsid w:val="00DD622B"/>
    <w:rsid w:val="00DD6CB9"/>
    <w:rsid w:val="00DE1870"/>
    <w:rsid w:val="00DE1BD0"/>
    <w:rsid w:val="00DE27F8"/>
    <w:rsid w:val="00DE2B0F"/>
    <w:rsid w:val="00DE49C3"/>
    <w:rsid w:val="00DE55A6"/>
    <w:rsid w:val="00DE693B"/>
    <w:rsid w:val="00E010D9"/>
    <w:rsid w:val="00E0238C"/>
    <w:rsid w:val="00E14905"/>
    <w:rsid w:val="00E14F17"/>
    <w:rsid w:val="00E17087"/>
    <w:rsid w:val="00E264B7"/>
    <w:rsid w:val="00E26FFB"/>
    <w:rsid w:val="00E307F8"/>
    <w:rsid w:val="00E30E83"/>
    <w:rsid w:val="00E30EF9"/>
    <w:rsid w:val="00E314FC"/>
    <w:rsid w:val="00E409B4"/>
    <w:rsid w:val="00E42B0B"/>
    <w:rsid w:val="00E47083"/>
    <w:rsid w:val="00E47926"/>
    <w:rsid w:val="00E52C47"/>
    <w:rsid w:val="00E53DCA"/>
    <w:rsid w:val="00E6399A"/>
    <w:rsid w:val="00E6542A"/>
    <w:rsid w:val="00E71AB0"/>
    <w:rsid w:val="00E72F4B"/>
    <w:rsid w:val="00E730FB"/>
    <w:rsid w:val="00E74451"/>
    <w:rsid w:val="00E8213F"/>
    <w:rsid w:val="00E828B5"/>
    <w:rsid w:val="00E8423A"/>
    <w:rsid w:val="00E8785C"/>
    <w:rsid w:val="00E87AF4"/>
    <w:rsid w:val="00E95B1A"/>
    <w:rsid w:val="00E95E46"/>
    <w:rsid w:val="00E96058"/>
    <w:rsid w:val="00EA250C"/>
    <w:rsid w:val="00EA47FF"/>
    <w:rsid w:val="00EB0F28"/>
    <w:rsid w:val="00EB5193"/>
    <w:rsid w:val="00EB610E"/>
    <w:rsid w:val="00EB6DB9"/>
    <w:rsid w:val="00EB7F68"/>
    <w:rsid w:val="00EC036E"/>
    <w:rsid w:val="00EC0828"/>
    <w:rsid w:val="00EC17FB"/>
    <w:rsid w:val="00EC38AE"/>
    <w:rsid w:val="00EC641A"/>
    <w:rsid w:val="00EC6B07"/>
    <w:rsid w:val="00ED0AC3"/>
    <w:rsid w:val="00ED20F7"/>
    <w:rsid w:val="00ED54E9"/>
    <w:rsid w:val="00ED76BF"/>
    <w:rsid w:val="00EE0D2D"/>
    <w:rsid w:val="00EE5396"/>
    <w:rsid w:val="00EE6176"/>
    <w:rsid w:val="00EF0A83"/>
    <w:rsid w:val="00EF5D3D"/>
    <w:rsid w:val="00EF6363"/>
    <w:rsid w:val="00F047A9"/>
    <w:rsid w:val="00F063F4"/>
    <w:rsid w:val="00F07C3A"/>
    <w:rsid w:val="00F12C7D"/>
    <w:rsid w:val="00F15BB7"/>
    <w:rsid w:val="00F15C25"/>
    <w:rsid w:val="00F16636"/>
    <w:rsid w:val="00F17A0F"/>
    <w:rsid w:val="00F201A8"/>
    <w:rsid w:val="00F25034"/>
    <w:rsid w:val="00F30E99"/>
    <w:rsid w:val="00F34B89"/>
    <w:rsid w:val="00F36127"/>
    <w:rsid w:val="00F37C02"/>
    <w:rsid w:val="00F43952"/>
    <w:rsid w:val="00F449CA"/>
    <w:rsid w:val="00F45551"/>
    <w:rsid w:val="00F45F44"/>
    <w:rsid w:val="00F46B15"/>
    <w:rsid w:val="00F46DCE"/>
    <w:rsid w:val="00F47F31"/>
    <w:rsid w:val="00F50C1A"/>
    <w:rsid w:val="00F51170"/>
    <w:rsid w:val="00F55750"/>
    <w:rsid w:val="00F56078"/>
    <w:rsid w:val="00F61DBA"/>
    <w:rsid w:val="00F636CC"/>
    <w:rsid w:val="00F636EC"/>
    <w:rsid w:val="00F638E9"/>
    <w:rsid w:val="00F64252"/>
    <w:rsid w:val="00F65129"/>
    <w:rsid w:val="00F66624"/>
    <w:rsid w:val="00F66BB6"/>
    <w:rsid w:val="00F66C18"/>
    <w:rsid w:val="00F67604"/>
    <w:rsid w:val="00F7164D"/>
    <w:rsid w:val="00F72598"/>
    <w:rsid w:val="00F746FF"/>
    <w:rsid w:val="00F74AD4"/>
    <w:rsid w:val="00F74C31"/>
    <w:rsid w:val="00F75651"/>
    <w:rsid w:val="00F760E7"/>
    <w:rsid w:val="00F7759E"/>
    <w:rsid w:val="00F822A7"/>
    <w:rsid w:val="00F83421"/>
    <w:rsid w:val="00F8394C"/>
    <w:rsid w:val="00F83B83"/>
    <w:rsid w:val="00F860AD"/>
    <w:rsid w:val="00F90E2E"/>
    <w:rsid w:val="00F91D15"/>
    <w:rsid w:val="00F94FAA"/>
    <w:rsid w:val="00FA05C8"/>
    <w:rsid w:val="00FA1112"/>
    <w:rsid w:val="00FA1C73"/>
    <w:rsid w:val="00FA2FC9"/>
    <w:rsid w:val="00FA2FE9"/>
    <w:rsid w:val="00FA6EA6"/>
    <w:rsid w:val="00FB2A58"/>
    <w:rsid w:val="00FB32DA"/>
    <w:rsid w:val="00FC1DE0"/>
    <w:rsid w:val="00FC48EB"/>
    <w:rsid w:val="00FC7091"/>
    <w:rsid w:val="00FD0EAB"/>
    <w:rsid w:val="00FD247C"/>
    <w:rsid w:val="00FE0D23"/>
    <w:rsid w:val="00FE2A36"/>
    <w:rsid w:val="00FE47BC"/>
    <w:rsid w:val="00FE676E"/>
    <w:rsid w:val="00FF329F"/>
    <w:rsid w:val="00FF5AD3"/>
    <w:rsid w:val="00FF6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efault">
    <w:name w:val="Default"/>
    <w:rsid w:val="00316DF4"/>
    <w:pPr>
      <w:autoSpaceDE w:val="0"/>
      <w:autoSpaceDN w:val="0"/>
      <w:adjustRightInd w:val="0"/>
      <w:spacing w:after="0"/>
      <w:jc w:val="left"/>
    </w:pPr>
    <w:rPr>
      <w:color w:val="000000"/>
      <w:szCs w:val="24"/>
    </w:rPr>
  </w:style>
  <w:style w:type="paragraph" w:customStyle="1" w:styleId="gmail-msolistparagraph">
    <w:name w:val="gmail-msolistparagraph"/>
    <w:basedOn w:val="Normal"/>
    <w:rsid w:val="00CE28F2"/>
    <w:pPr>
      <w:spacing w:before="100" w:beforeAutospacing="1" w:after="100" w:afterAutospacing="1"/>
    </w:pPr>
    <w:rPr>
      <w:rFonts w:ascii="Calibri" w:eastAsiaTheme="minorHAnsi" w:hAnsi="Calibri" w:cs="Calibri"/>
      <w:sz w:val="22"/>
      <w:szCs w:val="22"/>
    </w:rPr>
  </w:style>
  <w:style w:type="paragraph" w:styleId="NormalWeb">
    <w:name w:val="Normal (Web)"/>
    <w:basedOn w:val="Normal"/>
    <w:uiPriority w:val="99"/>
    <w:unhideWhenUsed/>
    <w:rsid w:val="003618F1"/>
    <w:pPr>
      <w:spacing w:before="100" w:beforeAutospacing="1" w:after="100" w:afterAutospacing="1"/>
    </w:pPr>
    <w:rPr>
      <w:szCs w:val="24"/>
    </w:rPr>
  </w:style>
  <w:style w:type="paragraph" w:customStyle="1" w:styleId="pf0">
    <w:name w:val="pf0"/>
    <w:basedOn w:val="Normal"/>
    <w:rsid w:val="00807C29"/>
    <w:pPr>
      <w:spacing w:before="100" w:beforeAutospacing="1" w:after="100" w:afterAutospacing="1"/>
    </w:pPr>
    <w:rPr>
      <w:szCs w:val="24"/>
    </w:rPr>
  </w:style>
  <w:style w:type="character" w:customStyle="1" w:styleId="cf01">
    <w:name w:val="cf01"/>
    <w:basedOn w:val="DefaultParagraphFont"/>
    <w:rsid w:val="00807C29"/>
    <w:rPr>
      <w:rFonts w:ascii="Segoe UI" w:hAnsi="Segoe UI" w:cs="Segoe UI" w:hint="default"/>
      <w:sz w:val="18"/>
      <w:szCs w:val="18"/>
    </w:rPr>
  </w:style>
  <w:style w:type="character" w:customStyle="1" w:styleId="cf11">
    <w:name w:val="cf11"/>
    <w:basedOn w:val="DefaultParagraphFont"/>
    <w:rsid w:val="00807C29"/>
    <w:rPr>
      <w:rFonts w:ascii="Segoe UI" w:hAnsi="Segoe UI" w:cs="Segoe UI" w:hint="default"/>
      <w:b/>
      <w:bCs/>
      <w:sz w:val="18"/>
      <w:szCs w:val="18"/>
    </w:rPr>
  </w:style>
  <w:style w:type="character" w:customStyle="1" w:styleId="ui-provider">
    <w:name w:val="ui-provider"/>
    <w:basedOn w:val="DefaultParagraphFont"/>
    <w:rsid w:val="0021307B"/>
  </w:style>
  <w:style w:type="paragraph" w:customStyle="1" w:styleId="xmsonormal">
    <w:name w:val="x_msonormal"/>
    <w:basedOn w:val="Normal"/>
    <w:rsid w:val="004922EC"/>
    <w:rPr>
      <w:rFonts w:ascii="Calibri" w:eastAsiaTheme="minorHAnsi" w:hAnsi="Calibri" w:cs="Calibri"/>
      <w:sz w:val="22"/>
      <w:szCs w:val="22"/>
    </w:rPr>
  </w:style>
  <w:style w:type="character" w:customStyle="1" w:styleId="contentpasted2">
    <w:name w:val="contentpasted2"/>
    <w:basedOn w:val="DefaultParagraphFont"/>
    <w:rsid w:val="004922EC"/>
  </w:style>
  <w:style w:type="paragraph" w:customStyle="1" w:styleId="xpf0">
    <w:name w:val="x_pf0"/>
    <w:basedOn w:val="Normal"/>
    <w:rsid w:val="007B201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317">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27888025">
      <w:bodyDiv w:val="1"/>
      <w:marLeft w:val="0"/>
      <w:marRight w:val="0"/>
      <w:marTop w:val="0"/>
      <w:marBottom w:val="0"/>
      <w:divBdr>
        <w:top w:val="none" w:sz="0" w:space="0" w:color="auto"/>
        <w:left w:val="none" w:sz="0" w:space="0" w:color="auto"/>
        <w:bottom w:val="none" w:sz="0" w:space="0" w:color="auto"/>
        <w:right w:val="none" w:sz="0" w:space="0" w:color="auto"/>
      </w:divBdr>
    </w:div>
    <w:div w:id="231814667">
      <w:bodyDiv w:val="1"/>
      <w:marLeft w:val="0"/>
      <w:marRight w:val="0"/>
      <w:marTop w:val="0"/>
      <w:marBottom w:val="0"/>
      <w:divBdr>
        <w:top w:val="none" w:sz="0" w:space="0" w:color="auto"/>
        <w:left w:val="none" w:sz="0" w:space="0" w:color="auto"/>
        <w:bottom w:val="none" w:sz="0" w:space="0" w:color="auto"/>
        <w:right w:val="none" w:sz="0" w:space="0" w:color="auto"/>
      </w:divBdr>
    </w:div>
    <w:div w:id="302661723">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82217482">
      <w:bodyDiv w:val="1"/>
      <w:marLeft w:val="0"/>
      <w:marRight w:val="0"/>
      <w:marTop w:val="0"/>
      <w:marBottom w:val="0"/>
      <w:divBdr>
        <w:top w:val="none" w:sz="0" w:space="0" w:color="auto"/>
        <w:left w:val="none" w:sz="0" w:space="0" w:color="auto"/>
        <w:bottom w:val="none" w:sz="0" w:space="0" w:color="auto"/>
        <w:right w:val="none" w:sz="0" w:space="0" w:color="auto"/>
      </w:divBdr>
    </w:div>
    <w:div w:id="383525066">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65664184">
      <w:bodyDiv w:val="1"/>
      <w:marLeft w:val="0"/>
      <w:marRight w:val="0"/>
      <w:marTop w:val="0"/>
      <w:marBottom w:val="0"/>
      <w:divBdr>
        <w:top w:val="none" w:sz="0" w:space="0" w:color="auto"/>
        <w:left w:val="none" w:sz="0" w:space="0" w:color="auto"/>
        <w:bottom w:val="none" w:sz="0" w:space="0" w:color="auto"/>
        <w:right w:val="none" w:sz="0" w:space="0" w:color="auto"/>
      </w:divBdr>
    </w:div>
    <w:div w:id="641472154">
      <w:bodyDiv w:val="1"/>
      <w:marLeft w:val="0"/>
      <w:marRight w:val="0"/>
      <w:marTop w:val="0"/>
      <w:marBottom w:val="0"/>
      <w:divBdr>
        <w:top w:val="none" w:sz="0" w:space="0" w:color="auto"/>
        <w:left w:val="none" w:sz="0" w:space="0" w:color="auto"/>
        <w:bottom w:val="none" w:sz="0" w:space="0" w:color="auto"/>
        <w:right w:val="none" w:sz="0" w:space="0" w:color="auto"/>
      </w:divBdr>
    </w:div>
    <w:div w:id="661197588">
      <w:bodyDiv w:val="1"/>
      <w:marLeft w:val="0"/>
      <w:marRight w:val="0"/>
      <w:marTop w:val="0"/>
      <w:marBottom w:val="0"/>
      <w:divBdr>
        <w:top w:val="none" w:sz="0" w:space="0" w:color="auto"/>
        <w:left w:val="none" w:sz="0" w:space="0" w:color="auto"/>
        <w:bottom w:val="none" w:sz="0" w:space="0" w:color="auto"/>
        <w:right w:val="none" w:sz="0" w:space="0" w:color="auto"/>
      </w:divBdr>
    </w:div>
    <w:div w:id="723067778">
      <w:bodyDiv w:val="1"/>
      <w:marLeft w:val="0"/>
      <w:marRight w:val="0"/>
      <w:marTop w:val="0"/>
      <w:marBottom w:val="0"/>
      <w:divBdr>
        <w:top w:val="none" w:sz="0" w:space="0" w:color="auto"/>
        <w:left w:val="none" w:sz="0" w:space="0" w:color="auto"/>
        <w:bottom w:val="none" w:sz="0" w:space="0" w:color="auto"/>
        <w:right w:val="none" w:sz="0" w:space="0" w:color="auto"/>
      </w:divBdr>
    </w:div>
    <w:div w:id="738097225">
      <w:bodyDiv w:val="1"/>
      <w:marLeft w:val="0"/>
      <w:marRight w:val="0"/>
      <w:marTop w:val="0"/>
      <w:marBottom w:val="0"/>
      <w:divBdr>
        <w:top w:val="none" w:sz="0" w:space="0" w:color="auto"/>
        <w:left w:val="none" w:sz="0" w:space="0" w:color="auto"/>
        <w:bottom w:val="none" w:sz="0" w:space="0" w:color="auto"/>
        <w:right w:val="none" w:sz="0" w:space="0" w:color="auto"/>
      </w:divBdr>
    </w:div>
    <w:div w:id="745147535">
      <w:bodyDiv w:val="1"/>
      <w:marLeft w:val="0"/>
      <w:marRight w:val="0"/>
      <w:marTop w:val="0"/>
      <w:marBottom w:val="0"/>
      <w:divBdr>
        <w:top w:val="none" w:sz="0" w:space="0" w:color="auto"/>
        <w:left w:val="none" w:sz="0" w:space="0" w:color="auto"/>
        <w:bottom w:val="none" w:sz="0" w:space="0" w:color="auto"/>
        <w:right w:val="none" w:sz="0" w:space="0" w:color="auto"/>
      </w:divBdr>
    </w:div>
    <w:div w:id="762651193">
      <w:bodyDiv w:val="1"/>
      <w:marLeft w:val="0"/>
      <w:marRight w:val="0"/>
      <w:marTop w:val="0"/>
      <w:marBottom w:val="0"/>
      <w:divBdr>
        <w:top w:val="none" w:sz="0" w:space="0" w:color="auto"/>
        <w:left w:val="none" w:sz="0" w:space="0" w:color="auto"/>
        <w:bottom w:val="none" w:sz="0" w:space="0" w:color="auto"/>
        <w:right w:val="none" w:sz="0" w:space="0" w:color="auto"/>
      </w:divBdr>
    </w:div>
    <w:div w:id="767434540">
      <w:bodyDiv w:val="1"/>
      <w:marLeft w:val="0"/>
      <w:marRight w:val="0"/>
      <w:marTop w:val="0"/>
      <w:marBottom w:val="0"/>
      <w:divBdr>
        <w:top w:val="none" w:sz="0" w:space="0" w:color="auto"/>
        <w:left w:val="none" w:sz="0" w:space="0" w:color="auto"/>
        <w:bottom w:val="none" w:sz="0" w:space="0" w:color="auto"/>
        <w:right w:val="none" w:sz="0" w:space="0" w:color="auto"/>
      </w:divBdr>
    </w:div>
    <w:div w:id="800655316">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01332854">
      <w:bodyDiv w:val="1"/>
      <w:marLeft w:val="0"/>
      <w:marRight w:val="0"/>
      <w:marTop w:val="0"/>
      <w:marBottom w:val="0"/>
      <w:divBdr>
        <w:top w:val="none" w:sz="0" w:space="0" w:color="auto"/>
        <w:left w:val="none" w:sz="0" w:space="0" w:color="auto"/>
        <w:bottom w:val="none" w:sz="0" w:space="0" w:color="auto"/>
        <w:right w:val="none" w:sz="0" w:space="0" w:color="auto"/>
      </w:divBdr>
    </w:div>
    <w:div w:id="993333683">
      <w:bodyDiv w:val="1"/>
      <w:marLeft w:val="0"/>
      <w:marRight w:val="0"/>
      <w:marTop w:val="0"/>
      <w:marBottom w:val="0"/>
      <w:divBdr>
        <w:top w:val="none" w:sz="0" w:space="0" w:color="auto"/>
        <w:left w:val="none" w:sz="0" w:space="0" w:color="auto"/>
        <w:bottom w:val="none" w:sz="0" w:space="0" w:color="auto"/>
        <w:right w:val="none" w:sz="0" w:space="0" w:color="auto"/>
      </w:divBdr>
    </w:div>
    <w:div w:id="1019618785">
      <w:bodyDiv w:val="1"/>
      <w:marLeft w:val="0"/>
      <w:marRight w:val="0"/>
      <w:marTop w:val="0"/>
      <w:marBottom w:val="0"/>
      <w:divBdr>
        <w:top w:val="none" w:sz="0" w:space="0" w:color="auto"/>
        <w:left w:val="none" w:sz="0" w:space="0" w:color="auto"/>
        <w:bottom w:val="none" w:sz="0" w:space="0" w:color="auto"/>
        <w:right w:val="none" w:sz="0" w:space="0" w:color="auto"/>
      </w:divBdr>
    </w:div>
    <w:div w:id="1031957717">
      <w:bodyDiv w:val="1"/>
      <w:marLeft w:val="0"/>
      <w:marRight w:val="0"/>
      <w:marTop w:val="0"/>
      <w:marBottom w:val="0"/>
      <w:divBdr>
        <w:top w:val="none" w:sz="0" w:space="0" w:color="auto"/>
        <w:left w:val="none" w:sz="0" w:space="0" w:color="auto"/>
        <w:bottom w:val="none" w:sz="0" w:space="0" w:color="auto"/>
        <w:right w:val="none" w:sz="0" w:space="0" w:color="auto"/>
      </w:divBdr>
    </w:div>
    <w:div w:id="1033068455">
      <w:bodyDiv w:val="1"/>
      <w:marLeft w:val="0"/>
      <w:marRight w:val="0"/>
      <w:marTop w:val="0"/>
      <w:marBottom w:val="0"/>
      <w:divBdr>
        <w:top w:val="none" w:sz="0" w:space="0" w:color="auto"/>
        <w:left w:val="none" w:sz="0" w:space="0" w:color="auto"/>
        <w:bottom w:val="none" w:sz="0" w:space="0" w:color="auto"/>
        <w:right w:val="none" w:sz="0" w:space="0" w:color="auto"/>
      </w:divBdr>
    </w:div>
    <w:div w:id="1036003478">
      <w:bodyDiv w:val="1"/>
      <w:marLeft w:val="0"/>
      <w:marRight w:val="0"/>
      <w:marTop w:val="0"/>
      <w:marBottom w:val="0"/>
      <w:divBdr>
        <w:top w:val="none" w:sz="0" w:space="0" w:color="auto"/>
        <w:left w:val="none" w:sz="0" w:space="0" w:color="auto"/>
        <w:bottom w:val="none" w:sz="0" w:space="0" w:color="auto"/>
        <w:right w:val="none" w:sz="0" w:space="0" w:color="auto"/>
      </w:divBdr>
    </w:div>
    <w:div w:id="1049256562">
      <w:bodyDiv w:val="1"/>
      <w:marLeft w:val="0"/>
      <w:marRight w:val="0"/>
      <w:marTop w:val="0"/>
      <w:marBottom w:val="0"/>
      <w:divBdr>
        <w:top w:val="none" w:sz="0" w:space="0" w:color="auto"/>
        <w:left w:val="none" w:sz="0" w:space="0" w:color="auto"/>
        <w:bottom w:val="none" w:sz="0" w:space="0" w:color="auto"/>
        <w:right w:val="none" w:sz="0" w:space="0" w:color="auto"/>
      </w:divBdr>
    </w:div>
    <w:div w:id="1050614373">
      <w:bodyDiv w:val="1"/>
      <w:marLeft w:val="0"/>
      <w:marRight w:val="0"/>
      <w:marTop w:val="0"/>
      <w:marBottom w:val="0"/>
      <w:divBdr>
        <w:top w:val="none" w:sz="0" w:space="0" w:color="auto"/>
        <w:left w:val="none" w:sz="0" w:space="0" w:color="auto"/>
        <w:bottom w:val="none" w:sz="0" w:space="0" w:color="auto"/>
        <w:right w:val="none" w:sz="0" w:space="0" w:color="auto"/>
      </w:divBdr>
    </w:div>
    <w:div w:id="1052072754">
      <w:bodyDiv w:val="1"/>
      <w:marLeft w:val="0"/>
      <w:marRight w:val="0"/>
      <w:marTop w:val="0"/>
      <w:marBottom w:val="0"/>
      <w:divBdr>
        <w:top w:val="none" w:sz="0" w:space="0" w:color="auto"/>
        <w:left w:val="none" w:sz="0" w:space="0" w:color="auto"/>
        <w:bottom w:val="none" w:sz="0" w:space="0" w:color="auto"/>
        <w:right w:val="none" w:sz="0" w:space="0" w:color="auto"/>
      </w:divBdr>
    </w:div>
    <w:div w:id="1056515308">
      <w:bodyDiv w:val="1"/>
      <w:marLeft w:val="0"/>
      <w:marRight w:val="0"/>
      <w:marTop w:val="0"/>
      <w:marBottom w:val="0"/>
      <w:divBdr>
        <w:top w:val="none" w:sz="0" w:space="0" w:color="auto"/>
        <w:left w:val="none" w:sz="0" w:space="0" w:color="auto"/>
        <w:bottom w:val="none" w:sz="0" w:space="0" w:color="auto"/>
        <w:right w:val="none" w:sz="0" w:space="0" w:color="auto"/>
      </w:divBdr>
    </w:div>
    <w:div w:id="1078749374">
      <w:bodyDiv w:val="1"/>
      <w:marLeft w:val="0"/>
      <w:marRight w:val="0"/>
      <w:marTop w:val="0"/>
      <w:marBottom w:val="0"/>
      <w:divBdr>
        <w:top w:val="none" w:sz="0" w:space="0" w:color="auto"/>
        <w:left w:val="none" w:sz="0" w:space="0" w:color="auto"/>
        <w:bottom w:val="none" w:sz="0" w:space="0" w:color="auto"/>
        <w:right w:val="none" w:sz="0" w:space="0" w:color="auto"/>
      </w:divBdr>
    </w:div>
    <w:div w:id="1083182117">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06059098">
      <w:bodyDiv w:val="1"/>
      <w:marLeft w:val="0"/>
      <w:marRight w:val="0"/>
      <w:marTop w:val="0"/>
      <w:marBottom w:val="0"/>
      <w:divBdr>
        <w:top w:val="none" w:sz="0" w:space="0" w:color="auto"/>
        <w:left w:val="none" w:sz="0" w:space="0" w:color="auto"/>
        <w:bottom w:val="none" w:sz="0" w:space="0" w:color="auto"/>
        <w:right w:val="none" w:sz="0" w:space="0" w:color="auto"/>
      </w:divBdr>
    </w:div>
    <w:div w:id="1250193716">
      <w:bodyDiv w:val="1"/>
      <w:marLeft w:val="0"/>
      <w:marRight w:val="0"/>
      <w:marTop w:val="0"/>
      <w:marBottom w:val="0"/>
      <w:divBdr>
        <w:top w:val="none" w:sz="0" w:space="0" w:color="auto"/>
        <w:left w:val="none" w:sz="0" w:space="0" w:color="auto"/>
        <w:bottom w:val="none" w:sz="0" w:space="0" w:color="auto"/>
        <w:right w:val="none" w:sz="0" w:space="0" w:color="auto"/>
      </w:divBdr>
    </w:div>
    <w:div w:id="1254244540">
      <w:bodyDiv w:val="1"/>
      <w:marLeft w:val="0"/>
      <w:marRight w:val="0"/>
      <w:marTop w:val="0"/>
      <w:marBottom w:val="0"/>
      <w:divBdr>
        <w:top w:val="none" w:sz="0" w:space="0" w:color="auto"/>
        <w:left w:val="none" w:sz="0" w:space="0" w:color="auto"/>
        <w:bottom w:val="none" w:sz="0" w:space="0" w:color="auto"/>
        <w:right w:val="none" w:sz="0" w:space="0" w:color="auto"/>
      </w:divBdr>
    </w:div>
    <w:div w:id="1286159843">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385064202">
      <w:bodyDiv w:val="1"/>
      <w:marLeft w:val="0"/>
      <w:marRight w:val="0"/>
      <w:marTop w:val="0"/>
      <w:marBottom w:val="0"/>
      <w:divBdr>
        <w:top w:val="none" w:sz="0" w:space="0" w:color="auto"/>
        <w:left w:val="none" w:sz="0" w:space="0" w:color="auto"/>
        <w:bottom w:val="none" w:sz="0" w:space="0" w:color="auto"/>
        <w:right w:val="none" w:sz="0" w:space="0" w:color="auto"/>
      </w:divBdr>
    </w:div>
    <w:div w:id="1397120512">
      <w:bodyDiv w:val="1"/>
      <w:marLeft w:val="0"/>
      <w:marRight w:val="0"/>
      <w:marTop w:val="0"/>
      <w:marBottom w:val="0"/>
      <w:divBdr>
        <w:top w:val="none" w:sz="0" w:space="0" w:color="auto"/>
        <w:left w:val="none" w:sz="0" w:space="0" w:color="auto"/>
        <w:bottom w:val="none" w:sz="0" w:space="0" w:color="auto"/>
        <w:right w:val="none" w:sz="0" w:space="0" w:color="auto"/>
      </w:divBdr>
    </w:div>
    <w:div w:id="1401096537">
      <w:bodyDiv w:val="1"/>
      <w:marLeft w:val="0"/>
      <w:marRight w:val="0"/>
      <w:marTop w:val="0"/>
      <w:marBottom w:val="0"/>
      <w:divBdr>
        <w:top w:val="none" w:sz="0" w:space="0" w:color="auto"/>
        <w:left w:val="none" w:sz="0" w:space="0" w:color="auto"/>
        <w:bottom w:val="none" w:sz="0" w:space="0" w:color="auto"/>
        <w:right w:val="none" w:sz="0" w:space="0" w:color="auto"/>
      </w:divBdr>
    </w:div>
    <w:div w:id="1405227307">
      <w:bodyDiv w:val="1"/>
      <w:marLeft w:val="0"/>
      <w:marRight w:val="0"/>
      <w:marTop w:val="0"/>
      <w:marBottom w:val="0"/>
      <w:divBdr>
        <w:top w:val="none" w:sz="0" w:space="0" w:color="auto"/>
        <w:left w:val="none" w:sz="0" w:space="0" w:color="auto"/>
        <w:bottom w:val="none" w:sz="0" w:space="0" w:color="auto"/>
        <w:right w:val="none" w:sz="0" w:space="0" w:color="auto"/>
      </w:divBdr>
    </w:div>
    <w:div w:id="142796689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75026783">
      <w:bodyDiv w:val="1"/>
      <w:marLeft w:val="0"/>
      <w:marRight w:val="0"/>
      <w:marTop w:val="0"/>
      <w:marBottom w:val="0"/>
      <w:divBdr>
        <w:top w:val="none" w:sz="0" w:space="0" w:color="auto"/>
        <w:left w:val="none" w:sz="0" w:space="0" w:color="auto"/>
        <w:bottom w:val="none" w:sz="0" w:space="0" w:color="auto"/>
        <w:right w:val="none" w:sz="0" w:space="0" w:color="auto"/>
      </w:divBdr>
    </w:div>
    <w:div w:id="1531527956">
      <w:bodyDiv w:val="1"/>
      <w:marLeft w:val="0"/>
      <w:marRight w:val="0"/>
      <w:marTop w:val="0"/>
      <w:marBottom w:val="0"/>
      <w:divBdr>
        <w:top w:val="none" w:sz="0" w:space="0" w:color="auto"/>
        <w:left w:val="none" w:sz="0" w:space="0" w:color="auto"/>
        <w:bottom w:val="none" w:sz="0" w:space="0" w:color="auto"/>
        <w:right w:val="none" w:sz="0" w:space="0" w:color="auto"/>
      </w:divBdr>
    </w:div>
    <w:div w:id="1569925861">
      <w:bodyDiv w:val="1"/>
      <w:marLeft w:val="0"/>
      <w:marRight w:val="0"/>
      <w:marTop w:val="0"/>
      <w:marBottom w:val="0"/>
      <w:divBdr>
        <w:top w:val="none" w:sz="0" w:space="0" w:color="auto"/>
        <w:left w:val="none" w:sz="0" w:space="0" w:color="auto"/>
        <w:bottom w:val="none" w:sz="0" w:space="0" w:color="auto"/>
        <w:right w:val="none" w:sz="0" w:space="0" w:color="auto"/>
      </w:divBdr>
    </w:div>
    <w:div w:id="1637683477">
      <w:bodyDiv w:val="1"/>
      <w:marLeft w:val="0"/>
      <w:marRight w:val="0"/>
      <w:marTop w:val="0"/>
      <w:marBottom w:val="0"/>
      <w:divBdr>
        <w:top w:val="none" w:sz="0" w:space="0" w:color="auto"/>
        <w:left w:val="none" w:sz="0" w:space="0" w:color="auto"/>
        <w:bottom w:val="none" w:sz="0" w:space="0" w:color="auto"/>
        <w:right w:val="none" w:sz="0" w:space="0" w:color="auto"/>
      </w:divBdr>
    </w:div>
    <w:div w:id="1658681402">
      <w:bodyDiv w:val="1"/>
      <w:marLeft w:val="0"/>
      <w:marRight w:val="0"/>
      <w:marTop w:val="0"/>
      <w:marBottom w:val="0"/>
      <w:divBdr>
        <w:top w:val="none" w:sz="0" w:space="0" w:color="auto"/>
        <w:left w:val="none" w:sz="0" w:space="0" w:color="auto"/>
        <w:bottom w:val="none" w:sz="0" w:space="0" w:color="auto"/>
        <w:right w:val="none" w:sz="0" w:space="0" w:color="auto"/>
      </w:divBdr>
    </w:div>
    <w:div w:id="1668897795">
      <w:bodyDiv w:val="1"/>
      <w:marLeft w:val="0"/>
      <w:marRight w:val="0"/>
      <w:marTop w:val="0"/>
      <w:marBottom w:val="0"/>
      <w:divBdr>
        <w:top w:val="none" w:sz="0" w:space="0" w:color="auto"/>
        <w:left w:val="none" w:sz="0" w:space="0" w:color="auto"/>
        <w:bottom w:val="none" w:sz="0" w:space="0" w:color="auto"/>
        <w:right w:val="none" w:sz="0" w:space="0" w:color="auto"/>
      </w:divBdr>
    </w:div>
    <w:div w:id="1694921694">
      <w:bodyDiv w:val="1"/>
      <w:marLeft w:val="0"/>
      <w:marRight w:val="0"/>
      <w:marTop w:val="0"/>
      <w:marBottom w:val="0"/>
      <w:divBdr>
        <w:top w:val="none" w:sz="0" w:space="0" w:color="auto"/>
        <w:left w:val="none" w:sz="0" w:space="0" w:color="auto"/>
        <w:bottom w:val="none" w:sz="0" w:space="0" w:color="auto"/>
        <w:right w:val="none" w:sz="0" w:space="0" w:color="auto"/>
      </w:divBdr>
    </w:div>
    <w:div w:id="1702899963">
      <w:bodyDiv w:val="1"/>
      <w:marLeft w:val="0"/>
      <w:marRight w:val="0"/>
      <w:marTop w:val="0"/>
      <w:marBottom w:val="0"/>
      <w:divBdr>
        <w:top w:val="none" w:sz="0" w:space="0" w:color="auto"/>
        <w:left w:val="none" w:sz="0" w:space="0" w:color="auto"/>
        <w:bottom w:val="none" w:sz="0" w:space="0" w:color="auto"/>
        <w:right w:val="none" w:sz="0" w:space="0" w:color="auto"/>
      </w:divBdr>
    </w:div>
    <w:div w:id="1716851444">
      <w:bodyDiv w:val="1"/>
      <w:marLeft w:val="0"/>
      <w:marRight w:val="0"/>
      <w:marTop w:val="0"/>
      <w:marBottom w:val="0"/>
      <w:divBdr>
        <w:top w:val="none" w:sz="0" w:space="0" w:color="auto"/>
        <w:left w:val="none" w:sz="0" w:space="0" w:color="auto"/>
        <w:bottom w:val="none" w:sz="0" w:space="0" w:color="auto"/>
        <w:right w:val="none" w:sz="0" w:space="0" w:color="auto"/>
      </w:divBdr>
    </w:div>
    <w:div w:id="1723946437">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763062590">
      <w:bodyDiv w:val="1"/>
      <w:marLeft w:val="0"/>
      <w:marRight w:val="0"/>
      <w:marTop w:val="0"/>
      <w:marBottom w:val="0"/>
      <w:divBdr>
        <w:top w:val="none" w:sz="0" w:space="0" w:color="auto"/>
        <w:left w:val="none" w:sz="0" w:space="0" w:color="auto"/>
        <w:bottom w:val="none" w:sz="0" w:space="0" w:color="auto"/>
        <w:right w:val="none" w:sz="0" w:space="0" w:color="auto"/>
      </w:divBdr>
    </w:div>
    <w:div w:id="1797021176">
      <w:bodyDiv w:val="1"/>
      <w:marLeft w:val="0"/>
      <w:marRight w:val="0"/>
      <w:marTop w:val="0"/>
      <w:marBottom w:val="0"/>
      <w:divBdr>
        <w:top w:val="none" w:sz="0" w:space="0" w:color="auto"/>
        <w:left w:val="none" w:sz="0" w:space="0" w:color="auto"/>
        <w:bottom w:val="none" w:sz="0" w:space="0" w:color="auto"/>
        <w:right w:val="none" w:sz="0" w:space="0" w:color="auto"/>
      </w:divBdr>
    </w:div>
    <w:div w:id="1863519791">
      <w:bodyDiv w:val="1"/>
      <w:marLeft w:val="0"/>
      <w:marRight w:val="0"/>
      <w:marTop w:val="0"/>
      <w:marBottom w:val="0"/>
      <w:divBdr>
        <w:top w:val="none" w:sz="0" w:space="0" w:color="auto"/>
        <w:left w:val="none" w:sz="0" w:space="0" w:color="auto"/>
        <w:bottom w:val="none" w:sz="0" w:space="0" w:color="auto"/>
        <w:right w:val="none" w:sz="0" w:space="0" w:color="auto"/>
      </w:divBdr>
    </w:div>
    <w:div w:id="1953707134">
      <w:bodyDiv w:val="1"/>
      <w:marLeft w:val="0"/>
      <w:marRight w:val="0"/>
      <w:marTop w:val="0"/>
      <w:marBottom w:val="0"/>
      <w:divBdr>
        <w:top w:val="none" w:sz="0" w:space="0" w:color="auto"/>
        <w:left w:val="none" w:sz="0" w:space="0" w:color="auto"/>
        <w:bottom w:val="none" w:sz="0" w:space="0" w:color="auto"/>
        <w:right w:val="none" w:sz="0" w:space="0" w:color="auto"/>
      </w:divBdr>
    </w:div>
    <w:div w:id="1992903637">
      <w:bodyDiv w:val="1"/>
      <w:marLeft w:val="0"/>
      <w:marRight w:val="0"/>
      <w:marTop w:val="0"/>
      <w:marBottom w:val="0"/>
      <w:divBdr>
        <w:top w:val="none" w:sz="0" w:space="0" w:color="auto"/>
        <w:left w:val="none" w:sz="0" w:space="0" w:color="auto"/>
        <w:bottom w:val="none" w:sz="0" w:space="0" w:color="auto"/>
        <w:right w:val="none" w:sz="0" w:space="0" w:color="auto"/>
      </w:divBdr>
    </w:div>
    <w:div w:id="1994873679">
      <w:bodyDiv w:val="1"/>
      <w:marLeft w:val="0"/>
      <w:marRight w:val="0"/>
      <w:marTop w:val="0"/>
      <w:marBottom w:val="0"/>
      <w:divBdr>
        <w:top w:val="none" w:sz="0" w:space="0" w:color="auto"/>
        <w:left w:val="none" w:sz="0" w:space="0" w:color="auto"/>
        <w:bottom w:val="none" w:sz="0" w:space="0" w:color="auto"/>
        <w:right w:val="none" w:sz="0" w:space="0" w:color="auto"/>
      </w:divBdr>
    </w:div>
    <w:div w:id="1997689127">
      <w:bodyDiv w:val="1"/>
      <w:marLeft w:val="0"/>
      <w:marRight w:val="0"/>
      <w:marTop w:val="0"/>
      <w:marBottom w:val="0"/>
      <w:divBdr>
        <w:top w:val="none" w:sz="0" w:space="0" w:color="auto"/>
        <w:left w:val="none" w:sz="0" w:space="0" w:color="auto"/>
        <w:bottom w:val="none" w:sz="0" w:space="0" w:color="auto"/>
        <w:right w:val="none" w:sz="0" w:space="0" w:color="auto"/>
      </w:divBdr>
    </w:div>
    <w:div w:id="2003314777">
      <w:bodyDiv w:val="1"/>
      <w:marLeft w:val="0"/>
      <w:marRight w:val="0"/>
      <w:marTop w:val="0"/>
      <w:marBottom w:val="0"/>
      <w:divBdr>
        <w:top w:val="none" w:sz="0" w:space="0" w:color="auto"/>
        <w:left w:val="none" w:sz="0" w:space="0" w:color="auto"/>
        <w:bottom w:val="none" w:sz="0" w:space="0" w:color="auto"/>
        <w:right w:val="none" w:sz="0" w:space="0" w:color="auto"/>
      </w:divBdr>
    </w:div>
    <w:div w:id="2043238843">
      <w:bodyDiv w:val="1"/>
      <w:marLeft w:val="0"/>
      <w:marRight w:val="0"/>
      <w:marTop w:val="0"/>
      <w:marBottom w:val="0"/>
      <w:divBdr>
        <w:top w:val="none" w:sz="0" w:space="0" w:color="auto"/>
        <w:left w:val="none" w:sz="0" w:space="0" w:color="auto"/>
        <w:bottom w:val="none" w:sz="0" w:space="0" w:color="auto"/>
        <w:right w:val="none" w:sz="0" w:space="0" w:color="auto"/>
      </w:divBdr>
    </w:div>
    <w:div w:id="2100514381">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5583D917-2EA8-4BDB-A53F-DDD2F43A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4125</Words>
  <Characters>2352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Daiva Jankauskienė</cp:lastModifiedBy>
  <cp:revision>13</cp:revision>
  <dcterms:created xsi:type="dcterms:W3CDTF">2023-06-16T10:03:00Z</dcterms:created>
  <dcterms:modified xsi:type="dcterms:W3CDTF">2023-07-19T13:18:00Z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