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257DFCD" w:rsidR="00D7598D" w:rsidRDefault="00031A2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Ekonomikos gaivinimo ir atsparumo didinimo plano „Naujos kartos Lietuva“ administravimo taisyklių </w:t>
      </w:r>
    </w:p>
    <w:p w14:paraId="681455F1" w14:textId="77777777" w:rsidR="00D7598D" w:rsidRDefault="00031A2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D7598D" w:rsidRDefault="00D7598D">
      <w:pPr>
        <w:widowControl w:val="0"/>
        <w:jc w:val="right"/>
        <w:textAlignment w:val="baseline"/>
        <w:rPr>
          <w:szCs w:val="24"/>
        </w:rPr>
      </w:pPr>
    </w:p>
    <w:p w14:paraId="6AF8CFF1" w14:textId="7B974DF5" w:rsidR="00D7598D" w:rsidRDefault="00031A2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D7598D" w:rsidRDefault="00D7598D">
      <w:pPr>
        <w:widowControl w:val="0"/>
        <w:textAlignment w:val="baseline"/>
        <w:rPr>
          <w:szCs w:val="24"/>
        </w:rPr>
      </w:pPr>
    </w:p>
    <w:p w14:paraId="78770F80" w14:textId="4737C6B1" w:rsidR="0047173C" w:rsidRDefault="0047173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0DD9D2C2" w:rsidR="00D7598D" w:rsidRDefault="00031A2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608CEBF5" w:rsidR="00D7598D" w:rsidRDefault="00031A2A">
      <w:pPr>
        <w:widowControl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(ministerijos </w:t>
      </w:r>
      <w:r>
        <w:rPr>
          <w:i/>
          <w:szCs w:val="24"/>
        </w:rPr>
        <w:t>arba regiono plėtros tarybos</w:t>
      </w:r>
      <w:r>
        <w:rPr>
          <w:sz w:val="22"/>
          <w:szCs w:val="22"/>
        </w:rPr>
        <w:t xml:space="preserve"> pavadinimas)</w:t>
      </w:r>
    </w:p>
    <w:p w14:paraId="06A2625F" w14:textId="77777777" w:rsidR="00D7598D" w:rsidRDefault="00D7598D">
      <w:pPr>
        <w:widowControl w:val="0"/>
        <w:textAlignment w:val="baseline"/>
        <w:rPr>
          <w:szCs w:val="24"/>
        </w:rPr>
      </w:pPr>
    </w:p>
    <w:p w14:paraId="1EA47AC8" w14:textId="0E0B3188" w:rsidR="00D7598D" w:rsidRDefault="00031A2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D7598D" w:rsidRDefault="00031A2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7534FC61" w14:textId="4C2F64DB" w:rsidR="00D7598D" w:rsidRDefault="00031A2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55473491" w:rsidR="00D7598D" w:rsidRDefault="00031A2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 xml:space="preserve">2023 m. </w:t>
      </w:r>
      <w:r w:rsidR="009E1094">
        <w:rPr>
          <w:szCs w:val="24"/>
        </w:rPr>
        <w:t xml:space="preserve">                 </w:t>
      </w:r>
      <w:r>
        <w:rPr>
          <w:szCs w:val="24"/>
        </w:rPr>
        <w:t xml:space="preserve"> 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21672C6" w14:textId="2A32CF26" w:rsidR="00D7598D" w:rsidRDefault="00031A2A">
      <w:pPr>
        <w:widowControl w:val="0"/>
        <w:spacing w:line="240" w:lineRule="exact"/>
        <w:ind w:firstLine="567"/>
        <w:textAlignment w:val="baseline"/>
        <w:rPr>
          <w:bCs/>
          <w:i/>
          <w:szCs w:val="24"/>
          <w:lang w:eastAsia="lt-LT"/>
        </w:rPr>
      </w:pPr>
      <w:r>
        <w:rPr>
          <w:bCs/>
          <w:i/>
          <w:szCs w:val="24"/>
          <w:lang w:eastAsia="lt-LT"/>
        </w:rPr>
        <w:t>(Jei projektų atrankos kriterijus keičiamas, informacija į formą įrašoma darant lyginamąjį variantą. Jei siūlymai dėl projektų atrankos kriterijų teikiami pagal skirtingas veiklas ar poveikles, kiekvienai veiklai ar poveiklei lentelė kartojama.)</w:t>
      </w:r>
    </w:p>
    <w:p w14:paraId="523DCB94" w14:textId="77777777" w:rsidR="00D7598D" w:rsidRDefault="00D7598D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D7598D" w14:paraId="77188082" w14:textId="77777777" w:rsidTr="00E50ECC">
        <w:tc>
          <w:tcPr>
            <w:tcW w:w="6260" w:type="dxa"/>
            <w:shd w:val="clear" w:color="auto" w:fill="auto"/>
            <w:vAlign w:val="center"/>
          </w:tcPr>
          <w:p w14:paraId="27B7C8B4" w14:textId="26D73FFD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509B765C" w14:textId="60F50FB0" w:rsidR="00D7598D" w:rsidRPr="0047173C" w:rsidRDefault="0047173C">
            <w:pPr>
              <w:widowControl w:val="0"/>
              <w:textAlignment w:val="baseline"/>
              <w:rPr>
                <w:iCs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E50ECC">
        <w:tc>
          <w:tcPr>
            <w:tcW w:w="6260" w:type="dxa"/>
            <w:shd w:val="clear" w:color="auto" w:fill="auto"/>
            <w:vAlign w:val="center"/>
          </w:tcPr>
          <w:p w14:paraId="0206FA4F" w14:textId="4BEED8B3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60BD5E92" w14:textId="5B9BFECC" w:rsidR="00D7598D" w:rsidRPr="00A031B8" w:rsidRDefault="00F65B51" w:rsidP="00A031B8">
            <w:pPr>
              <w:jc w:val="both"/>
              <w:rPr>
                <w:szCs w:val="24"/>
              </w:rPr>
            </w:pPr>
            <w:r w:rsidRPr="00A031B8">
              <w:rPr>
                <w:szCs w:val="24"/>
              </w:rPr>
              <w:t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</w:t>
            </w:r>
            <w:r w:rsidR="001F6A92">
              <w:rPr>
                <w:szCs w:val="24"/>
              </w:rPr>
              <w:t xml:space="preserve"> (toliau – Pažangos priemonė)</w:t>
            </w:r>
            <w:r w:rsidRPr="00A031B8">
              <w:rPr>
                <w:szCs w:val="24"/>
              </w:rPr>
              <w:t xml:space="preserve"> </w:t>
            </w:r>
            <w:r w:rsidR="00A031B8" w:rsidRPr="00A031B8">
              <w:rPr>
                <w:szCs w:val="24"/>
              </w:rPr>
              <w:t>v</w:t>
            </w:r>
            <w:r w:rsidR="00B60B45" w:rsidRPr="00A031B8">
              <w:rPr>
                <w:szCs w:val="24"/>
              </w:rPr>
              <w:t>eikla</w:t>
            </w:r>
            <w:r w:rsidR="005142E8">
              <w:rPr>
                <w:szCs w:val="24"/>
              </w:rPr>
              <w:t xml:space="preserve"> 6.</w:t>
            </w:r>
            <w:r w:rsidR="00B60B45" w:rsidRPr="00A031B8">
              <w:rPr>
                <w:szCs w:val="24"/>
              </w:rPr>
              <w:t xml:space="preserve"> Individualių elektros energijos kaupimo sprendimų sukūrimas elektros energiją gaminantiems vartotojams</w:t>
            </w:r>
            <w:r w:rsidR="00060ABE" w:rsidRPr="00A031B8">
              <w:rPr>
                <w:szCs w:val="24"/>
              </w:rPr>
              <w:t xml:space="preserve">, poveiklė </w:t>
            </w:r>
            <w:r w:rsidR="005142E8">
              <w:rPr>
                <w:szCs w:val="24"/>
              </w:rPr>
              <w:t>6.1. „</w:t>
            </w:r>
            <w:r w:rsidR="00060AB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63498F">
              <w:rPr>
                <w:szCs w:val="24"/>
              </w:rPr>
              <w:t>“</w:t>
            </w:r>
            <w:r w:rsidR="00403141">
              <w:rPr>
                <w:szCs w:val="24"/>
              </w:rPr>
              <w:t xml:space="preserve">. </w:t>
            </w:r>
          </w:p>
        </w:tc>
      </w:tr>
      <w:tr w:rsidR="00D7598D" w14:paraId="31AE92AE" w14:textId="77777777" w:rsidTr="00E50ECC">
        <w:tc>
          <w:tcPr>
            <w:tcW w:w="6260" w:type="dxa"/>
            <w:shd w:val="clear" w:color="auto" w:fill="auto"/>
            <w:vAlign w:val="center"/>
          </w:tcPr>
          <w:p w14:paraId="06EF78B7" w14:textId="77C8EE32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2BF6AF44" w14:textId="26574075" w:rsidR="00D7598D" w:rsidRDefault="006C5745">
            <w:pPr>
              <w:widowControl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</w:tr>
      <w:tr w:rsidR="00D7598D" w14:paraId="390279EA" w14:textId="77777777" w:rsidTr="00E50ECC">
        <w:tc>
          <w:tcPr>
            <w:tcW w:w="6260" w:type="dxa"/>
            <w:shd w:val="clear" w:color="auto" w:fill="auto"/>
            <w:vAlign w:val="center"/>
          </w:tcPr>
          <w:p w14:paraId="113DE1EC" w14:textId="78882A84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0E10E3DE" w14:textId="0E3DEAFA" w:rsidR="00D7598D" w:rsidRPr="00C415A5" w:rsidRDefault="00031A2A">
            <w:pPr>
              <w:rPr>
                <w:sz w:val="20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</w:p>
        </w:tc>
      </w:tr>
      <w:tr w:rsidR="00D7598D" w14:paraId="4C57846C" w14:textId="77777777" w:rsidTr="00E50ECC">
        <w:tc>
          <w:tcPr>
            <w:tcW w:w="6260" w:type="dxa"/>
            <w:shd w:val="clear" w:color="auto" w:fill="auto"/>
            <w:vAlign w:val="center"/>
          </w:tcPr>
          <w:p w14:paraId="2F0BDDAD" w14:textId="1AD41399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Prioritetas ar komponentas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7543FD40" w14:textId="5EA59064" w:rsidR="00D7598D" w:rsidRPr="00970A22" w:rsidRDefault="00970A22">
            <w:pPr>
              <w:widowControl w:val="0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>2 prioritetas</w:t>
            </w:r>
          </w:p>
        </w:tc>
      </w:tr>
      <w:tr w:rsidR="00D7598D" w14:paraId="336BAD4A" w14:textId="77777777" w:rsidTr="00E50ECC">
        <w:tc>
          <w:tcPr>
            <w:tcW w:w="6260" w:type="dxa"/>
            <w:shd w:val="clear" w:color="auto" w:fill="auto"/>
            <w:vAlign w:val="center"/>
          </w:tcPr>
          <w:p w14:paraId="3F00C7BD" w14:textId="4D595484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Projektų atrankos būdas (finansavimo forma, kai įgyvendinamos finansinės priemonės)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1BFB854A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0CBD2D88" w:rsidR="00D7598D" w:rsidRDefault="0047173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>
              <w:rPr>
                <w:szCs w:val="24"/>
              </w:rPr>
              <w:t xml:space="preserve"> Tęstinės projektų atrankos</w:t>
            </w:r>
          </w:p>
          <w:p w14:paraId="34CC3669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7C41E46A" w:rsidR="00D7598D" w:rsidRDefault="00031A2A">
            <w:pPr>
              <w:widowControl w:val="0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>(Pažymimas vienas iš projektų atrankos būdų (finansavimo forma žymima, kai įgyvendinamos finansinės priemonės).)</w:t>
            </w:r>
          </w:p>
        </w:tc>
      </w:tr>
      <w:tr w:rsidR="00E50ECC" w14:paraId="424A16BA" w14:textId="77777777" w:rsidTr="00E50ECC">
        <w:tc>
          <w:tcPr>
            <w:tcW w:w="6260" w:type="dxa"/>
            <w:shd w:val="clear" w:color="auto" w:fill="auto"/>
            <w:vAlign w:val="center"/>
          </w:tcPr>
          <w:p w14:paraId="44E3D02A" w14:textId="62C2CCFF" w:rsidR="00E50ECC" w:rsidRDefault="00E50ECC" w:rsidP="00E50EC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horizontaliesiems principams (toliau – HP) 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72B5C4C1" w14:textId="1BE5E92C" w:rsidR="00E50ECC" w:rsidRPr="003E3CBC" w:rsidRDefault="00E50ECC" w:rsidP="00E50ECC">
            <w:pPr>
              <w:widowControl w:val="0"/>
              <w:jc w:val="both"/>
              <w:textAlignment w:val="baseline"/>
              <w:rPr>
                <w:b/>
                <w:bCs/>
                <w:iCs/>
                <w:szCs w:val="24"/>
                <w:lang w:eastAsia="lt-LT"/>
              </w:rPr>
            </w:pPr>
            <w:r w:rsidRPr="00564356">
              <w:rPr>
                <w:iCs/>
                <w:szCs w:val="24"/>
              </w:rPr>
              <w:t>J</w:t>
            </w:r>
            <w:r>
              <w:rPr>
                <w:iCs/>
                <w:szCs w:val="24"/>
              </w:rPr>
              <w:t>ungtinis projektas (toliau – JP)</w:t>
            </w:r>
            <w:r w:rsidRPr="00564356">
              <w:rPr>
                <w:iCs/>
                <w:szCs w:val="24"/>
              </w:rPr>
              <w:t xml:space="preserve"> ir </w:t>
            </w:r>
            <w:r>
              <w:rPr>
                <w:iCs/>
                <w:szCs w:val="24"/>
              </w:rPr>
              <w:t>J</w:t>
            </w:r>
            <w:r w:rsidR="00970A22">
              <w:rPr>
                <w:iCs/>
                <w:szCs w:val="24"/>
              </w:rPr>
              <w:t>ungtinio projekto</w:t>
            </w:r>
            <w:r>
              <w:rPr>
                <w:iCs/>
                <w:szCs w:val="24"/>
              </w:rPr>
              <w:t xml:space="preserve"> </w:t>
            </w:r>
            <w:r w:rsidRPr="00564356">
              <w:rPr>
                <w:iCs/>
                <w:szCs w:val="24"/>
              </w:rPr>
              <w:t>projektai</w:t>
            </w:r>
            <w:r w:rsidR="00970A22">
              <w:rPr>
                <w:iCs/>
                <w:szCs w:val="24"/>
              </w:rPr>
              <w:t xml:space="preserve"> (toliau – JP projektai)</w:t>
            </w:r>
            <w:r w:rsidRPr="00564356">
              <w:rPr>
                <w:iCs/>
                <w:szCs w:val="24"/>
              </w:rPr>
              <w:t xml:space="preserve"> nedary</w:t>
            </w:r>
            <w:r>
              <w:rPr>
                <w:iCs/>
                <w:szCs w:val="24"/>
              </w:rPr>
              <w:t>s</w:t>
            </w:r>
            <w:r w:rsidRPr="00564356">
              <w:rPr>
                <w:iCs/>
                <w:szCs w:val="24"/>
              </w:rPr>
              <w:t xml:space="preserve"> neigiamo poveikio horizontaliesiems principams. JP projektų atitikties </w:t>
            </w:r>
            <w:r w:rsidR="00E0472D">
              <w:rPr>
                <w:iCs/>
                <w:szCs w:val="24"/>
              </w:rPr>
              <w:t>r</w:t>
            </w:r>
            <w:r w:rsidRPr="00564356">
              <w:rPr>
                <w:iCs/>
                <w:szCs w:val="24"/>
              </w:rPr>
              <w:t xml:space="preserve">eikšmingos žalos nedarymo horizontaliajam principui vertinimo reikalavimų aprašas </w:t>
            </w:r>
            <w:r>
              <w:rPr>
                <w:iCs/>
                <w:szCs w:val="24"/>
              </w:rPr>
              <w:t>bus pridėtas prie projektų finansavimo sąlygų aprašų</w:t>
            </w:r>
            <w:r w:rsidRPr="00564356">
              <w:rPr>
                <w:iCs/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93677D">
              <w:rPr>
                <w:szCs w:val="24"/>
              </w:rPr>
              <w:t xml:space="preserve">JP ir JP projektai neturės neigiamo poveikio horizontaliesiems principams, kadangi bus diegiamos </w:t>
            </w:r>
            <w:r>
              <w:rPr>
                <w:szCs w:val="24"/>
              </w:rPr>
              <w:t xml:space="preserve">technologijos, įgalinančios </w:t>
            </w:r>
            <w:r w:rsidRPr="0093677D">
              <w:rPr>
                <w:szCs w:val="24"/>
              </w:rPr>
              <w:t>atsinaujinančių išteklių energij</w:t>
            </w:r>
            <w:r>
              <w:rPr>
                <w:szCs w:val="24"/>
              </w:rPr>
              <w:t>os kaupimą</w:t>
            </w:r>
            <w:r w:rsidRPr="0093677D">
              <w:rPr>
                <w:szCs w:val="24"/>
              </w:rPr>
              <w:t xml:space="preserve">. </w:t>
            </w:r>
          </w:p>
        </w:tc>
      </w:tr>
      <w:tr w:rsidR="00E50ECC" w14:paraId="54710AA5" w14:textId="77777777" w:rsidTr="00E50ECC">
        <w:tc>
          <w:tcPr>
            <w:tcW w:w="6260" w:type="dxa"/>
            <w:shd w:val="clear" w:color="auto" w:fill="auto"/>
            <w:vAlign w:val="center"/>
          </w:tcPr>
          <w:p w14:paraId="1E4E3BC5" w14:textId="6D0B3A27" w:rsidR="00E50ECC" w:rsidRDefault="00E50ECC" w:rsidP="00E50EC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Atitiktis Europos Sąjungos pagrindinių teisių chartijai (toliau – Chartija)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3A57C6C3" w14:textId="5A991290" w:rsidR="00E50ECC" w:rsidRDefault="00E50ECC" w:rsidP="00E50ECC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564356">
              <w:rPr>
                <w:rFonts w:asciiTheme="majorBidi" w:hAnsiTheme="majorBidi" w:cstheme="majorBidi"/>
                <w:bCs/>
                <w:iCs/>
                <w:szCs w:val="24"/>
              </w:rPr>
              <w:t xml:space="preserve">JP ir JP projektai </w:t>
            </w:r>
            <w:r>
              <w:rPr>
                <w:rFonts w:asciiTheme="majorBidi" w:hAnsiTheme="majorBidi" w:cstheme="majorBidi"/>
                <w:iCs/>
                <w:szCs w:val="24"/>
              </w:rPr>
              <w:t>ne</w:t>
            </w:r>
            <w:r w:rsidRPr="00564356">
              <w:rPr>
                <w:rFonts w:asciiTheme="majorBidi" w:hAnsiTheme="majorBidi" w:cstheme="majorBidi"/>
                <w:iCs/>
                <w:szCs w:val="24"/>
              </w:rPr>
              <w:t xml:space="preserve">pažeis </w:t>
            </w:r>
            <w:r w:rsidRPr="00564356">
              <w:rPr>
                <w:rFonts w:asciiTheme="majorBidi" w:hAnsiTheme="majorBidi" w:cstheme="majorBidi"/>
                <w:bCs/>
                <w:iCs/>
                <w:szCs w:val="24"/>
              </w:rPr>
              <w:t>Europos Sąjungos pagrindinių teisių chartijos pagrindinių teisių: orumo; asmenų, privataus ir šeimos gyvenimo, sąžinės ir saviraiškos laisvės; asmens duomenų; prieglobsčio ir apsaugos perkėlimo, išsiuntimo ar išdavimo atvejų; teisių į nuosavybę ir teisių užsiimti verslu; lyčių lygybės, vienodo požiūrio ir lygių galimybių, nediskriminavimo ir neįgaliųjų teisių; vaiko teisių; gero administravimo, veiksmingo teisinės gynybos, teisingumo; solidarumo ir darbuotojų teisių; aplinkos apsaugos</w:t>
            </w:r>
            <w:r w:rsidRPr="00564356">
              <w:rPr>
                <w:bCs/>
                <w:iCs/>
                <w:szCs w:val="24"/>
              </w:rPr>
              <w:t>.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51B3363E" w14:textId="77777777">
        <w:tc>
          <w:tcPr>
            <w:tcW w:w="6345" w:type="dxa"/>
            <w:shd w:val="clear" w:color="auto" w:fill="auto"/>
          </w:tcPr>
          <w:p w14:paraId="41C0751E" w14:textId="1D764291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bCs/>
                <w:sz w:val="22"/>
                <w:szCs w:val="22"/>
                <w:lang w:eastAsia="lt-LT"/>
              </w:rPr>
              <w:sym w:font="Wingdings 2" w:char="F050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</w:tcPr>
          <w:p w14:paraId="736D2F4A" w14:textId="4644FABF" w:rsidR="00D7598D" w:rsidRDefault="0047173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D7598D" w:rsidRDefault="00031A2A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7598D" w14:paraId="6C9B72A7" w14:textId="77777777">
        <w:tc>
          <w:tcPr>
            <w:tcW w:w="6345" w:type="dxa"/>
            <w:shd w:val="clear" w:color="auto" w:fill="auto"/>
            <w:vAlign w:val="center"/>
          </w:tcPr>
          <w:p w14:paraId="6334BD0A" w14:textId="6FE24095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</w:tcPr>
          <w:p w14:paraId="794524A3" w14:textId="66F4003F" w:rsidR="00AB2318" w:rsidRPr="00DC02D1" w:rsidRDefault="00FE3DF2" w:rsidP="0057183A">
            <w:pPr>
              <w:widowControl w:val="0"/>
              <w:jc w:val="both"/>
              <w:textAlignment w:val="baseline"/>
              <w:rPr>
                <w:b/>
                <w:bCs/>
                <w:iCs/>
                <w:szCs w:val="24"/>
                <w:lang w:eastAsia="lt-LT"/>
              </w:rPr>
            </w:pPr>
            <w:r w:rsidRPr="00DC02D1">
              <w:rPr>
                <w:b/>
                <w:bCs/>
                <w:iCs/>
                <w:szCs w:val="24"/>
                <w:lang w:eastAsia="lt-LT"/>
              </w:rPr>
              <w:t>1.</w:t>
            </w:r>
            <w:r w:rsidR="004D3E07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E31550">
              <w:rPr>
                <w:b/>
                <w:bCs/>
                <w:iCs/>
                <w:szCs w:val="24"/>
                <w:lang w:eastAsia="lt-LT"/>
              </w:rPr>
              <w:t>Pareiškėjo elektros vartojimo objekta</w:t>
            </w:r>
            <w:r w:rsidR="00492919">
              <w:rPr>
                <w:b/>
                <w:bCs/>
                <w:iCs/>
                <w:szCs w:val="24"/>
                <w:lang w:eastAsia="lt-LT"/>
              </w:rPr>
              <w:t>i</w:t>
            </w:r>
            <w:r w:rsidR="00B96C4E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E31550">
              <w:rPr>
                <w:b/>
                <w:bCs/>
                <w:iCs/>
                <w:szCs w:val="24"/>
                <w:lang w:eastAsia="lt-LT"/>
              </w:rPr>
              <w:t>turi būti Sostinės regione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t>.</w:t>
            </w:r>
          </w:p>
        </w:tc>
      </w:tr>
      <w:tr w:rsidR="00D7598D" w14:paraId="225452A9" w14:textId="77777777">
        <w:tc>
          <w:tcPr>
            <w:tcW w:w="6345" w:type="dxa"/>
            <w:shd w:val="clear" w:color="auto" w:fill="auto"/>
            <w:vAlign w:val="center"/>
          </w:tcPr>
          <w:p w14:paraId="228A712C" w14:textId="56261FD1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</w:tcPr>
          <w:p w14:paraId="42852F08" w14:textId="01DE419F" w:rsidR="0066099B" w:rsidRDefault="0057183A" w:rsidP="0066099B">
            <w:pPr>
              <w:shd w:val="clear" w:color="auto" w:fill="FFFFFF" w:themeFill="background1"/>
              <w:tabs>
                <w:tab w:val="left" w:pos="457"/>
              </w:tabs>
              <w:ind w:left="22"/>
              <w:jc w:val="both"/>
              <w:rPr>
                <w:lang w:eastAsia="lt-LT"/>
              </w:rPr>
            </w:pPr>
            <w:r>
              <w:rPr>
                <w:szCs w:val="24"/>
              </w:rPr>
              <w:t>G</w:t>
            </w:r>
            <w:r w:rsidRPr="00564356">
              <w:rPr>
                <w:szCs w:val="24"/>
              </w:rPr>
              <w:t xml:space="preserve">alimi JP </w:t>
            </w:r>
            <w:r w:rsidRPr="00564356">
              <w:rPr>
                <w:bCs/>
                <w:szCs w:val="24"/>
              </w:rPr>
              <w:t>projektų pareiškėjai</w:t>
            </w:r>
            <w:r>
              <w:rPr>
                <w:bCs/>
                <w:szCs w:val="24"/>
              </w:rPr>
              <w:t xml:space="preserve"> -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="0066099B">
              <w:rPr>
                <w:lang w:eastAsia="lt-LT"/>
              </w:rPr>
              <w:t>fiziniai asmenys, nuosavybės teise valdantys</w:t>
            </w:r>
            <w:r w:rsidR="00302AF6">
              <w:rPr>
                <w:lang w:eastAsia="lt-LT"/>
              </w:rPr>
              <w:t xml:space="preserve"> </w:t>
            </w:r>
            <w:r w:rsidR="0066099B" w:rsidRPr="004A3290">
              <w:rPr>
                <w:lang w:eastAsia="lt-LT"/>
              </w:rPr>
              <w:t>elektros vartojimo objektą</w:t>
            </w:r>
            <w:r w:rsidR="0066099B">
              <w:rPr>
                <w:lang w:eastAsia="lt-LT"/>
              </w:rPr>
              <w:t xml:space="preserve"> - </w:t>
            </w:r>
            <w:r w:rsidR="0066099B">
              <w:t>fizinio asmens, nuosavybės teise valdomą gyvenamosios paskirties vieno buto pastatą, gyvenamosios paskirties butą, sodų paskirties pastatą (sodo namą), kurie yra įregistruoti Valstybės Įmonės Registrų centro (toliau – VĮ Registrų centras) Nekilnojamojo turto registre ir įsirengę saulės arba vėjo elektrinę arba ketina</w:t>
            </w:r>
            <w:r w:rsidR="007452AE">
              <w:t>ntys</w:t>
            </w:r>
            <w:r w:rsidR="0066099B">
              <w:t xml:space="preserve"> įsirengti saulės arba vėjo elektrinę iki išlaidų kompensavimo prašymo teikimo dienos</w:t>
            </w:r>
            <w:r w:rsidR="0066099B">
              <w:rPr>
                <w:lang w:eastAsia="lt-LT"/>
              </w:rPr>
              <w:t>.</w:t>
            </w:r>
          </w:p>
          <w:p w14:paraId="3A2D355C" w14:textId="36ED25A6" w:rsidR="00672443" w:rsidRPr="007452AE" w:rsidRDefault="000948BF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7452AE">
              <w:rPr>
                <w:b/>
                <w:szCs w:val="24"/>
                <w:lang w:eastAsia="lt-LT"/>
              </w:rPr>
              <w:t>Specialusis</w:t>
            </w:r>
            <w:r w:rsidR="008F7387">
              <w:rPr>
                <w:b/>
                <w:szCs w:val="24"/>
                <w:lang w:eastAsia="lt-LT"/>
              </w:rPr>
              <w:t xml:space="preserve"> projektų</w:t>
            </w:r>
            <w:r w:rsidRPr="007452AE">
              <w:rPr>
                <w:b/>
                <w:szCs w:val="24"/>
                <w:lang w:eastAsia="lt-LT"/>
              </w:rPr>
              <w:t xml:space="preserve"> atrankos kriterijus nustatys, kad</w:t>
            </w:r>
            <w:r w:rsidR="00E31550" w:rsidRPr="007452AE">
              <w:rPr>
                <w:b/>
                <w:szCs w:val="24"/>
                <w:lang w:eastAsia="lt-LT"/>
              </w:rPr>
              <w:t xml:space="preserve"> </w:t>
            </w:r>
            <w:r w:rsidR="008F25E1">
              <w:rPr>
                <w:b/>
                <w:szCs w:val="24"/>
                <w:lang w:eastAsia="lt-LT"/>
              </w:rPr>
              <w:t>elektros vartojimo objektas</w:t>
            </w:r>
            <w:r w:rsidR="00605D23" w:rsidRPr="008F25E1">
              <w:rPr>
                <w:b/>
                <w:szCs w:val="24"/>
                <w:lang w:eastAsia="lt-LT"/>
              </w:rPr>
              <w:t>,</w:t>
            </w:r>
            <w:r w:rsidR="008F25E1" w:rsidRPr="008F25E1">
              <w:rPr>
                <w:b/>
                <w:szCs w:val="24"/>
                <w:lang w:eastAsia="lt-LT"/>
              </w:rPr>
              <w:t xml:space="preserve"> </w:t>
            </w:r>
            <w:r w:rsidR="00E67BC2">
              <w:rPr>
                <w:b/>
                <w:szCs w:val="24"/>
                <w:lang w:eastAsia="lt-LT"/>
              </w:rPr>
              <w:t>kuriame arba prie kurio</w:t>
            </w:r>
            <w:r w:rsidR="008F25E1" w:rsidRPr="008F25E1">
              <w:rPr>
                <w:b/>
                <w:szCs w:val="24"/>
                <w:lang w:eastAsia="lt-LT"/>
              </w:rPr>
              <w:t xml:space="preserve"> bus įrengiamas elektros energijos kaupimo įrenginys, yra/bus Sostinės regione“</w:t>
            </w:r>
            <w:r w:rsidR="008F25E1">
              <w:rPr>
                <w:bCs/>
                <w:szCs w:val="24"/>
                <w:lang w:eastAsia="lt-LT"/>
              </w:rPr>
              <w:t>,</w:t>
            </w:r>
            <w:r w:rsidR="00605D23" w:rsidRPr="00605D23">
              <w:rPr>
                <w:bCs/>
                <w:szCs w:val="24"/>
                <w:lang w:eastAsia="lt-LT"/>
              </w:rPr>
              <w:t xml:space="preserve"> kaip jis yra apibrėžtas</w:t>
            </w:r>
            <w:r w:rsidR="00605D23">
              <w:rPr>
                <w:b/>
                <w:szCs w:val="24"/>
                <w:u w:val="single"/>
                <w:lang w:eastAsia="lt-LT"/>
              </w:rPr>
              <w:t xml:space="preserve"> </w:t>
            </w:r>
            <w:r w:rsidR="00605D23">
              <w:rPr>
                <w:rStyle w:val="normaltextrun"/>
                <w:szCs w:val="24"/>
                <w:shd w:val="clear" w:color="auto" w:fill="FFFFFF"/>
              </w:rPr>
              <w:t xml:space="preserve">Lietuvos Respublikos Vyriausybės </w:t>
            </w:r>
            <w:r w:rsidR="00605D23">
              <w:rPr>
                <w:color w:val="000000"/>
              </w:rPr>
              <w:t>2016 m. sausio 6 d. nutarimą Nr. 5 „Dėl Sostinės regiono ir Vidurio ir Vakarų Lietuvos regiono sudarymo“</w:t>
            </w:r>
            <w:r w:rsidRPr="00560014">
              <w:rPr>
                <w:bCs/>
                <w:szCs w:val="24"/>
                <w:lang w:eastAsia="lt-LT"/>
              </w:rPr>
              <w:t>.</w:t>
            </w:r>
          </w:p>
          <w:p w14:paraId="2B6478D9" w14:textId="35D13372" w:rsidR="003B7AF7" w:rsidRDefault="00543243" w:rsidP="00543243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JP projektas atitiks specialųjį projektų atrankos kriterijų, jeigu</w:t>
            </w:r>
            <w:r w:rsidR="003B7AF7">
              <w:rPr>
                <w:bCs/>
                <w:szCs w:val="24"/>
                <w:lang w:eastAsia="lt-LT"/>
              </w:rPr>
              <w:t xml:space="preserve"> bus tenkinam</w:t>
            </w:r>
            <w:r w:rsidR="00E67BC2">
              <w:rPr>
                <w:bCs/>
                <w:szCs w:val="24"/>
                <w:lang w:eastAsia="lt-LT"/>
              </w:rPr>
              <w:t>a sąlyga, kad</w:t>
            </w:r>
          </w:p>
          <w:p w14:paraId="5FAE53DE" w14:textId="16D51B86" w:rsidR="00543243" w:rsidRDefault="00FB7D5B" w:rsidP="00764B08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 xml:space="preserve">elektros </w:t>
            </w:r>
            <w:r w:rsidR="00BF25B0">
              <w:rPr>
                <w:bCs/>
                <w:szCs w:val="24"/>
                <w:lang w:eastAsia="lt-LT"/>
              </w:rPr>
              <w:t>vartojimo objekt</w:t>
            </w:r>
            <w:r w:rsidR="007B1818">
              <w:rPr>
                <w:bCs/>
                <w:szCs w:val="24"/>
                <w:lang w:eastAsia="lt-LT"/>
              </w:rPr>
              <w:t>as</w:t>
            </w:r>
            <w:r w:rsidR="00560014">
              <w:rPr>
                <w:bCs/>
                <w:szCs w:val="24"/>
                <w:lang w:eastAsia="lt-LT"/>
              </w:rPr>
              <w:t>,</w:t>
            </w:r>
            <w:r w:rsidR="007B1818">
              <w:rPr>
                <w:bCs/>
                <w:szCs w:val="24"/>
                <w:lang w:eastAsia="lt-LT"/>
              </w:rPr>
              <w:t xml:space="preserve"> </w:t>
            </w:r>
            <w:r w:rsidR="00125BE2">
              <w:rPr>
                <w:bCs/>
                <w:szCs w:val="24"/>
                <w:lang w:eastAsia="lt-LT"/>
              </w:rPr>
              <w:t xml:space="preserve">kuriame arba </w:t>
            </w:r>
            <w:r w:rsidR="007B1818">
              <w:rPr>
                <w:bCs/>
                <w:szCs w:val="24"/>
                <w:lang w:eastAsia="lt-LT"/>
              </w:rPr>
              <w:t>prie kurio bus įrengtas</w:t>
            </w:r>
            <w:r w:rsidR="00F62904">
              <w:rPr>
                <w:bCs/>
                <w:szCs w:val="24"/>
                <w:lang w:eastAsia="lt-LT"/>
              </w:rPr>
              <w:t xml:space="preserve"> su dotacija įsigytas</w:t>
            </w:r>
            <w:r w:rsidR="007B1818">
              <w:rPr>
                <w:bCs/>
                <w:szCs w:val="24"/>
                <w:lang w:eastAsia="lt-LT"/>
              </w:rPr>
              <w:t xml:space="preserve"> elektros energijos kaupimo įrenginys,</w:t>
            </w:r>
            <w:r w:rsidR="00560014">
              <w:rPr>
                <w:bCs/>
                <w:szCs w:val="24"/>
                <w:lang w:eastAsia="lt-LT"/>
              </w:rPr>
              <w:t xml:space="preserve"> </w:t>
            </w:r>
            <w:r w:rsidR="007B1818">
              <w:rPr>
                <w:bCs/>
                <w:szCs w:val="24"/>
                <w:lang w:eastAsia="lt-LT"/>
              </w:rPr>
              <w:t>yra</w:t>
            </w:r>
            <w:r w:rsidR="006A5ECB">
              <w:rPr>
                <w:bCs/>
                <w:szCs w:val="24"/>
                <w:lang w:eastAsia="lt-LT"/>
              </w:rPr>
              <w:t xml:space="preserve"> Sostinės regione, </w:t>
            </w:r>
            <w:r w:rsidR="00560014" w:rsidRPr="00605D23">
              <w:rPr>
                <w:bCs/>
                <w:szCs w:val="24"/>
                <w:lang w:eastAsia="lt-LT"/>
              </w:rPr>
              <w:t>kaip jis yra apibrėžtas</w:t>
            </w:r>
            <w:r w:rsidR="00293041">
              <w:rPr>
                <w:bCs/>
                <w:szCs w:val="24"/>
                <w:lang w:eastAsia="lt-LT"/>
              </w:rPr>
              <w:t xml:space="preserve"> pagal</w:t>
            </w:r>
            <w:r w:rsidR="00B06092">
              <w:rPr>
                <w:bCs/>
                <w:szCs w:val="24"/>
                <w:lang w:eastAsia="lt-LT"/>
              </w:rPr>
              <w:t xml:space="preserve"> </w:t>
            </w:r>
            <w:r w:rsidR="00560014">
              <w:rPr>
                <w:rStyle w:val="normaltextrun"/>
                <w:szCs w:val="24"/>
                <w:shd w:val="clear" w:color="auto" w:fill="FFFFFF"/>
              </w:rPr>
              <w:t xml:space="preserve">Lietuvos Respublikos Vyriausybės </w:t>
            </w:r>
            <w:r w:rsidR="00560014">
              <w:rPr>
                <w:color w:val="000000"/>
              </w:rPr>
              <w:t>2016 m. sausio 6 d. nutarimą Nr. 5 „Dėl Sostinės regiono ir Vidurio ir Vakarų Lietuvos regiono sudarymo“</w:t>
            </w:r>
            <w:r w:rsidR="00764B08">
              <w:rPr>
                <w:bCs/>
                <w:szCs w:val="24"/>
                <w:lang w:eastAsia="lt-LT"/>
              </w:rPr>
              <w:t>.</w:t>
            </w:r>
            <w:r w:rsidR="00543243">
              <w:rPr>
                <w:bCs/>
                <w:szCs w:val="24"/>
                <w:lang w:eastAsia="lt-LT"/>
              </w:rPr>
              <w:t xml:space="preserve"> </w:t>
            </w:r>
          </w:p>
          <w:p w14:paraId="617DC9FC" w14:textId="6E29568B" w:rsidR="00125BE2" w:rsidRDefault="00125BE2" w:rsidP="00543243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Terminas „</w:t>
            </w:r>
            <w:r w:rsidR="006171EB">
              <w:rPr>
                <w:bCs/>
                <w:szCs w:val="24"/>
                <w:lang w:eastAsia="lt-LT"/>
              </w:rPr>
              <w:t xml:space="preserve">kuriame arba </w:t>
            </w:r>
            <w:r>
              <w:rPr>
                <w:bCs/>
                <w:szCs w:val="24"/>
                <w:lang w:eastAsia="lt-LT"/>
              </w:rPr>
              <w:t>prie kurio“ bus suprantamas taip, kad</w:t>
            </w:r>
            <w:r w:rsidR="006171EB">
              <w:rPr>
                <w:bCs/>
                <w:szCs w:val="24"/>
                <w:lang w:eastAsia="lt-LT"/>
              </w:rPr>
              <w:t xml:space="preserve"> su dotacija įsigytas</w:t>
            </w:r>
            <w:r>
              <w:rPr>
                <w:bCs/>
                <w:szCs w:val="24"/>
                <w:lang w:eastAsia="lt-LT"/>
              </w:rPr>
              <w:t xml:space="preserve"> elektros energijos kaupimo įrenginys turi būti įrengtas </w:t>
            </w:r>
            <w:r w:rsidR="003F7C55">
              <w:rPr>
                <w:bCs/>
                <w:szCs w:val="24"/>
                <w:lang w:eastAsia="lt-LT"/>
              </w:rPr>
              <w:t>tame pačiame elektros vartojimo objekte</w:t>
            </w:r>
            <w:r w:rsidR="008E4B66">
              <w:rPr>
                <w:bCs/>
                <w:szCs w:val="24"/>
                <w:lang w:eastAsia="lt-LT"/>
              </w:rPr>
              <w:t>, kuris vartoja arba vartos atsinaujinančių išteklių energiją naudojančios (saulės</w:t>
            </w:r>
            <w:r w:rsidR="00F9012B">
              <w:rPr>
                <w:bCs/>
                <w:szCs w:val="24"/>
                <w:lang w:eastAsia="lt-LT"/>
              </w:rPr>
              <w:t>,</w:t>
            </w:r>
            <w:r w:rsidR="008E4B66">
              <w:rPr>
                <w:bCs/>
                <w:szCs w:val="24"/>
                <w:lang w:eastAsia="lt-LT"/>
              </w:rPr>
              <w:t xml:space="preserve"> vėjo</w:t>
            </w:r>
            <w:r w:rsidR="00F9012B">
              <w:rPr>
                <w:bCs/>
                <w:szCs w:val="24"/>
                <w:lang w:eastAsia="lt-LT"/>
              </w:rPr>
              <w:t xml:space="preserve"> ar kitos</w:t>
            </w:r>
            <w:r w:rsidR="008E4B66">
              <w:rPr>
                <w:bCs/>
                <w:szCs w:val="24"/>
                <w:lang w:eastAsia="lt-LT"/>
              </w:rPr>
              <w:t>) elektrinės generuojamą elektros energiją</w:t>
            </w:r>
            <w:r w:rsidR="003F7C55">
              <w:rPr>
                <w:bCs/>
                <w:szCs w:val="24"/>
                <w:lang w:eastAsia="lt-LT"/>
              </w:rPr>
              <w:t xml:space="preserve"> arba </w:t>
            </w:r>
            <w:r w:rsidR="00EC0DB4">
              <w:rPr>
                <w:bCs/>
                <w:szCs w:val="24"/>
                <w:lang w:eastAsia="lt-LT"/>
              </w:rPr>
              <w:t>žemės s</w:t>
            </w:r>
            <w:r w:rsidR="00804BAE">
              <w:rPr>
                <w:bCs/>
                <w:szCs w:val="24"/>
                <w:lang w:eastAsia="lt-LT"/>
              </w:rPr>
              <w:t>klype, ant kurio yra elektros vartojimo objektas</w:t>
            </w:r>
            <w:r w:rsidR="005110A0">
              <w:rPr>
                <w:bCs/>
                <w:szCs w:val="24"/>
                <w:lang w:eastAsia="lt-LT"/>
              </w:rPr>
              <w:t xml:space="preserve">, kad </w:t>
            </w:r>
            <w:r w:rsidR="00414C94">
              <w:rPr>
                <w:bCs/>
                <w:szCs w:val="24"/>
                <w:lang w:eastAsia="lt-LT"/>
              </w:rPr>
              <w:t xml:space="preserve">būtų užtikrinta, kad </w:t>
            </w:r>
            <w:r w:rsidR="0082506F">
              <w:rPr>
                <w:bCs/>
                <w:szCs w:val="24"/>
                <w:lang w:eastAsia="lt-LT"/>
              </w:rPr>
              <w:t>su dotacija įrengiamo</w:t>
            </w:r>
            <w:r w:rsidR="00414C94">
              <w:rPr>
                <w:bCs/>
                <w:szCs w:val="24"/>
                <w:lang w:eastAsia="lt-LT"/>
              </w:rPr>
              <w:t xml:space="preserve"> elektros energijos kaupimo įrenginio kaupiama elektros energija bus vartojama </w:t>
            </w:r>
            <w:r w:rsidR="0082506F">
              <w:rPr>
                <w:bCs/>
                <w:szCs w:val="24"/>
                <w:lang w:eastAsia="lt-LT"/>
              </w:rPr>
              <w:t>to</w:t>
            </w:r>
            <w:r w:rsidR="00CB515A">
              <w:rPr>
                <w:bCs/>
                <w:szCs w:val="24"/>
                <w:lang w:eastAsia="lt-LT"/>
              </w:rPr>
              <w:t xml:space="preserve"> konkretaus</w:t>
            </w:r>
            <w:r w:rsidR="0082506F">
              <w:rPr>
                <w:bCs/>
                <w:szCs w:val="24"/>
                <w:lang w:eastAsia="lt-LT"/>
              </w:rPr>
              <w:t xml:space="preserve"> elektros</w:t>
            </w:r>
            <w:r w:rsidR="00CB515A">
              <w:rPr>
                <w:bCs/>
                <w:szCs w:val="24"/>
                <w:lang w:eastAsia="lt-LT"/>
              </w:rPr>
              <w:t xml:space="preserve"> </w:t>
            </w:r>
            <w:r w:rsidR="0082506F">
              <w:rPr>
                <w:bCs/>
                <w:szCs w:val="24"/>
                <w:lang w:eastAsia="lt-LT"/>
              </w:rPr>
              <w:t>vartojimo objekto reikmėms patenkinti.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  <w:p w14:paraId="24FB9F2D" w14:textId="6C756D6D" w:rsidR="00D878B9" w:rsidRDefault="00927215" w:rsidP="00543243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JP</w:t>
            </w:r>
            <w:r w:rsidR="00492576">
              <w:rPr>
                <w:bCs/>
                <w:szCs w:val="24"/>
                <w:lang w:eastAsia="lt-LT"/>
              </w:rPr>
              <w:t xml:space="preserve"> projektas turės</w:t>
            </w:r>
            <w:r w:rsidR="00210A3A">
              <w:rPr>
                <w:bCs/>
                <w:szCs w:val="24"/>
                <w:lang w:eastAsia="lt-LT"/>
              </w:rPr>
              <w:t xml:space="preserve"> </w:t>
            </w:r>
            <w:r w:rsidR="00492576">
              <w:rPr>
                <w:bCs/>
                <w:szCs w:val="24"/>
                <w:lang w:eastAsia="lt-LT"/>
              </w:rPr>
              <w:t>atitikti šį reikalavimą</w:t>
            </w:r>
            <w:r w:rsidR="00C94B41">
              <w:rPr>
                <w:bCs/>
                <w:szCs w:val="24"/>
                <w:lang w:eastAsia="lt-LT"/>
              </w:rPr>
              <w:t xml:space="preserve"> projekto įgyvendinimo metu ir</w:t>
            </w:r>
            <w:r w:rsidR="00492576">
              <w:rPr>
                <w:bCs/>
                <w:szCs w:val="24"/>
                <w:lang w:eastAsia="lt-LT"/>
              </w:rPr>
              <w:t xml:space="preserve"> visą </w:t>
            </w:r>
            <w:r w:rsidR="00C94B41">
              <w:rPr>
                <w:bCs/>
                <w:szCs w:val="24"/>
                <w:lang w:eastAsia="lt-LT"/>
              </w:rPr>
              <w:t>poprojektinį</w:t>
            </w:r>
            <w:r w:rsidR="00656CFE">
              <w:rPr>
                <w:bCs/>
                <w:szCs w:val="24"/>
                <w:lang w:eastAsia="lt-LT"/>
              </w:rPr>
              <w:t xml:space="preserve"> tęstinumo laikotarpį (t.y. 5 metus po Jungtinio projekto finansavimo pabaigos).</w:t>
            </w:r>
          </w:p>
          <w:p w14:paraId="74595665" w14:textId="44A36A2A" w:rsidR="00996C36" w:rsidRDefault="00A27078" w:rsidP="00A246EE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Specialusis JP projektų atrankos kriterijus bus taikomas </w:t>
            </w:r>
            <w:r w:rsidR="00E31550">
              <w:rPr>
                <w:bCs/>
                <w:szCs w:val="24"/>
                <w:lang w:eastAsia="lt-LT"/>
              </w:rPr>
              <w:t>visiems</w:t>
            </w:r>
            <w:r w:rsidR="00256044">
              <w:rPr>
                <w:bCs/>
                <w:szCs w:val="24"/>
                <w:lang w:eastAsia="lt-LT"/>
              </w:rPr>
              <w:t xml:space="preserve"> kvietim</w:t>
            </w:r>
            <w:r w:rsidR="00E31550">
              <w:rPr>
                <w:bCs/>
                <w:szCs w:val="24"/>
                <w:lang w:eastAsia="lt-LT"/>
              </w:rPr>
              <w:t>ams</w:t>
            </w:r>
            <w:r w:rsidR="00256044">
              <w:rPr>
                <w:bCs/>
                <w:szCs w:val="24"/>
                <w:lang w:eastAsia="lt-LT"/>
              </w:rPr>
              <w:t xml:space="preserve"> teikti paraiškas JP projektams įgyvendinti</w:t>
            </w:r>
            <w:r w:rsidR="00A246EE">
              <w:rPr>
                <w:bCs/>
                <w:szCs w:val="24"/>
                <w:lang w:eastAsia="lt-LT"/>
              </w:rPr>
              <w:t>, įgyvendinantiems šią poveiklę</w:t>
            </w:r>
            <w:r w:rsidR="000914C9">
              <w:rPr>
                <w:bCs/>
                <w:szCs w:val="24"/>
                <w:lang w:eastAsia="lt-LT"/>
              </w:rPr>
              <w:t>.</w:t>
            </w:r>
          </w:p>
        </w:tc>
      </w:tr>
      <w:tr w:rsidR="00D7598D" w14:paraId="394004C0" w14:textId="77777777">
        <w:tc>
          <w:tcPr>
            <w:tcW w:w="6345" w:type="dxa"/>
            <w:shd w:val="clear" w:color="auto" w:fill="auto"/>
            <w:vAlign w:val="center"/>
          </w:tcPr>
          <w:p w14:paraId="17F3DB83" w14:textId="4623DD08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</w:tcPr>
          <w:p w14:paraId="01E7EB71" w14:textId="158548EE" w:rsidR="00996C36" w:rsidRPr="00702614" w:rsidRDefault="00403141" w:rsidP="00D96AA0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</w:rPr>
              <w:t>Pažangos priemonės 6</w:t>
            </w:r>
            <w:r w:rsidR="00A246EE" w:rsidRPr="00A031B8">
              <w:rPr>
                <w:szCs w:val="24"/>
              </w:rPr>
              <w:t xml:space="preserve"> veikla </w:t>
            </w:r>
            <w:r w:rsidR="00A246EE">
              <w:rPr>
                <w:szCs w:val="24"/>
              </w:rPr>
              <w:t>„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</w:t>
            </w:r>
            <w:r w:rsidR="00A246EE">
              <w:rPr>
                <w:szCs w:val="24"/>
              </w:rPr>
              <w:t>“ numato dvejas poveikles:</w:t>
            </w:r>
            <w:r w:rsidR="00A246EE" w:rsidRPr="00A031B8">
              <w:rPr>
                <w:szCs w:val="24"/>
              </w:rPr>
              <w:t xml:space="preserve"> </w:t>
            </w:r>
            <w:r w:rsidR="00A246EE">
              <w:rPr>
                <w:szCs w:val="24"/>
              </w:rPr>
              <w:t>„</w:t>
            </w:r>
            <w:r w:rsidR="00033EFD">
              <w:rPr>
                <w:szCs w:val="24"/>
              </w:rPr>
              <w:t xml:space="preserve">6.1. 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A246EE">
              <w:rPr>
                <w:szCs w:val="24"/>
              </w:rPr>
              <w:t>“ ir „</w:t>
            </w:r>
            <w:r w:rsidR="00033EFD">
              <w:rPr>
                <w:szCs w:val="24"/>
              </w:rPr>
              <w:t xml:space="preserve">6.2. 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A246EE">
              <w:rPr>
                <w:szCs w:val="24"/>
              </w:rPr>
              <w:t xml:space="preserve">“. </w:t>
            </w:r>
            <w:r w:rsidR="00CD1E1B">
              <w:rPr>
                <w:bCs/>
                <w:szCs w:val="24"/>
              </w:rPr>
              <w:t xml:space="preserve">Kiekvienai poveiklei numatyta </w:t>
            </w:r>
            <w:r w:rsidR="00A246EE">
              <w:rPr>
                <w:bCs/>
                <w:szCs w:val="24"/>
              </w:rPr>
              <w:t>1,65</w:t>
            </w:r>
            <w:r w:rsidR="00CD1E1B">
              <w:rPr>
                <w:bCs/>
                <w:szCs w:val="24"/>
              </w:rPr>
              <w:t xml:space="preserve"> mln. Eurų.</w:t>
            </w:r>
            <w:r w:rsidR="00077EE3">
              <w:rPr>
                <w:bCs/>
                <w:szCs w:val="24"/>
              </w:rPr>
              <w:t xml:space="preserve"> </w:t>
            </w:r>
            <w:r w:rsidR="000008E0">
              <w:rPr>
                <w:bCs/>
                <w:szCs w:val="24"/>
              </w:rPr>
              <w:t xml:space="preserve">Neįvedus siūlomo specialaus atrankos kriterijaus, </w:t>
            </w:r>
            <w:r w:rsidR="00077EE3">
              <w:rPr>
                <w:bCs/>
                <w:szCs w:val="24"/>
              </w:rPr>
              <w:t xml:space="preserve">Vidurio ir Vakarų regiono gyventojai, </w:t>
            </w:r>
            <w:r w:rsidR="00682E8F">
              <w:rPr>
                <w:bCs/>
                <w:szCs w:val="24"/>
              </w:rPr>
              <w:t>valdantys elektros vartojimo objektus Vidurio ir Vakarų Lietuvos regione, galėtų teikti paraiškas į finansavimą iš abiejų poveiklių. Sostinės regiono gyventojai galėtų teikti paraiškas į finansavimą tik iš</w:t>
            </w:r>
            <w:r w:rsidR="003A0CE2">
              <w:rPr>
                <w:bCs/>
                <w:szCs w:val="24"/>
              </w:rPr>
              <w:t xml:space="preserve"> poveiklės </w:t>
            </w:r>
            <w:r w:rsidR="003A0CE2">
              <w:rPr>
                <w:szCs w:val="24"/>
              </w:rPr>
              <w:t>„</w:t>
            </w:r>
            <w:r w:rsidR="00033EFD">
              <w:rPr>
                <w:szCs w:val="24"/>
              </w:rPr>
              <w:t xml:space="preserve">6.1. </w:t>
            </w:r>
            <w:r w:rsidR="003A0CE2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3A0CE2">
              <w:rPr>
                <w:szCs w:val="24"/>
              </w:rPr>
              <w:t>“.</w:t>
            </w:r>
            <w:r w:rsidR="008C018C">
              <w:rPr>
                <w:bCs/>
                <w:szCs w:val="24"/>
              </w:rPr>
              <w:t xml:space="preserve"> Specialiojo projektų atrankos kriterijaus taikymas </w:t>
            </w:r>
            <w:r w:rsidR="00E873B2">
              <w:rPr>
                <w:bCs/>
                <w:szCs w:val="24"/>
              </w:rPr>
              <w:t>racionaliau 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regiono gyventojų teikiamiems JP projektams.</w:t>
            </w:r>
          </w:p>
        </w:tc>
      </w:tr>
    </w:tbl>
    <w:p w14:paraId="2AF070DE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A0D2968" w14:textId="490232DC" w:rsidR="00D96AA0" w:rsidRDefault="00D96AA0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>Investicijų grupės patarėjas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Algirdas Petkevičius</w:t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1534"/>
        <w:gridCol w:w="3496"/>
        <w:gridCol w:w="1657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7EE12723" w:rsidR="00D7598D" w:rsidRDefault="00031A2A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sectPr w:rsidR="00D7598D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08E0"/>
    <w:rsid w:val="000154D3"/>
    <w:rsid w:val="0002733F"/>
    <w:rsid w:val="00031A2A"/>
    <w:rsid w:val="00033B45"/>
    <w:rsid w:val="00033EFD"/>
    <w:rsid w:val="00060ABE"/>
    <w:rsid w:val="00077EE3"/>
    <w:rsid w:val="00087EDD"/>
    <w:rsid w:val="000906A7"/>
    <w:rsid w:val="000914C9"/>
    <w:rsid w:val="000948BF"/>
    <w:rsid w:val="000B13E0"/>
    <w:rsid w:val="00117075"/>
    <w:rsid w:val="00125BE2"/>
    <w:rsid w:val="001461C1"/>
    <w:rsid w:val="0015426B"/>
    <w:rsid w:val="00185D94"/>
    <w:rsid w:val="00195180"/>
    <w:rsid w:val="00197BB7"/>
    <w:rsid w:val="001B3E4B"/>
    <w:rsid w:val="001D6ED6"/>
    <w:rsid w:val="001F0A29"/>
    <w:rsid w:val="001F6A92"/>
    <w:rsid w:val="00210A3A"/>
    <w:rsid w:val="00236E3C"/>
    <w:rsid w:val="00237FEB"/>
    <w:rsid w:val="00240F17"/>
    <w:rsid w:val="00256044"/>
    <w:rsid w:val="00293041"/>
    <w:rsid w:val="002A62CF"/>
    <w:rsid w:val="002C4DF2"/>
    <w:rsid w:val="002C5E28"/>
    <w:rsid w:val="002D67FC"/>
    <w:rsid w:val="002D7AC9"/>
    <w:rsid w:val="002E6D5F"/>
    <w:rsid w:val="002E768F"/>
    <w:rsid w:val="00301DEC"/>
    <w:rsid w:val="00302AF6"/>
    <w:rsid w:val="003115F3"/>
    <w:rsid w:val="00334D93"/>
    <w:rsid w:val="00345B09"/>
    <w:rsid w:val="00360021"/>
    <w:rsid w:val="003A0CE2"/>
    <w:rsid w:val="003A5BAD"/>
    <w:rsid w:val="003B7AF7"/>
    <w:rsid w:val="003D1E46"/>
    <w:rsid w:val="003E3CBC"/>
    <w:rsid w:val="003F005B"/>
    <w:rsid w:val="003F7C55"/>
    <w:rsid w:val="00403141"/>
    <w:rsid w:val="0041420D"/>
    <w:rsid w:val="004146C8"/>
    <w:rsid w:val="00414C94"/>
    <w:rsid w:val="0042419C"/>
    <w:rsid w:val="0045133A"/>
    <w:rsid w:val="0047173C"/>
    <w:rsid w:val="00492576"/>
    <w:rsid w:val="00492919"/>
    <w:rsid w:val="00493C3E"/>
    <w:rsid w:val="004A2DCE"/>
    <w:rsid w:val="004A3290"/>
    <w:rsid w:val="004D3E07"/>
    <w:rsid w:val="004E7E31"/>
    <w:rsid w:val="005110A0"/>
    <w:rsid w:val="005142E8"/>
    <w:rsid w:val="00531216"/>
    <w:rsid w:val="00531BD6"/>
    <w:rsid w:val="00543243"/>
    <w:rsid w:val="00543C0B"/>
    <w:rsid w:val="00560014"/>
    <w:rsid w:val="0057183A"/>
    <w:rsid w:val="005C182B"/>
    <w:rsid w:val="005F7255"/>
    <w:rsid w:val="00605D23"/>
    <w:rsid w:val="006171EB"/>
    <w:rsid w:val="00617434"/>
    <w:rsid w:val="0063498F"/>
    <w:rsid w:val="00656CFE"/>
    <w:rsid w:val="0066099B"/>
    <w:rsid w:val="00672443"/>
    <w:rsid w:val="0068134B"/>
    <w:rsid w:val="00682E8F"/>
    <w:rsid w:val="00684313"/>
    <w:rsid w:val="006A5ECB"/>
    <w:rsid w:val="006A661D"/>
    <w:rsid w:val="006C0D37"/>
    <w:rsid w:val="006C5745"/>
    <w:rsid w:val="006D630D"/>
    <w:rsid w:val="006D6427"/>
    <w:rsid w:val="006E7073"/>
    <w:rsid w:val="00702614"/>
    <w:rsid w:val="007123FF"/>
    <w:rsid w:val="007452AE"/>
    <w:rsid w:val="007461F0"/>
    <w:rsid w:val="00764B08"/>
    <w:rsid w:val="007709EC"/>
    <w:rsid w:val="007847CE"/>
    <w:rsid w:val="00794C7F"/>
    <w:rsid w:val="007A64F4"/>
    <w:rsid w:val="007B1818"/>
    <w:rsid w:val="007C609B"/>
    <w:rsid w:val="00804BAE"/>
    <w:rsid w:val="0081532C"/>
    <w:rsid w:val="0082506F"/>
    <w:rsid w:val="00825407"/>
    <w:rsid w:val="0083371C"/>
    <w:rsid w:val="00834DC3"/>
    <w:rsid w:val="00851679"/>
    <w:rsid w:val="00863EEC"/>
    <w:rsid w:val="0089796E"/>
    <w:rsid w:val="008A083B"/>
    <w:rsid w:val="008A153D"/>
    <w:rsid w:val="008C018C"/>
    <w:rsid w:val="008C3844"/>
    <w:rsid w:val="008E0D9E"/>
    <w:rsid w:val="008E4B66"/>
    <w:rsid w:val="008F25E1"/>
    <w:rsid w:val="008F7387"/>
    <w:rsid w:val="009005C0"/>
    <w:rsid w:val="00904BD1"/>
    <w:rsid w:val="009058D3"/>
    <w:rsid w:val="00927215"/>
    <w:rsid w:val="00970A22"/>
    <w:rsid w:val="009713FD"/>
    <w:rsid w:val="00996C36"/>
    <w:rsid w:val="009A21D9"/>
    <w:rsid w:val="009D6DE7"/>
    <w:rsid w:val="009E1094"/>
    <w:rsid w:val="00A031B8"/>
    <w:rsid w:val="00A246EE"/>
    <w:rsid w:val="00A27078"/>
    <w:rsid w:val="00A47B0D"/>
    <w:rsid w:val="00A62BD1"/>
    <w:rsid w:val="00A6323B"/>
    <w:rsid w:val="00A876EA"/>
    <w:rsid w:val="00A97BBE"/>
    <w:rsid w:val="00AB2318"/>
    <w:rsid w:val="00AD1CFD"/>
    <w:rsid w:val="00AD2D50"/>
    <w:rsid w:val="00B06092"/>
    <w:rsid w:val="00B253AF"/>
    <w:rsid w:val="00B450AD"/>
    <w:rsid w:val="00B548B2"/>
    <w:rsid w:val="00B54EFD"/>
    <w:rsid w:val="00B60B45"/>
    <w:rsid w:val="00B915AB"/>
    <w:rsid w:val="00B91F01"/>
    <w:rsid w:val="00B9293E"/>
    <w:rsid w:val="00B96C4E"/>
    <w:rsid w:val="00BA1A24"/>
    <w:rsid w:val="00BC1740"/>
    <w:rsid w:val="00BF25B0"/>
    <w:rsid w:val="00BF38A7"/>
    <w:rsid w:val="00C06176"/>
    <w:rsid w:val="00C415A5"/>
    <w:rsid w:val="00C53951"/>
    <w:rsid w:val="00C758B9"/>
    <w:rsid w:val="00C75A29"/>
    <w:rsid w:val="00C82CB6"/>
    <w:rsid w:val="00C91CB4"/>
    <w:rsid w:val="00C94B41"/>
    <w:rsid w:val="00CB515A"/>
    <w:rsid w:val="00CD1E1B"/>
    <w:rsid w:val="00CD5D81"/>
    <w:rsid w:val="00D02661"/>
    <w:rsid w:val="00D05A7F"/>
    <w:rsid w:val="00D7598D"/>
    <w:rsid w:val="00D878B9"/>
    <w:rsid w:val="00D96AA0"/>
    <w:rsid w:val="00DC02D1"/>
    <w:rsid w:val="00DD062A"/>
    <w:rsid w:val="00E0472D"/>
    <w:rsid w:val="00E17ECA"/>
    <w:rsid w:val="00E27D65"/>
    <w:rsid w:val="00E31550"/>
    <w:rsid w:val="00E352E9"/>
    <w:rsid w:val="00E470B3"/>
    <w:rsid w:val="00E50ECC"/>
    <w:rsid w:val="00E67BC2"/>
    <w:rsid w:val="00E873B2"/>
    <w:rsid w:val="00EC0DB4"/>
    <w:rsid w:val="00F15172"/>
    <w:rsid w:val="00F24F45"/>
    <w:rsid w:val="00F4164B"/>
    <w:rsid w:val="00F44DB7"/>
    <w:rsid w:val="00F57B47"/>
    <w:rsid w:val="00F62904"/>
    <w:rsid w:val="00F65B51"/>
    <w:rsid w:val="00F9012B"/>
    <w:rsid w:val="00F94C23"/>
    <w:rsid w:val="00FB7D5B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72AC5B0-E816-46B3-87FE-FBAB13E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7136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2023-02-21T08:07:00Z</dcterms:created>
  <dc:creator>FM</dc:creator>
  <cp:lastModifiedBy>Algirdas Petkevičius</cp:lastModifiedBy>
  <cp:lastPrinted>2017-02-13T08:49:00Z</cp:lastPrinted>
  <dcterms:modified xsi:type="dcterms:W3CDTF">2023-07-17T13:02:00Z</dcterms:modified>
  <cp:revision>111</cp:revision>
  <dc:title>Veiksmų programų administravimo</dc:title>
</cp:coreProperties>
</file>