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0056C878" w:rsidR="0036662A" w:rsidRPr="00017566" w:rsidRDefault="0036662A" w:rsidP="00DD3616">
      <w:pPr>
        <w:jc w:val="center"/>
        <w:rPr>
          <w:b/>
          <w:bCs/>
        </w:rPr>
      </w:pPr>
      <w:r w:rsidRPr="00017566">
        <w:rPr>
          <w:b/>
          <w:bCs/>
        </w:rPr>
        <w:t xml:space="preserve">SOCIALINIŲ IR EKONOMINIŲ PARTNERIŲ PATEIKTŲ PASTABŲ IR PASIŪLYMŲ DĖL </w:t>
      </w:r>
      <w:r w:rsidR="00053ACF" w:rsidRPr="00053ACF">
        <w:rPr>
          <w:b/>
          <w:bCs/>
          <w:szCs w:val="24"/>
        </w:rPr>
        <w:t>2022–2030 METŲ PLĖTROS PROGRAMOS VALDYTOJOS LIETUVOS RESPUBLIKOS EKONOMIKOS IR INOVACIJŲ MINISTERIJOS EKONOMIKOS TRANSFORMACIJOS IR KONKURENCINGUMO PLĖTROS PROGRAMOS PAŽANGOS PRIEMONĖS NR. 05-001-01-05-0</w:t>
      </w:r>
      <w:r w:rsidR="00F51BC1">
        <w:rPr>
          <w:b/>
          <w:bCs/>
          <w:szCs w:val="24"/>
        </w:rPr>
        <w:t>7</w:t>
      </w:r>
      <w:r w:rsidR="00053ACF" w:rsidRPr="00053ACF">
        <w:rPr>
          <w:b/>
          <w:bCs/>
          <w:szCs w:val="24"/>
        </w:rPr>
        <w:t xml:space="preserve"> „</w:t>
      </w:r>
      <w:r w:rsidR="00F51BC1">
        <w:rPr>
          <w:b/>
          <w:bCs/>
          <w:szCs w:val="24"/>
        </w:rPr>
        <w:t>SUKURTI NUOSEKLIĄ INOVACINĖS VEIKLOS SKATINIMO SISTEMĄ</w:t>
      </w:r>
      <w:r w:rsidR="00053ACF" w:rsidRPr="00053ACF">
        <w:rPr>
          <w:b/>
          <w:bCs/>
          <w:szCs w:val="24"/>
        </w:rPr>
        <w:t xml:space="preserve">“ </w:t>
      </w:r>
      <w:r w:rsidR="00F51BC1">
        <w:rPr>
          <w:b/>
          <w:bCs/>
          <w:szCs w:val="24"/>
        </w:rPr>
        <w:t xml:space="preserve">INVESTICINĖS </w:t>
      </w:r>
      <w:r w:rsidR="00053ACF" w:rsidRPr="00053ACF">
        <w:rPr>
          <w:b/>
          <w:bCs/>
          <w:szCs w:val="24"/>
        </w:rPr>
        <w:t>VEIKLOS „</w:t>
      </w:r>
      <w:r w:rsidR="00F51BC1">
        <w:rPr>
          <w:b/>
          <w:bCs/>
          <w:szCs w:val="24"/>
        </w:rPr>
        <w:t xml:space="preserve">7. </w:t>
      </w:r>
      <w:r w:rsidR="00053ACF" w:rsidRPr="00053ACF">
        <w:rPr>
          <w:b/>
          <w:bCs/>
          <w:szCs w:val="24"/>
        </w:rPr>
        <w:t>S</w:t>
      </w:r>
      <w:r w:rsidR="00F51BC1">
        <w:rPr>
          <w:b/>
          <w:bCs/>
          <w:szCs w:val="24"/>
        </w:rPr>
        <w:t>KATINTI NETECHNOLOGINIŲ INOVACIJŲ PLĖTRĄ</w:t>
      </w:r>
      <w:r w:rsidR="00053ACF" w:rsidRPr="00053ACF">
        <w:rPr>
          <w:b/>
          <w:bCs/>
          <w:szCs w:val="24"/>
        </w:rPr>
        <w:t>“</w:t>
      </w:r>
      <w:r w:rsidR="00053ACF">
        <w:rPr>
          <w:szCs w:val="24"/>
        </w:rPr>
        <w:t xml:space="preserve"> </w:t>
      </w:r>
      <w:r w:rsidR="00A323E0" w:rsidRPr="00DD3616">
        <w:rPr>
          <w:b/>
          <w:bCs/>
          <w:caps/>
        </w:rPr>
        <w:t>PROJEKTŲ ATRANKOS KRITERIJŲ DERINIMAS</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0FFD2A99" w:rsidR="0036662A" w:rsidRPr="00017566" w:rsidRDefault="00F65129" w:rsidP="00335D39">
            <w:pPr>
              <w:rPr>
                <w:szCs w:val="24"/>
              </w:rPr>
            </w:pPr>
            <w:r w:rsidRPr="00017566">
              <w:rPr>
                <w:szCs w:val="24"/>
              </w:rPr>
              <w:t>202</w:t>
            </w:r>
            <w:r w:rsidR="00053ACF">
              <w:rPr>
                <w:szCs w:val="24"/>
              </w:rPr>
              <w:t>3</w:t>
            </w:r>
            <w:r w:rsidRPr="00017566">
              <w:rPr>
                <w:szCs w:val="24"/>
              </w:rPr>
              <w:t>-0</w:t>
            </w:r>
            <w:r w:rsidR="00F51BC1">
              <w:rPr>
                <w:szCs w:val="24"/>
              </w:rPr>
              <w:t>8</w:t>
            </w:r>
            <w:r w:rsidRPr="00017566">
              <w:rPr>
                <w:szCs w:val="24"/>
              </w:rPr>
              <w:t>-</w:t>
            </w:r>
            <w:r w:rsidR="00601513">
              <w:rPr>
                <w:szCs w:val="24"/>
              </w:rPr>
              <w:t>1</w:t>
            </w:r>
            <w:r w:rsidR="00F51BC1">
              <w:rPr>
                <w:szCs w:val="24"/>
              </w:rPr>
              <w:t>8</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D100FC">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D100FC">
                  <w:rPr>
                    <w:b/>
                    <w:szCs w:val="24"/>
                  </w:rPr>
                </w:r>
                <w:r w:rsidR="00D100FC">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57919826" w:rsidR="0036662A" w:rsidRPr="00017566" w:rsidRDefault="00D100FC" w:rsidP="0070221E">
            <w:pPr>
              <w:rPr>
                <w:szCs w:val="24"/>
              </w:rPr>
            </w:pPr>
            <w:sdt>
              <w:sdtPr>
                <w:id w:val="-338542889"/>
              </w:sdtPr>
              <w:sdtEndPr/>
              <w:sdtContent>
                <w:r w:rsidR="00053ACF">
                  <w:fldChar w:fldCharType="begin">
                    <w:ffData>
                      <w:name w:val=""/>
                      <w:enabled w:val="0"/>
                      <w:calcOnExit w:val="0"/>
                      <w:checkBox>
                        <w:sizeAuto/>
                        <w:default w:val="0"/>
                      </w:checkBox>
                    </w:ffData>
                  </w:fldChar>
                </w:r>
                <w:r w:rsidR="00053ACF">
                  <w:instrText xml:space="preserve"> FORMCHECKBOX </w:instrText>
                </w:r>
                <w:r>
                  <w:fldChar w:fldCharType="separate"/>
                </w:r>
                <w:r w:rsidR="00053ACF">
                  <w:fldChar w:fldCharType="end"/>
                </w:r>
              </w:sdtContent>
            </w:sdt>
            <w:r w:rsidR="00015942" w:rsidRPr="00017566">
              <w:rPr>
                <w:szCs w:val="24"/>
              </w:rPr>
              <w:t xml:space="preserve"> </w:t>
            </w:r>
            <w:r w:rsidR="0036662A" w:rsidRPr="00017566">
              <w:rPr>
                <w:szCs w:val="24"/>
              </w:rPr>
              <w:t xml:space="preserve">Taip </w:t>
            </w:r>
            <w:sdt>
              <w:sdtPr>
                <w:id w:val="-1548671976"/>
              </w:sdtPr>
              <w:sdtEndPr/>
              <w:sdtContent>
                <w:r w:rsidR="0050761B">
                  <w:fldChar w:fldCharType="begin">
                    <w:ffData>
                      <w:name w:val=""/>
                      <w:enabled/>
                      <w:calcOnExit w:val="0"/>
                      <w:checkBox>
                        <w:sizeAuto/>
                        <w:default w:val="1"/>
                      </w:checkBox>
                    </w:ffData>
                  </w:fldChar>
                </w:r>
                <w:r w:rsidR="0050761B">
                  <w:instrText xml:space="preserve"> FORMCHECKBOX </w:instrText>
                </w:r>
                <w:r>
                  <w:fldChar w:fldCharType="separate"/>
                </w:r>
                <w:r w:rsidR="0050761B">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Layout w:type="fixed"/>
        <w:tblLook w:val="04A0" w:firstRow="1" w:lastRow="0" w:firstColumn="1" w:lastColumn="0" w:noHBand="0" w:noVBand="1"/>
      </w:tblPr>
      <w:tblGrid>
        <w:gridCol w:w="567"/>
        <w:gridCol w:w="1560"/>
        <w:gridCol w:w="7541"/>
        <w:gridCol w:w="5103"/>
      </w:tblGrid>
      <w:tr w:rsidR="0036662A" w:rsidRPr="00A751FC" w14:paraId="6A4E2F17" w14:textId="77777777" w:rsidTr="6E58F106">
        <w:tc>
          <w:tcPr>
            <w:tcW w:w="567" w:type="dxa"/>
          </w:tcPr>
          <w:p w14:paraId="025A5EA9" w14:textId="77777777" w:rsidR="0036662A" w:rsidRPr="00A751FC" w:rsidRDefault="0036662A" w:rsidP="00020CB7">
            <w:pPr>
              <w:jc w:val="center"/>
              <w:rPr>
                <w:b/>
                <w:i/>
                <w:iCs/>
                <w:sz w:val="22"/>
                <w:szCs w:val="22"/>
              </w:rPr>
            </w:pPr>
            <w:r w:rsidRPr="00A751FC">
              <w:rPr>
                <w:b/>
                <w:i/>
                <w:iCs/>
                <w:sz w:val="22"/>
                <w:szCs w:val="22"/>
              </w:rPr>
              <w:t>Nr.</w:t>
            </w:r>
          </w:p>
        </w:tc>
        <w:tc>
          <w:tcPr>
            <w:tcW w:w="1560" w:type="dxa"/>
          </w:tcPr>
          <w:p w14:paraId="5FEE2DEB" w14:textId="7E1EC09F" w:rsidR="0036662A" w:rsidRPr="00A751FC" w:rsidRDefault="0036662A" w:rsidP="00020CB7">
            <w:pPr>
              <w:jc w:val="center"/>
              <w:rPr>
                <w:b/>
                <w:i/>
                <w:iCs/>
                <w:sz w:val="22"/>
                <w:szCs w:val="22"/>
              </w:rPr>
            </w:pPr>
            <w:r w:rsidRPr="00A751FC">
              <w:rPr>
                <w:b/>
                <w:i/>
                <w:iCs/>
                <w:sz w:val="22"/>
                <w:szCs w:val="22"/>
              </w:rPr>
              <w:t>Institucija</w:t>
            </w:r>
            <w:r w:rsidR="00601513" w:rsidRPr="00A751FC">
              <w:rPr>
                <w:b/>
                <w:i/>
                <w:iCs/>
                <w:sz w:val="22"/>
                <w:szCs w:val="22"/>
              </w:rPr>
              <w:t>, organizacija</w:t>
            </w:r>
          </w:p>
        </w:tc>
        <w:tc>
          <w:tcPr>
            <w:tcW w:w="7541" w:type="dxa"/>
          </w:tcPr>
          <w:p w14:paraId="4F6476E0" w14:textId="77777777" w:rsidR="0036662A" w:rsidRPr="00A751FC" w:rsidRDefault="0036662A" w:rsidP="00020CB7">
            <w:pPr>
              <w:jc w:val="center"/>
              <w:rPr>
                <w:b/>
                <w:i/>
                <w:iCs/>
                <w:sz w:val="22"/>
                <w:szCs w:val="22"/>
              </w:rPr>
            </w:pPr>
            <w:r w:rsidRPr="00A751FC">
              <w:rPr>
                <w:b/>
                <w:bCs/>
                <w:i/>
                <w:iCs/>
                <w:sz w:val="22"/>
                <w:szCs w:val="22"/>
              </w:rPr>
              <w:t>Pastabos ir pasiūlymai</w:t>
            </w:r>
          </w:p>
        </w:tc>
        <w:tc>
          <w:tcPr>
            <w:tcW w:w="5103" w:type="dxa"/>
          </w:tcPr>
          <w:p w14:paraId="5C314C6F" w14:textId="77777777" w:rsidR="0036662A" w:rsidRPr="00A751FC" w:rsidRDefault="0036662A" w:rsidP="00020CB7">
            <w:pPr>
              <w:jc w:val="center"/>
              <w:rPr>
                <w:b/>
                <w:i/>
                <w:iCs/>
                <w:sz w:val="22"/>
                <w:szCs w:val="22"/>
              </w:rPr>
            </w:pPr>
            <w:r w:rsidRPr="00A751FC">
              <w:rPr>
                <w:b/>
                <w:bCs/>
                <w:i/>
                <w:iCs/>
                <w:sz w:val="22"/>
                <w:szCs w:val="22"/>
              </w:rPr>
              <w:t>Pastabų ir pasiūlymų vertinimas ir (jei taikoma) argumentai, kodėl neatsižvelgta į pastabas ar pasiūlymus</w:t>
            </w:r>
          </w:p>
        </w:tc>
      </w:tr>
      <w:tr w:rsidR="009B488A" w:rsidRPr="00A751FC" w14:paraId="1EED773A" w14:textId="77777777" w:rsidTr="6E58F106">
        <w:tc>
          <w:tcPr>
            <w:tcW w:w="567" w:type="dxa"/>
            <w:vMerge w:val="restart"/>
          </w:tcPr>
          <w:p w14:paraId="444F437A" w14:textId="4571CAA5" w:rsidR="009B488A" w:rsidRPr="00A751FC" w:rsidRDefault="009B488A" w:rsidP="00020CB7">
            <w:pPr>
              <w:jc w:val="center"/>
              <w:rPr>
                <w:i/>
                <w:iCs/>
                <w:sz w:val="22"/>
                <w:szCs w:val="22"/>
              </w:rPr>
            </w:pPr>
            <w:r w:rsidRPr="00A751FC">
              <w:rPr>
                <w:i/>
                <w:iCs/>
                <w:sz w:val="22"/>
                <w:szCs w:val="22"/>
              </w:rPr>
              <w:t>1.</w:t>
            </w:r>
          </w:p>
        </w:tc>
        <w:tc>
          <w:tcPr>
            <w:tcW w:w="1560" w:type="dxa"/>
            <w:vMerge w:val="restart"/>
          </w:tcPr>
          <w:p w14:paraId="49EA8792" w14:textId="77777777" w:rsidR="009B488A" w:rsidRPr="00A751FC" w:rsidRDefault="009B488A" w:rsidP="009B488A">
            <w:pPr>
              <w:rPr>
                <w:i/>
                <w:iCs/>
                <w:sz w:val="22"/>
                <w:szCs w:val="22"/>
              </w:rPr>
            </w:pPr>
            <w:r w:rsidRPr="00A751FC">
              <w:rPr>
                <w:i/>
                <w:iCs/>
                <w:sz w:val="22"/>
                <w:szCs w:val="22"/>
              </w:rPr>
              <w:t>UAB Sintesi consulting.</w:t>
            </w:r>
          </w:p>
          <w:p w14:paraId="2FDC6993" w14:textId="77777777" w:rsidR="009B488A" w:rsidRPr="00A751FC" w:rsidRDefault="009B488A" w:rsidP="00020CB7">
            <w:pPr>
              <w:rPr>
                <w:i/>
                <w:iCs/>
                <w:sz w:val="22"/>
                <w:szCs w:val="22"/>
              </w:rPr>
            </w:pPr>
          </w:p>
        </w:tc>
        <w:tc>
          <w:tcPr>
            <w:tcW w:w="7541" w:type="dxa"/>
          </w:tcPr>
          <w:p w14:paraId="35CB0678" w14:textId="5AFE7CF6" w:rsidR="009B488A" w:rsidRPr="00A751FC" w:rsidRDefault="009B488A" w:rsidP="009B488A">
            <w:pPr>
              <w:rPr>
                <w:b/>
                <w:bCs/>
                <w:i/>
                <w:iCs/>
                <w:sz w:val="22"/>
                <w:szCs w:val="22"/>
              </w:rPr>
            </w:pPr>
            <w:r w:rsidRPr="00A751FC">
              <w:rPr>
                <w:i/>
                <w:iCs/>
                <w:sz w:val="22"/>
                <w:szCs w:val="22"/>
              </w:rPr>
              <w:t>1.Teikiame pastabas ir pasiūlymus pažangos priemonės Nr. 05-001-01-05-07 „Sukurti nuoseklią inovacinės veiklos skatinimo sistemą“ investicinės veiklos „Skatinti netechnologinių inovacijų plėtrą (Vidurio ir vakarų Lietuvos regionas)“ projektų atrankos kriterijams:</w:t>
            </w:r>
          </w:p>
        </w:tc>
        <w:tc>
          <w:tcPr>
            <w:tcW w:w="5103" w:type="dxa"/>
          </w:tcPr>
          <w:p w14:paraId="48C3E9CF" w14:textId="77777777" w:rsidR="009B488A" w:rsidRPr="00A751FC" w:rsidRDefault="009B488A" w:rsidP="00020CB7">
            <w:pPr>
              <w:jc w:val="both"/>
              <w:rPr>
                <w:i/>
                <w:iCs/>
                <w:sz w:val="22"/>
                <w:szCs w:val="22"/>
              </w:rPr>
            </w:pPr>
          </w:p>
        </w:tc>
      </w:tr>
      <w:tr w:rsidR="009B488A" w:rsidRPr="00A751FC" w14:paraId="363F22FF" w14:textId="77777777" w:rsidTr="6E58F106">
        <w:tc>
          <w:tcPr>
            <w:tcW w:w="567" w:type="dxa"/>
            <w:vMerge/>
          </w:tcPr>
          <w:p w14:paraId="5581E481" w14:textId="26D83B98" w:rsidR="009B488A" w:rsidRPr="00A751FC" w:rsidRDefault="009B488A" w:rsidP="00020CB7">
            <w:pPr>
              <w:jc w:val="center"/>
              <w:rPr>
                <w:bCs/>
                <w:i/>
                <w:iCs/>
                <w:sz w:val="22"/>
                <w:szCs w:val="22"/>
              </w:rPr>
            </w:pPr>
          </w:p>
        </w:tc>
        <w:tc>
          <w:tcPr>
            <w:tcW w:w="1560" w:type="dxa"/>
            <w:vMerge/>
          </w:tcPr>
          <w:p w14:paraId="73281E0C" w14:textId="506C4E61" w:rsidR="009B488A" w:rsidRPr="00A751FC" w:rsidRDefault="009B488A" w:rsidP="009B488A">
            <w:pPr>
              <w:rPr>
                <w:i/>
                <w:iCs/>
                <w:sz w:val="22"/>
                <w:szCs w:val="22"/>
              </w:rPr>
            </w:pPr>
          </w:p>
        </w:tc>
        <w:tc>
          <w:tcPr>
            <w:tcW w:w="7541" w:type="dxa"/>
          </w:tcPr>
          <w:p w14:paraId="3171222B" w14:textId="70586C45" w:rsidR="009B488A" w:rsidRPr="00A751FC" w:rsidRDefault="009B488A" w:rsidP="009B488A">
            <w:pPr>
              <w:rPr>
                <w:b/>
                <w:bCs/>
                <w:i/>
                <w:iCs/>
                <w:sz w:val="22"/>
                <w:szCs w:val="22"/>
              </w:rPr>
            </w:pPr>
            <w:r w:rsidRPr="00A751FC">
              <w:rPr>
                <w:b/>
                <w:bCs/>
                <w:i/>
                <w:iCs/>
                <w:sz w:val="22"/>
                <w:szCs w:val="22"/>
              </w:rPr>
              <w:t xml:space="preserve">1.1. Projekto veikla atitinka </w:t>
            </w:r>
            <w:hyperlink r:id="rId11" w:history="1">
              <w:r w:rsidRPr="00A751FC">
                <w:rPr>
                  <w:rStyle w:val="Hyperlink"/>
                  <w:b/>
                  <w:bCs/>
                  <w:i/>
                  <w:iCs/>
                  <w:sz w:val="22"/>
                  <w:szCs w:val="22"/>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Pr="00A751FC">
              <w:rPr>
                <w:b/>
                <w:bCs/>
                <w:i/>
                <w:iCs/>
                <w:sz w:val="22"/>
                <w:szCs w:val="22"/>
              </w:rPr>
              <w:t xml:space="preserve"> (toliau – Koncepcija) ir bent vieno mokslinių tyrimų ir eksperimentinės plėtros ir inovacijų (toliau – MTEPI) (sumaniosios specializacijos) prioriteto (toliau – MTEPI prioritetas)</w:t>
            </w:r>
            <w:r w:rsidRPr="00A751FC">
              <w:rPr>
                <w:i/>
                <w:iCs/>
                <w:color w:val="000000"/>
                <w:sz w:val="22"/>
                <w:szCs w:val="22"/>
              </w:rPr>
              <w:t xml:space="preserve"> </w:t>
            </w:r>
            <w:r w:rsidRPr="00A751FC">
              <w:rPr>
                <w:b/>
                <w:bCs/>
                <w:i/>
                <w:iCs/>
                <w:sz w:val="22"/>
                <w:szCs w:val="22"/>
              </w:rPr>
              <w:t>tematiką.</w:t>
            </w:r>
          </w:p>
          <w:p w14:paraId="5C388E15" w14:textId="77777777" w:rsidR="009B488A" w:rsidRPr="00A751FC" w:rsidRDefault="009B488A" w:rsidP="009B488A">
            <w:pPr>
              <w:rPr>
                <w:i/>
                <w:iCs/>
                <w:sz w:val="22"/>
                <w:szCs w:val="22"/>
              </w:rPr>
            </w:pPr>
            <w:r w:rsidRPr="00A751FC">
              <w:rPr>
                <w:i/>
                <w:iCs/>
                <w:sz w:val="22"/>
                <w:szCs w:val="22"/>
              </w:rPr>
              <w:t>Taikomas reikalavimas apribojantis galimybę dalyvauti kitoms (ne sumaniosios specializacijos) veiklas vykdančioms įmonėms, todėl prašome panaikinti šį reikalavimą.</w:t>
            </w:r>
          </w:p>
          <w:p w14:paraId="00AF99E5" w14:textId="77777777" w:rsidR="009B488A" w:rsidRPr="00A751FC" w:rsidRDefault="009B488A" w:rsidP="009B488A">
            <w:pPr>
              <w:rPr>
                <w:i/>
                <w:iCs/>
                <w:color w:val="70AD47"/>
                <w:sz w:val="22"/>
                <w:szCs w:val="22"/>
              </w:rPr>
            </w:pPr>
            <w:r w:rsidRPr="00A751FC">
              <w:rPr>
                <w:i/>
                <w:iCs/>
                <w:sz w:val="22"/>
                <w:szCs w:val="22"/>
              </w:rPr>
              <w:t xml:space="preserve">Tuo atveju, jei tokio reikalavimo panaikinti nebus įmanoma, kvietimo taikymas tik Vidurio ir vakarų Lietuvos regionams yra perteklinis ir diskriminuojantis Sostinės </w:t>
            </w:r>
            <w:r w:rsidRPr="00A751FC">
              <w:rPr>
                <w:i/>
                <w:iCs/>
                <w:sz w:val="22"/>
                <w:szCs w:val="22"/>
              </w:rPr>
              <w:lastRenderedPageBreak/>
              <w:t xml:space="preserve">regioną, todėl siūlome jį panaikinti, t. y. neapsiriboti tik Vidurio ir vakarų Lietuvos regionu. </w:t>
            </w:r>
          </w:p>
          <w:p w14:paraId="6BAF86A2" w14:textId="77777777" w:rsidR="009B488A" w:rsidRPr="00A751FC" w:rsidRDefault="009B488A" w:rsidP="009B488A">
            <w:pPr>
              <w:rPr>
                <w:i/>
                <w:iCs/>
                <w:sz w:val="22"/>
                <w:szCs w:val="22"/>
              </w:rPr>
            </w:pPr>
          </w:p>
          <w:p w14:paraId="6515B5DB" w14:textId="34F5EFF1" w:rsidR="009B488A" w:rsidRPr="00A751FC" w:rsidRDefault="009B488A" w:rsidP="009426AD">
            <w:pPr>
              <w:jc w:val="both"/>
              <w:rPr>
                <w:i/>
                <w:iCs/>
                <w:sz w:val="22"/>
                <w:szCs w:val="22"/>
              </w:rPr>
            </w:pPr>
          </w:p>
        </w:tc>
        <w:tc>
          <w:tcPr>
            <w:tcW w:w="5103" w:type="dxa"/>
          </w:tcPr>
          <w:p w14:paraId="0AC663EA" w14:textId="53683C9B" w:rsidR="001919D8" w:rsidRPr="00A751FC" w:rsidRDefault="001919D8" w:rsidP="007B27C7">
            <w:pPr>
              <w:rPr>
                <w:sz w:val="22"/>
                <w:szCs w:val="22"/>
              </w:rPr>
            </w:pPr>
            <w:r w:rsidRPr="00A751FC">
              <w:rPr>
                <w:b/>
                <w:bCs/>
                <w:sz w:val="22"/>
                <w:szCs w:val="22"/>
              </w:rPr>
              <w:lastRenderedPageBreak/>
              <w:t>Neatsižvelgta</w:t>
            </w:r>
            <w:r w:rsidRPr="00A751FC">
              <w:rPr>
                <w:sz w:val="22"/>
                <w:szCs w:val="22"/>
              </w:rPr>
              <w:t>.</w:t>
            </w:r>
            <w:r w:rsidR="00CD354D" w:rsidRPr="00A751FC">
              <w:rPr>
                <w:sz w:val="22"/>
                <w:szCs w:val="22"/>
              </w:rPr>
              <w:t xml:space="preserve"> </w:t>
            </w:r>
            <w:r w:rsidRPr="00A751FC">
              <w:rPr>
                <w:sz w:val="22"/>
                <w:szCs w:val="22"/>
              </w:rPr>
              <w:t>Ši veikla finansuojama iš 2021–2027 metų Europos Sąjungos fondų investicijų program</w:t>
            </w:r>
            <w:r w:rsidR="00E64DEC" w:rsidRPr="00A751FC">
              <w:rPr>
                <w:sz w:val="22"/>
                <w:szCs w:val="22"/>
              </w:rPr>
              <w:t>os</w:t>
            </w:r>
            <w:r w:rsidRPr="00A751FC">
              <w:rPr>
                <w:sz w:val="22"/>
                <w:szCs w:val="22"/>
              </w:rPr>
              <w:t xml:space="preserve"> (toliau – </w:t>
            </w:r>
            <w:bookmarkStart w:id="1" w:name="_Hlk127535325"/>
            <w:r w:rsidRPr="00A751FC">
              <w:rPr>
                <w:sz w:val="22"/>
                <w:szCs w:val="22"/>
              </w:rPr>
              <w:t>Investicijų programa</w:t>
            </w:r>
            <w:bookmarkEnd w:id="1"/>
            <w:r w:rsidRPr="00A751FC">
              <w:rPr>
                <w:sz w:val="22"/>
                <w:szCs w:val="22"/>
              </w:rPr>
              <w:t xml:space="preserve">) </w:t>
            </w:r>
            <w:r w:rsidR="009B3B60" w:rsidRPr="00A751FC">
              <w:rPr>
                <w:bCs/>
                <w:sz w:val="22"/>
                <w:szCs w:val="22"/>
                <w:lang w:val="en-US"/>
              </w:rPr>
              <w:t xml:space="preserve">1 </w:t>
            </w:r>
            <w:r w:rsidR="009B3B60" w:rsidRPr="00A751FC">
              <w:rPr>
                <w:bCs/>
                <w:sz w:val="22"/>
                <w:szCs w:val="22"/>
              </w:rPr>
              <w:t>prioriteto „Pažangesnė Lietuva“ 1.1 konkre</w:t>
            </w:r>
            <w:r w:rsidR="00CD3EAE" w:rsidRPr="00A751FC">
              <w:rPr>
                <w:bCs/>
                <w:sz w:val="22"/>
                <w:szCs w:val="22"/>
              </w:rPr>
              <w:t>taus</w:t>
            </w:r>
            <w:r w:rsidR="009B3B60" w:rsidRPr="00A751FC">
              <w:rPr>
                <w:bCs/>
                <w:sz w:val="22"/>
                <w:szCs w:val="22"/>
              </w:rPr>
              <w:t xml:space="preserve"> uždavini</w:t>
            </w:r>
            <w:r w:rsidR="00CD3EAE" w:rsidRPr="00A751FC">
              <w:rPr>
                <w:bCs/>
                <w:sz w:val="22"/>
                <w:szCs w:val="22"/>
              </w:rPr>
              <w:t>o</w:t>
            </w:r>
            <w:r w:rsidR="009B3B60" w:rsidRPr="00A751FC">
              <w:rPr>
                <w:bCs/>
                <w:sz w:val="22"/>
                <w:szCs w:val="22"/>
              </w:rPr>
              <w:t xml:space="preserve"> „Plėtoti ir stiprinti mokslinių tyrimų ir inovacinius pajėgumus ir diegti pažangiąsias technologijas“</w:t>
            </w:r>
            <w:r w:rsidR="00CD3EAE" w:rsidRPr="00A751FC">
              <w:rPr>
                <w:bCs/>
                <w:sz w:val="22"/>
                <w:szCs w:val="22"/>
              </w:rPr>
              <w:t xml:space="preserve"> įgyvendinimui</w:t>
            </w:r>
            <w:r w:rsidR="009B3B60" w:rsidRPr="00A751FC">
              <w:rPr>
                <w:bCs/>
                <w:sz w:val="22"/>
                <w:szCs w:val="22"/>
              </w:rPr>
              <w:t>,</w:t>
            </w:r>
            <w:r w:rsidR="0064124A" w:rsidRPr="00A751FC">
              <w:rPr>
                <w:b/>
                <w:bCs/>
                <w:i/>
                <w:iCs/>
                <w:sz w:val="22"/>
                <w:szCs w:val="22"/>
              </w:rPr>
              <w:t xml:space="preserve"> siekiant sumaniąja specializacija grįstos ekonomikos transformacijos į aukštos pridėtinės vertės produktų kūrimo vertes,</w:t>
            </w:r>
            <w:r w:rsidR="009B3B60" w:rsidRPr="00A751FC">
              <w:rPr>
                <w:bCs/>
                <w:sz w:val="22"/>
                <w:szCs w:val="22"/>
              </w:rPr>
              <w:t xml:space="preserve"> todėl visoms šio uždavinio veikloms taikoma privaloma išankstin</w:t>
            </w:r>
            <w:r w:rsidR="00CD354D" w:rsidRPr="00A751FC">
              <w:rPr>
                <w:bCs/>
                <w:sz w:val="22"/>
                <w:szCs w:val="22"/>
              </w:rPr>
              <w:t>ė</w:t>
            </w:r>
            <w:r w:rsidR="009B3B60" w:rsidRPr="00A751FC">
              <w:rPr>
                <w:bCs/>
                <w:sz w:val="22"/>
                <w:szCs w:val="22"/>
              </w:rPr>
              <w:t xml:space="preserve"> sąlyg</w:t>
            </w:r>
            <w:r w:rsidR="00CD354D" w:rsidRPr="00A751FC">
              <w:rPr>
                <w:bCs/>
                <w:sz w:val="22"/>
                <w:szCs w:val="22"/>
              </w:rPr>
              <w:t>a</w:t>
            </w:r>
            <w:r w:rsidR="009B3B60" w:rsidRPr="00A751FC">
              <w:rPr>
                <w:bCs/>
                <w:sz w:val="22"/>
                <w:szCs w:val="22"/>
              </w:rPr>
              <w:t xml:space="preserve"> </w:t>
            </w:r>
            <w:r w:rsidR="00E64DEC" w:rsidRPr="00A751FC">
              <w:rPr>
                <w:sz w:val="22"/>
                <w:szCs w:val="22"/>
              </w:rPr>
              <w:t xml:space="preserve">– </w:t>
            </w:r>
            <w:r w:rsidR="009B3B60" w:rsidRPr="00A751FC">
              <w:rPr>
                <w:bCs/>
                <w:sz w:val="22"/>
                <w:szCs w:val="22"/>
              </w:rPr>
              <w:t>atitikimas Sumanios</w:t>
            </w:r>
            <w:r w:rsidR="00F177C3" w:rsidRPr="00A751FC">
              <w:rPr>
                <w:bCs/>
                <w:sz w:val="22"/>
                <w:szCs w:val="22"/>
              </w:rPr>
              <w:t>ios</w:t>
            </w:r>
            <w:r w:rsidR="009B3B60" w:rsidRPr="00A751FC">
              <w:rPr>
                <w:bCs/>
                <w:sz w:val="22"/>
                <w:szCs w:val="22"/>
              </w:rPr>
              <w:t xml:space="preserve"> specializacijos koncepcijai, kaip yra nustatyta </w:t>
            </w:r>
            <w:r w:rsidRPr="00A751FC">
              <w:rPr>
                <w:sz w:val="22"/>
                <w:szCs w:val="22"/>
              </w:rPr>
              <w:t>2021 m. birželio 24 d. Europos Parlamento ir Tarybos reglament</w:t>
            </w:r>
            <w:r w:rsidR="009B3B60" w:rsidRPr="00A751FC">
              <w:rPr>
                <w:sz w:val="22"/>
                <w:szCs w:val="22"/>
              </w:rPr>
              <w:t>e</w:t>
            </w:r>
            <w:r w:rsidRPr="00A751FC">
              <w:rPr>
                <w:sz w:val="22"/>
                <w:szCs w:val="22"/>
              </w:rPr>
              <w:t xml:space="preserve"> (ES) 2021/1060, kuriuo nustatomos bendros Europos </w:t>
            </w:r>
            <w:r w:rsidRPr="00A751FC">
              <w:rPr>
                <w:sz w:val="22"/>
                <w:szCs w:val="22"/>
              </w:rPr>
              <w:lastRenderedPageBreak/>
              <w:t>regioninės plėtros fondo</w:t>
            </w:r>
            <w:r w:rsidR="00CD354D" w:rsidRPr="00A751FC">
              <w:rPr>
                <w:sz w:val="22"/>
                <w:szCs w:val="22"/>
              </w:rPr>
              <w:t xml:space="preserve"> (toliau – ERPF)</w:t>
            </w:r>
            <w:r w:rsidRPr="00A751FC">
              <w:rPr>
                <w:sz w:val="22"/>
                <w:szCs w:val="22"/>
              </w:rPr>
              <w:t>,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p>
          <w:p w14:paraId="72F3732F" w14:textId="77777777" w:rsidR="001919D8" w:rsidRPr="00A751FC" w:rsidRDefault="001919D8" w:rsidP="00CD354D">
            <w:pPr>
              <w:jc w:val="both"/>
              <w:rPr>
                <w:sz w:val="22"/>
                <w:szCs w:val="22"/>
              </w:rPr>
            </w:pPr>
          </w:p>
          <w:p w14:paraId="6F2455F4" w14:textId="3336288D" w:rsidR="001919D8" w:rsidRPr="00A751FC" w:rsidRDefault="009B3B60" w:rsidP="001919D8">
            <w:pPr>
              <w:jc w:val="both"/>
              <w:rPr>
                <w:i/>
                <w:iCs/>
                <w:sz w:val="22"/>
                <w:szCs w:val="22"/>
              </w:rPr>
            </w:pPr>
            <w:r w:rsidRPr="00A751FC">
              <w:rPr>
                <w:sz w:val="22"/>
                <w:szCs w:val="22"/>
              </w:rPr>
              <w:t>Pažymime, kad I</w:t>
            </w:r>
            <w:r w:rsidR="001919D8" w:rsidRPr="00A751FC">
              <w:rPr>
                <w:sz w:val="22"/>
                <w:szCs w:val="22"/>
              </w:rPr>
              <w:t>nvesticijų programa, patvirtinta 2022 m. rugpjūčio 3 d. Europos Komisijos įgyvendinimo sprendimu C(2022) 5742.</w:t>
            </w:r>
            <w:r w:rsidR="00E64DEC" w:rsidRPr="00A751FC">
              <w:rPr>
                <w:sz w:val="22"/>
                <w:szCs w:val="22"/>
              </w:rPr>
              <w:t xml:space="preserve"> Š</w:t>
            </w:r>
            <w:r w:rsidRPr="00A751FC">
              <w:rPr>
                <w:sz w:val="22"/>
                <w:szCs w:val="22"/>
              </w:rPr>
              <w:t xml:space="preserve">iame periode </w:t>
            </w:r>
            <w:r w:rsidR="00E64DEC" w:rsidRPr="00A751FC">
              <w:rPr>
                <w:sz w:val="22"/>
                <w:szCs w:val="22"/>
              </w:rPr>
              <w:t>Lietuva yra padalinta į du regionus – V</w:t>
            </w:r>
            <w:r w:rsidR="00C36649" w:rsidRPr="00A751FC">
              <w:rPr>
                <w:sz w:val="22"/>
                <w:szCs w:val="22"/>
              </w:rPr>
              <w:t>idurio vakarų Lietuvos</w:t>
            </w:r>
            <w:r w:rsidR="00E64DEC" w:rsidRPr="00A751FC">
              <w:rPr>
                <w:sz w:val="22"/>
                <w:szCs w:val="22"/>
              </w:rPr>
              <w:t xml:space="preserve"> ir S</w:t>
            </w:r>
            <w:r w:rsidR="00C36649" w:rsidRPr="00A751FC">
              <w:rPr>
                <w:sz w:val="22"/>
                <w:szCs w:val="22"/>
              </w:rPr>
              <w:t>ostinės</w:t>
            </w:r>
            <w:r w:rsidR="00E64DEC" w:rsidRPr="00A751FC">
              <w:rPr>
                <w:sz w:val="22"/>
                <w:szCs w:val="22"/>
              </w:rPr>
              <w:t>.</w:t>
            </w:r>
            <w:r w:rsidR="00F177C3" w:rsidRPr="00A751FC">
              <w:rPr>
                <w:sz w:val="22"/>
                <w:szCs w:val="22"/>
              </w:rPr>
              <w:t xml:space="preserve"> </w:t>
            </w:r>
            <w:r w:rsidR="00E64DEC" w:rsidRPr="00A751FC">
              <w:rPr>
                <w:sz w:val="22"/>
                <w:szCs w:val="22"/>
              </w:rPr>
              <w:t xml:space="preserve">Investicijų programoje </w:t>
            </w:r>
            <w:r w:rsidR="00F177C3" w:rsidRPr="00A751FC">
              <w:rPr>
                <w:sz w:val="22"/>
                <w:szCs w:val="22"/>
              </w:rPr>
              <w:t xml:space="preserve">yra </w:t>
            </w:r>
            <w:r w:rsidR="00E64DEC" w:rsidRPr="00A751FC">
              <w:rPr>
                <w:sz w:val="22"/>
                <w:szCs w:val="22"/>
              </w:rPr>
              <w:t>patvirtintos ne tik remiamos veiklos, bet ir jų priskyrimas vienam ar kitam regionui, atitinkamai lėšos ir rodikliai paskirstyti dviejų regionų principu. Didžiąją dalį visų ERPF lėšų gauna VVL regionas, be to, kai kurios veiklos SR visiškai nėra finansuojamos.</w:t>
            </w:r>
          </w:p>
          <w:p w14:paraId="0CEE8A5F" w14:textId="354C6108" w:rsidR="004A2AD1" w:rsidRPr="00A751FC" w:rsidRDefault="004A2AD1" w:rsidP="00020CB7">
            <w:pPr>
              <w:jc w:val="both"/>
              <w:rPr>
                <w:i/>
                <w:iCs/>
                <w:sz w:val="22"/>
                <w:szCs w:val="22"/>
              </w:rPr>
            </w:pPr>
          </w:p>
        </w:tc>
      </w:tr>
      <w:tr w:rsidR="009B488A" w:rsidRPr="00A751FC" w14:paraId="1734FF58" w14:textId="77777777" w:rsidTr="6E58F106">
        <w:tc>
          <w:tcPr>
            <w:tcW w:w="567" w:type="dxa"/>
            <w:vMerge/>
          </w:tcPr>
          <w:p w14:paraId="709D4E23" w14:textId="77777777" w:rsidR="009B488A" w:rsidRPr="00A751FC" w:rsidRDefault="009B488A" w:rsidP="00020CB7">
            <w:pPr>
              <w:jc w:val="center"/>
              <w:rPr>
                <w:bCs/>
                <w:i/>
                <w:iCs/>
                <w:sz w:val="22"/>
                <w:szCs w:val="22"/>
              </w:rPr>
            </w:pPr>
          </w:p>
        </w:tc>
        <w:tc>
          <w:tcPr>
            <w:tcW w:w="1560" w:type="dxa"/>
            <w:vMerge/>
          </w:tcPr>
          <w:p w14:paraId="5DCB7885" w14:textId="77777777" w:rsidR="009B488A" w:rsidRPr="00A751FC" w:rsidRDefault="009B488A" w:rsidP="00020CB7">
            <w:pPr>
              <w:rPr>
                <w:i/>
                <w:iCs/>
                <w:sz w:val="22"/>
                <w:szCs w:val="22"/>
              </w:rPr>
            </w:pPr>
          </w:p>
        </w:tc>
        <w:tc>
          <w:tcPr>
            <w:tcW w:w="7541" w:type="dxa"/>
          </w:tcPr>
          <w:p w14:paraId="20033C5F" w14:textId="77777777" w:rsidR="0006301D" w:rsidRPr="00A751FC" w:rsidRDefault="0006301D" w:rsidP="0006301D">
            <w:pPr>
              <w:rPr>
                <w:b/>
                <w:bCs/>
                <w:i/>
                <w:iCs/>
                <w:sz w:val="22"/>
                <w:szCs w:val="22"/>
              </w:rPr>
            </w:pPr>
            <w:r w:rsidRPr="00A751FC">
              <w:rPr>
                <w:b/>
                <w:bCs/>
                <w:i/>
                <w:iCs/>
                <w:sz w:val="22"/>
                <w:szCs w:val="22"/>
              </w:rPr>
              <w:t>1.2. Pareiškėjas yra labai maža, maža ir vidutinė įmonė (toliau – MVĮ), veikianti ne trumpiau kaip dvejus metus, kurios metinės pardavimo pajamos iš savo pagamintos produkcijos kiekvienais metais sudaro ne mažiau kaip 51 proc. bendroje pardavimo struktūroje ir kurios vidutinės metinės pardavimo pajamos iš savo pagamintos produkcijos per pastaruosius dvejus finansinius metus yra ne mažesnės kaip 75 000 (septyniasdešimt penki tūkstančiai) eurų.</w:t>
            </w:r>
          </w:p>
          <w:p w14:paraId="372FCCD9" w14:textId="77777777" w:rsidR="0006301D" w:rsidRPr="00A751FC" w:rsidRDefault="0006301D" w:rsidP="0006301D">
            <w:pPr>
              <w:rPr>
                <w:i/>
                <w:iCs/>
                <w:sz w:val="22"/>
                <w:szCs w:val="22"/>
              </w:rPr>
            </w:pPr>
            <w:r w:rsidRPr="00A751FC">
              <w:rPr>
                <w:i/>
                <w:iCs/>
                <w:sz w:val="22"/>
                <w:szCs w:val="22"/>
              </w:rPr>
              <w:t>Manome, jog pastarasis reikalavimas yra labai nepalankus didžiajai daliai MVĮ, todėl siūlome sumažinti sumą iki 50 000 Eur.</w:t>
            </w:r>
          </w:p>
          <w:p w14:paraId="61DB5E0E" w14:textId="77777777" w:rsidR="009B488A" w:rsidRPr="00A751FC" w:rsidRDefault="009B488A" w:rsidP="0006301D">
            <w:pPr>
              <w:spacing w:line="276" w:lineRule="auto"/>
              <w:rPr>
                <w:i/>
                <w:iCs/>
                <w:sz w:val="22"/>
                <w:szCs w:val="22"/>
              </w:rPr>
            </w:pPr>
          </w:p>
        </w:tc>
        <w:tc>
          <w:tcPr>
            <w:tcW w:w="5103" w:type="dxa"/>
          </w:tcPr>
          <w:p w14:paraId="37B433D3" w14:textId="0775BF78" w:rsidR="009B488A" w:rsidRPr="00A751FC" w:rsidRDefault="00E64DEC" w:rsidP="6E58F106">
            <w:pPr>
              <w:jc w:val="both"/>
              <w:rPr>
                <w:i/>
                <w:iCs/>
                <w:sz w:val="22"/>
                <w:szCs w:val="22"/>
              </w:rPr>
            </w:pPr>
            <w:r w:rsidRPr="00A751FC">
              <w:rPr>
                <w:b/>
                <w:bCs/>
                <w:sz w:val="22"/>
                <w:szCs w:val="22"/>
              </w:rPr>
              <w:t>Neatsižvelgta.</w:t>
            </w:r>
            <w:r w:rsidR="00CD354D" w:rsidRPr="00A751FC">
              <w:rPr>
                <w:b/>
                <w:bCs/>
                <w:sz w:val="22"/>
                <w:szCs w:val="22"/>
              </w:rPr>
              <w:t xml:space="preserve"> </w:t>
            </w:r>
            <w:r w:rsidR="00CD354D" w:rsidRPr="00A751FC">
              <w:rPr>
                <w:sz w:val="22"/>
                <w:szCs w:val="22"/>
              </w:rPr>
              <w:t>S</w:t>
            </w:r>
            <w:r w:rsidRPr="00A751FC">
              <w:rPr>
                <w:sz w:val="22"/>
                <w:szCs w:val="22"/>
              </w:rPr>
              <w:t>uma yra nustatyta įvertinus 2014-2020 metų kvietimų rezultatus</w:t>
            </w:r>
            <w:r w:rsidR="00F177C3" w:rsidRPr="00A751FC">
              <w:rPr>
                <w:sz w:val="22"/>
                <w:szCs w:val="22"/>
              </w:rPr>
              <w:t xml:space="preserve"> bei</w:t>
            </w:r>
            <w:r w:rsidR="00112E48" w:rsidRPr="00A751FC">
              <w:rPr>
                <w:sz w:val="22"/>
                <w:szCs w:val="22"/>
              </w:rPr>
              <w:t xml:space="preserve"> siekiama</w:t>
            </w:r>
            <w:r w:rsidRPr="00A751FC">
              <w:rPr>
                <w:sz w:val="22"/>
                <w:szCs w:val="22"/>
              </w:rPr>
              <w:t xml:space="preserve"> </w:t>
            </w:r>
            <w:r w:rsidR="00112E48" w:rsidRPr="00A751FC">
              <w:rPr>
                <w:sz w:val="22"/>
                <w:szCs w:val="22"/>
              </w:rPr>
              <w:t>pa</w:t>
            </w:r>
            <w:r w:rsidRPr="00A751FC">
              <w:rPr>
                <w:sz w:val="22"/>
                <w:szCs w:val="22"/>
              </w:rPr>
              <w:t>skatinti MVĮ</w:t>
            </w:r>
            <w:r w:rsidR="00112E48" w:rsidRPr="00A751FC">
              <w:rPr>
                <w:sz w:val="22"/>
                <w:szCs w:val="22"/>
              </w:rPr>
              <w:t xml:space="preserve">  vykdyti veiklas</w:t>
            </w:r>
            <w:r w:rsidRPr="00A751FC">
              <w:rPr>
                <w:sz w:val="22"/>
                <w:szCs w:val="22"/>
              </w:rPr>
              <w:t xml:space="preserve"> V</w:t>
            </w:r>
            <w:r w:rsidR="00F177C3" w:rsidRPr="00A751FC">
              <w:rPr>
                <w:sz w:val="22"/>
                <w:szCs w:val="22"/>
              </w:rPr>
              <w:t>idurio ir vakarų Lietuvos regione</w:t>
            </w:r>
            <w:r w:rsidR="00112E48" w:rsidRPr="00A751FC">
              <w:rPr>
                <w:sz w:val="22"/>
                <w:szCs w:val="22"/>
              </w:rPr>
              <w:t>, investuojant</w:t>
            </w:r>
            <w:r w:rsidRPr="00A751FC">
              <w:rPr>
                <w:sz w:val="22"/>
                <w:szCs w:val="22"/>
              </w:rPr>
              <w:t xml:space="preserve"> į</w:t>
            </w:r>
            <w:r w:rsidR="00CD354D" w:rsidRPr="00A751FC">
              <w:rPr>
                <w:sz w:val="22"/>
                <w:szCs w:val="22"/>
              </w:rPr>
              <w:t xml:space="preserve"> </w:t>
            </w:r>
            <w:r w:rsidRPr="00A751FC">
              <w:rPr>
                <w:sz w:val="22"/>
                <w:szCs w:val="22"/>
              </w:rPr>
              <w:t xml:space="preserve"> prekės ženklų, įmonės proceso (išskyrus skaitmeninių technologijų diegimą),</w:t>
            </w:r>
            <w:r w:rsidR="00112E48" w:rsidRPr="00A751FC">
              <w:rPr>
                <w:sz w:val="22"/>
                <w:szCs w:val="22"/>
              </w:rPr>
              <w:t xml:space="preserve"> </w:t>
            </w:r>
            <w:r w:rsidRPr="00A751FC">
              <w:rPr>
                <w:sz w:val="22"/>
                <w:szCs w:val="22"/>
              </w:rPr>
              <w:t>dizaino ir organizacines inovacijas</w:t>
            </w:r>
            <w:r w:rsidR="00112E48" w:rsidRPr="00A751FC">
              <w:rPr>
                <w:sz w:val="22"/>
                <w:szCs w:val="22"/>
              </w:rPr>
              <w:t>,</w:t>
            </w:r>
            <w:r w:rsidR="00CC7C3F" w:rsidRPr="00A751FC">
              <w:rPr>
                <w:sz w:val="22"/>
                <w:szCs w:val="22"/>
              </w:rPr>
              <w:t xml:space="preserve"> </w:t>
            </w:r>
            <w:r w:rsidRPr="00A751FC">
              <w:rPr>
                <w:sz w:val="22"/>
                <w:szCs w:val="22"/>
              </w:rPr>
              <w:t>ypač tvarių ir didinančių integraciją į tarptautin</w:t>
            </w:r>
            <w:r w:rsidR="00112E48" w:rsidRPr="00A751FC">
              <w:rPr>
                <w:sz w:val="22"/>
                <w:szCs w:val="22"/>
              </w:rPr>
              <w:t>ių</w:t>
            </w:r>
            <w:r w:rsidRPr="00A751FC">
              <w:rPr>
                <w:sz w:val="22"/>
                <w:szCs w:val="22"/>
              </w:rPr>
              <w:t xml:space="preserve"> vertės grandin</w:t>
            </w:r>
            <w:r w:rsidR="00112E48" w:rsidRPr="00A751FC">
              <w:rPr>
                <w:sz w:val="22"/>
                <w:szCs w:val="22"/>
              </w:rPr>
              <w:t>ių</w:t>
            </w:r>
            <w:r w:rsidRPr="00A751FC">
              <w:rPr>
                <w:sz w:val="22"/>
                <w:szCs w:val="22"/>
              </w:rPr>
              <w:t xml:space="preserve"> verslo modelių plėtrą</w:t>
            </w:r>
            <w:r w:rsidR="0064506C" w:rsidRPr="00A751FC">
              <w:rPr>
                <w:sz w:val="22"/>
                <w:szCs w:val="22"/>
              </w:rPr>
              <w:t>, todėl MVĮ turi būti finansiškai pajėgios</w:t>
            </w:r>
            <w:r w:rsidR="0064506C" w:rsidRPr="00A751FC">
              <w:rPr>
                <w:rStyle w:val="cf01"/>
                <w:rFonts w:ascii="Times New Roman" w:hAnsi="Times New Roman" w:cs="Times New Roman"/>
                <w:sz w:val="22"/>
                <w:szCs w:val="22"/>
              </w:rPr>
              <w:t xml:space="preserve"> vykdyti veiklas ir atitinkamai jas turi pagrįsti.</w:t>
            </w:r>
          </w:p>
        </w:tc>
      </w:tr>
      <w:tr w:rsidR="009B488A" w:rsidRPr="00A751FC" w14:paraId="3E27388D" w14:textId="77777777" w:rsidTr="6E58F106">
        <w:tc>
          <w:tcPr>
            <w:tcW w:w="567" w:type="dxa"/>
            <w:vMerge/>
          </w:tcPr>
          <w:p w14:paraId="270639E9" w14:textId="77777777" w:rsidR="009B488A" w:rsidRPr="00A751FC" w:rsidRDefault="009B488A" w:rsidP="00020CB7">
            <w:pPr>
              <w:jc w:val="center"/>
              <w:rPr>
                <w:bCs/>
                <w:i/>
                <w:iCs/>
                <w:sz w:val="22"/>
                <w:szCs w:val="22"/>
              </w:rPr>
            </w:pPr>
          </w:p>
        </w:tc>
        <w:tc>
          <w:tcPr>
            <w:tcW w:w="1560" w:type="dxa"/>
            <w:vMerge/>
          </w:tcPr>
          <w:p w14:paraId="34E86CBF" w14:textId="77777777" w:rsidR="009B488A" w:rsidRPr="00A751FC" w:rsidRDefault="009B488A" w:rsidP="00020CB7">
            <w:pPr>
              <w:rPr>
                <w:i/>
                <w:iCs/>
                <w:sz w:val="22"/>
                <w:szCs w:val="22"/>
              </w:rPr>
            </w:pPr>
          </w:p>
        </w:tc>
        <w:tc>
          <w:tcPr>
            <w:tcW w:w="7541" w:type="dxa"/>
          </w:tcPr>
          <w:p w14:paraId="0395C4F9" w14:textId="77777777" w:rsidR="0006301D" w:rsidRPr="00A751FC" w:rsidRDefault="0006301D" w:rsidP="0006301D">
            <w:pPr>
              <w:rPr>
                <w:b/>
                <w:bCs/>
                <w:i/>
                <w:iCs/>
                <w:sz w:val="22"/>
                <w:szCs w:val="22"/>
                <w:lang w:val="en-US"/>
              </w:rPr>
            </w:pPr>
            <w:r w:rsidRPr="00A751FC">
              <w:rPr>
                <w:b/>
                <w:bCs/>
                <w:i/>
                <w:iCs/>
                <w:sz w:val="22"/>
                <w:szCs w:val="22"/>
                <w:lang w:val="en-US"/>
              </w:rPr>
              <w:t xml:space="preserve">1.3. </w:t>
            </w:r>
            <w:r w:rsidRPr="00A751FC">
              <w:rPr>
                <w:b/>
                <w:bCs/>
                <w:i/>
                <w:iCs/>
                <w:sz w:val="22"/>
                <w:szCs w:val="22"/>
              </w:rPr>
              <w:t>Projekto efektyvumas.</w:t>
            </w:r>
          </w:p>
          <w:p w14:paraId="23B234A3" w14:textId="77777777" w:rsidR="0006301D" w:rsidRPr="00A751FC" w:rsidRDefault="0006301D" w:rsidP="0006301D">
            <w:pPr>
              <w:spacing w:line="276" w:lineRule="auto"/>
              <w:rPr>
                <w:i/>
                <w:iCs/>
                <w:sz w:val="22"/>
                <w:szCs w:val="22"/>
              </w:rPr>
            </w:pPr>
            <w:r w:rsidRPr="00A751FC">
              <w:rPr>
                <w:i/>
                <w:iCs/>
                <w:sz w:val="22"/>
                <w:szCs w:val="22"/>
              </w:rPr>
              <w:t xml:space="preserve">Siūlome nesuteikti didžiausio svertino atrankos balų skaičiaus kriterijui paremtu prognozėmis, atsižvelgiant į tai, kad tai gali sąlygoti realybės neatitinkančias prognozės, siekiant įgyti didesnį konkurencinį pranašumą. </w:t>
            </w:r>
          </w:p>
          <w:p w14:paraId="53A0B1B4" w14:textId="77777777" w:rsidR="009B488A" w:rsidRPr="00A751FC" w:rsidRDefault="009B488A" w:rsidP="0006301D">
            <w:pPr>
              <w:rPr>
                <w:i/>
                <w:iCs/>
                <w:sz w:val="22"/>
                <w:szCs w:val="22"/>
              </w:rPr>
            </w:pPr>
          </w:p>
        </w:tc>
        <w:tc>
          <w:tcPr>
            <w:tcW w:w="5103" w:type="dxa"/>
          </w:tcPr>
          <w:p w14:paraId="2EB64FA8" w14:textId="7A234877" w:rsidR="0064506C" w:rsidRPr="00A751FC" w:rsidRDefault="0064506C" w:rsidP="00FB55A7">
            <w:pPr>
              <w:jc w:val="both"/>
              <w:rPr>
                <w:sz w:val="22"/>
                <w:szCs w:val="22"/>
              </w:rPr>
            </w:pPr>
            <w:r w:rsidRPr="00A751FC">
              <w:rPr>
                <w:b/>
                <w:bCs/>
                <w:sz w:val="22"/>
                <w:szCs w:val="22"/>
              </w:rPr>
              <w:t>A</w:t>
            </w:r>
            <w:r w:rsidR="000E1244" w:rsidRPr="00A751FC">
              <w:rPr>
                <w:b/>
                <w:bCs/>
                <w:sz w:val="22"/>
                <w:szCs w:val="22"/>
              </w:rPr>
              <w:t>tsižvelgta.</w:t>
            </w:r>
            <w:r w:rsidR="007030C5" w:rsidRPr="00A751FC">
              <w:rPr>
                <w:sz w:val="22"/>
                <w:szCs w:val="22"/>
              </w:rPr>
              <w:t xml:space="preserve"> </w:t>
            </w:r>
            <w:r w:rsidR="005E567C" w:rsidRPr="00A751FC">
              <w:rPr>
                <w:rStyle w:val="cf01"/>
                <w:rFonts w:ascii="Times New Roman" w:hAnsi="Times New Roman" w:cs="Times New Roman"/>
                <w:sz w:val="22"/>
                <w:szCs w:val="22"/>
              </w:rPr>
              <w:t>Projekto efektyvumo vertinimas keičiamas</w:t>
            </w:r>
            <w:r w:rsidR="00FB55A7" w:rsidRPr="00A751FC">
              <w:rPr>
                <w:rStyle w:val="cf01"/>
                <w:rFonts w:ascii="Times New Roman" w:hAnsi="Times New Roman" w:cs="Times New Roman"/>
                <w:sz w:val="22"/>
                <w:szCs w:val="22"/>
              </w:rPr>
              <w:t>. V</w:t>
            </w:r>
            <w:r w:rsidR="005E567C" w:rsidRPr="00A751FC">
              <w:rPr>
                <w:rStyle w:val="cf01"/>
                <w:rFonts w:ascii="Times New Roman" w:hAnsi="Times New Roman" w:cs="Times New Roman"/>
                <w:sz w:val="22"/>
                <w:szCs w:val="22"/>
              </w:rPr>
              <w:t>ertin</w:t>
            </w:r>
            <w:r w:rsidR="00FB55A7" w:rsidRPr="00A751FC">
              <w:rPr>
                <w:rStyle w:val="cf01"/>
                <w:rFonts w:ascii="Times New Roman" w:hAnsi="Times New Roman" w:cs="Times New Roman"/>
                <w:sz w:val="22"/>
                <w:szCs w:val="22"/>
              </w:rPr>
              <w:t>a</w:t>
            </w:r>
            <w:r w:rsidR="005E567C" w:rsidRPr="00A751FC">
              <w:rPr>
                <w:rStyle w:val="cf01"/>
                <w:rFonts w:ascii="Times New Roman" w:hAnsi="Times New Roman" w:cs="Times New Roman"/>
                <w:sz w:val="22"/>
                <w:szCs w:val="22"/>
              </w:rPr>
              <w:t>m</w:t>
            </w:r>
            <w:r w:rsidR="00FB55A7" w:rsidRPr="00A751FC">
              <w:rPr>
                <w:rStyle w:val="cf01"/>
                <w:rFonts w:ascii="Times New Roman" w:hAnsi="Times New Roman" w:cs="Times New Roman"/>
                <w:sz w:val="22"/>
                <w:szCs w:val="22"/>
              </w:rPr>
              <w:t>as</w:t>
            </w:r>
            <w:r w:rsidR="005E567C" w:rsidRPr="00A751FC">
              <w:rPr>
                <w:rStyle w:val="cf01"/>
                <w:rFonts w:ascii="Times New Roman" w:hAnsi="Times New Roman" w:cs="Times New Roman"/>
                <w:sz w:val="22"/>
                <w:szCs w:val="22"/>
              </w:rPr>
              <w:t xml:space="preserve"> pareiškėjo nuosavo įnašo į netechnologines inovacijas ir prašomos finansavimo sumos santyki</w:t>
            </w:r>
            <w:r w:rsidR="00FB55A7" w:rsidRPr="00A751FC">
              <w:rPr>
                <w:rStyle w:val="cf01"/>
                <w:rFonts w:ascii="Times New Roman" w:hAnsi="Times New Roman" w:cs="Times New Roman"/>
                <w:sz w:val="22"/>
                <w:szCs w:val="22"/>
              </w:rPr>
              <w:t>s</w:t>
            </w:r>
            <w:r w:rsidR="005E567C" w:rsidRPr="00A751FC">
              <w:rPr>
                <w:rStyle w:val="cf01"/>
                <w:rFonts w:ascii="Times New Roman" w:hAnsi="Times New Roman" w:cs="Times New Roman"/>
                <w:sz w:val="22"/>
                <w:szCs w:val="22"/>
              </w:rPr>
              <w:t>. Aukštesnis įvertinimas suteikiamas projektams, kuriuose pareiškėjo nuosavo įnašo į netechnologines inovacijas ir prašomos finansavimo sumos santykis bus didesnis.</w:t>
            </w:r>
          </w:p>
          <w:p w14:paraId="56CE29D2" w14:textId="2A1B35BB" w:rsidR="009B488A" w:rsidRPr="00A751FC" w:rsidRDefault="000E1244" w:rsidP="00FB55A7">
            <w:pPr>
              <w:jc w:val="both"/>
              <w:rPr>
                <w:sz w:val="22"/>
                <w:szCs w:val="22"/>
              </w:rPr>
            </w:pPr>
            <w:r w:rsidRPr="00A751FC">
              <w:rPr>
                <w:sz w:val="22"/>
                <w:szCs w:val="22"/>
              </w:rPr>
              <w:lastRenderedPageBreak/>
              <w:t>Š</w:t>
            </w:r>
            <w:r w:rsidR="005E567C" w:rsidRPr="00A751FC">
              <w:rPr>
                <w:sz w:val="22"/>
                <w:szCs w:val="22"/>
              </w:rPr>
              <w:t>is</w:t>
            </w:r>
            <w:r w:rsidRPr="00A751FC">
              <w:rPr>
                <w:sz w:val="22"/>
                <w:szCs w:val="22"/>
              </w:rPr>
              <w:t xml:space="preserve"> </w:t>
            </w:r>
            <w:r w:rsidR="00B93D6E" w:rsidRPr="00A751FC">
              <w:rPr>
                <w:sz w:val="22"/>
                <w:szCs w:val="22"/>
              </w:rPr>
              <w:t>kriterijus</w:t>
            </w:r>
            <w:r w:rsidRPr="00A751FC">
              <w:rPr>
                <w:sz w:val="22"/>
                <w:szCs w:val="22"/>
              </w:rPr>
              <w:t xml:space="preserve"> </w:t>
            </w:r>
            <w:r w:rsidR="005E567C" w:rsidRPr="00A751FC">
              <w:rPr>
                <w:sz w:val="22"/>
                <w:szCs w:val="22"/>
              </w:rPr>
              <w:t>siejamas</w:t>
            </w:r>
            <w:r w:rsidRPr="00A751FC">
              <w:rPr>
                <w:sz w:val="22"/>
                <w:szCs w:val="22"/>
              </w:rPr>
              <w:t xml:space="preserve"> </w:t>
            </w:r>
            <w:r w:rsidR="005E567C" w:rsidRPr="00A751FC">
              <w:rPr>
                <w:sz w:val="22"/>
                <w:szCs w:val="22"/>
              </w:rPr>
              <w:t xml:space="preserve">su </w:t>
            </w:r>
            <w:r w:rsidR="00B93D6E" w:rsidRPr="00A751FC">
              <w:rPr>
                <w:sz w:val="22"/>
                <w:szCs w:val="22"/>
              </w:rPr>
              <w:t xml:space="preserve">stebėsenos </w:t>
            </w:r>
            <w:r w:rsidRPr="00A751FC">
              <w:rPr>
                <w:sz w:val="22"/>
                <w:szCs w:val="22"/>
              </w:rPr>
              <w:t>rezultato rodikliu</w:t>
            </w:r>
            <w:r w:rsidR="00FB55A7" w:rsidRPr="00A751FC">
              <w:rPr>
                <w:sz w:val="22"/>
                <w:szCs w:val="22"/>
              </w:rPr>
              <w:t xml:space="preserve"> </w:t>
            </w:r>
            <w:r w:rsidR="00942252" w:rsidRPr="00A751FC">
              <w:rPr>
                <w:sz w:val="22"/>
                <w:szCs w:val="22"/>
              </w:rPr>
              <w:t>– Privačiosios investicijos, papildančios viešąją paramą, iš kurių dotacijos Nr.</w:t>
            </w:r>
            <w:r w:rsidR="00942252" w:rsidRPr="00A751FC">
              <w:rPr>
                <w:rStyle w:val="cf01"/>
                <w:sz w:val="22"/>
                <w:szCs w:val="22"/>
              </w:rPr>
              <w:t xml:space="preserve"> </w:t>
            </w:r>
            <w:r w:rsidR="00942252" w:rsidRPr="00A751FC">
              <w:rPr>
                <w:bCs/>
                <w:sz w:val="22"/>
                <w:szCs w:val="22"/>
              </w:rPr>
              <w:t xml:space="preserve"> R-05-001-01-04-02-04</w:t>
            </w:r>
            <w:r w:rsidRPr="00A751FC">
              <w:rPr>
                <w:sz w:val="22"/>
                <w:szCs w:val="22"/>
              </w:rPr>
              <w:t>, kurio nepasiekus bus taikomos finansinės korekcijos</w:t>
            </w:r>
            <w:r w:rsidR="007030C5" w:rsidRPr="00A751FC">
              <w:rPr>
                <w:sz w:val="22"/>
                <w:szCs w:val="22"/>
              </w:rPr>
              <w:t>,</w:t>
            </w:r>
            <w:r w:rsidRPr="00A751FC">
              <w:rPr>
                <w:sz w:val="22"/>
                <w:szCs w:val="22"/>
              </w:rPr>
              <w:t xml:space="preserve"> remiantis Projektų administravimo ir finansavimo taisyklėmis, patvirtintomis Lietuvos Respublikos finansų ministro 2022 m. birželio 22 d. įsakymu </w:t>
            </w:r>
            <w:r w:rsidRPr="00A751FC">
              <w:rPr>
                <w:sz w:val="22"/>
                <w:szCs w:val="22"/>
              </w:rPr>
              <w:br/>
              <w:t xml:space="preserve">Nr.  1K-237 „Dėl 2021–2027 metų Europos Sąjungos fondų investicijų programos ir Ekonomikos gaivinimo ir atsparumo didinimo plano „Naujos kartos Lietuva“ įgyvendinimo“. Todėl, pareiškėjai raginami </w:t>
            </w:r>
            <w:r w:rsidR="00DC7855" w:rsidRPr="00A751FC">
              <w:rPr>
                <w:sz w:val="22"/>
                <w:szCs w:val="22"/>
              </w:rPr>
              <w:t xml:space="preserve">ne tik </w:t>
            </w:r>
            <w:r w:rsidRPr="00A751FC">
              <w:rPr>
                <w:sz w:val="22"/>
                <w:szCs w:val="22"/>
              </w:rPr>
              <w:t>atsakingai planuoti</w:t>
            </w:r>
            <w:r w:rsidR="00DC7855" w:rsidRPr="00A751FC">
              <w:rPr>
                <w:sz w:val="22"/>
                <w:szCs w:val="22"/>
              </w:rPr>
              <w:t>, bet ir atsakingai vykdyti projektą</w:t>
            </w:r>
            <w:r w:rsidRPr="00A751FC">
              <w:rPr>
                <w:sz w:val="22"/>
                <w:szCs w:val="22"/>
              </w:rPr>
              <w:t>.</w:t>
            </w:r>
          </w:p>
        </w:tc>
      </w:tr>
      <w:tr w:rsidR="0006301D" w:rsidRPr="00A751FC" w14:paraId="3C20219A" w14:textId="77777777" w:rsidTr="6E58F106">
        <w:tc>
          <w:tcPr>
            <w:tcW w:w="567" w:type="dxa"/>
          </w:tcPr>
          <w:p w14:paraId="373ABB74" w14:textId="77777777" w:rsidR="0006301D" w:rsidRPr="00A751FC" w:rsidRDefault="0006301D" w:rsidP="00020CB7">
            <w:pPr>
              <w:jc w:val="center"/>
              <w:rPr>
                <w:bCs/>
                <w:i/>
                <w:iCs/>
                <w:sz w:val="22"/>
                <w:szCs w:val="22"/>
              </w:rPr>
            </w:pPr>
          </w:p>
        </w:tc>
        <w:tc>
          <w:tcPr>
            <w:tcW w:w="1560" w:type="dxa"/>
          </w:tcPr>
          <w:p w14:paraId="63362D9A" w14:textId="77777777" w:rsidR="0006301D" w:rsidRPr="00A751FC" w:rsidRDefault="0006301D" w:rsidP="00020CB7">
            <w:pPr>
              <w:rPr>
                <w:i/>
                <w:iCs/>
                <w:sz w:val="22"/>
                <w:szCs w:val="22"/>
              </w:rPr>
            </w:pPr>
          </w:p>
        </w:tc>
        <w:tc>
          <w:tcPr>
            <w:tcW w:w="7541" w:type="dxa"/>
          </w:tcPr>
          <w:p w14:paraId="11DB9EEB" w14:textId="77777777" w:rsidR="0006301D" w:rsidRPr="00A751FC" w:rsidRDefault="0006301D" w:rsidP="0006301D">
            <w:pPr>
              <w:rPr>
                <w:i/>
                <w:iCs/>
                <w:sz w:val="22"/>
                <w:szCs w:val="22"/>
              </w:rPr>
            </w:pPr>
            <w:r w:rsidRPr="00A751FC">
              <w:rPr>
                <w:b/>
                <w:bCs/>
                <w:i/>
                <w:iCs/>
                <w:sz w:val="22"/>
                <w:szCs w:val="22"/>
              </w:rPr>
              <w:t>1.4. Pareiškėjo diegiamų netechnologinių inovacijų skaičius.</w:t>
            </w:r>
            <w:r w:rsidRPr="00A751FC">
              <w:rPr>
                <w:i/>
                <w:iCs/>
                <w:sz w:val="22"/>
                <w:szCs w:val="22"/>
              </w:rPr>
              <w:t xml:space="preserve"> </w:t>
            </w:r>
          </w:p>
          <w:p w14:paraId="316C4FCD" w14:textId="77777777" w:rsidR="0006301D" w:rsidRPr="00A751FC" w:rsidRDefault="0006301D" w:rsidP="0006301D">
            <w:pPr>
              <w:rPr>
                <w:i/>
                <w:iCs/>
                <w:color w:val="70AD47"/>
                <w:sz w:val="22"/>
                <w:szCs w:val="22"/>
              </w:rPr>
            </w:pPr>
            <w:r w:rsidRPr="00A751FC">
              <w:rPr>
                <w:i/>
                <w:iCs/>
                <w:sz w:val="22"/>
                <w:szCs w:val="22"/>
              </w:rPr>
              <w:t xml:space="preserve">Manome, kad pastarasis kriterijus diskriminuoja paslaugų teikėjus, suteikdamas prioritetą gamintojams, siekiantiems atsinaujinti didelį kiekį skirtingų, bet nereikšmingų dizainų, </w:t>
            </w:r>
            <w:r w:rsidRPr="00A751FC">
              <w:rPr>
                <w:b/>
                <w:bCs/>
                <w:i/>
                <w:iCs/>
                <w:sz w:val="22"/>
                <w:szCs w:val="22"/>
              </w:rPr>
              <w:t>paliekant paslaugų teikėjus, su jų diegiamais, didesnės pridėtinės vertės sprendimais. Gaminamas gausesnis kiekis nebūtinai teikia aukštesnę kokybę</w:t>
            </w:r>
            <w:r w:rsidRPr="00A751FC">
              <w:rPr>
                <w:i/>
                <w:iCs/>
                <w:sz w:val="22"/>
                <w:szCs w:val="22"/>
              </w:rPr>
              <w:t xml:space="preserve">. Siūlome šį vertinimo kriterijų panaikint arba nustatyti jam mažiausią vertinimo balą. </w:t>
            </w:r>
          </w:p>
          <w:p w14:paraId="233E2851" w14:textId="77777777" w:rsidR="0006301D" w:rsidRPr="00A751FC" w:rsidRDefault="0006301D" w:rsidP="0006301D">
            <w:pPr>
              <w:rPr>
                <w:i/>
                <w:iCs/>
                <w:sz w:val="22"/>
                <w:szCs w:val="22"/>
              </w:rPr>
            </w:pPr>
          </w:p>
          <w:p w14:paraId="30804C55" w14:textId="77777777" w:rsidR="0006301D" w:rsidRPr="00A751FC" w:rsidRDefault="0006301D" w:rsidP="009B488A">
            <w:pPr>
              <w:rPr>
                <w:b/>
                <w:bCs/>
                <w:i/>
                <w:iCs/>
                <w:sz w:val="22"/>
                <w:szCs w:val="22"/>
              </w:rPr>
            </w:pPr>
          </w:p>
        </w:tc>
        <w:tc>
          <w:tcPr>
            <w:tcW w:w="5103" w:type="dxa"/>
          </w:tcPr>
          <w:p w14:paraId="7BF0F84A" w14:textId="2C492D94" w:rsidR="00133DEE" w:rsidRDefault="005E567C" w:rsidP="00133DEE">
            <w:pPr>
              <w:jc w:val="both"/>
              <w:rPr>
                <w:i/>
                <w:iCs/>
                <w:sz w:val="22"/>
                <w:szCs w:val="22"/>
              </w:rPr>
            </w:pPr>
            <w:r w:rsidRPr="00A751FC">
              <w:rPr>
                <w:b/>
                <w:bCs/>
                <w:sz w:val="22"/>
                <w:szCs w:val="22"/>
              </w:rPr>
              <w:t>A</w:t>
            </w:r>
            <w:r w:rsidR="00AA5709" w:rsidRPr="00A751FC">
              <w:rPr>
                <w:b/>
                <w:bCs/>
                <w:sz w:val="22"/>
                <w:szCs w:val="22"/>
              </w:rPr>
              <w:t>tsižvelgta</w:t>
            </w:r>
            <w:r w:rsidR="00133DEE">
              <w:rPr>
                <w:b/>
                <w:bCs/>
                <w:sz w:val="22"/>
                <w:szCs w:val="22"/>
              </w:rPr>
              <w:t xml:space="preserve"> iš dalies</w:t>
            </w:r>
            <w:r w:rsidR="00AA5709" w:rsidRPr="00A751FC">
              <w:rPr>
                <w:b/>
                <w:bCs/>
                <w:sz w:val="22"/>
                <w:szCs w:val="22"/>
              </w:rPr>
              <w:t>.</w:t>
            </w:r>
            <w:r w:rsidR="00396424" w:rsidRPr="00A751FC">
              <w:rPr>
                <w:sz w:val="22"/>
                <w:szCs w:val="22"/>
              </w:rPr>
              <w:t xml:space="preserve"> </w:t>
            </w:r>
            <w:r w:rsidR="004361B9">
              <w:rPr>
                <w:sz w:val="22"/>
                <w:szCs w:val="22"/>
              </w:rPr>
              <w:t>Patikslintas k</w:t>
            </w:r>
            <w:r w:rsidR="00377A19" w:rsidRPr="00A751FC">
              <w:rPr>
                <w:sz w:val="22"/>
                <w:szCs w:val="22"/>
              </w:rPr>
              <w:t>riterij</w:t>
            </w:r>
            <w:r w:rsidR="004361B9">
              <w:rPr>
                <w:sz w:val="22"/>
                <w:szCs w:val="22"/>
              </w:rPr>
              <w:t>a</w:t>
            </w:r>
            <w:r w:rsidR="00377A19" w:rsidRPr="00A751FC">
              <w:rPr>
                <w:sz w:val="22"/>
                <w:szCs w:val="22"/>
              </w:rPr>
              <w:t>us</w:t>
            </w:r>
            <w:r w:rsidR="00A751FC" w:rsidRPr="00A751FC">
              <w:rPr>
                <w:sz w:val="22"/>
                <w:szCs w:val="22"/>
              </w:rPr>
              <w:t xml:space="preserve">  „</w:t>
            </w:r>
            <w:r w:rsidR="00A751FC" w:rsidRPr="00A751FC">
              <w:rPr>
                <w:b/>
                <w:bCs/>
                <w:i/>
                <w:iCs/>
                <w:sz w:val="22"/>
                <w:szCs w:val="22"/>
              </w:rPr>
              <w:t xml:space="preserve">Pareiškėjo kuriamų ir (ar) diegiamų  originalių </w:t>
            </w:r>
            <w:r w:rsidR="00A751FC" w:rsidRPr="00133DEE">
              <w:rPr>
                <w:b/>
                <w:bCs/>
                <w:i/>
                <w:iCs/>
                <w:sz w:val="22"/>
                <w:szCs w:val="22"/>
              </w:rPr>
              <w:t>netechnologinių inovacijų skaičius“</w:t>
            </w:r>
            <w:r w:rsidR="00F72941">
              <w:rPr>
                <w:b/>
                <w:bCs/>
                <w:i/>
                <w:iCs/>
                <w:sz w:val="22"/>
                <w:szCs w:val="22"/>
              </w:rPr>
              <w:t xml:space="preserve"> </w:t>
            </w:r>
            <w:r w:rsidR="00F72941" w:rsidRPr="00F72941">
              <w:rPr>
                <w:i/>
                <w:iCs/>
                <w:sz w:val="22"/>
                <w:szCs w:val="22"/>
              </w:rPr>
              <w:t>vertinimo aspektas</w:t>
            </w:r>
            <w:r w:rsidR="00A751FC" w:rsidRPr="00F72941">
              <w:rPr>
                <w:i/>
                <w:iCs/>
                <w:sz w:val="22"/>
                <w:szCs w:val="22"/>
              </w:rPr>
              <w:t>.</w:t>
            </w:r>
            <w:r w:rsidR="00A751FC" w:rsidRPr="00133DEE">
              <w:rPr>
                <w:b/>
                <w:bCs/>
                <w:i/>
                <w:iCs/>
                <w:sz w:val="22"/>
                <w:szCs w:val="22"/>
              </w:rPr>
              <w:t xml:space="preserve"> </w:t>
            </w:r>
            <w:r w:rsidR="00133DEE" w:rsidRPr="00133DEE">
              <w:rPr>
                <w:i/>
                <w:iCs/>
                <w:sz w:val="22"/>
                <w:szCs w:val="22"/>
              </w:rPr>
              <w:t>Vertinama, kiek originalių netechnologinių inovacijų   (originalių dizaino, proceso ir organizacinių inovacijų) pareiškėjas planuoja įdiegti projekto įgyvendinimo metu.</w:t>
            </w:r>
          </w:p>
          <w:p w14:paraId="5D5422A7" w14:textId="2E695D40" w:rsidR="00377A19" w:rsidRPr="00A751FC" w:rsidRDefault="005C36B9" w:rsidP="00942252">
            <w:pPr>
              <w:jc w:val="both"/>
              <w:rPr>
                <w:sz w:val="22"/>
                <w:szCs w:val="22"/>
              </w:rPr>
            </w:pPr>
            <w:r>
              <w:rPr>
                <w:i/>
                <w:iCs/>
                <w:color w:val="333333"/>
                <w:szCs w:val="24"/>
              </w:rPr>
              <w:t>Planuojama</w:t>
            </w:r>
            <w:r w:rsidR="002E7FD4">
              <w:rPr>
                <w:i/>
                <w:iCs/>
                <w:color w:val="333333"/>
                <w:szCs w:val="24"/>
              </w:rPr>
              <w:t xml:space="preserve"> suteikti didesnį balą didesnės pridėtinės vertės sudėtingesni</w:t>
            </w:r>
            <w:r w:rsidR="00CE279B">
              <w:rPr>
                <w:i/>
                <w:iCs/>
                <w:color w:val="333333"/>
                <w:szCs w:val="24"/>
              </w:rPr>
              <w:t>ems sprendimams:</w:t>
            </w:r>
            <w:r>
              <w:rPr>
                <w:i/>
                <w:iCs/>
                <w:color w:val="333333"/>
                <w:szCs w:val="24"/>
              </w:rPr>
              <w:t xml:space="preserve"> u</w:t>
            </w:r>
            <w:r w:rsidR="008658EF" w:rsidRPr="002C3B3E">
              <w:rPr>
                <w:i/>
                <w:iCs/>
                <w:color w:val="333333"/>
                <w:szCs w:val="24"/>
              </w:rPr>
              <w:t>ž vieną originalų gaminio dizaino sprendimą suteik</w:t>
            </w:r>
            <w:r>
              <w:rPr>
                <w:i/>
                <w:iCs/>
                <w:color w:val="333333"/>
                <w:szCs w:val="24"/>
              </w:rPr>
              <w:t>ti</w:t>
            </w:r>
            <w:r w:rsidR="008658EF" w:rsidRPr="002C3B3E">
              <w:rPr>
                <w:i/>
                <w:iCs/>
                <w:color w:val="333333"/>
                <w:szCs w:val="24"/>
              </w:rPr>
              <w:t xml:space="preserve"> </w:t>
            </w:r>
            <w:r>
              <w:rPr>
                <w:i/>
                <w:iCs/>
                <w:color w:val="333333"/>
                <w:szCs w:val="24"/>
              </w:rPr>
              <w:t>patį mažiausią balą</w:t>
            </w:r>
            <w:r w:rsidR="008658EF" w:rsidRPr="002C3B3E">
              <w:rPr>
                <w:i/>
                <w:iCs/>
                <w:color w:val="333333"/>
                <w:szCs w:val="24"/>
              </w:rPr>
              <w:t>; už vieną originalų paslaugos ir / ar organizacinės inovacijos sprendimo sukūrimą suteik</w:t>
            </w:r>
            <w:r>
              <w:rPr>
                <w:i/>
                <w:iCs/>
                <w:color w:val="333333"/>
                <w:szCs w:val="24"/>
              </w:rPr>
              <w:t>ti didesnį balą</w:t>
            </w:r>
            <w:r w:rsidR="008658EF" w:rsidRPr="002C3B3E">
              <w:rPr>
                <w:i/>
                <w:iCs/>
                <w:color w:val="333333"/>
                <w:szCs w:val="24"/>
              </w:rPr>
              <w:t xml:space="preserve">; </w:t>
            </w:r>
            <w:r>
              <w:rPr>
                <w:i/>
                <w:iCs/>
                <w:color w:val="333333"/>
                <w:szCs w:val="24"/>
              </w:rPr>
              <w:t xml:space="preserve">o </w:t>
            </w:r>
            <w:r w:rsidR="008658EF" w:rsidRPr="002C3B3E">
              <w:rPr>
                <w:i/>
                <w:iCs/>
                <w:color w:val="333333"/>
                <w:szCs w:val="24"/>
              </w:rPr>
              <w:t>už vieną originalią proceso inovaciją suteik</w:t>
            </w:r>
            <w:r>
              <w:rPr>
                <w:i/>
                <w:iCs/>
                <w:color w:val="333333"/>
                <w:szCs w:val="24"/>
              </w:rPr>
              <w:t xml:space="preserve">ti didžiausią </w:t>
            </w:r>
            <w:r w:rsidR="008658EF" w:rsidRPr="002C3B3E">
              <w:rPr>
                <w:i/>
                <w:iCs/>
                <w:color w:val="333333"/>
                <w:szCs w:val="24"/>
              </w:rPr>
              <w:t>bal</w:t>
            </w:r>
            <w:r w:rsidR="00336477">
              <w:rPr>
                <w:i/>
                <w:iCs/>
                <w:color w:val="333333"/>
                <w:szCs w:val="24"/>
              </w:rPr>
              <w:t xml:space="preserve">ą. </w:t>
            </w:r>
            <w:r w:rsidR="008658EF" w:rsidRPr="002C3B3E">
              <w:rPr>
                <w:i/>
                <w:iCs/>
                <w:color w:val="333333"/>
                <w:szCs w:val="24"/>
              </w:rPr>
              <w:t xml:space="preserve"> </w:t>
            </w:r>
            <w:r w:rsidR="00A751FC" w:rsidRPr="00A751FC">
              <w:rPr>
                <w:sz w:val="22"/>
                <w:szCs w:val="22"/>
              </w:rPr>
              <w:t xml:space="preserve">Šis kriterijus </w:t>
            </w:r>
            <w:r w:rsidR="00377A19" w:rsidRPr="00A751FC">
              <w:rPr>
                <w:sz w:val="22"/>
                <w:szCs w:val="22"/>
              </w:rPr>
              <w:t xml:space="preserve">yra būtinas siekiant atrinkti tuos projektus, kuriuose netechnologinių inovacijų bus sukuriama ir (ar) įdiegiama daugiausia. Jis </w:t>
            </w:r>
            <w:r w:rsidR="00377A19" w:rsidRPr="00A751FC">
              <w:rPr>
                <w:bCs/>
                <w:sz w:val="22"/>
                <w:szCs w:val="22"/>
              </w:rPr>
              <w:t>leis užtikrinti, kad bus prisidedama prie privalomų</w:t>
            </w:r>
            <w:r w:rsidR="00B93D6E" w:rsidRPr="00A751FC">
              <w:rPr>
                <w:bCs/>
                <w:sz w:val="22"/>
                <w:szCs w:val="22"/>
              </w:rPr>
              <w:t xml:space="preserve"> stebėsenos </w:t>
            </w:r>
            <w:r w:rsidR="00377A19" w:rsidRPr="00A751FC">
              <w:rPr>
                <w:bCs/>
                <w:sz w:val="22"/>
                <w:szCs w:val="22"/>
              </w:rPr>
              <w:t>rezultatų rodiklių</w:t>
            </w:r>
            <w:r w:rsidR="00377A19" w:rsidRPr="00A751FC">
              <w:rPr>
                <w:sz w:val="22"/>
                <w:szCs w:val="22"/>
              </w:rPr>
              <w:t xml:space="preserve"> </w:t>
            </w:r>
            <w:r w:rsidR="00377A19" w:rsidRPr="00A751FC">
              <w:rPr>
                <w:sz w:val="22"/>
                <w:szCs w:val="22"/>
                <w:lang w:eastAsia="en-US"/>
              </w:rPr>
              <w:t>RCR03</w:t>
            </w:r>
            <w:r w:rsidR="00377A19" w:rsidRPr="00A751FC">
              <w:rPr>
                <w:sz w:val="22"/>
                <w:szCs w:val="22"/>
              </w:rPr>
              <w:t xml:space="preserve"> „p</w:t>
            </w:r>
            <w:r w:rsidR="00377A19" w:rsidRPr="00A751FC">
              <w:rPr>
                <w:sz w:val="22"/>
                <w:szCs w:val="22"/>
                <w:lang w:eastAsia="en-US"/>
              </w:rPr>
              <w:t xml:space="preserve">roduktų ar procesų inovacijas diegiančios mažosios ir vidutinės įmonės (MVĮ)“, RCR04 </w:t>
            </w:r>
            <w:r w:rsidR="00377A19" w:rsidRPr="00A751FC">
              <w:rPr>
                <w:bCs/>
                <w:sz w:val="22"/>
                <w:szCs w:val="22"/>
              </w:rPr>
              <w:t>„</w:t>
            </w:r>
            <w:r w:rsidR="00377A19" w:rsidRPr="00A751FC">
              <w:rPr>
                <w:sz w:val="22"/>
                <w:szCs w:val="22"/>
                <w:lang w:eastAsia="en-US"/>
              </w:rPr>
              <w:t>prekybos ar organizacines inovacijas diegiančios MVĮ“ ir RCR05 „vidines inovacijas vykdančios MVĮ</w:t>
            </w:r>
            <w:r w:rsidR="00492976" w:rsidRPr="00A751FC">
              <w:rPr>
                <w:sz w:val="22"/>
                <w:szCs w:val="22"/>
                <w:lang w:eastAsia="en-US"/>
              </w:rPr>
              <w:t>.</w:t>
            </w:r>
          </w:p>
          <w:p w14:paraId="44FD151F" w14:textId="65149C5D" w:rsidR="0006301D" w:rsidRPr="00A751FC" w:rsidRDefault="0006301D" w:rsidP="00377A19">
            <w:pPr>
              <w:jc w:val="both"/>
              <w:rPr>
                <w:sz w:val="22"/>
                <w:szCs w:val="22"/>
              </w:rPr>
            </w:pPr>
          </w:p>
        </w:tc>
      </w:tr>
    </w:tbl>
    <w:p w14:paraId="00AABEA2" w14:textId="77777777" w:rsidR="005C5ECB" w:rsidRPr="00CE28F2" w:rsidRDefault="005C5ECB"/>
    <w:sectPr w:rsidR="005C5ECB" w:rsidRPr="00CE28F2" w:rsidSect="003940F3">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041C" w14:textId="77777777" w:rsidR="003A4CCC" w:rsidRDefault="003A4CCC" w:rsidP="003940F3">
      <w:r>
        <w:separator/>
      </w:r>
    </w:p>
  </w:endnote>
  <w:endnote w:type="continuationSeparator" w:id="0">
    <w:p w14:paraId="202C2739" w14:textId="77777777" w:rsidR="003A4CCC" w:rsidRDefault="003A4CCC"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056B" w14:textId="77777777" w:rsidR="003A4CCC" w:rsidRDefault="003A4CCC" w:rsidP="003940F3">
      <w:r>
        <w:separator/>
      </w:r>
    </w:p>
  </w:footnote>
  <w:footnote w:type="continuationSeparator" w:id="0">
    <w:p w14:paraId="16C6D22D" w14:textId="77777777" w:rsidR="003A4CCC" w:rsidRDefault="003A4CCC"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7B7"/>
    <w:multiLevelType w:val="hybridMultilevel"/>
    <w:tmpl w:val="82A67B6E"/>
    <w:lvl w:ilvl="0" w:tplc="A81473C4">
      <w:start w:val="1"/>
      <w:numFmt w:val="decimal"/>
      <w:lvlText w:val="%1."/>
      <w:lvlJc w:val="left"/>
      <w:pPr>
        <w:ind w:left="720" w:hanging="360"/>
      </w:pPr>
    </w:lvl>
    <w:lvl w:ilvl="1" w:tplc="801AF7C4">
      <w:start w:val="1"/>
      <w:numFmt w:val="lowerLetter"/>
      <w:lvlText w:val="%2."/>
      <w:lvlJc w:val="left"/>
      <w:pPr>
        <w:ind w:left="1440" w:hanging="360"/>
      </w:pPr>
    </w:lvl>
    <w:lvl w:ilvl="2" w:tplc="A8BCC85C">
      <w:start w:val="1"/>
      <w:numFmt w:val="lowerRoman"/>
      <w:lvlText w:val="%3."/>
      <w:lvlJc w:val="right"/>
      <w:pPr>
        <w:ind w:left="2160" w:hanging="180"/>
      </w:pPr>
    </w:lvl>
    <w:lvl w:ilvl="3" w:tplc="E76E1A12">
      <w:start w:val="1"/>
      <w:numFmt w:val="decimal"/>
      <w:lvlText w:val="%4."/>
      <w:lvlJc w:val="left"/>
      <w:pPr>
        <w:ind w:left="2880" w:hanging="360"/>
      </w:pPr>
    </w:lvl>
    <w:lvl w:ilvl="4" w:tplc="96C81506">
      <w:start w:val="1"/>
      <w:numFmt w:val="lowerLetter"/>
      <w:lvlText w:val="%5."/>
      <w:lvlJc w:val="left"/>
      <w:pPr>
        <w:ind w:left="3600" w:hanging="360"/>
      </w:pPr>
    </w:lvl>
    <w:lvl w:ilvl="5" w:tplc="FB0E14E8">
      <w:start w:val="1"/>
      <w:numFmt w:val="lowerRoman"/>
      <w:lvlText w:val="%6."/>
      <w:lvlJc w:val="right"/>
      <w:pPr>
        <w:ind w:left="4320" w:hanging="180"/>
      </w:pPr>
    </w:lvl>
    <w:lvl w:ilvl="6" w:tplc="7A046DE8">
      <w:start w:val="1"/>
      <w:numFmt w:val="decimal"/>
      <w:lvlText w:val="%7."/>
      <w:lvlJc w:val="left"/>
      <w:pPr>
        <w:ind w:left="5040" w:hanging="360"/>
      </w:pPr>
    </w:lvl>
    <w:lvl w:ilvl="7" w:tplc="D65AC394">
      <w:start w:val="1"/>
      <w:numFmt w:val="lowerLetter"/>
      <w:lvlText w:val="%8."/>
      <w:lvlJc w:val="left"/>
      <w:pPr>
        <w:ind w:left="5760" w:hanging="360"/>
      </w:pPr>
    </w:lvl>
    <w:lvl w:ilvl="8" w:tplc="75D83D0E">
      <w:start w:val="1"/>
      <w:numFmt w:val="lowerRoman"/>
      <w:lvlText w:val="%9."/>
      <w:lvlJc w:val="right"/>
      <w:pPr>
        <w:ind w:left="6480" w:hanging="180"/>
      </w:p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47114E"/>
    <w:multiLevelType w:val="multilevel"/>
    <w:tmpl w:val="1BF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3B7227D"/>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50309"/>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287768"/>
    <w:multiLevelType w:val="hybridMultilevel"/>
    <w:tmpl w:val="51B068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11795E"/>
    <w:multiLevelType w:val="hybridMultilevel"/>
    <w:tmpl w:val="00CE2688"/>
    <w:lvl w:ilvl="0" w:tplc="71D20B7C">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94A3E60"/>
    <w:multiLevelType w:val="hybridMultilevel"/>
    <w:tmpl w:val="38B6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8430E2"/>
    <w:multiLevelType w:val="hybridMultilevel"/>
    <w:tmpl w:val="234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193377737">
    <w:abstractNumId w:val="17"/>
  </w:num>
  <w:num w:numId="2" w16cid:durableId="885410026">
    <w:abstractNumId w:val="16"/>
  </w:num>
  <w:num w:numId="3" w16cid:durableId="1562981366">
    <w:abstractNumId w:val="18"/>
  </w:num>
  <w:num w:numId="4" w16cid:durableId="392239668">
    <w:abstractNumId w:val="2"/>
  </w:num>
  <w:num w:numId="5" w16cid:durableId="308630702">
    <w:abstractNumId w:val="3"/>
  </w:num>
  <w:num w:numId="6" w16cid:durableId="2060545454">
    <w:abstractNumId w:val="1"/>
  </w:num>
  <w:num w:numId="7" w16cid:durableId="1447046276">
    <w:abstractNumId w:val="5"/>
  </w:num>
  <w:num w:numId="8" w16cid:durableId="1946957105">
    <w:abstractNumId w:val="8"/>
  </w:num>
  <w:num w:numId="9" w16cid:durableId="861014471">
    <w:abstractNumId w:val="19"/>
  </w:num>
  <w:num w:numId="10" w16cid:durableId="863636958">
    <w:abstractNumId w:val="7"/>
  </w:num>
  <w:num w:numId="11" w16cid:durableId="213858329">
    <w:abstractNumId w:val="20"/>
  </w:num>
  <w:num w:numId="12" w16cid:durableId="1547982564">
    <w:abstractNumId w:val="13"/>
  </w:num>
  <w:num w:numId="13" w16cid:durableId="2051760053">
    <w:abstractNumId w:val="11"/>
  </w:num>
  <w:num w:numId="14" w16cid:durableId="443229702">
    <w:abstractNumId w:val="15"/>
  </w:num>
  <w:num w:numId="15" w16cid:durableId="573585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63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13143">
    <w:abstractNumId w:val="14"/>
  </w:num>
  <w:num w:numId="18" w16cid:durableId="88645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945466">
    <w:abstractNumId w:val="0"/>
  </w:num>
  <w:num w:numId="20" w16cid:durableId="570042958">
    <w:abstractNumId w:val="9"/>
  </w:num>
  <w:num w:numId="21" w16cid:durableId="1261446500">
    <w:abstractNumId w:val="6"/>
  </w:num>
  <w:num w:numId="22" w16cid:durableId="195227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F36"/>
    <w:rsid w:val="00005FAA"/>
    <w:rsid w:val="00007463"/>
    <w:rsid w:val="0001428A"/>
    <w:rsid w:val="00015942"/>
    <w:rsid w:val="00016435"/>
    <w:rsid w:val="00017566"/>
    <w:rsid w:val="000202E8"/>
    <w:rsid w:val="00020CB7"/>
    <w:rsid w:val="00023010"/>
    <w:rsid w:val="000240C4"/>
    <w:rsid w:val="00030D25"/>
    <w:rsid w:val="00030DBB"/>
    <w:rsid w:val="0003188A"/>
    <w:rsid w:val="00032985"/>
    <w:rsid w:val="00033CEB"/>
    <w:rsid w:val="00044CAB"/>
    <w:rsid w:val="00046DFE"/>
    <w:rsid w:val="000503C5"/>
    <w:rsid w:val="00050427"/>
    <w:rsid w:val="00053ACF"/>
    <w:rsid w:val="00053D41"/>
    <w:rsid w:val="00055508"/>
    <w:rsid w:val="00060B0B"/>
    <w:rsid w:val="00062328"/>
    <w:rsid w:val="00062518"/>
    <w:rsid w:val="0006301D"/>
    <w:rsid w:val="00063152"/>
    <w:rsid w:val="000640C7"/>
    <w:rsid w:val="00066215"/>
    <w:rsid w:val="000671F1"/>
    <w:rsid w:val="00070B21"/>
    <w:rsid w:val="00070ED6"/>
    <w:rsid w:val="00070EF3"/>
    <w:rsid w:val="00074F28"/>
    <w:rsid w:val="00075B1C"/>
    <w:rsid w:val="00077247"/>
    <w:rsid w:val="00081BC9"/>
    <w:rsid w:val="000844E7"/>
    <w:rsid w:val="000909EB"/>
    <w:rsid w:val="00095A64"/>
    <w:rsid w:val="00095B14"/>
    <w:rsid w:val="00096A65"/>
    <w:rsid w:val="000A0E20"/>
    <w:rsid w:val="000A3FD2"/>
    <w:rsid w:val="000B19E9"/>
    <w:rsid w:val="000B1AF5"/>
    <w:rsid w:val="000B2D7C"/>
    <w:rsid w:val="000B4B61"/>
    <w:rsid w:val="000B7125"/>
    <w:rsid w:val="000C6DCD"/>
    <w:rsid w:val="000D22BB"/>
    <w:rsid w:val="000D2E71"/>
    <w:rsid w:val="000D3EFE"/>
    <w:rsid w:val="000D748B"/>
    <w:rsid w:val="000E057B"/>
    <w:rsid w:val="000E0F6E"/>
    <w:rsid w:val="000E1244"/>
    <w:rsid w:val="000E128C"/>
    <w:rsid w:val="000E1F0C"/>
    <w:rsid w:val="000E275C"/>
    <w:rsid w:val="000E5A48"/>
    <w:rsid w:val="000E7A99"/>
    <w:rsid w:val="000F1049"/>
    <w:rsid w:val="000F4E81"/>
    <w:rsid w:val="000F5CE6"/>
    <w:rsid w:val="001030C4"/>
    <w:rsid w:val="00105F91"/>
    <w:rsid w:val="00106571"/>
    <w:rsid w:val="00112E48"/>
    <w:rsid w:val="001132AD"/>
    <w:rsid w:val="00115372"/>
    <w:rsid w:val="0011654F"/>
    <w:rsid w:val="00124A1B"/>
    <w:rsid w:val="00133DEE"/>
    <w:rsid w:val="00143277"/>
    <w:rsid w:val="001445E4"/>
    <w:rsid w:val="00150B26"/>
    <w:rsid w:val="00156FCF"/>
    <w:rsid w:val="00157004"/>
    <w:rsid w:val="001577E4"/>
    <w:rsid w:val="00162289"/>
    <w:rsid w:val="001661A8"/>
    <w:rsid w:val="001705CF"/>
    <w:rsid w:val="00175B04"/>
    <w:rsid w:val="00182879"/>
    <w:rsid w:val="0018373E"/>
    <w:rsid w:val="0018469B"/>
    <w:rsid w:val="00184FC3"/>
    <w:rsid w:val="00186511"/>
    <w:rsid w:val="0019085C"/>
    <w:rsid w:val="00191782"/>
    <w:rsid w:val="001919D8"/>
    <w:rsid w:val="001923DD"/>
    <w:rsid w:val="00194702"/>
    <w:rsid w:val="001A0E47"/>
    <w:rsid w:val="001A5935"/>
    <w:rsid w:val="001B09D2"/>
    <w:rsid w:val="001C2F60"/>
    <w:rsid w:val="001C65B5"/>
    <w:rsid w:val="001D0FA0"/>
    <w:rsid w:val="001D3C04"/>
    <w:rsid w:val="001D6507"/>
    <w:rsid w:val="001D6F4A"/>
    <w:rsid w:val="001E1992"/>
    <w:rsid w:val="001E4CE7"/>
    <w:rsid w:val="001E6748"/>
    <w:rsid w:val="001E67A5"/>
    <w:rsid w:val="001E754D"/>
    <w:rsid w:val="001E7DBF"/>
    <w:rsid w:val="0020434A"/>
    <w:rsid w:val="0020614F"/>
    <w:rsid w:val="00207E63"/>
    <w:rsid w:val="00211B2A"/>
    <w:rsid w:val="00212ADD"/>
    <w:rsid w:val="00224286"/>
    <w:rsid w:val="0022435B"/>
    <w:rsid w:val="00227E2E"/>
    <w:rsid w:val="0023024D"/>
    <w:rsid w:val="00233335"/>
    <w:rsid w:val="00234AE2"/>
    <w:rsid w:val="002364BE"/>
    <w:rsid w:val="00241069"/>
    <w:rsid w:val="00241C69"/>
    <w:rsid w:val="00242329"/>
    <w:rsid w:val="0024541C"/>
    <w:rsid w:val="00247BB5"/>
    <w:rsid w:val="00256BE3"/>
    <w:rsid w:val="00266F48"/>
    <w:rsid w:val="00270AE5"/>
    <w:rsid w:val="00271242"/>
    <w:rsid w:val="0027186C"/>
    <w:rsid w:val="002730D8"/>
    <w:rsid w:val="002805B2"/>
    <w:rsid w:val="00280FCB"/>
    <w:rsid w:val="00281473"/>
    <w:rsid w:val="00282D46"/>
    <w:rsid w:val="002923A6"/>
    <w:rsid w:val="002929F7"/>
    <w:rsid w:val="00294FB1"/>
    <w:rsid w:val="00297A12"/>
    <w:rsid w:val="00297D19"/>
    <w:rsid w:val="002A27A2"/>
    <w:rsid w:val="002A2BDD"/>
    <w:rsid w:val="002B1648"/>
    <w:rsid w:val="002B1AF9"/>
    <w:rsid w:val="002B2A35"/>
    <w:rsid w:val="002B31F3"/>
    <w:rsid w:val="002C57F4"/>
    <w:rsid w:val="002C7407"/>
    <w:rsid w:val="002C79BA"/>
    <w:rsid w:val="002D0B08"/>
    <w:rsid w:val="002D1CED"/>
    <w:rsid w:val="002D4D56"/>
    <w:rsid w:val="002D6D79"/>
    <w:rsid w:val="002E1B28"/>
    <w:rsid w:val="002E7E63"/>
    <w:rsid w:val="002E7FD4"/>
    <w:rsid w:val="002F2BDB"/>
    <w:rsid w:val="002F3746"/>
    <w:rsid w:val="002F697B"/>
    <w:rsid w:val="003113C8"/>
    <w:rsid w:val="00316D2C"/>
    <w:rsid w:val="00316DF4"/>
    <w:rsid w:val="003214A4"/>
    <w:rsid w:val="00330974"/>
    <w:rsid w:val="00330EC9"/>
    <w:rsid w:val="00333A39"/>
    <w:rsid w:val="00336477"/>
    <w:rsid w:val="003375A5"/>
    <w:rsid w:val="00344A49"/>
    <w:rsid w:val="0034540C"/>
    <w:rsid w:val="00347151"/>
    <w:rsid w:val="00347C65"/>
    <w:rsid w:val="003529B3"/>
    <w:rsid w:val="003618F1"/>
    <w:rsid w:val="003652F0"/>
    <w:rsid w:val="00366151"/>
    <w:rsid w:val="0036662A"/>
    <w:rsid w:val="00377A19"/>
    <w:rsid w:val="003865B8"/>
    <w:rsid w:val="00391584"/>
    <w:rsid w:val="0039259D"/>
    <w:rsid w:val="003940F3"/>
    <w:rsid w:val="0039580B"/>
    <w:rsid w:val="00396424"/>
    <w:rsid w:val="00397AD7"/>
    <w:rsid w:val="003A18E7"/>
    <w:rsid w:val="003A1AD9"/>
    <w:rsid w:val="003A332E"/>
    <w:rsid w:val="003A4CCC"/>
    <w:rsid w:val="003A67CC"/>
    <w:rsid w:val="003B2FAE"/>
    <w:rsid w:val="003B6643"/>
    <w:rsid w:val="003B726A"/>
    <w:rsid w:val="003C6054"/>
    <w:rsid w:val="003C7C78"/>
    <w:rsid w:val="003D4EB4"/>
    <w:rsid w:val="003E09D5"/>
    <w:rsid w:val="003E77A4"/>
    <w:rsid w:val="003F1F09"/>
    <w:rsid w:val="003F5676"/>
    <w:rsid w:val="003F7DF8"/>
    <w:rsid w:val="0040628C"/>
    <w:rsid w:val="004136A8"/>
    <w:rsid w:val="00414392"/>
    <w:rsid w:val="00417DC7"/>
    <w:rsid w:val="00421AD5"/>
    <w:rsid w:val="004274A1"/>
    <w:rsid w:val="004322A4"/>
    <w:rsid w:val="00435B06"/>
    <w:rsid w:val="004361B9"/>
    <w:rsid w:val="004378EE"/>
    <w:rsid w:val="00447D74"/>
    <w:rsid w:val="00447F7C"/>
    <w:rsid w:val="00452AAF"/>
    <w:rsid w:val="00452FA3"/>
    <w:rsid w:val="00455305"/>
    <w:rsid w:val="004631DA"/>
    <w:rsid w:val="004639C4"/>
    <w:rsid w:val="00475D1E"/>
    <w:rsid w:val="00475E13"/>
    <w:rsid w:val="00482B56"/>
    <w:rsid w:val="004853EA"/>
    <w:rsid w:val="00485F22"/>
    <w:rsid w:val="00487204"/>
    <w:rsid w:val="004876E5"/>
    <w:rsid w:val="004923DB"/>
    <w:rsid w:val="00492976"/>
    <w:rsid w:val="0049531C"/>
    <w:rsid w:val="004A0897"/>
    <w:rsid w:val="004A2AD1"/>
    <w:rsid w:val="004A42BF"/>
    <w:rsid w:val="004A5F41"/>
    <w:rsid w:val="004A607E"/>
    <w:rsid w:val="004A6A07"/>
    <w:rsid w:val="004A704E"/>
    <w:rsid w:val="004B1CC3"/>
    <w:rsid w:val="004B2CD5"/>
    <w:rsid w:val="004B5C52"/>
    <w:rsid w:val="004C084B"/>
    <w:rsid w:val="004C1CE4"/>
    <w:rsid w:val="004C44BD"/>
    <w:rsid w:val="004C58E9"/>
    <w:rsid w:val="004D0570"/>
    <w:rsid w:val="004D11D5"/>
    <w:rsid w:val="004D1FB6"/>
    <w:rsid w:val="004D5FC3"/>
    <w:rsid w:val="004D66FF"/>
    <w:rsid w:val="004E01AA"/>
    <w:rsid w:val="004E0590"/>
    <w:rsid w:val="004E358F"/>
    <w:rsid w:val="004E6B69"/>
    <w:rsid w:val="004F24DB"/>
    <w:rsid w:val="004F7609"/>
    <w:rsid w:val="005004F3"/>
    <w:rsid w:val="005054C5"/>
    <w:rsid w:val="0050761B"/>
    <w:rsid w:val="00510A85"/>
    <w:rsid w:val="005206B0"/>
    <w:rsid w:val="00520904"/>
    <w:rsid w:val="00527115"/>
    <w:rsid w:val="005277CD"/>
    <w:rsid w:val="0053023F"/>
    <w:rsid w:val="005303DC"/>
    <w:rsid w:val="00530480"/>
    <w:rsid w:val="0053182B"/>
    <w:rsid w:val="005376D6"/>
    <w:rsid w:val="0054453C"/>
    <w:rsid w:val="00547C74"/>
    <w:rsid w:val="005516A5"/>
    <w:rsid w:val="005533C2"/>
    <w:rsid w:val="00563838"/>
    <w:rsid w:val="00563B3D"/>
    <w:rsid w:val="005671CE"/>
    <w:rsid w:val="005702A5"/>
    <w:rsid w:val="00571253"/>
    <w:rsid w:val="0057371A"/>
    <w:rsid w:val="00581B51"/>
    <w:rsid w:val="005903F9"/>
    <w:rsid w:val="00593EE0"/>
    <w:rsid w:val="005953D7"/>
    <w:rsid w:val="00597AFF"/>
    <w:rsid w:val="005A0AC7"/>
    <w:rsid w:val="005A3FE6"/>
    <w:rsid w:val="005A4A5F"/>
    <w:rsid w:val="005A771F"/>
    <w:rsid w:val="005B09A6"/>
    <w:rsid w:val="005B1293"/>
    <w:rsid w:val="005B79FB"/>
    <w:rsid w:val="005B7C13"/>
    <w:rsid w:val="005C11A9"/>
    <w:rsid w:val="005C36B9"/>
    <w:rsid w:val="005C492A"/>
    <w:rsid w:val="005C5B4A"/>
    <w:rsid w:val="005C5ECB"/>
    <w:rsid w:val="005D1053"/>
    <w:rsid w:val="005E0604"/>
    <w:rsid w:val="005E1221"/>
    <w:rsid w:val="005E567C"/>
    <w:rsid w:val="005E5744"/>
    <w:rsid w:val="005F038F"/>
    <w:rsid w:val="005F0F88"/>
    <w:rsid w:val="005F2639"/>
    <w:rsid w:val="00601513"/>
    <w:rsid w:val="00605339"/>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124A"/>
    <w:rsid w:val="0064506C"/>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B0D85"/>
    <w:rsid w:val="006B526A"/>
    <w:rsid w:val="006B75D2"/>
    <w:rsid w:val="006C0163"/>
    <w:rsid w:val="006C0AD7"/>
    <w:rsid w:val="006D1718"/>
    <w:rsid w:val="006E05A9"/>
    <w:rsid w:val="006E0B8B"/>
    <w:rsid w:val="006E16C9"/>
    <w:rsid w:val="006E67AE"/>
    <w:rsid w:val="006E798D"/>
    <w:rsid w:val="006E7C89"/>
    <w:rsid w:val="006F23CE"/>
    <w:rsid w:val="006F4DC3"/>
    <w:rsid w:val="0070221E"/>
    <w:rsid w:val="007030C5"/>
    <w:rsid w:val="007070F4"/>
    <w:rsid w:val="00707C95"/>
    <w:rsid w:val="00710DD2"/>
    <w:rsid w:val="0072623F"/>
    <w:rsid w:val="007263AF"/>
    <w:rsid w:val="00727011"/>
    <w:rsid w:val="007350FF"/>
    <w:rsid w:val="007410B0"/>
    <w:rsid w:val="00741C32"/>
    <w:rsid w:val="00742585"/>
    <w:rsid w:val="00742B65"/>
    <w:rsid w:val="00747BC9"/>
    <w:rsid w:val="00751DDD"/>
    <w:rsid w:val="007537EC"/>
    <w:rsid w:val="00760318"/>
    <w:rsid w:val="00761496"/>
    <w:rsid w:val="00761F33"/>
    <w:rsid w:val="007769FC"/>
    <w:rsid w:val="0078534B"/>
    <w:rsid w:val="00787C89"/>
    <w:rsid w:val="00791279"/>
    <w:rsid w:val="007972A2"/>
    <w:rsid w:val="007A0F91"/>
    <w:rsid w:val="007B27C7"/>
    <w:rsid w:val="007B3E81"/>
    <w:rsid w:val="007C1CA1"/>
    <w:rsid w:val="007D1704"/>
    <w:rsid w:val="007D3038"/>
    <w:rsid w:val="007D42C6"/>
    <w:rsid w:val="007E1501"/>
    <w:rsid w:val="007E33DA"/>
    <w:rsid w:val="007E69B5"/>
    <w:rsid w:val="007F5F38"/>
    <w:rsid w:val="0080172F"/>
    <w:rsid w:val="00803394"/>
    <w:rsid w:val="00807C29"/>
    <w:rsid w:val="00811BF1"/>
    <w:rsid w:val="008127AF"/>
    <w:rsid w:val="00814122"/>
    <w:rsid w:val="00817EF3"/>
    <w:rsid w:val="0082428A"/>
    <w:rsid w:val="008359DC"/>
    <w:rsid w:val="008435F7"/>
    <w:rsid w:val="00851E20"/>
    <w:rsid w:val="00852673"/>
    <w:rsid w:val="0085384B"/>
    <w:rsid w:val="0085430B"/>
    <w:rsid w:val="00856EDA"/>
    <w:rsid w:val="008576A6"/>
    <w:rsid w:val="008658EF"/>
    <w:rsid w:val="00865C80"/>
    <w:rsid w:val="008663E3"/>
    <w:rsid w:val="00870F24"/>
    <w:rsid w:val="0087169A"/>
    <w:rsid w:val="00880909"/>
    <w:rsid w:val="008820BA"/>
    <w:rsid w:val="008831D7"/>
    <w:rsid w:val="00885C3D"/>
    <w:rsid w:val="00890A7C"/>
    <w:rsid w:val="008923B9"/>
    <w:rsid w:val="008935D1"/>
    <w:rsid w:val="00894683"/>
    <w:rsid w:val="008A3E24"/>
    <w:rsid w:val="008A53CB"/>
    <w:rsid w:val="008A5A0D"/>
    <w:rsid w:val="008B3037"/>
    <w:rsid w:val="008C3DAE"/>
    <w:rsid w:val="008C4CE9"/>
    <w:rsid w:val="008D4415"/>
    <w:rsid w:val="008D444C"/>
    <w:rsid w:val="008D55D4"/>
    <w:rsid w:val="008D5F38"/>
    <w:rsid w:val="008D7278"/>
    <w:rsid w:val="008E2069"/>
    <w:rsid w:val="008E2AC8"/>
    <w:rsid w:val="008E3A92"/>
    <w:rsid w:val="008E3C68"/>
    <w:rsid w:val="008F266B"/>
    <w:rsid w:val="008F38C3"/>
    <w:rsid w:val="008F56B6"/>
    <w:rsid w:val="00914A06"/>
    <w:rsid w:val="009220EC"/>
    <w:rsid w:val="00926630"/>
    <w:rsid w:val="00933886"/>
    <w:rsid w:val="00934F45"/>
    <w:rsid w:val="00942252"/>
    <w:rsid w:val="009422B0"/>
    <w:rsid w:val="009426AD"/>
    <w:rsid w:val="00947C9D"/>
    <w:rsid w:val="00954EEB"/>
    <w:rsid w:val="00956C1E"/>
    <w:rsid w:val="0097341D"/>
    <w:rsid w:val="009913E3"/>
    <w:rsid w:val="009924A0"/>
    <w:rsid w:val="0099342A"/>
    <w:rsid w:val="009961A8"/>
    <w:rsid w:val="009A1219"/>
    <w:rsid w:val="009A3E23"/>
    <w:rsid w:val="009A662F"/>
    <w:rsid w:val="009B2BC0"/>
    <w:rsid w:val="009B3957"/>
    <w:rsid w:val="009B3B60"/>
    <w:rsid w:val="009B4714"/>
    <w:rsid w:val="009B488A"/>
    <w:rsid w:val="009B7A40"/>
    <w:rsid w:val="009C1904"/>
    <w:rsid w:val="009C5F59"/>
    <w:rsid w:val="009C687C"/>
    <w:rsid w:val="009D3B8E"/>
    <w:rsid w:val="009D3BAD"/>
    <w:rsid w:val="009E1857"/>
    <w:rsid w:val="009E4DA6"/>
    <w:rsid w:val="009E58D9"/>
    <w:rsid w:val="009E69E2"/>
    <w:rsid w:val="009E7F18"/>
    <w:rsid w:val="009F0535"/>
    <w:rsid w:val="009F4BD9"/>
    <w:rsid w:val="00A00DB1"/>
    <w:rsid w:val="00A05F9C"/>
    <w:rsid w:val="00A076DC"/>
    <w:rsid w:val="00A127C6"/>
    <w:rsid w:val="00A23D91"/>
    <w:rsid w:val="00A24DB0"/>
    <w:rsid w:val="00A26CB7"/>
    <w:rsid w:val="00A2721F"/>
    <w:rsid w:val="00A31C11"/>
    <w:rsid w:val="00A323E0"/>
    <w:rsid w:val="00A34915"/>
    <w:rsid w:val="00A3535C"/>
    <w:rsid w:val="00A35603"/>
    <w:rsid w:val="00A3789C"/>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751FC"/>
    <w:rsid w:val="00A80ADA"/>
    <w:rsid w:val="00A845D7"/>
    <w:rsid w:val="00A86A73"/>
    <w:rsid w:val="00A91F0C"/>
    <w:rsid w:val="00A937EF"/>
    <w:rsid w:val="00A9443D"/>
    <w:rsid w:val="00AA30C9"/>
    <w:rsid w:val="00AA3EF8"/>
    <w:rsid w:val="00AA5709"/>
    <w:rsid w:val="00AB2F7C"/>
    <w:rsid w:val="00AB4283"/>
    <w:rsid w:val="00AC4B6C"/>
    <w:rsid w:val="00AC6352"/>
    <w:rsid w:val="00AC644B"/>
    <w:rsid w:val="00AC73C3"/>
    <w:rsid w:val="00AD5789"/>
    <w:rsid w:val="00AE3CE8"/>
    <w:rsid w:val="00AE4ABF"/>
    <w:rsid w:val="00AE6787"/>
    <w:rsid w:val="00AF029B"/>
    <w:rsid w:val="00AF0898"/>
    <w:rsid w:val="00AF0A0D"/>
    <w:rsid w:val="00AF1F99"/>
    <w:rsid w:val="00AF25D0"/>
    <w:rsid w:val="00AF2A89"/>
    <w:rsid w:val="00AF4CD9"/>
    <w:rsid w:val="00B00E19"/>
    <w:rsid w:val="00B0491D"/>
    <w:rsid w:val="00B058B6"/>
    <w:rsid w:val="00B0591B"/>
    <w:rsid w:val="00B06DF8"/>
    <w:rsid w:val="00B07C1B"/>
    <w:rsid w:val="00B14AA0"/>
    <w:rsid w:val="00B14CA7"/>
    <w:rsid w:val="00B259E5"/>
    <w:rsid w:val="00B26628"/>
    <w:rsid w:val="00B3130A"/>
    <w:rsid w:val="00B33BD8"/>
    <w:rsid w:val="00B41981"/>
    <w:rsid w:val="00B42F3A"/>
    <w:rsid w:val="00B4351C"/>
    <w:rsid w:val="00B44625"/>
    <w:rsid w:val="00B46548"/>
    <w:rsid w:val="00B47BB9"/>
    <w:rsid w:val="00B51113"/>
    <w:rsid w:val="00B642D3"/>
    <w:rsid w:val="00B64726"/>
    <w:rsid w:val="00B66D73"/>
    <w:rsid w:val="00B67720"/>
    <w:rsid w:val="00B70A77"/>
    <w:rsid w:val="00B71F86"/>
    <w:rsid w:val="00B7378D"/>
    <w:rsid w:val="00B748DF"/>
    <w:rsid w:val="00B75709"/>
    <w:rsid w:val="00B87121"/>
    <w:rsid w:val="00B905D0"/>
    <w:rsid w:val="00B92508"/>
    <w:rsid w:val="00B92EC5"/>
    <w:rsid w:val="00B93D6E"/>
    <w:rsid w:val="00B9676C"/>
    <w:rsid w:val="00BA3F54"/>
    <w:rsid w:val="00BA57E5"/>
    <w:rsid w:val="00BA694E"/>
    <w:rsid w:val="00BB138B"/>
    <w:rsid w:val="00BC4039"/>
    <w:rsid w:val="00BC5BDA"/>
    <w:rsid w:val="00BD0780"/>
    <w:rsid w:val="00BD17AE"/>
    <w:rsid w:val="00BD4663"/>
    <w:rsid w:val="00BE1C9A"/>
    <w:rsid w:val="00BE1E8F"/>
    <w:rsid w:val="00BE6468"/>
    <w:rsid w:val="00BE6CC1"/>
    <w:rsid w:val="00BF587A"/>
    <w:rsid w:val="00BF7592"/>
    <w:rsid w:val="00C02E76"/>
    <w:rsid w:val="00C13806"/>
    <w:rsid w:val="00C146A1"/>
    <w:rsid w:val="00C1798F"/>
    <w:rsid w:val="00C2262B"/>
    <w:rsid w:val="00C23560"/>
    <w:rsid w:val="00C24850"/>
    <w:rsid w:val="00C25577"/>
    <w:rsid w:val="00C25B44"/>
    <w:rsid w:val="00C3317D"/>
    <w:rsid w:val="00C33E49"/>
    <w:rsid w:val="00C35591"/>
    <w:rsid w:val="00C35A56"/>
    <w:rsid w:val="00C36649"/>
    <w:rsid w:val="00C40546"/>
    <w:rsid w:val="00C41BD5"/>
    <w:rsid w:val="00C41EDB"/>
    <w:rsid w:val="00C42FA7"/>
    <w:rsid w:val="00C469DB"/>
    <w:rsid w:val="00C52B5C"/>
    <w:rsid w:val="00C535B1"/>
    <w:rsid w:val="00C5774B"/>
    <w:rsid w:val="00C60C6F"/>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505F"/>
    <w:rsid w:val="00CB6AA8"/>
    <w:rsid w:val="00CB7939"/>
    <w:rsid w:val="00CC37C8"/>
    <w:rsid w:val="00CC5451"/>
    <w:rsid w:val="00CC7C3F"/>
    <w:rsid w:val="00CD354D"/>
    <w:rsid w:val="00CD3EAE"/>
    <w:rsid w:val="00CD7F0A"/>
    <w:rsid w:val="00CE279B"/>
    <w:rsid w:val="00CE28F2"/>
    <w:rsid w:val="00CE3166"/>
    <w:rsid w:val="00CE3F94"/>
    <w:rsid w:val="00CE53AB"/>
    <w:rsid w:val="00CF169A"/>
    <w:rsid w:val="00CF1DFC"/>
    <w:rsid w:val="00CF2C5D"/>
    <w:rsid w:val="00CF2C95"/>
    <w:rsid w:val="00CF78C6"/>
    <w:rsid w:val="00CF7C87"/>
    <w:rsid w:val="00D0429B"/>
    <w:rsid w:val="00D100FC"/>
    <w:rsid w:val="00D16B4A"/>
    <w:rsid w:val="00D16C72"/>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4B3D"/>
    <w:rsid w:val="00D75FA7"/>
    <w:rsid w:val="00D84391"/>
    <w:rsid w:val="00D85087"/>
    <w:rsid w:val="00D85ACE"/>
    <w:rsid w:val="00D92D05"/>
    <w:rsid w:val="00D965B9"/>
    <w:rsid w:val="00DB3586"/>
    <w:rsid w:val="00DB5C6B"/>
    <w:rsid w:val="00DC1011"/>
    <w:rsid w:val="00DC11E3"/>
    <w:rsid w:val="00DC5385"/>
    <w:rsid w:val="00DC769B"/>
    <w:rsid w:val="00DC7728"/>
    <w:rsid w:val="00DC7855"/>
    <w:rsid w:val="00DC7AB7"/>
    <w:rsid w:val="00DD3616"/>
    <w:rsid w:val="00DD622B"/>
    <w:rsid w:val="00DD6CB9"/>
    <w:rsid w:val="00DE1BD0"/>
    <w:rsid w:val="00DE27F8"/>
    <w:rsid w:val="00DE55A6"/>
    <w:rsid w:val="00DE693B"/>
    <w:rsid w:val="00E010D9"/>
    <w:rsid w:val="00E0238C"/>
    <w:rsid w:val="00E14905"/>
    <w:rsid w:val="00E17087"/>
    <w:rsid w:val="00E2602A"/>
    <w:rsid w:val="00E307F8"/>
    <w:rsid w:val="00E30E83"/>
    <w:rsid w:val="00E314FC"/>
    <w:rsid w:val="00E409B4"/>
    <w:rsid w:val="00E42B0B"/>
    <w:rsid w:val="00E47083"/>
    <w:rsid w:val="00E47926"/>
    <w:rsid w:val="00E52C47"/>
    <w:rsid w:val="00E53DCA"/>
    <w:rsid w:val="00E6399A"/>
    <w:rsid w:val="00E64DEC"/>
    <w:rsid w:val="00E71AB0"/>
    <w:rsid w:val="00E72F4B"/>
    <w:rsid w:val="00E730FB"/>
    <w:rsid w:val="00E828B5"/>
    <w:rsid w:val="00E8785C"/>
    <w:rsid w:val="00E87AF4"/>
    <w:rsid w:val="00E9012F"/>
    <w:rsid w:val="00E95B1A"/>
    <w:rsid w:val="00EA47FF"/>
    <w:rsid w:val="00EB4BFC"/>
    <w:rsid w:val="00EB6DB9"/>
    <w:rsid w:val="00EB7F68"/>
    <w:rsid w:val="00EC036E"/>
    <w:rsid w:val="00EC0828"/>
    <w:rsid w:val="00EC38AE"/>
    <w:rsid w:val="00EC641A"/>
    <w:rsid w:val="00EC6B07"/>
    <w:rsid w:val="00ED0AC3"/>
    <w:rsid w:val="00ED76BF"/>
    <w:rsid w:val="00EE0D2D"/>
    <w:rsid w:val="00EE5396"/>
    <w:rsid w:val="00EE6176"/>
    <w:rsid w:val="00EF0A83"/>
    <w:rsid w:val="00EF5D3D"/>
    <w:rsid w:val="00EF6363"/>
    <w:rsid w:val="00F047A9"/>
    <w:rsid w:val="00F063F4"/>
    <w:rsid w:val="00F07C3A"/>
    <w:rsid w:val="00F12C7D"/>
    <w:rsid w:val="00F15BB7"/>
    <w:rsid w:val="00F15C25"/>
    <w:rsid w:val="00F16636"/>
    <w:rsid w:val="00F177C3"/>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1BC1"/>
    <w:rsid w:val="00F56078"/>
    <w:rsid w:val="00F636CC"/>
    <w:rsid w:val="00F636EC"/>
    <w:rsid w:val="00F638E9"/>
    <w:rsid w:val="00F64252"/>
    <w:rsid w:val="00F65129"/>
    <w:rsid w:val="00F66624"/>
    <w:rsid w:val="00F66BB6"/>
    <w:rsid w:val="00F66C18"/>
    <w:rsid w:val="00F7164D"/>
    <w:rsid w:val="00F72941"/>
    <w:rsid w:val="00F74AD4"/>
    <w:rsid w:val="00F74C31"/>
    <w:rsid w:val="00F75651"/>
    <w:rsid w:val="00F760E7"/>
    <w:rsid w:val="00F7759E"/>
    <w:rsid w:val="00F822A7"/>
    <w:rsid w:val="00F8394C"/>
    <w:rsid w:val="00F83B83"/>
    <w:rsid w:val="00F860AD"/>
    <w:rsid w:val="00F90E2E"/>
    <w:rsid w:val="00F91130"/>
    <w:rsid w:val="00FA05C8"/>
    <w:rsid w:val="00FA1112"/>
    <w:rsid w:val="00FA1C73"/>
    <w:rsid w:val="00FA2FC9"/>
    <w:rsid w:val="00FA2FE9"/>
    <w:rsid w:val="00FB2A58"/>
    <w:rsid w:val="00FB32DA"/>
    <w:rsid w:val="00FB55A7"/>
    <w:rsid w:val="00FC1DE0"/>
    <w:rsid w:val="00FC48EB"/>
    <w:rsid w:val="00FC7091"/>
    <w:rsid w:val="00FD0EAB"/>
    <w:rsid w:val="00FE2A36"/>
    <w:rsid w:val="00FE47BC"/>
    <w:rsid w:val="00FF329F"/>
    <w:rsid w:val="00FF5AD3"/>
    <w:rsid w:val="6E58F1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semiHidden/>
    <w:unhideWhenUsed/>
    <w:rsid w:val="00C02E76"/>
    <w:rPr>
      <w:sz w:val="16"/>
      <w:szCs w:val="16"/>
    </w:rPr>
  </w:style>
  <w:style w:type="paragraph" w:styleId="CommentText">
    <w:name w:val="annotation text"/>
    <w:basedOn w:val="Normal"/>
    <w:link w:val="CommentTextChar"/>
    <w:unhideWhenUsed/>
    <w:rsid w:val="00C02E76"/>
    <w:rPr>
      <w:sz w:val="20"/>
    </w:rPr>
  </w:style>
  <w:style w:type="character" w:customStyle="1" w:styleId="CommentTextChar">
    <w:name w:val="Comment Text Char"/>
    <w:basedOn w:val="DefaultParagraphFont"/>
    <w:link w:val="CommentText"/>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efault">
    <w:name w:val="Default"/>
    <w:rsid w:val="00316DF4"/>
    <w:pPr>
      <w:autoSpaceDE w:val="0"/>
      <w:autoSpaceDN w:val="0"/>
      <w:adjustRightInd w:val="0"/>
      <w:spacing w:after="0"/>
      <w:jc w:val="left"/>
    </w:pPr>
    <w:rPr>
      <w:color w:val="000000"/>
      <w:szCs w:val="24"/>
    </w:rPr>
  </w:style>
  <w:style w:type="paragraph" w:customStyle="1" w:styleId="gmail-msolistparagraph">
    <w:name w:val="gmail-msolistparagraph"/>
    <w:basedOn w:val="Normal"/>
    <w:rsid w:val="00CE28F2"/>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3618F1"/>
    <w:pPr>
      <w:spacing w:before="100" w:beforeAutospacing="1" w:after="100" w:afterAutospacing="1"/>
    </w:pPr>
    <w:rPr>
      <w:szCs w:val="24"/>
    </w:rPr>
  </w:style>
  <w:style w:type="paragraph" w:customStyle="1" w:styleId="pf0">
    <w:name w:val="pf0"/>
    <w:basedOn w:val="Normal"/>
    <w:rsid w:val="00807C29"/>
    <w:pPr>
      <w:spacing w:before="100" w:beforeAutospacing="1" w:after="100" w:afterAutospacing="1"/>
    </w:pPr>
    <w:rPr>
      <w:szCs w:val="24"/>
    </w:rPr>
  </w:style>
  <w:style w:type="character" w:customStyle="1" w:styleId="cf01">
    <w:name w:val="cf01"/>
    <w:basedOn w:val="DefaultParagraphFont"/>
    <w:rsid w:val="00807C29"/>
    <w:rPr>
      <w:rFonts w:ascii="Segoe UI" w:hAnsi="Segoe UI" w:cs="Segoe UI" w:hint="default"/>
      <w:sz w:val="18"/>
      <w:szCs w:val="18"/>
    </w:rPr>
  </w:style>
  <w:style w:type="character" w:customStyle="1" w:styleId="cf11">
    <w:name w:val="cf11"/>
    <w:basedOn w:val="DefaultParagraphFont"/>
    <w:rsid w:val="00807C2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17">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27888025">
      <w:bodyDiv w:val="1"/>
      <w:marLeft w:val="0"/>
      <w:marRight w:val="0"/>
      <w:marTop w:val="0"/>
      <w:marBottom w:val="0"/>
      <w:divBdr>
        <w:top w:val="none" w:sz="0" w:space="0" w:color="auto"/>
        <w:left w:val="none" w:sz="0" w:space="0" w:color="auto"/>
        <w:bottom w:val="none" w:sz="0" w:space="0" w:color="auto"/>
        <w:right w:val="none" w:sz="0" w:space="0" w:color="auto"/>
      </w:divBdr>
    </w:div>
    <w:div w:id="231814667">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83525066">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65664184">
      <w:bodyDiv w:val="1"/>
      <w:marLeft w:val="0"/>
      <w:marRight w:val="0"/>
      <w:marTop w:val="0"/>
      <w:marBottom w:val="0"/>
      <w:divBdr>
        <w:top w:val="none" w:sz="0" w:space="0" w:color="auto"/>
        <w:left w:val="none" w:sz="0" w:space="0" w:color="auto"/>
        <w:bottom w:val="none" w:sz="0" w:space="0" w:color="auto"/>
        <w:right w:val="none" w:sz="0" w:space="0" w:color="auto"/>
      </w:divBdr>
    </w:div>
    <w:div w:id="661197588">
      <w:bodyDiv w:val="1"/>
      <w:marLeft w:val="0"/>
      <w:marRight w:val="0"/>
      <w:marTop w:val="0"/>
      <w:marBottom w:val="0"/>
      <w:divBdr>
        <w:top w:val="none" w:sz="0" w:space="0" w:color="auto"/>
        <w:left w:val="none" w:sz="0" w:space="0" w:color="auto"/>
        <w:bottom w:val="none" w:sz="0" w:space="0" w:color="auto"/>
        <w:right w:val="none" w:sz="0" w:space="0" w:color="auto"/>
      </w:divBdr>
    </w:div>
    <w:div w:id="684673920">
      <w:bodyDiv w:val="1"/>
      <w:marLeft w:val="0"/>
      <w:marRight w:val="0"/>
      <w:marTop w:val="0"/>
      <w:marBottom w:val="0"/>
      <w:divBdr>
        <w:top w:val="none" w:sz="0" w:space="0" w:color="auto"/>
        <w:left w:val="none" w:sz="0" w:space="0" w:color="auto"/>
        <w:bottom w:val="none" w:sz="0" w:space="0" w:color="auto"/>
        <w:right w:val="none" w:sz="0" w:space="0" w:color="auto"/>
      </w:divBdr>
    </w:div>
    <w:div w:id="704477764">
      <w:bodyDiv w:val="1"/>
      <w:marLeft w:val="0"/>
      <w:marRight w:val="0"/>
      <w:marTop w:val="0"/>
      <w:marBottom w:val="0"/>
      <w:divBdr>
        <w:top w:val="none" w:sz="0" w:space="0" w:color="auto"/>
        <w:left w:val="none" w:sz="0" w:space="0" w:color="auto"/>
        <w:bottom w:val="none" w:sz="0" w:space="0" w:color="auto"/>
        <w:right w:val="none" w:sz="0" w:space="0" w:color="auto"/>
      </w:divBdr>
    </w:div>
    <w:div w:id="745147535">
      <w:bodyDiv w:val="1"/>
      <w:marLeft w:val="0"/>
      <w:marRight w:val="0"/>
      <w:marTop w:val="0"/>
      <w:marBottom w:val="0"/>
      <w:divBdr>
        <w:top w:val="none" w:sz="0" w:space="0" w:color="auto"/>
        <w:left w:val="none" w:sz="0" w:space="0" w:color="auto"/>
        <w:bottom w:val="none" w:sz="0" w:space="0" w:color="auto"/>
        <w:right w:val="none" w:sz="0" w:space="0" w:color="auto"/>
      </w:divBdr>
    </w:div>
    <w:div w:id="762651193">
      <w:bodyDiv w:val="1"/>
      <w:marLeft w:val="0"/>
      <w:marRight w:val="0"/>
      <w:marTop w:val="0"/>
      <w:marBottom w:val="0"/>
      <w:divBdr>
        <w:top w:val="none" w:sz="0" w:space="0" w:color="auto"/>
        <w:left w:val="none" w:sz="0" w:space="0" w:color="auto"/>
        <w:bottom w:val="none" w:sz="0" w:space="0" w:color="auto"/>
        <w:right w:val="none" w:sz="0" w:space="0" w:color="auto"/>
      </w:divBdr>
    </w:div>
    <w:div w:id="767434540">
      <w:bodyDiv w:val="1"/>
      <w:marLeft w:val="0"/>
      <w:marRight w:val="0"/>
      <w:marTop w:val="0"/>
      <w:marBottom w:val="0"/>
      <w:divBdr>
        <w:top w:val="none" w:sz="0" w:space="0" w:color="auto"/>
        <w:left w:val="none" w:sz="0" w:space="0" w:color="auto"/>
        <w:bottom w:val="none" w:sz="0" w:space="0" w:color="auto"/>
        <w:right w:val="none" w:sz="0" w:space="0" w:color="auto"/>
      </w:divBdr>
    </w:div>
    <w:div w:id="800655316">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867990736">
      <w:bodyDiv w:val="1"/>
      <w:marLeft w:val="0"/>
      <w:marRight w:val="0"/>
      <w:marTop w:val="0"/>
      <w:marBottom w:val="0"/>
      <w:divBdr>
        <w:top w:val="none" w:sz="0" w:space="0" w:color="auto"/>
        <w:left w:val="none" w:sz="0" w:space="0" w:color="auto"/>
        <w:bottom w:val="none" w:sz="0" w:space="0" w:color="auto"/>
        <w:right w:val="none" w:sz="0" w:space="0" w:color="auto"/>
      </w:divBdr>
    </w:div>
    <w:div w:id="875315778">
      <w:bodyDiv w:val="1"/>
      <w:marLeft w:val="0"/>
      <w:marRight w:val="0"/>
      <w:marTop w:val="0"/>
      <w:marBottom w:val="0"/>
      <w:divBdr>
        <w:top w:val="none" w:sz="0" w:space="0" w:color="auto"/>
        <w:left w:val="none" w:sz="0" w:space="0" w:color="auto"/>
        <w:bottom w:val="none" w:sz="0" w:space="0" w:color="auto"/>
        <w:right w:val="none" w:sz="0" w:space="0" w:color="auto"/>
      </w:divBdr>
    </w:div>
    <w:div w:id="978807925">
      <w:bodyDiv w:val="1"/>
      <w:marLeft w:val="0"/>
      <w:marRight w:val="0"/>
      <w:marTop w:val="0"/>
      <w:marBottom w:val="0"/>
      <w:divBdr>
        <w:top w:val="none" w:sz="0" w:space="0" w:color="auto"/>
        <w:left w:val="none" w:sz="0" w:space="0" w:color="auto"/>
        <w:bottom w:val="none" w:sz="0" w:space="0" w:color="auto"/>
        <w:right w:val="none" w:sz="0" w:space="0" w:color="auto"/>
      </w:divBdr>
    </w:div>
    <w:div w:id="993333683">
      <w:bodyDiv w:val="1"/>
      <w:marLeft w:val="0"/>
      <w:marRight w:val="0"/>
      <w:marTop w:val="0"/>
      <w:marBottom w:val="0"/>
      <w:divBdr>
        <w:top w:val="none" w:sz="0" w:space="0" w:color="auto"/>
        <w:left w:val="none" w:sz="0" w:space="0" w:color="auto"/>
        <w:bottom w:val="none" w:sz="0" w:space="0" w:color="auto"/>
        <w:right w:val="none" w:sz="0" w:space="0" w:color="auto"/>
      </w:divBdr>
    </w:div>
    <w:div w:id="1019618785">
      <w:bodyDiv w:val="1"/>
      <w:marLeft w:val="0"/>
      <w:marRight w:val="0"/>
      <w:marTop w:val="0"/>
      <w:marBottom w:val="0"/>
      <w:divBdr>
        <w:top w:val="none" w:sz="0" w:space="0" w:color="auto"/>
        <w:left w:val="none" w:sz="0" w:space="0" w:color="auto"/>
        <w:bottom w:val="none" w:sz="0" w:space="0" w:color="auto"/>
        <w:right w:val="none" w:sz="0" w:space="0" w:color="auto"/>
      </w:divBdr>
    </w:div>
    <w:div w:id="1036003478">
      <w:bodyDiv w:val="1"/>
      <w:marLeft w:val="0"/>
      <w:marRight w:val="0"/>
      <w:marTop w:val="0"/>
      <w:marBottom w:val="0"/>
      <w:divBdr>
        <w:top w:val="none" w:sz="0" w:space="0" w:color="auto"/>
        <w:left w:val="none" w:sz="0" w:space="0" w:color="auto"/>
        <w:bottom w:val="none" w:sz="0" w:space="0" w:color="auto"/>
        <w:right w:val="none" w:sz="0" w:space="0" w:color="auto"/>
      </w:divBdr>
    </w:div>
    <w:div w:id="1049256562">
      <w:bodyDiv w:val="1"/>
      <w:marLeft w:val="0"/>
      <w:marRight w:val="0"/>
      <w:marTop w:val="0"/>
      <w:marBottom w:val="0"/>
      <w:divBdr>
        <w:top w:val="none" w:sz="0" w:space="0" w:color="auto"/>
        <w:left w:val="none" w:sz="0" w:space="0" w:color="auto"/>
        <w:bottom w:val="none" w:sz="0" w:space="0" w:color="auto"/>
        <w:right w:val="none" w:sz="0" w:space="0" w:color="auto"/>
      </w:divBdr>
    </w:div>
    <w:div w:id="1056515308">
      <w:bodyDiv w:val="1"/>
      <w:marLeft w:val="0"/>
      <w:marRight w:val="0"/>
      <w:marTop w:val="0"/>
      <w:marBottom w:val="0"/>
      <w:divBdr>
        <w:top w:val="none" w:sz="0" w:space="0" w:color="auto"/>
        <w:left w:val="none" w:sz="0" w:space="0" w:color="auto"/>
        <w:bottom w:val="none" w:sz="0" w:space="0" w:color="auto"/>
        <w:right w:val="none" w:sz="0" w:space="0" w:color="auto"/>
      </w:divBdr>
    </w:div>
    <w:div w:id="1078749374">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50193716">
      <w:bodyDiv w:val="1"/>
      <w:marLeft w:val="0"/>
      <w:marRight w:val="0"/>
      <w:marTop w:val="0"/>
      <w:marBottom w:val="0"/>
      <w:divBdr>
        <w:top w:val="none" w:sz="0" w:space="0" w:color="auto"/>
        <w:left w:val="none" w:sz="0" w:space="0" w:color="auto"/>
        <w:bottom w:val="none" w:sz="0" w:space="0" w:color="auto"/>
        <w:right w:val="none" w:sz="0" w:space="0" w:color="auto"/>
      </w:divBdr>
    </w:div>
    <w:div w:id="1254244540">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109653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531527956">
      <w:bodyDiv w:val="1"/>
      <w:marLeft w:val="0"/>
      <w:marRight w:val="0"/>
      <w:marTop w:val="0"/>
      <w:marBottom w:val="0"/>
      <w:divBdr>
        <w:top w:val="none" w:sz="0" w:space="0" w:color="auto"/>
        <w:left w:val="none" w:sz="0" w:space="0" w:color="auto"/>
        <w:bottom w:val="none" w:sz="0" w:space="0" w:color="auto"/>
        <w:right w:val="none" w:sz="0" w:space="0" w:color="auto"/>
      </w:divBdr>
    </w:div>
    <w:div w:id="1569925861">
      <w:bodyDiv w:val="1"/>
      <w:marLeft w:val="0"/>
      <w:marRight w:val="0"/>
      <w:marTop w:val="0"/>
      <w:marBottom w:val="0"/>
      <w:divBdr>
        <w:top w:val="none" w:sz="0" w:space="0" w:color="auto"/>
        <w:left w:val="none" w:sz="0" w:space="0" w:color="auto"/>
        <w:bottom w:val="none" w:sz="0" w:space="0" w:color="auto"/>
        <w:right w:val="none" w:sz="0" w:space="0" w:color="auto"/>
      </w:divBdr>
    </w:div>
    <w:div w:id="1637683477">
      <w:bodyDiv w:val="1"/>
      <w:marLeft w:val="0"/>
      <w:marRight w:val="0"/>
      <w:marTop w:val="0"/>
      <w:marBottom w:val="0"/>
      <w:divBdr>
        <w:top w:val="none" w:sz="0" w:space="0" w:color="auto"/>
        <w:left w:val="none" w:sz="0" w:space="0" w:color="auto"/>
        <w:bottom w:val="none" w:sz="0" w:space="0" w:color="auto"/>
        <w:right w:val="none" w:sz="0" w:space="0" w:color="auto"/>
      </w:divBdr>
    </w:div>
    <w:div w:id="1668897795">
      <w:bodyDiv w:val="1"/>
      <w:marLeft w:val="0"/>
      <w:marRight w:val="0"/>
      <w:marTop w:val="0"/>
      <w:marBottom w:val="0"/>
      <w:divBdr>
        <w:top w:val="none" w:sz="0" w:space="0" w:color="auto"/>
        <w:left w:val="none" w:sz="0" w:space="0" w:color="auto"/>
        <w:bottom w:val="none" w:sz="0" w:space="0" w:color="auto"/>
        <w:right w:val="none" w:sz="0" w:space="0" w:color="auto"/>
      </w:divBdr>
    </w:div>
    <w:div w:id="1694921694">
      <w:bodyDiv w:val="1"/>
      <w:marLeft w:val="0"/>
      <w:marRight w:val="0"/>
      <w:marTop w:val="0"/>
      <w:marBottom w:val="0"/>
      <w:divBdr>
        <w:top w:val="none" w:sz="0" w:space="0" w:color="auto"/>
        <w:left w:val="none" w:sz="0" w:space="0" w:color="auto"/>
        <w:bottom w:val="none" w:sz="0" w:space="0" w:color="auto"/>
        <w:right w:val="none" w:sz="0" w:space="0" w:color="auto"/>
      </w:divBdr>
    </w:div>
    <w:div w:id="1701129737">
      <w:bodyDiv w:val="1"/>
      <w:marLeft w:val="0"/>
      <w:marRight w:val="0"/>
      <w:marTop w:val="0"/>
      <w:marBottom w:val="0"/>
      <w:divBdr>
        <w:top w:val="none" w:sz="0" w:space="0" w:color="auto"/>
        <w:left w:val="none" w:sz="0" w:space="0" w:color="auto"/>
        <w:bottom w:val="none" w:sz="0" w:space="0" w:color="auto"/>
        <w:right w:val="none" w:sz="0" w:space="0" w:color="auto"/>
      </w:divBdr>
    </w:div>
    <w:div w:id="1702899963">
      <w:bodyDiv w:val="1"/>
      <w:marLeft w:val="0"/>
      <w:marRight w:val="0"/>
      <w:marTop w:val="0"/>
      <w:marBottom w:val="0"/>
      <w:divBdr>
        <w:top w:val="none" w:sz="0" w:space="0" w:color="auto"/>
        <w:left w:val="none" w:sz="0" w:space="0" w:color="auto"/>
        <w:bottom w:val="none" w:sz="0" w:space="0" w:color="auto"/>
        <w:right w:val="none" w:sz="0" w:space="0" w:color="auto"/>
      </w:divBdr>
    </w:div>
    <w:div w:id="1716851444">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763062590">
      <w:bodyDiv w:val="1"/>
      <w:marLeft w:val="0"/>
      <w:marRight w:val="0"/>
      <w:marTop w:val="0"/>
      <w:marBottom w:val="0"/>
      <w:divBdr>
        <w:top w:val="none" w:sz="0" w:space="0" w:color="auto"/>
        <w:left w:val="none" w:sz="0" w:space="0" w:color="auto"/>
        <w:bottom w:val="none" w:sz="0" w:space="0" w:color="auto"/>
        <w:right w:val="none" w:sz="0" w:space="0" w:color="auto"/>
      </w:divBdr>
    </w:div>
    <w:div w:id="1807777527">
      <w:bodyDiv w:val="1"/>
      <w:marLeft w:val="0"/>
      <w:marRight w:val="0"/>
      <w:marTop w:val="0"/>
      <w:marBottom w:val="0"/>
      <w:divBdr>
        <w:top w:val="none" w:sz="0" w:space="0" w:color="auto"/>
        <w:left w:val="none" w:sz="0" w:space="0" w:color="auto"/>
        <w:bottom w:val="none" w:sz="0" w:space="0" w:color="auto"/>
        <w:right w:val="none" w:sz="0" w:space="0" w:color="auto"/>
      </w:divBdr>
    </w:div>
    <w:div w:id="1992903637">
      <w:bodyDiv w:val="1"/>
      <w:marLeft w:val="0"/>
      <w:marRight w:val="0"/>
      <w:marTop w:val="0"/>
      <w:marBottom w:val="0"/>
      <w:divBdr>
        <w:top w:val="none" w:sz="0" w:space="0" w:color="auto"/>
        <w:left w:val="none" w:sz="0" w:space="0" w:color="auto"/>
        <w:bottom w:val="none" w:sz="0" w:space="0" w:color="auto"/>
        <w:right w:val="none" w:sz="0" w:space="0" w:color="auto"/>
      </w:divBdr>
    </w:div>
    <w:div w:id="1997689127">
      <w:bodyDiv w:val="1"/>
      <w:marLeft w:val="0"/>
      <w:marRight w:val="0"/>
      <w:marTop w:val="0"/>
      <w:marBottom w:val="0"/>
      <w:divBdr>
        <w:top w:val="none" w:sz="0" w:space="0" w:color="auto"/>
        <w:left w:val="none" w:sz="0" w:space="0" w:color="auto"/>
        <w:bottom w:val="none" w:sz="0" w:space="0" w:color="auto"/>
        <w:right w:val="none" w:sz="0" w:space="0" w:color="auto"/>
      </w:divBdr>
    </w:div>
    <w:div w:id="2012414719">
      <w:bodyDiv w:val="1"/>
      <w:marLeft w:val="0"/>
      <w:marRight w:val="0"/>
      <w:marTop w:val="0"/>
      <w:marBottom w:val="0"/>
      <w:divBdr>
        <w:top w:val="none" w:sz="0" w:space="0" w:color="auto"/>
        <w:left w:val="none" w:sz="0" w:space="0" w:color="auto"/>
        <w:bottom w:val="none" w:sz="0" w:space="0" w:color="auto"/>
        <w:right w:val="none" w:sz="0" w:space="0" w:color="auto"/>
      </w:divBdr>
    </w:div>
    <w:div w:id="2079590018">
      <w:bodyDiv w:val="1"/>
      <w:marLeft w:val="0"/>
      <w:marRight w:val="0"/>
      <w:marTop w:val="0"/>
      <w:marBottom w:val="0"/>
      <w:divBdr>
        <w:top w:val="none" w:sz="0" w:space="0" w:color="auto"/>
        <w:left w:val="none" w:sz="0" w:space="0" w:color="auto"/>
        <w:bottom w:val="none" w:sz="0" w:space="0" w:color="auto"/>
        <w:right w:val="none" w:sz="0" w:space="0" w:color="auto"/>
      </w:divBdr>
    </w:div>
    <w:div w:id="2100514381">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349d40221011edb4cae1b158f98ea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B569D-4564-40E3-A562-760549B2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5004</Words>
  <Characters>2853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Daiva Jankauskienė</cp:lastModifiedBy>
  <cp:revision>4</cp:revision>
  <dcterms:created xsi:type="dcterms:W3CDTF">2023-08-31T12:53:00Z</dcterms:created>
  <dcterms:modified xsi:type="dcterms:W3CDTF">2023-08-31T13:00:00Z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