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809D5D2" w:rsidR="007A39F1" w:rsidRPr="00873A28" w:rsidRDefault="00C36A8F"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„ESPBI IS </w:t>
      </w:r>
      <w:r w:rsidR="00001FC4">
        <w:rPr>
          <w:rFonts w:ascii="Times New Roman" w:eastAsia="Times New Roman" w:hAnsi="Times New Roman" w:cs="Times New Roman"/>
          <w:b/>
          <w:bCs/>
          <w:sz w:val="24"/>
          <w:szCs w:val="24"/>
        </w:rPr>
        <w:t>SUDARANČIŲ</w:t>
      </w:r>
      <w:r>
        <w:rPr>
          <w:rFonts w:ascii="Times New Roman" w:eastAsia="Times New Roman" w:hAnsi="Times New Roman" w:cs="Times New Roman"/>
          <w:b/>
          <w:bCs/>
          <w:sz w:val="24"/>
          <w:szCs w:val="24"/>
        </w:rPr>
        <w:t xml:space="preserve"> </w:t>
      </w:r>
      <w:r w:rsidR="00001FC4">
        <w:rPr>
          <w:rFonts w:ascii="Times New Roman" w:eastAsia="Times New Roman" w:hAnsi="Times New Roman" w:cs="Times New Roman"/>
          <w:b/>
          <w:bCs/>
          <w:sz w:val="24"/>
          <w:szCs w:val="24"/>
        </w:rPr>
        <w:t>POSISTEMIŲ</w:t>
      </w:r>
      <w:r>
        <w:rPr>
          <w:rFonts w:ascii="Times New Roman" w:eastAsia="Times New Roman" w:hAnsi="Times New Roman" w:cs="Times New Roman"/>
          <w:b/>
          <w:bCs/>
          <w:sz w:val="24"/>
          <w:szCs w:val="24"/>
        </w:rPr>
        <w:t xml:space="preserve"> </w:t>
      </w:r>
      <w:r w:rsidR="00001FC4">
        <w:rPr>
          <w:rFonts w:ascii="Times New Roman" w:eastAsia="Times New Roman" w:hAnsi="Times New Roman" w:cs="Times New Roman"/>
          <w:b/>
          <w:bCs/>
          <w:sz w:val="24"/>
          <w:szCs w:val="24"/>
        </w:rPr>
        <w:t>DEKOMPONAVIMAS</w:t>
      </w:r>
      <w:r>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C3F58D8" w:rsidR="00244F72" w:rsidRPr="00001FC4"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001FC4" w:rsidRPr="00001FC4">
        <w:rPr>
          <w:rFonts w:ascii="Times New Roman" w:hAnsi="Times New Roman" w:cs="Times New Roman"/>
          <w:sz w:val="24"/>
          <w:szCs w:val="24"/>
        </w:rPr>
        <w:t>09-021-P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630FF972" w14:textId="089D50FE" w:rsidR="00001FC4" w:rsidRPr="00001FC4" w:rsidRDefault="006E33E6" w:rsidP="00001FC4">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00001FC4">
        <w:rPr>
          <w:rFonts w:ascii="Times New Roman" w:hAnsi="Times New Roman" w:cs="Times New Roman"/>
          <w:sz w:val="24"/>
          <w:szCs w:val="24"/>
        </w:rPr>
        <w:t xml:space="preserve"> </w:t>
      </w:r>
      <w:r w:rsidR="003B7319" w:rsidRPr="3A2C37A1">
        <w:rPr>
          <w:rFonts w:ascii="Times New Roman" w:hAnsi="Times New Roman" w:cs="Times New Roman"/>
          <w:sz w:val="24"/>
          <w:szCs w:val="24"/>
        </w:rPr>
        <w:t>vadovaujantis</w:t>
      </w:r>
      <w:r w:rsidR="003B7319" w:rsidRPr="00001FC4">
        <w:rPr>
          <w:rFonts w:ascii="Times New Roman" w:hAnsi="Times New Roman" w:cs="Times New Roman"/>
          <w:sz w:val="24"/>
          <w:szCs w:val="24"/>
        </w:rPr>
        <w:t xml:space="preserve"> </w:t>
      </w:r>
      <w:r w:rsidR="00001FC4" w:rsidRPr="00001FC4">
        <w:rPr>
          <w:rFonts w:ascii="Times New Roman" w:hAnsi="Times New Roman" w:cs="Times New Roman"/>
          <w:sz w:val="24"/>
          <w:szCs w:val="24"/>
        </w:rPr>
        <w:t xml:space="preserve">Lietuvos Respublikos sveikatos apsaugos ministro </w:t>
      </w:r>
      <w:r w:rsidR="00001FC4" w:rsidRPr="00571800">
        <w:rPr>
          <w:rFonts w:ascii="Times New Roman" w:hAnsi="Times New Roman" w:cs="Times New Roman"/>
          <w:sz w:val="24"/>
          <w:szCs w:val="24"/>
        </w:rPr>
        <w:t>202</w:t>
      </w:r>
      <w:r w:rsidR="00001FC4" w:rsidRPr="00001FC4">
        <w:rPr>
          <w:rFonts w:ascii="Times New Roman" w:hAnsi="Times New Roman" w:cs="Times New Roman"/>
          <w:sz w:val="24"/>
          <w:szCs w:val="24"/>
        </w:rPr>
        <w:t>3</w:t>
      </w:r>
      <w:r w:rsidR="00001FC4" w:rsidRPr="00571800">
        <w:rPr>
          <w:rFonts w:ascii="Times New Roman" w:hAnsi="Times New Roman" w:cs="Times New Roman"/>
          <w:sz w:val="24"/>
          <w:szCs w:val="24"/>
        </w:rPr>
        <w:t xml:space="preserve"> m. </w:t>
      </w:r>
      <w:r w:rsidR="00001FC4">
        <w:rPr>
          <w:rFonts w:ascii="Times New Roman" w:hAnsi="Times New Roman" w:cs="Times New Roman"/>
          <w:sz w:val="24"/>
          <w:szCs w:val="24"/>
        </w:rPr>
        <w:t>birželio 29 d. įsakymu</w:t>
      </w:r>
      <w:r w:rsidR="00001FC4" w:rsidRPr="00571800">
        <w:rPr>
          <w:rFonts w:ascii="Times New Roman" w:hAnsi="Times New Roman" w:cs="Times New Roman"/>
          <w:sz w:val="24"/>
          <w:szCs w:val="24"/>
        </w:rPr>
        <w:t xml:space="preserve"> </w:t>
      </w:r>
      <w:r w:rsidR="00001FC4">
        <w:rPr>
          <w:rFonts w:ascii="Times New Roman" w:hAnsi="Times New Roman" w:cs="Times New Roman"/>
          <w:sz w:val="24"/>
          <w:szCs w:val="24"/>
        </w:rPr>
        <w:t>Nr. V-</w:t>
      </w:r>
      <w:r w:rsidR="00001FC4" w:rsidRPr="00001FC4">
        <w:rPr>
          <w:rFonts w:ascii="Times New Roman" w:hAnsi="Times New Roman" w:cs="Times New Roman"/>
          <w:sz w:val="24"/>
          <w:szCs w:val="24"/>
        </w:rPr>
        <w:t>745</w:t>
      </w:r>
      <w:r w:rsidR="00001FC4" w:rsidRPr="00571800">
        <w:rPr>
          <w:rFonts w:ascii="Times New Roman" w:hAnsi="Times New Roman" w:cs="Times New Roman"/>
          <w:sz w:val="24"/>
          <w:szCs w:val="24"/>
        </w:rPr>
        <w:t xml:space="preserve"> „Dėl </w:t>
      </w:r>
      <w:r w:rsidR="00001FC4">
        <w:rPr>
          <w:rFonts w:ascii="Times New Roman" w:hAnsi="Times New Roman" w:cs="Times New Roman"/>
          <w:sz w:val="24"/>
          <w:szCs w:val="24"/>
        </w:rPr>
        <w:t xml:space="preserve">Lietuvos Respublikos sveikatos apsaugos ministro 2022 m. gegužės </w:t>
      </w:r>
      <w:r w:rsidR="00001FC4" w:rsidRPr="00001FC4">
        <w:rPr>
          <w:rFonts w:ascii="Times New Roman" w:hAnsi="Times New Roman" w:cs="Times New Roman"/>
          <w:sz w:val="24"/>
          <w:szCs w:val="24"/>
        </w:rPr>
        <w:t xml:space="preserve">20 d. </w:t>
      </w:r>
      <w:r w:rsidR="00001FC4">
        <w:rPr>
          <w:rFonts w:ascii="Times New Roman" w:hAnsi="Times New Roman" w:cs="Times New Roman"/>
          <w:sz w:val="24"/>
          <w:szCs w:val="24"/>
        </w:rPr>
        <w:t>įsakymo Nr. V-9</w:t>
      </w:r>
      <w:r w:rsidR="00001FC4" w:rsidRPr="00001FC4">
        <w:rPr>
          <w:rFonts w:ascii="Times New Roman" w:hAnsi="Times New Roman" w:cs="Times New Roman"/>
          <w:sz w:val="24"/>
          <w:szCs w:val="24"/>
        </w:rPr>
        <w:t xml:space="preserve">88 </w:t>
      </w:r>
      <w:r w:rsidR="00001FC4">
        <w:rPr>
          <w:rFonts w:ascii="Times New Roman" w:hAnsi="Times New Roman" w:cs="Times New Roman"/>
          <w:sz w:val="24"/>
          <w:szCs w:val="24"/>
        </w:rPr>
        <w:t>„</w:t>
      </w:r>
      <w:r w:rsidR="00001FC4" w:rsidRPr="00001FC4">
        <w:rPr>
          <w:rFonts w:ascii="Times New Roman" w:hAnsi="Times New Roman" w:cs="Times New Roman"/>
          <w:sz w:val="24"/>
          <w:szCs w:val="24"/>
        </w:rPr>
        <w:t>D</w:t>
      </w:r>
      <w:r w:rsidR="00001FC4">
        <w:rPr>
          <w:rFonts w:ascii="Times New Roman" w:hAnsi="Times New Roman" w:cs="Times New Roman"/>
          <w:sz w:val="24"/>
          <w:szCs w:val="24"/>
        </w:rPr>
        <w:t xml:space="preserve">ėl </w:t>
      </w:r>
      <w:r w:rsidR="00001FC4" w:rsidRPr="00001FC4">
        <w:rPr>
          <w:rFonts w:ascii="Times New Roman" w:hAnsi="Times New Roman" w:cs="Times New Roman"/>
          <w:sz w:val="24"/>
          <w:szCs w:val="24"/>
        </w:rPr>
        <w:t>2022-2030 met</w:t>
      </w:r>
      <w:r w:rsidR="00001FC4">
        <w:rPr>
          <w:rFonts w:ascii="Times New Roman" w:hAnsi="Times New Roman" w:cs="Times New Roman"/>
          <w:sz w:val="24"/>
          <w:szCs w:val="24"/>
        </w:rPr>
        <w:t xml:space="preserve">ų plėtros programos valdytojos Lietuvos Respublikos sveikatos apsaugos ministerijos sveikatos priežiūros kokybės ir efektyvumo didinimo plėtros programos pažangos priemonės Nr. </w:t>
      </w:r>
      <w:r w:rsidR="00001FC4" w:rsidRPr="00001FC4">
        <w:rPr>
          <w:rFonts w:ascii="Times New Roman" w:hAnsi="Times New Roman" w:cs="Times New Roman"/>
          <w:sz w:val="24"/>
          <w:szCs w:val="24"/>
        </w:rPr>
        <w:t xml:space="preserve">11-002-02-11-01 </w:t>
      </w:r>
      <w:r w:rsidR="00001FC4">
        <w:rPr>
          <w:rFonts w:ascii="Times New Roman" w:hAnsi="Times New Roman" w:cs="Times New Roman"/>
          <w:sz w:val="24"/>
          <w:szCs w:val="24"/>
        </w:rPr>
        <w:t>„</w:t>
      </w:r>
      <w:r w:rsidR="00001FC4" w:rsidRPr="00001FC4">
        <w:rPr>
          <w:rFonts w:ascii="Times New Roman" w:hAnsi="Times New Roman" w:cs="Times New Roman"/>
          <w:sz w:val="24"/>
          <w:szCs w:val="24"/>
        </w:rPr>
        <w:t>Gerinti sveikatos prie</w:t>
      </w:r>
      <w:r w:rsidR="00001FC4">
        <w:rPr>
          <w:rFonts w:ascii="Times New Roman" w:hAnsi="Times New Roman" w:cs="Times New Roman"/>
          <w:sz w:val="24"/>
          <w:szCs w:val="24"/>
        </w:rPr>
        <w:t>žiūros  paslaugų kokybę ir prieinamumą“ aprašo patvirtinimo“ pakeitimo</w:t>
      </w:r>
      <w:r w:rsidR="00995CEE">
        <w:rPr>
          <w:rFonts w:ascii="Times New Roman" w:hAnsi="Times New Roman" w:cs="Times New Roman"/>
          <w:sz w:val="24"/>
          <w:szCs w:val="24"/>
        </w:rPr>
        <w:t>“</w:t>
      </w:r>
      <w:r w:rsidR="00001FC4">
        <w:rPr>
          <w:rFonts w:ascii="Times New Roman" w:hAnsi="Times New Roman" w:cs="Times New Roman"/>
          <w:sz w:val="24"/>
          <w:szCs w:val="24"/>
        </w:rPr>
        <w:t xml:space="preserve"> patvirtintu </w:t>
      </w:r>
      <w:r w:rsidR="00001FC4" w:rsidRPr="00001FC4">
        <w:rPr>
          <w:rFonts w:ascii="Times New Roman" w:hAnsi="Times New Roman" w:cs="Times New Roman"/>
          <w:sz w:val="24"/>
          <w:szCs w:val="24"/>
        </w:rPr>
        <w:t xml:space="preserve">12 priedu </w:t>
      </w:r>
      <w:r w:rsidR="00001FC4">
        <w:rPr>
          <w:rFonts w:ascii="Times New Roman" w:hAnsi="Times New Roman" w:cs="Times New Roman"/>
          <w:sz w:val="24"/>
          <w:szCs w:val="24"/>
        </w:rPr>
        <w:t>„</w:t>
      </w:r>
      <w:r w:rsidR="00001FC4" w:rsidRPr="00001FC4">
        <w:rPr>
          <w:rFonts w:ascii="Times New Roman" w:hAnsi="Times New Roman" w:cs="Times New Roman"/>
          <w:sz w:val="24"/>
          <w:szCs w:val="24"/>
        </w:rPr>
        <w:t>2022-2030 met</w:t>
      </w:r>
      <w:r w:rsidR="00001FC4">
        <w:rPr>
          <w:rFonts w:ascii="Times New Roman" w:hAnsi="Times New Roman" w:cs="Times New Roman"/>
          <w:sz w:val="24"/>
          <w:szCs w:val="24"/>
        </w:rPr>
        <w:t xml:space="preserve">ų plėtros programos valdytojos Lietuvos Respublikos sveikatos apsaugos ministerijos sveikatos priežiūros kokybės ir efektyvumo didinimo plėtros programos pažangos priemonės Nr. </w:t>
      </w:r>
      <w:r w:rsidR="00001FC4" w:rsidRPr="00001FC4">
        <w:rPr>
          <w:rFonts w:ascii="Times New Roman" w:hAnsi="Times New Roman" w:cs="Times New Roman"/>
          <w:sz w:val="24"/>
          <w:szCs w:val="24"/>
        </w:rPr>
        <w:t xml:space="preserve">11-002-02-11-01 </w:t>
      </w:r>
      <w:r w:rsidR="00001FC4">
        <w:rPr>
          <w:rFonts w:ascii="Times New Roman" w:hAnsi="Times New Roman" w:cs="Times New Roman"/>
          <w:sz w:val="24"/>
          <w:szCs w:val="24"/>
        </w:rPr>
        <w:t>„</w:t>
      </w:r>
      <w:r w:rsidR="00001FC4" w:rsidRPr="00001FC4">
        <w:rPr>
          <w:rFonts w:ascii="Times New Roman" w:hAnsi="Times New Roman" w:cs="Times New Roman"/>
          <w:sz w:val="24"/>
          <w:szCs w:val="24"/>
        </w:rPr>
        <w:t>Gerinti sveikatos prie</w:t>
      </w:r>
      <w:r w:rsidR="00001FC4">
        <w:rPr>
          <w:rFonts w:ascii="Times New Roman" w:hAnsi="Times New Roman" w:cs="Times New Roman"/>
          <w:sz w:val="24"/>
          <w:szCs w:val="24"/>
        </w:rPr>
        <w:t>žiūros kokybę ir prieinamumo didinimą“ aprašas“ (toliau – Aprašas).</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E71692E" w:rsidR="00962A9D" w:rsidRPr="00995CEE" w:rsidDel="00CA2776" w:rsidRDefault="00995CEE" w:rsidP="6DA6B6F8">
            <w:pPr>
              <w:rPr>
                <w:rFonts w:ascii="Times New Roman" w:hAnsi="Times New Roman" w:cs="Times New Roman"/>
              </w:rPr>
            </w:pPr>
            <w:r w:rsidRPr="00995CEE">
              <w:rPr>
                <w:rFonts w:ascii="Times New Roman" w:hAnsi="Times New Roman" w:cs="Times New Roman"/>
              </w:rPr>
              <w:t>11-002-02-11-01</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A14A609" w:rsidR="00962A9D" w:rsidRPr="00995CEE" w:rsidDel="00CA2776" w:rsidRDefault="00995CEE" w:rsidP="008B168C">
            <w:pPr>
              <w:rPr>
                <w:rFonts w:ascii="Times New Roman" w:hAnsi="Times New Roman" w:cs="Times New Roman"/>
              </w:rPr>
            </w:pPr>
            <w:r w:rsidRPr="00995CEE">
              <w:rPr>
                <w:rFonts w:ascii="Times New Roman" w:hAnsi="Times New Roman" w:cs="Times New Roman"/>
              </w:rPr>
              <w:t>Gerinti sveikatos priežiūros paslaugų kokybę ir prieinamumą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3BE2AF4" w:rsidR="00962A9D" w:rsidRPr="00995CEE" w:rsidDel="00CA2776" w:rsidRDefault="00995CEE" w:rsidP="3537D0DD">
            <w:pPr>
              <w:rPr>
                <w:rFonts w:ascii="Times New Roman" w:hAnsi="Times New Roman" w:cs="Times New Roman"/>
              </w:rPr>
            </w:pPr>
            <w:r w:rsidRPr="00995CEE">
              <w:rPr>
                <w:rFonts w:ascii="Times New Roman" w:hAnsi="Times New Roman" w:cs="Times New Roman"/>
              </w:rPr>
              <w:t>Lietuvos Respublikos sveikatos apsaugos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04A57E2" w:rsidR="00962A9D" w:rsidRPr="00995CEE" w:rsidDel="00CA2776" w:rsidRDefault="00995CEE" w:rsidP="61F0C4A1">
            <w:pPr>
              <w:rPr>
                <w:rFonts w:ascii="Times New Roman" w:hAnsi="Times New Roman" w:cs="Times New Roman"/>
              </w:rPr>
            </w:pPr>
            <w:r w:rsidRPr="00995CEE">
              <w:rPr>
                <w:rFonts w:ascii="Times New Roman" w:hAnsi="Times New Roman" w:cs="Times New Roman"/>
              </w:rPr>
              <w:t>-</w:t>
            </w: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36E10369" w14:textId="5317D30F" w:rsidR="00995CEE" w:rsidRDefault="00995CEE" w:rsidP="008B168C">
            <w:pPr>
              <w:rPr>
                <w:rFonts w:ascii="Times New Roman" w:hAnsi="Times New Roman" w:cs="Times New Roman"/>
              </w:rPr>
            </w:pPr>
            <w:r w:rsidRPr="00995CEE">
              <w:rPr>
                <w:rFonts w:ascii="Times New Roman" w:hAnsi="Times New Roman" w:cs="Times New Roman"/>
              </w:rPr>
              <w:t>2022–2030 metų plėtros programos valdytojos Lietuvos Respublikos sveikatos apsaugos ministerijos sveikatos priežiūros kokybės ir efektyvumo didinimo plėtros programos pažangos priemonės Nr. 11-002-02-11-01 „Gerinti sveikatos priežiūros paslaugų kokybę ir prieinamumą“ aprašas</w:t>
            </w:r>
          </w:p>
          <w:p w14:paraId="6B15DFD1" w14:textId="553B5EC1" w:rsidR="00995CEE" w:rsidRDefault="00AE7DE3" w:rsidP="008B168C">
            <w:pPr>
              <w:rPr>
                <w:rFonts w:ascii="Times New Roman" w:hAnsi="Times New Roman" w:cs="Times New Roman"/>
              </w:rPr>
            </w:pPr>
            <w:hyperlink r:id="rId11" w:history="1">
              <w:r w:rsidR="00995CEE" w:rsidRPr="008C4AFA">
                <w:rPr>
                  <w:rStyle w:val="Hyperlink"/>
                  <w:rFonts w:ascii="Times New Roman" w:hAnsi="Times New Roman" w:cs="Times New Roman"/>
                </w:rPr>
                <w:t>https://www.e-tar.lt/portal/lt/legalAct/0431bbf0d83411ec8d9390588bf2de65</w:t>
              </w:r>
            </w:hyperlink>
          </w:p>
          <w:p w14:paraId="48901D63" w14:textId="7E71B411" w:rsidR="00995CEE" w:rsidRPr="00995CEE" w:rsidDel="00CA2776" w:rsidRDefault="00995CEE" w:rsidP="008B168C">
            <w:pPr>
              <w:rPr>
                <w:rFonts w:ascii="Times New Roman" w:hAnsi="Times New Roman" w:cs="Times New Roman"/>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49"/>
        <w:gridCol w:w="2129"/>
        <w:gridCol w:w="1559"/>
        <w:gridCol w:w="2016"/>
        <w:gridCol w:w="1101"/>
        <w:gridCol w:w="2630"/>
      </w:tblGrid>
      <w:tr w:rsidR="00DC7931" w:rsidRPr="008B168C" w14:paraId="312D3FE8" w14:textId="0770522D" w:rsidTr="00E661B8">
        <w:trPr>
          <w:cantSplit/>
          <w:trHeight w:val="300"/>
        </w:trPr>
        <w:tc>
          <w:tcPr>
            <w:tcW w:w="849"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5" w:type="dxa"/>
            <w:gridSpan w:val="5"/>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AE7DE3">
        <w:trPr>
          <w:cantSplit/>
          <w:trHeight w:val="300"/>
        </w:trPr>
        <w:tc>
          <w:tcPr>
            <w:tcW w:w="849"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129"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306" w:type="dxa"/>
            <w:gridSpan w:val="4"/>
          </w:tcPr>
          <w:p w14:paraId="048E8891" w14:textId="68BEB341" w:rsidR="001A1453" w:rsidRPr="008B168C" w:rsidRDefault="00AE7DE3"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AE7DE3"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AE7DE3"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AE7DE3"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AE7DE3"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AE7DE3"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AE7DE3"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AE7DE3"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6067764F" w:rsidR="001A1453" w:rsidRPr="008B168C" w:rsidRDefault="00AE7DE3" w:rsidP="008B168C">
            <w:pPr>
              <w:rPr>
                <w:rFonts w:ascii="Times New Roman" w:hAnsi="Times New Roman" w:cs="Times New Roman"/>
              </w:rPr>
            </w:pPr>
            <w:sdt>
              <w:sdtPr>
                <w:rPr>
                  <w:rFonts w:ascii="Times New Roman" w:hAnsi="Times New Roman" w:cs="Times New Roman"/>
                </w:rPr>
                <w:id w:val="-78367856"/>
                <w14:checkbox>
                  <w14:checked w14:val="1"/>
                  <w14:checkedState w14:val="2612" w14:font="MS Gothic"/>
                  <w14:uncheckedState w14:val="2610" w14:font="MS Gothic"/>
                </w14:checkbox>
              </w:sdtPr>
              <w:sdtEndPr/>
              <w:sdtContent>
                <w:r w:rsidR="00D50D78">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AE7DE3"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AE7DE3"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AE7DE3"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AE7DE3"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AE7DE3"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AE7DE3"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AE7DE3"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AE7DE3"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AE7DE3"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AE7DE3"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AE7DE3"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AE7DE3"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AE7DE3"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AE7DE3">
        <w:trPr>
          <w:cantSplit/>
          <w:trHeight w:val="300"/>
        </w:trPr>
        <w:tc>
          <w:tcPr>
            <w:tcW w:w="849"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129"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30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3E0E2DB7" w:rsidR="00E20AFE" w:rsidRDefault="00AE7DE3"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50D78">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AE7DE3"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AE7DE3">
        <w:trPr>
          <w:cantSplit/>
          <w:trHeight w:val="300"/>
        </w:trPr>
        <w:tc>
          <w:tcPr>
            <w:tcW w:w="849"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129"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575" w:type="dxa"/>
            <w:gridSpan w:val="2"/>
          </w:tcPr>
          <w:p w14:paraId="43D96310" w14:textId="4956C2FA" w:rsidR="00E20AFE" w:rsidRPr="008B168C" w:rsidRDefault="47B38D5F" w:rsidP="00D50D78">
            <w:pPr>
              <w:rPr>
                <w:rFonts w:ascii="Times New Roman" w:hAnsi="Times New Roman" w:cs="Times New Roman"/>
              </w:rPr>
            </w:pPr>
            <w:r w:rsidRPr="2327CC7F">
              <w:rPr>
                <w:rFonts w:ascii="Times New Roman" w:hAnsi="Times New Roman" w:cs="Times New Roman"/>
              </w:rPr>
              <w:t xml:space="preserve">Nuo </w:t>
            </w:r>
            <w:r w:rsidR="00D50D78">
              <w:rPr>
                <w:rFonts w:ascii="Times New Roman" w:hAnsi="Times New Roman" w:cs="Times New Roman"/>
              </w:rPr>
              <w:t>2023 m. liepos 10 d. 8:00 val.</w:t>
            </w:r>
            <w:r w:rsidRPr="2327CC7F">
              <w:rPr>
                <w:rFonts w:ascii="Times New Roman" w:hAnsi="Times New Roman" w:cs="Times New Roman"/>
              </w:rPr>
              <w:t xml:space="preserve"> </w:t>
            </w:r>
          </w:p>
        </w:tc>
        <w:tc>
          <w:tcPr>
            <w:tcW w:w="3731" w:type="dxa"/>
            <w:gridSpan w:val="2"/>
          </w:tcPr>
          <w:p w14:paraId="05BA4005" w14:textId="3DAFC7B2" w:rsidR="00E20AFE" w:rsidRPr="004375FB" w:rsidRDefault="47B38D5F" w:rsidP="00D50D78">
            <w:pPr>
              <w:rPr>
                <w:rFonts w:ascii="Times New Roman" w:hAnsi="Times New Roman" w:cs="Times New Roman"/>
                <w:lang w:val="pt-BR"/>
              </w:rPr>
            </w:pPr>
            <w:r w:rsidRPr="2327CC7F">
              <w:rPr>
                <w:rFonts w:ascii="Times New Roman" w:hAnsi="Times New Roman" w:cs="Times New Roman"/>
              </w:rPr>
              <w:t xml:space="preserve">Iki </w:t>
            </w:r>
            <w:r w:rsidR="00D50D78" w:rsidRPr="004375FB">
              <w:rPr>
                <w:rFonts w:ascii="Times New Roman" w:hAnsi="Times New Roman" w:cs="Times New Roman"/>
                <w:lang w:val="pt-BR"/>
              </w:rPr>
              <w:t>2023 m. rugpj</w:t>
            </w:r>
            <w:r w:rsidR="00D50D78">
              <w:rPr>
                <w:rFonts w:ascii="Times New Roman" w:hAnsi="Times New Roman" w:cs="Times New Roman"/>
              </w:rPr>
              <w:t xml:space="preserve">ūčio </w:t>
            </w:r>
            <w:r w:rsidR="00D50D78" w:rsidRPr="004375FB">
              <w:rPr>
                <w:rFonts w:ascii="Times New Roman" w:hAnsi="Times New Roman" w:cs="Times New Roman"/>
                <w:lang w:val="pt-BR"/>
              </w:rPr>
              <w:t>31 d. 17 val.</w:t>
            </w:r>
          </w:p>
        </w:tc>
      </w:tr>
      <w:tr w:rsidR="00DC7931" w:rsidRPr="008B168C" w14:paraId="0B0CF49A" w14:textId="77777777" w:rsidTr="00AE7DE3">
        <w:trPr>
          <w:cantSplit/>
          <w:trHeight w:val="300"/>
        </w:trPr>
        <w:tc>
          <w:tcPr>
            <w:tcW w:w="849"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129"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30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AE7DE3"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524FA1F7" w:rsidR="00E20AFE" w:rsidRPr="008B168C" w:rsidRDefault="00AE7DE3"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D50D78">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AE7DE3">
        <w:trPr>
          <w:cantSplit/>
          <w:trHeight w:val="300"/>
        </w:trPr>
        <w:tc>
          <w:tcPr>
            <w:tcW w:w="849"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129" w:type="dxa"/>
          </w:tcPr>
          <w:p w14:paraId="7A9F8E52" w14:textId="28016A5B"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30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6E590EB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D50D78">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AF0E21B" w:rsidR="00571D7C" w:rsidRPr="008B168C" w:rsidRDefault="00571D7C" w:rsidP="00AE7DE3">
            <w:pPr>
              <w:rPr>
                <w:rFonts w:ascii="Times New Roman" w:hAnsi="Times New Roman" w:cs="Times New Roman"/>
              </w:rPr>
            </w:pPr>
            <w:r w:rsidRPr="00EF0230">
              <w:rPr>
                <w:rFonts w:ascii="Times New Roman" w:hAnsi="Times New Roman" w:cs="Times New Roman"/>
                <w:i/>
                <w:iCs/>
              </w:rPr>
              <w:t>Jeigu Pažangos priemonės veikl</w:t>
            </w:r>
            <w:r w:rsidR="29811BE0" w:rsidRPr="08156336">
              <w:rPr>
                <w:rFonts w:ascii="Times New Roman" w:hAnsi="Times New Roman" w:cs="Times New Roman"/>
                <w:i/>
                <w:iCs/>
              </w:rPr>
              <w:t>a</w:t>
            </w:r>
            <w:r w:rsidRPr="009C094C">
              <w:rPr>
                <w:rFonts w:ascii="Times New Roman" w:hAnsi="Times New Roman" w:cs="Times New Roman"/>
                <w:i/>
                <w:iCs/>
              </w:rPr>
              <w:t xml:space="preserve"> </w:t>
            </w:r>
            <w:r w:rsidR="6C23EA9E" w:rsidRPr="08156336">
              <w:rPr>
                <w:rFonts w:ascii="Times New Roman" w:hAnsi="Times New Roman" w:cs="Times New Roman"/>
                <w:i/>
                <w:iCs/>
              </w:rPr>
              <w:t>(</w:t>
            </w:r>
            <w:r w:rsidRPr="00EF0230">
              <w:rPr>
                <w:rFonts w:ascii="Times New Roman" w:hAnsi="Times New Roman" w:cs="Times New Roman"/>
                <w:i/>
                <w:iCs/>
              </w:rPr>
              <w:t>poveiklė</w:t>
            </w:r>
            <w:r w:rsidR="17BC6848" w:rsidRPr="08156336">
              <w:rPr>
                <w:rFonts w:ascii="Times New Roman" w:hAnsi="Times New Roman" w:cs="Times New Roman"/>
                <w:i/>
                <w:iCs/>
              </w:rPr>
              <w:t>)</w:t>
            </w:r>
            <w:r w:rsidRPr="009C094C">
              <w:rPr>
                <w:rFonts w:ascii="Times New Roman" w:hAnsi="Times New Roman" w:cs="Times New Roman"/>
                <w:i/>
                <w:iCs/>
              </w:rPr>
              <w:t xml:space="preserve"> finansuojam</w:t>
            </w:r>
            <w:r w:rsidR="151C891F" w:rsidRPr="08156336">
              <w:rPr>
                <w:rFonts w:ascii="Times New Roman" w:hAnsi="Times New Roman" w:cs="Times New Roman"/>
                <w:i/>
                <w:iCs/>
              </w:rPr>
              <w:t>a</w:t>
            </w:r>
            <w:r w:rsidRPr="009C094C">
              <w:rPr>
                <w:rFonts w:ascii="Times New Roman" w:hAnsi="Times New Roman" w:cs="Times New Roman"/>
                <w:i/>
                <w:iCs/>
              </w:rPr>
              <w:t xml:space="preserve"> iš EGADP, </w:t>
            </w:r>
            <w:r w:rsidR="3B894762" w:rsidRPr="009C094C">
              <w:rPr>
                <w:rFonts w:ascii="Times New Roman" w:hAnsi="Times New Roman" w:cs="Times New Roman"/>
                <w:i/>
                <w:iCs/>
              </w:rPr>
              <w:t>S</w:t>
            </w:r>
            <w:r w:rsidRPr="009C094C">
              <w:rPr>
                <w:rFonts w:ascii="Times New Roman" w:hAnsi="Times New Roman" w:cs="Times New Roman"/>
                <w:i/>
                <w:iCs/>
              </w:rPr>
              <w:t>anglaudos</w:t>
            </w:r>
            <w:r w:rsidR="695228D2" w:rsidRPr="009C094C">
              <w:rPr>
                <w:rFonts w:ascii="Times New Roman" w:hAnsi="Times New Roman" w:cs="Times New Roman"/>
                <w:i/>
                <w:iCs/>
              </w:rPr>
              <w:t xml:space="preserve"> fond</w:t>
            </w:r>
            <w:r w:rsidR="1737A5D5" w:rsidRPr="009C094C">
              <w:rPr>
                <w:rFonts w:ascii="Times New Roman" w:hAnsi="Times New Roman" w:cs="Times New Roman"/>
                <w:i/>
                <w:iCs/>
              </w:rPr>
              <w:t>o</w:t>
            </w:r>
            <w:r w:rsidR="0B27ABD0" w:rsidRPr="009C094C">
              <w:rPr>
                <w:rFonts w:ascii="Times New Roman" w:hAnsi="Times New Roman" w:cs="Times New Roman"/>
                <w:i/>
                <w:iCs/>
              </w:rPr>
              <w:t>, Teisingos pertvarkos</w:t>
            </w:r>
            <w:r w:rsidRPr="009C094C">
              <w:rPr>
                <w:rFonts w:ascii="Times New Roman" w:hAnsi="Times New Roman" w:cs="Times New Roman"/>
                <w:i/>
                <w:iCs/>
              </w:rPr>
              <w:t xml:space="preserve"> </w:t>
            </w:r>
            <w:r w:rsidR="1737A5D5" w:rsidRPr="009C094C">
              <w:rPr>
                <w:rFonts w:ascii="Times New Roman" w:hAnsi="Times New Roman" w:cs="Times New Roman"/>
                <w:i/>
                <w:iCs/>
              </w:rPr>
              <w:t>fondo</w:t>
            </w:r>
            <w:r w:rsidR="009C094C">
              <w:rPr>
                <w:rFonts w:ascii="Times New Roman" w:hAnsi="Times New Roman" w:cs="Times New Roman"/>
                <w:i/>
                <w:iCs/>
              </w:rPr>
              <w:t xml:space="preserve"> lėšų  – žymima </w:t>
            </w:r>
            <w:r w:rsidRPr="009C094C">
              <w:rPr>
                <w:rFonts w:ascii="Times New Roman" w:hAnsi="Times New Roman" w:cs="Times New Roman"/>
                <w:i/>
                <w:iCs/>
              </w:rPr>
              <w:t>„Netaikoma“.</w:t>
            </w:r>
          </w:p>
        </w:tc>
      </w:tr>
      <w:tr w:rsidR="00DC7931" w:rsidRPr="008B168C" w14:paraId="42C83415" w14:textId="77777777" w:rsidTr="00AE7DE3">
        <w:trPr>
          <w:cantSplit/>
          <w:trHeight w:val="1408"/>
        </w:trPr>
        <w:tc>
          <w:tcPr>
            <w:tcW w:w="849"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129" w:type="dxa"/>
            <w:shd w:val="clear" w:color="auto" w:fill="auto"/>
          </w:tcPr>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306" w:type="dxa"/>
            <w:gridSpan w:val="4"/>
          </w:tcPr>
          <w:p w14:paraId="0E241976" w14:textId="77777777" w:rsidR="00155D27" w:rsidRDefault="528A60B0" w:rsidP="009C094C">
            <w:pPr>
              <w:tabs>
                <w:tab w:val="left" w:pos="1392"/>
              </w:tabs>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432C1B67" w:rsidR="009C094C" w:rsidRPr="009C094C" w:rsidRDefault="00AE7DE3"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AE7DE3"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AE7DE3"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AE7DE3">
        <w:trPr>
          <w:cantSplit/>
          <w:trHeight w:val="300"/>
        </w:trPr>
        <w:tc>
          <w:tcPr>
            <w:tcW w:w="849"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129"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306"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80D52FF"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50D78">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AE7DE3">
        <w:trPr>
          <w:cantSplit/>
          <w:trHeight w:val="300"/>
        </w:trPr>
        <w:tc>
          <w:tcPr>
            <w:tcW w:w="849"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129"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306"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83EDE28" w:rsidR="00AF57CF" w:rsidRPr="008B168C" w:rsidRDefault="00AE7DE3"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50D78">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AE7DE3"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AE7DE3"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AE7DE3"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AE7DE3"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AE7DE3"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E661B8">
        <w:trPr>
          <w:cantSplit/>
          <w:trHeight w:val="163"/>
        </w:trPr>
        <w:tc>
          <w:tcPr>
            <w:tcW w:w="849"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5" w:type="dxa"/>
            <w:gridSpan w:val="5"/>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AE7DE3">
        <w:trPr>
          <w:cantSplit/>
          <w:trHeight w:val="939"/>
        </w:trPr>
        <w:tc>
          <w:tcPr>
            <w:tcW w:w="849" w:type="dxa"/>
            <w:vMerge/>
          </w:tcPr>
          <w:p w14:paraId="2553A449" w14:textId="77777777" w:rsidR="00AC029E" w:rsidRDefault="00AC029E" w:rsidP="00AC029E">
            <w:pPr>
              <w:rPr>
                <w:rFonts w:ascii="Times New Roman" w:hAnsi="Times New Roman" w:cs="Times New Roman"/>
              </w:rPr>
            </w:pPr>
          </w:p>
        </w:tc>
        <w:tc>
          <w:tcPr>
            <w:tcW w:w="2129"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306" w:type="dxa"/>
            <w:gridSpan w:val="4"/>
          </w:tcPr>
          <w:p w14:paraId="2DB84165" w14:textId="4D67F198" w:rsidR="00AC029E" w:rsidRPr="008B168C" w:rsidRDefault="00AE7DE3"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1"/>
                  <w14:checkedState w14:val="2612" w14:font="MS Gothic"/>
                  <w14:uncheckedState w14:val="2610" w14:font="MS Gothic"/>
                </w14:checkbox>
              </w:sdtPr>
              <w:sdtEndPr/>
              <w:sdtContent>
                <w:r w:rsidR="006725A4">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AE7DE3"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AE7DE3"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AE7DE3">
        <w:trPr>
          <w:cantSplit/>
          <w:trHeight w:val="326"/>
        </w:trPr>
        <w:tc>
          <w:tcPr>
            <w:tcW w:w="849" w:type="dxa"/>
            <w:vMerge/>
          </w:tcPr>
          <w:p w14:paraId="4ACEE9B7" w14:textId="77777777" w:rsidR="00AC029E" w:rsidRDefault="00AC029E" w:rsidP="00AC029E">
            <w:pPr>
              <w:rPr>
                <w:rFonts w:ascii="Times New Roman" w:hAnsi="Times New Roman" w:cs="Times New Roman"/>
              </w:rPr>
            </w:pPr>
          </w:p>
        </w:tc>
        <w:tc>
          <w:tcPr>
            <w:tcW w:w="2129"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306" w:type="dxa"/>
            <w:gridSpan w:val="4"/>
          </w:tcPr>
          <w:p w14:paraId="2E2E2E0C" w14:textId="17CEC211" w:rsidR="00AC029E" w:rsidRDefault="00AE7DE3"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AE7DE3"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AE7DE3"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AE7DE3"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AE7DE3"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AE7DE3">
        <w:trPr>
          <w:cantSplit/>
          <w:trHeight w:val="1640"/>
        </w:trPr>
        <w:tc>
          <w:tcPr>
            <w:tcW w:w="849" w:type="dxa"/>
            <w:vMerge/>
          </w:tcPr>
          <w:p w14:paraId="29B49329" w14:textId="77777777" w:rsidR="00AC029E" w:rsidRDefault="00AC029E" w:rsidP="00AC029E">
            <w:pPr>
              <w:rPr>
                <w:rFonts w:ascii="Times New Roman" w:hAnsi="Times New Roman" w:cs="Times New Roman"/>
              </w:rPr>
            </w:pPr>
          </w:p>
        </w:tc>
        <w:tc>
          <w:tcPr>
            <w:tcW w:w="2129"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306" w:type="dxa"/>
            <w:gridSpan w:val="4"/>
          </w:tcPr>
          <w:p w14:paraId="026E59B8" w14:textId="69013327" w:rsidR="00AC029E" w:rsidRPr="008B168C" w:rsidRDefault="00AE7DE3"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AE7DE3"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AE7DE3"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AE7DE3"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AE7DE3"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AE7DE3">
        <w:trPr>
          <w:cantSplit/>
          <w:trHeight w:val="1565"/>
        </w:trPr>
        <w:tc>
          <w:tcPr>
            <w:tcW w:w="849" w:type="dxa"/>
            <w:vMerge/>
          </w:tcPr>
          <w:p w14:paraId="0D879A18" w14:textId="77777777" w:rsidR="00AC029E" w:rsidRDefault="00AC029E" w:rsidP="00AC029E">
            <w:pPr>
              <w:rPr>
                <w:rFonts w:ascii="Times New Roman" w:hAnsi="Times New Roman" w:cs="Times New Roman"/>
              </w:rPr>
            </w:pPr>
          </w:p>
        </w:tc>
        <w:tc>
          <w:tcPr>
            <w:tcW w:w="2129"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306" w:type="dxa"/>
            <w:gridSpan w:val="4"/>
          </w:tcPr>
          <w:p w14:paraId="1FB827C2" w14:textId="6F70EC17" w:rsidR="00AC029E" w:rsidRPr="008B168C" w:rsidRDefault="00AE7DE3"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AE7DE3"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AE7DE3"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AE7DE3"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AE7DE3">
        <w:trPr>
          <w:cantSplit/>
          <w:trHeight w:val="1302"/>
        </w:trPr>
        <w:tc>
          <w:tcPr>
            <w:tcW w:w="849" w:type="dxa"/>
            <w:vMerge/>
          </w:tcPr>
          <w:p w14:paraId="448B371D" w14:textId="77777777" w:rsidR="00AC029E" w:rsidRDefault="00AC029E" w:rsidP="00AC029E">
            <w:pPr>
              <w:rPr>
                <w:rFonts w:ascii="Times New Roman" w:hAnsi="Times New Roman" w:cs="Times New Roman"/>
              </w:rPr>
            </w:pPr>
          </w:p>
        </w:tc>
        <w:tc>
          <w:tcPr>
            <w:tcW w:w="2129"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306" w:type="dxa"/>
            <w:gridSpan w:val="4"/>
          </w:tcPr>
          <w:p w14:paraId="22A9889E" w14:textId="24700DE8" w:rsidR="00AC029E" w:rsidRPr="008B168C" w:rsidRDefault="00AE7DE3"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AE7DE3"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AE7DE3"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AE7DE3">
        <w:trPr>
          <w:cantSplit/>
          <w:trHeight w:val="1565"/>
        </w:trPr>
        <w:tc>
          <w:tcPr>
            <w:tcW w:w="849" w:type="dxa"/>
            <w:vMerge/>
          </w:tcPr>
          <w:p w14:paraId="28555995" w14:textId="77777777" w:rsidR="00AC029E" w:rsidRDefault="00AC029E" w:rsidP="00AC029E">
            <w:pPr>
              <w:rPr>
                <w:rFonts w:ascii="Times New Roman" w:hAnsi="Times New Roman" w:cs="Times New Roman"/>
              </w:rPr>
            </w:pPr>
          </w:p>
        </w:tc>
        <w:tc>
          <w:tcPr>
            <w:tcW w:w="2129"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306" w:type="dxa"/>
            <w:gridSpan w:val="4"/>
          </w:tcPr>
          <w:p w14:paraId="372D5E21" w14:textId="643552B9" w:rsidR="00AC029E" w:rsidRPr="008B168C" w:rsidRDefault="00AE7DE3"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AE7DE3"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AE7DE3"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AE7DE3"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AE7DE3"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AE7DE3"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AE7DE3"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AE7DE3"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AE7DE3">
        <w:trPr>
          <w:cantSplit/>
          <w:trHeight w:val="840"/>
        </w:trPr>
        <w:tc>
          <w:tcPr>
            <w:tcW w:w="849" w:type="dxa"/>
            <w:vMerge/>
          </w:tcPr>
          <w:p w14:paraId="17E27BEC" w14:textId="77777777" w:rsidR="00AC029E" w:rsidRDefault="00AC029E" w:rsidP="00AC029E">
            <w:pPr>
              <w:rPr>
                <w:rFonts w:ascii="Times New Roman" w:hAnsi="Times New Roman" w:cs="Times New Roman"/>
              </w:rPr>
            </w:pPr>
          </w:p>
        </w:tc>
        <w:tc>
          <w:tcPr>
            <w:tcW w:w="2129"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306" w:type="dxa"/>
            <w:gridSpan w:val="4"/>
          </w:tcPr>
          <w:p w14:paraId="596D80E2" w14:textId="214AA841" w:rsidR="00AC029E" w:rsidRPr="008B168C" w:rsidRDefault="00AE7DE3"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AE7DE3">
        <w:trPr>
          <w:cantSplit/>
          <w:trHeight w:val="2737"/>
        </w:trPr>
        <w:tc>
          <w:tcPr>
            <w:tcW w:w="849" w:type="dxa"/>
            <w:vMerge/>
          </w:tcPr>
          <w:p w14:paraId="046DFDBA" w14:textId="77777777" w:rsidR="00AC029E" w:rsidRDefault="00AC029E" w:rsidP="00AC029E">
            <w:pPr>
              <w:rPr>
                <w:rFonts w:ascii="Times New Roman" w:hAnsi="Times New Roman" w:cs="Times New Roman"/>
              </w:rPr>
            </w:pPr>
          </w:p>
        </w:tc>
        <w:tc>
          <w:tcPr>
            <w:tcW w:w="2129"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306" w:type="dxa"/>
            <w:gridSpan w:val="4"/>
            <w:tcBorders>
              <w:bottom w:val="single" w:sz="4" w:space="0" w:color="auto"/>
            </w:tcBorders>
          </w:tcPr>
          <w:p w14:paraId="2A6C1CDA" w14:textId="4D09301A" w:rsidR="00AC029E" w:rsidRPr="008B168C" w:rsidRDefault="00AE7DE3"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AE7DE3"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AE7DE3"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AE7DE3"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AE7DE3"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AE7DE3">
        <w:trPr>
          <w:cantSplit/>
          <w:trHeight w:val="3504"/>
        </w:trPr>
        <w:tc>
          <w:tcPr>
            <w:tcW w:w="849" w:type="dxa"/>
            <w:vMerge/>
          </w:tcPr>
          <w:p w14:paraId="2B32B89B" w14:textId="77777777" w:rsidR="00AC029E" w:rsidRDefault="00AC029E" w:rsidP="00AC029E">
            <w:pPr>
              <w:rPr>
                <w:rFonts w:ascii="Times New Roman" w:hAnsi="Times New Roman" w:cs="Times New Roman"/>
              </w:rPr>
            </w:pPr>
          </w:p>
        </w:tc>
        <w:tc>
          <w:tcPr>
            <w:tcW w:w="2129"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306" w:type="dxa"/>
            <w:gridSpan w:val="4"/>
          </w:tcPr>
          <w:p w14:paraId="38F10E56" w14:textId="479E239B" w:rsidR="00AC029E" w:rsidRPr="008B168C" w:rsidRDefault="00AE7DE3"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AE7DE3"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AE7DE3"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AE7DE3"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AE7DE3"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AE7DE3"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AE7DE3"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AE7DE3">
        <w:trPr>
          <w:cantSplit/>
          <w:trHeight w:val="1236"/>
        </w:trPr>
        <w:tc>
          <w:tcPr>
            <w:tcW w:w="849" w:type="dxa"/>
            <w:vMerge/>
          </w:tcPr>
          <w:p w14:paraId="1CA6E42D" w14:textId="77777777" w:rsidR="00AC029E" w:rsidRDefault="00AC029E" w:rsidP="00AC029E">
            <w:pPr>
              <w:rPr>
                <w:rFonts w:ascii="Times New Roman" w:hAnsi="Times New Roman" w:cs="Times New Roman"/>
              </w:rPr>
            </w:pPr>
          </w:p>
        </w:tc>
        <w:tc>
          <w:tcPr>
            <w:tcW w:w="2129"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306" w:type="dxa"/>
            <w:gridSpan w:val="4"/>
          </w:tcPr>
          <w:p w14:paraId="1EFD59DC" w14:textId="4FE75042" w:rsidR="00AC029E" w:rsidRPr="008B168C" w:rsidRDefault="00AE7DE3"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AE7DE3"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AE7DE3">
        <w:trPr>
          <w:cantSplit/>
          <w:trHeight w:val="13298"/>
        </w:trPr>
        <w:tc>
          <w:tcPr>
            <w:tcW w:w="849" w:type="dxa"/>
            <w:vMerge/>
          </w:tcPr>
          <w:p w14:paraId="4EBC9473" w14:textId="77777777" w:rsidR="00AC029E" w:rsidRDefault="00AC029E" w:rsidP="00AC029E">
            <w:pPr>
              <w:rPr>
                <w:rFonts w:ascii="Times New Roman" w:hAnsi="Times New Roman" w:cs="Times New Roman"/>
              </w:rPr>
            </w:pPr>
          </w:p>
        </w:tc>
        <w:tc>
          <w:tcPr>
            <w:tcW w:w="2129"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306" w:type="dxa"/>
            <w:gridSpan w:val="4"/>
          </w:tcPr>
          <w:p w14:paraId="0F28723D" w14:textId="0DE19157" w:rsidR="00AC029E" w:rsidRPr="008B168C" w:rsidRDefault="00AE7DE3"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AE7DE3"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AE7DE3"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AE7DE3"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AE7DE3"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AE7DE3"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AE7DE3"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AE7DE3"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AE7DE3"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AE7DE3"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AE7DE3">
        <w:trPr>
          <w:cantSplit/>
          <w:trHeight w:val="1406"/>
        </w:trPr>
        <w:tc>
          <w:tcPr>
            <w:tcW w:w="849" w:type="dxa"/>
            <w:vMerge/>
          </w:tcPr>
          <w:p w14:paraId="21C8F18D" w14:textId="77777777" w:rsidR="00AC029E" w:rsidRDefault="00AC029E" w:rsidP="00AC029E">
            <w:pPr>
              <w:rPr>
                <w:rFonts w:ascii="Times New Roman" w:hAnsi="Times New Roman" w:cs="Times New Roman"/>
              </w:rPr>
            </w:pPr>
          </w:p>
        </w:tc>
        <w:tc>
          <w:tcPr>
            <w:tcW w:w="2129"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306" w:type="dxa"/>
            <w:gridSpan w:val="4"/>
          </w:tcPr>
          <w:p w14:paraId="4CECE389" w14:textId="2AF660D9" w:rsidR="00AC029E" w:rsidRPr="008B168C" w:rsidRDefault="00AE7DE3"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AE7DE3"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AE7DE3">
        <w:trPr>
          <w:cantSplit/>
          <w:trHeight w:val="58"/>
        </w:trPr>
        <w:tc>
          <w:tcPr>
            <w:tcW w:w="849" w:type="dxa"/>
            <w:vMerge/>
          </w:tcPr>
          <w:p w14:paraId="28A54156" w14:textId="77777777" w:rsidR="00AC029E" w:rsidRDefault="00AC029E" w:rsidP="00AC029E">
            <w:pPr>
              <w:rPr>
                <w:rFonts w:ascii="Times New Roman" w:hAnsi="Times New Roman" w:cs="Times New Roman"/>
              </w:rPr>
            </w:pPr>
          </w:p>
        </w:tc>
        <w:tc>
          <w:tcPr>
            <w:tcW w:w="2129"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306" w:type="dxa"/>
            <w:gridSpan w:val="4"/>
          </w:tcPr>
          <w:p w14:paraId="2B2F979A" w14:textId="48DD02C3" w:rsidR="00AC029E" w:rsidRPr="008B168C" w:rsidRDefault="00AE7DE3"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AE7DE3">
        <w:trPr>
          <w:cantSplit/>
          <w:trHeight w:val="1338"/>
        </w:trPr>
        <w:tc>
          <w:tcPr>
            <w:tcW w:w="849"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129"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306" w:type="dxa"/>
            <w:gridSpan w:val="4"/>
          </w:tcPr>
          <w:p w14:paraId="028046DE" w14:textId="29D9FF9C" w:rsidR="007139B4" w:rsidRDefault="00AE7DE3"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AE7DE3">
        <w:trPr>
          <w:cantSplit/>
          <w:trHeight w:val="58"/>
        </w:trPr>
        <w:tc>
          <w:tcPr>
            <w:tcW w:w="849" w:type="dxa"/>
          </w:tcPr>
          <w:p w14:paraId="192213FD" w14:textId="1134B884" w:rsidR="2C4AF334" w:rsidRDefault="2C4AF334" w:rsidP="2C4AF334">
            <w:pPr>
              <w:rPr>
                <w:rFonts w:ascii="Times New Roman" w:hAnsi="Times New Roman" w:cs="Times New Roman"/>
                <w:b/>
                <w:bCs/>
              </w:rPr>
            </w:pPr>
          </w:p>
        </w:tc>
        <w:tc>
          <w:tcPr>
            <w:tcW w:w="2129"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306" w:type="dxa"/>
            <w:gridSpan w:val="4"/>
          </w:tcPr>
          <w:p w14:paraId="6EF461F0" w14:textId="0E6A7754" w:rsidR="004D43A0" w:rsidRDefault="00AE7DE3"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AE7DE3">
        <w:trPr>
          <w:cantSplit/>
          <w:trHeight w:val="58"/>
        </w:trPr>
        <w:tc>
          <w:tcPr>
            <w:tcW w:w="849" w:type="dxa"/>
          </w:tcPr>
          <w:p w14:paraId="34C244E7" w14:textId="1CAC0B4C" w:rsidR="2C4AF334" w:rsidRDefault="2C4AF334" w:rsidP="2C4AF334">
            <w:pPr>
              <w:rPr>
                <w:rFonts w:ascii="Times New Roman" w:hAnsi="Times New Roman" w:cs="Times New Roman"/>
                <w:b/>
                <w:bCs/>
              </w:rPr>
            </w:pPr>
          </w:p>
        </w:tc>
        <w:tc>
          <w:tcPr>
            <w:tcW w:w="2129"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306" w:type="dxa"/>
            <w:gridSpan w:val="4"/>
          </w:tcPr>
          <w:p w14:paraId="062713C1" w14:textId="01AB79D4" w:rsidR="004D43A0" w:rsidRPr="009C094C" w:rsidRDefault="00AE7DE3"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AE7DE3">
        <w:trPr>
          <w:cantSplit/>
          <w:trHeight w:val="300"/>
        </w:trPr>
        <w:tc>
          <w:tcPr>
            <w:tcW w:w="849"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129"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306" w:type="dxa"/>
            <w:gridSpan w:val="4"/>
          </w:tcPr>
          <w:p w14:paraId="31C64C76" w14:textId="189C0E3A" w:rsidR="00FF7835" w:rsidRPr="00FF7835" w:rsidRDefault="00287660" w:rsidP="347B8ECA">
            <w:pPr>
              <w:spacing w:line="257" w:lineRule="auto"/>
              <w:rPr>
                <w:rFonts w:ascii="Times New Roman" w:eastAsia="Times New Roman" w:hAnsi="Times New Roman" w:cs="Times New Roman"/>
                <w:i/>
                <w:iCs/>
              </w:rPr>
            </w:pPr>
            <w:r w:rsidRPr="00287660">
              <w:rPr>
                <w:rFonts w:ascii="Times New Roman" w:hAnsi="Times New Roman" w:cs="Times New Roman"/>
              </w:rPr>
              <w:t>27 229 997,00</w:t>
            </w:r>
            <w:r>
              <w:rPr>
                <w:rFonts w:ascii="Times New Roman" w:hAnsi="Times New Roman" w:cs="Times New Roman"/>
              </w:rPr>
              <w:t xml:space="preserve"> </w:t>
            </w:r>
            <w:r w:rsidRPr="00287660">
              <w:rPr>
                <w:rFonts w:ascii="Times New Roman" w:hAnsi="Times New Roman" w:cs="Times New Roman"/>
              </w:rPr>
              <w:t xml:space="preserve"> Eur</w:t>
            </w:r>
          </w:p>
        </w:tc>
      </w:tr>
      <w:tr w:rsidR="4926D183" w14:paraId="497C3D13" w14:textId="77777777" w:rsidTr="00AE7DE3">
        <w:trPr>
          <w:cantSplit/>
          <w:trHeight w:val="300"/>
        </w:trPr>
        <w:tc>
          <w:tcPr>
            <w:tcW w:w="849"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129"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306" w:type="dxa"/>
            <w:gridSpan w:val="4"/>
          </w:tcPr>
          <w:p w14:paraId="6506CAAB" w14:textId="106C14F0" w:rsidR="3C1B1F74" w:rsidRPr="00287660"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w:t>
            </w:r>
            <w:r w:rsidRPr="00287660">
              <w:rPr>
                <w:rFonts w:ascii="Times New Roman" w:eastAsia="Times New Roman" w:hAnsi="Times New Roman" w:cs="Times New Roman"/>
                <w:i/>
                <w:iCs/>
              </w:rPr>
              <w:t xml:space="preserve">kvietimui </w:t>
            </w:r>
            <w:r w:rsidR="2AA73172" w:rsidRPr="00287660">
              <w:rPr>
                <w:rFonts w:ascii="Times New Roman" w:eastAsia="Times New Roman" w:hAnsi="Times New Roman" w:cs="Times New Roman"/>
                <w:i/>
                <w:iCs/>
              </w:rPr>
              <w:t xml:space="preserve">skirta </w:t>
            </w:r>
            <w:r w:rsidRPr="00287660">
              <w:rPr>
                <w:rFonts w:ascii="Times New Roman" w:eastAsia="Times New Roman" w:hAnsi="Times New Roman" w:cs="Times New Roman"/>
                <w:i/>
                <w:iCs/>
              </w:rPr>
              <w:t xml:space="preserve">iš </w:t>
            </w:r>
            <w:r w:rsidR="7EBD628A" w:rsidRPr="00287660">
              <w:rPr>
                <w:rFonts w:ascii="Times New Roman" w:eastAsia="Times New Roman" w:hAnsi="Times New Roman" w:cs="Times New Roman"/>
                <w:i/>
                <w:iCs/>
              </w:rPr>
              <w:t xml:space="preserve">2021-2027 m. </w:t>
            </w:r>
            <w:r w:rsidRPr="00287660">
              <w:rPr>
                <w:rFonts w:ascii="Times New Roman" w:eastAsia="Times New Roman" w:hAnsi="Times New Roman" w:cs="Times New Roman"/>
                <w:i/>
                <w:iCs/>
              </w:rPr>
              <w:t>ES fondų lėšų suma eurais</w:t>
            </w:r>
            <w:r w:rsidR="4B759117" w:rsidRPr="00287660">
              <w:rPr>
                <w:rFonts w:ascii="Times New Roman" w:eastAsia="Times New Roman" w:hAnsi="Times New Roman" w:cs="Times New Roman"/>
                <w:i/>
                <w:iCs/>
              </w:rPr>
              <w:t xml:space="preserve"> ir pasirenkamas fondas</w:t>
            </w:r>
          </w:p>
          <w:p w14:paraId="6AA86F82" w14:textId="035CA7C5" w:rsidR="00390B47" w:rsidRPr="00287660" w:rsidRDefault="535EA8EF" w:rsidP="009E7A2B">
            <w:pPr>
              <w:rPr>
                <w:rFonts w:ascii="Times New Roman" w:hAnsi="Times New Roman" w:cs="Times New Roman"/>
              </w:rPr>
            </w:pPr>
            <w:r w:rsidRPr="00287660">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sidRPr="00287660">
                  <w:rPr>
                    <w:rFonts w:ascii="MS Gothic" w:eastAsia="MS Gothic" w:hAnsi="MS Gothic" w:cs="Times New Roman"/>
                  </w:rPr>
                  <w:t>☐</w:t>
                </w:r>
              </w:sdtContent>
            </w:sdt>
            <w:r w:rsidR="5D52D110" w:rsidRPr="00287660">
              <w:rPr>
                <w:rFonts w:ascii="Times New Roman" w:hAnsi="Times New Roman" w:cs="Times New Roman"/>
              </w:rPr>
              <w:t xml:space="preserve"> </w:t>
            </w:r>
            <w:r w:rsidR="3AA7B983" w:rsidRPr="00287660">
              <w:rPr>
                <w:rFonts w:ascii="Times New Roman" w:hAnsi="Times New Roman" w:cs="Times New Roman"/>
              </w:rPr>
              <w:t>Europos regioninės plėtros fondas</w:t>
            </w:r>
            <w:r w:rsidR="33722683" w:rsidRPr="00287660">
              <w:rPr>
                <w:rFonts w:ascii="Times New Roman" w:hAnsi="Times New Roman" w:cs="Times New Roman"/>
              </w:rPr>
              <w:t>_______ eur.</w:t>
            </w:r>
          </w:p>
          <w:p w14:paraId="341DA1A7" w14:textId="6262A698" w:rsidR="009E7A2B" w:rsidRPr="00287660" w:rsidRDefault="247A71BF" w:rsidP="009E7A2B">
            <w:pPr>
              <w:rPr>
                <w:rFonts w:ascii="Times New Roman" w:hAnsi="Times New Roman" w:cs="Times New Roman"/>
              </w:rPr>
            </w:pPr>
            <w:r w:rsidRPr="00287660">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287660">
                  <w:rPr>
                    <w:rFonts w:ascii="MS Gothic" w:eastAsia="MS Gothic" w:hAnsi="MS Gothic" w:cs="Times New Roman"/>
                  </w:rPr>
                  <w:t>☐</w:t>
                </w:r>
              </w:sdtContent>
            </w:sdt>
            <w:r w:rsidR="535EA8EF" w:rsidRPr="00287660">
              <w:rPr>
                <w:rFonts w:ascii="Times New Roman" w:hAnsi="Times New Roman" w:cs="Times New Roman"/>
              </w:rPr>
              <w:t xml:space="preserve"> </w:t>
            </w:r>
            <w:r w:rsidR="79450CC8" w:rsidRPr="00287660">
              <w:rPr>
                <w:rFonts w:ascii="Times New Roman" w:hAnsi="Times New Roman" w:cs="Times New Roman"/>
              </w:rPr>
              <w:t xml:space="preserve">Europos socialinis fondas </w:t>
            </w:r>
            <w:r w:rsidR="7B4A9438" w:rsidRPr="00287660">
              <w:rPr>
                <w:rFonts w:ascii="Times New Roman" w:hAnsi="Times New Roman" w:cs="Times New Roman"/>
              </w:rPr>
              <w:t>+</w:t>
            </w:r>
            <w:r w:rsidR="33722683" w:rsidRPr="00287660">
              <w:rPr>
                <w:rFonts w:ascii="Times New Roman" w:hAnsi="Times New Roman" w:cs="Times New Roman"/>
              </w:rPr>
              <w:t>___________</w:t>
            </w:r>
            <w:r w:rsidR="06C8467B" w:rsidRPr="00287660">
              <w:rPr>
                <w:rFonts w:ascii="Times New Roman" w:hAnsi="Times New Roman" w:cs="Times New Roman"/>
              </w:rPr>
              <w:t>eur.</w:t>
            </w:r>
          </w:p>
          <w:p w14:paraId="2338D17D" w14:textId="782C7DD2" w:rsidR="000E1E0A" w:rsidRPr="00287660" w:rsidRDefault="0B1C3224" w:rsidP="004F4154">
            <w:pPr>
              <w:rPr>
                <w:rFonts w:ascii="Times New Roman" w:hAnsi="Times New Roman" w:cs="Times New Roman"/>
              </w:rPr>
            </w:pPr>
            <w:r w:rsidRPr="00287660">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287660">
                  <w:rPr>
                    <w:rFonts w:ascii="MS Gothic" w:eastAsia="MS Gothic" w:hAnsi="MS Gothic" w:cs="Times New Roman"/>
                  </w:rPr>
                  <w:t>☐</w:t>
                </w:r>
              </w:sdtContent>
            </w:sdt>
            <w:r w:rsidR="535EA8EF" w:rsidRPr="00287660">
              <w:rPr>
                <w:rFonts w:ascii="Times New Roman" w:hAnsi="Times New Roman" w:cs="Times New Roman"/>
              </w:rPr>
              <w:t xml:space="preserve"> </w:t>
            </w:r>
            <w:r w:rsidR="2274D272" w:rsidRPr="00287660">
              <w:rPr>
                <w:rFonts w:ascii="Times New Roman" w:hAnsi="Times New Roman" w:cs="Times New Roman"/>
              </w:rPr>
              <w:t>Sanglaudos fondas</w:t>
            </w:r>
            <w:r w:rsidR="33722683" w:rsidRPr="00287660">
              <w:rPr>
                <w:rFonts w:ascii="Times New Roman" w:hAnsi="Times New Roman" w:cs="Times New Roman"/>
              </w:rPr>
              <w:t>____________</w:t>
            </w:r>
            <w:r w:rsidR="06C8467B" w:rsidRPr="00287660">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287660">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287660">
                  <w:rPr>
                    <w:rFonts w:ascii="MS Gothic" w:eastAsia="MS Gothic" w:hAnsi="MS Gothic" w:cs="Times New Roman"/>
                  </w:rPr>
                  <w:t>☐</w:t>
                </w:r>
              </w:sdtContent>
            </w:sdt>
            <w:r w:rsidR="535EA8EF" w:rsidRPr="00287660">
              <w:rPr>
                <w:rFonts w:ascii="Times New Roman" w:hAnsi="Times New Roman" w:cs="Times New Roman"/>
              </w:rPr>
              <w:t xml:space="preserve"> </w:t>
            </w:r>
            <w:r w:rsidR="16C7FBB6" w:rsidRPr="00287660">
              <w:rPr>
                <w:rFonts w:ascii="Times New Roman" w:hAnsi="Times New Roman" w:cs="Times New Roman"/>
              </w:rPr>
              <w:t>Teisin</w:t>
            </w:r>
            <w:r w:rsidR="7A8907E7" w:rsidRPr="00287660">
              <w:rPr>
                <w:rFonts w:ascii="Times New Roman" w:hAnsi="Times New Roman" w:cs="Times New Roman"/>
              </w:rPr>
              <w:t>gos</w:t>
            </w:r>
            <w:r w:rsidR="0D91793B" w:rsidRPr="00287660">
              <w:rPr>
                <w:rFonts w:ascii="Times New Roman" w:hAnsi="Times New Roman" w:cs="Times New Roman"/>
              </w:rPr>
              <w:t xml:space="preserve"> pertvarkos fondas</w:t>
            </w:r>
            <w:r w:rsidR="33722683" w:rsidRPr="00287660">
              <w:rPr>
                <w:rFonts w:ascii="Times New Roman" w:hAnsi="Times New Roman" w:cs="Times New Roman"/>
              </w:rPr>
              <w:t>_____________</w:t>
            </w:r>
            <w:r w:rsidR="06C8467B" w:rsidRPr="00287660">
              <w:rPr>
                <w:rFonts w:ascii="Times New Roman" w:hAnsi="Times New Roman" w:cs="Times New Roman"/>
              </w:rPr>
              <w:t>eur.</w:t>
            </w:r>
          </w:p>
        </w:tc>
      </w:tr>
      <w:tr w:rsidR="4926D183" w14:paraId="271B680A" w14:textId="77777777" w:rsidTr="00AE7DE3">
        <w:trPr>
          <w:cantSplit/>
          <w:trHeight w:val="300"/>
        </w:trPr>
        <w:tc>
          <w:tcPr>
            <w:tcW w:w="849"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129"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306" w:type="dxa"/>
            <w:gridSpan w:val="4"/>
          </w:tcPr>
          <w:p w14:paraId="678CE217" w14:textId="26486F66" w:rsidR="4DC97C98" w:rsidRPr="009C094C" w:rsidRDefault="00287660" w:rsidP="009C094C">
            <w:pPr>
              <w:rPr>
                <w:rFonts w:ascii="Times New Roman" w:eastAsia="Times New Roman" w:hAnsi="Times New Roman" w:cs="Times New Roman"/>
                <w:i/>
                <w:iCs/>
              </w:rPr>
            </w:pPr>
            <w:r w:rsidRPr="00287660">
              <w:rPr>
                <w:rFonts w:ascii="Times New Roman" w:hAnsi="Times New Roman" w:cs="Times New Roman"/>
              </w:rPr>
              <w:t>22 504 130,00 Eur</w:t>
            </w:r>
          </w:p>
        </w:tc>
      </w:tr>
      <w:tr w:rsidR="4926D183" w14:paraId="5E2FCCAF" w14:textId="77777777" w:rsidTr="00AE7DE3">
        <w:trPr>
          <w:cantSplit/>
          <w:trHeight w:val="300"/>
        </w:trPr>
        <w:tc>
          <w:tcPr>
            <w:tcW w:w="849"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2129"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306" w:type="dxa"/>
            <w:gridSpan w:val="4"/>
          </w:tcPr>
          <w:p w14:paraId="650FD000" w14:textId="12B881FA" w:rsidR="0C6E61CA" w:rsidRPr="009C094C" w:rsidRDefault="00287660"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_</w:t>
            </w:r>
          </w:p>
        </w:tc>
      </w:tr>
      <w:tr w:rsidR="4926D183" w14:paraId="0FFEB7EF" w14:textId="77777777" w:rsidTr="00AE7DE3">
        <w:trPr>
          <w:cantSplit/>
          <w:trHeight w:val="300"/>
        </w:trPr>
        <w:tc>
          <w:tcPr>
            <w:tcW w:w="849"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2129"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306" w:type="dxa"/>
            <w:gridSpan w:val="4"/>
          </w:tcPr>
          <w:p w14:paraId="3CCAD6F4" w14:textId="1B98B2E4" w:rsidR="7809CF08" w:rsidRPr="009C094C" w:rsidRDefault="00287660"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_</w:t>
            </w:r>
          </w:p>
        </w:tc>
      </w:tr>
      <w:tr w:rsidR="6E319D59" w14:paraId="24D4D2BB" w14:textId="77777777" w:rsidTr="00AE7DE3">
        <w:trPr>
          <w:cantSplit/>
          <w:trHeight w:val="300"/>
        </w:trPr>
        <w:tc>
          <w:tcPr>
            <w:tcW w:w="849"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129"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306" w:type="dxa"/>
            <w:gridSpan w:val="4"/>
          </w:tcPr>
          <w:p w14:paraId="13557EF7" w14:textId="2601B742" w:rsidR="5C52ABD5" w:rsidRDefault="00287660"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_</w:t>
            </w:r>
          </w:p>
        </w:tc>
      </w:tr>
      <w:tr w:rsidR="4926D183" w14:paraId="43A34A9E" w14:textId="77777777" w:rsidTr="00AE7DE3">
        <w:trPr>
          <w:cantSplit/>
          <w:trHeight w:val="300"/>
        </w:trPr>
        <w:tc>
          <w:tcPr>
            <w:tcW w:w="849"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129" w:type="dxa"/>
          </w:tcPr>
          <w:p w14:paraId="315F19A3" w14:textId="406E33D7"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306" w:type="dxa"/>
            <w:gridSpan w:val="4"/>
          </w:tcPr>
          <w:p w14:paraId="1CF969C4" w14:textId="324C5DA5" w:rsidR="4926D183" w:rsidRDefault="00287660" w:rsidP="00AE7DE3">
            <w:pPr>
              <w:rPr>
                <w:rFonts w:ascii="Times New Roman" w:hAnsi="Times New Roman" w:cs="Times New Roman"/>
                <w:i/>
                <w:iCs/>
              </w:rPr>
            </w:pPr>
            <w:r w:rsidRPr="00287660">
              <w:rPr>
                <w:rFonts w:ascii="Times New Roman" w:hAnsi="Times New Roman" w:cs="Times New Roman"/>
              </w:rPr>
              <w:t xml:space="preserve">4 725 867,00 Eur </w:t>
            </w:r>
          </w:p>
        </w:tc>
      </w:tr>
      <w:tr w:rsidR="00395C6D" w14:paraId="2FA854C9" w14:textId="77777777" w:rsidTr="00AE7DE3">
        <w:trPr>
          <w:cantSplit/>
          <w:trHeight w:val="300"/>
        </w:trPr>
        <w:tc>
          <w:tcPr>
            <w:tcW w:w="849"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129"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306" w:type="dxa"/>
            <w:gridSpan w:val="4"/>
          </w:tcPr>
          <w:p w14:paraId="5A55FBC3" w14:textId="544154C9" w:rsidR="00395C6D" w:rsidRPr="00395C6D" w:rsidRDefault="00287660"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_</w:t>
            </w:r>
          </w:p>
        </w:tc>
      </w:tr>
      <w:tr w:rsidR="00AC029E" w:rsidRPr="008B168C" w14:paraId="31C64C7B" w14:textId="77777777" w:rsidTr="00AE7DE3">
        <w:trPr>
          <w:cantSplit/>
          <w:trHeight w:val="300"/>
        </w:trPr>
        <w:tc>
          <w:tcPr>
            <w:tcW w:w="849"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129" w:type="dxa"/>
          </w:tcPr>
          <w:p w14:paraId="31C64C79" w14:textId="653701DA" w:rsidR="00AC029E" w:rsidRPr="00A02CA8" w:rsidRDefault="241CF180" w:rsidP="00943CFB">
            <w:pPr>
              <w:rPr>
                <w:rFonts w:ascii="Times New Roman" w:hAnsi="Times New Roman" w:cs="Times New Roman"/>
                <w:b/>
                <w:bCs/>
              </w:rPr>
            </w:pPr>
            <w:r w:rsidRPr="67FCC6BA">
              <w:rPr>
                <w:rFonts w:ascii="Times New Roman" w:hAnsi="Times New Roman" w:cs="Times New Roman"/>
                <w:b/>
                <w:bCs/>
              </w:rPr>
              <w:t xml:space="preserve">Didžiausia galima </w:t>
            </w:r>
            <w:r w:rsidRPr="00287660">
              <w:rPr>
                <w:rFonts w:ascii="Times New Roman" w:hAnsi="Times New Roman" w:cs="Times New Roman"/>
                <w:b/>
                <w:bCs/>
              </w:rPr>
              <w:t xml:space="preserve">skirti finansavimo lėšų suma </w:t>
            </w:r>
            <w:r w:rsidR="0E220559" w:rsidRPr="00287660">
              <w:rPr>
                <w:rFonts w:ascii="Times New Roman" w:hAnsi="Times New Roman" w:cs="Times New Roman"/>
                <w:b/>
                <w:bCs/>
              </w:rPr>
              <w:t>projektui</w:t>
            </w:r>
            <w:r w:rsidR="6A3C6EBE" w:rsidRPr="00287660">
              <w:rPr>
                <w:rFonts w:ascii="Times New Roman" w:hAnsi="Times New Roman" w:cs="Times New Roman"/>
                <w:b/>
                <w:bCs/>
              </w:rPr>
              <w:t xml:space="preserve"> ir (arba) projekto veiklai </w:t>
            </w:r>
            <w:r w:rsidRPr="00287660">
              <w:rPr>
                <w:rFonts w:ascii="Times New Roman" w:hAnsi="Times New Roman" w:cs="Times New Roman"/>
                <w:b/>
                <w:bCs/>
              </w:rPr>
              <w:t>įgyvendinti</w:t>
            </w:r>
            <w:r w:rsidR="0E220559" w:rsidRPr="67FCC6BA">
              <w:rPr>
                <w:rFonts w:ascii="Times New Roman" w:hAnsi="Times New Roman" w:cs="Times New Roman"/>
                <w:b/>
                <w:bCs/>
              </w:rPr>
              <w:t xml:space="preserve"> (eurais) </w:t>
            </w:r>
          </w:p>
        </w:tc>
        <w:tc>
          <w:tcPr>
            <w:tcW w:w="7306" w:type="dxa"/>
            <w:gridSpan w:val="4"/>
          </w:tcPr>
          <w:p w14:paraId="31C64C7A" w14:textId="37CBDCF9" w:rsidR="00AC029E" w:rsidRPr="00B52EB3" w:rsidRDefault="00681678" w:rsidP="00AC029E">
            <w:pPr>
              <w:rPr>
                <w:rFonts w:ascii="Times New Roman" w:hAnsi="Times New Roman" w:cs="Times New Roman"/>
                <w:i/>
                <w:iCs/>
              </w:rPr>
            </w:pPr>
            <w:r w:rsidRPr="00287660">
              <w:rPr>
                <w:rFonts w:ascii="Times New Roman" w:hAnsi="Times New Roman" w:cs="Times New Roman"/>
              </w:rPr>
              <w:t>27 229 997,00</w:t>
            </w:r>
            <w:r>
              <w:rPr>
                <w:rFonts w:ascii="Times New Roman" w:hAnsi="Times New Roman" w:cs="Times New Roman"/>
              </w:rPr>
              <w:t xml:space="preserve"> </w:t>
            </w:r>
            <w:r w:rsidRPr="00287660">
              <w:rPr>
                <w:rFonts w:ascii="Times New Roman" w:hAnsi="Times New Roman" w:cs="Times New Roman"/>
              </w:rPr>
              <w:t xml:space="preserve"> Eur</w:t>
            </w:r>
            <w:r w:rsidRPr="00B52EB3">
              <w:rPr>
                <w:rFonts w:ascii="Times New Roman" w:hAnsi="Times New Roman" w:cs="Times New Roman"/>
                <w:i/>
                <w:iCs/>
              </w:rPr>
              <w:t xml:space="preserve"> </w:t>
            </w:r>
          </w:p>
        </w:tc>
      </w:tr>
      <w:tr w:rsidR="00AC029E" w:rsidRPr="008B168C" w14:paraId="48E7A593" w14:textId="77777777" w:rsidTr="00E661B8">
        <w:trPr>
          <w:cantSplit/>
          <w:trHeight w:val="350"/>
        </w:trPr>
        <w:tc>
          <w:tcPr>
            <w:tcW w:w="849"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5" w:type="dxa"/>
            <w:gridSpan w:val="5"/>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E661B8">
        <w:trPr>
          <w:cantSplit/>
          <w:trHeight w:val="300"/>
        </w:trPr>
        <w:tc>
          <w:tcPr>
            <w:tcW w:w="849"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5" w:type="dxa"/>
            <w:gridSpan w:val="5"/>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AE7DE3">
        <w:trPr>
          <w:cantSplit/>
          <w:trHeight w:val="300"/>
        </w:trPr>
        <w:tc>
          <w:tcPr>
            <w:tcW w:w="849" w:type="dxa"/>
          </w:tcPr>
          <w:p w14:paraId="7A667C70" w14:textId="5A7104AC" w:rsidR="00192BFE" w:rsidRPr="00B52EB3" w:rsidRDefault="00192BFE" w:rsidP="00AC029E">
            <w:pPr>
              <w:rPr>
                <w:rFonts w:ascii="Times New Roman" w:hAnsi="Times New Roman" w:cs="Times New Roman"/>
              </w:rPr>
            </w:pPr>
          </w:p>
        </w:tc>
        <w:tc>
          <w:tcPr>
            <w:tcW w:w="2129" w:type="dxa"/>
          </w:tcPr>
          <w:p w14:paraId="48C0C022" w14:textId="24D33D2E" w:rsidR="00192BFE" w:rsidRPr="00F43754" w:rsidRDefault="00775F3D" w:rsidP="00FD5303">
            <w:pPr>
              <w:spacing w:after="160" w:line="259" w:lineRule="auto"/>
              <w:rPr>
                <w:rFonts w:ascii="Times New Roman" w:hAnsi="Times New Roman" w:cs="Times New Roman"/>
                <w:i/>
                <w:iCs/>
              </w:rPr>
            </w:pPr>
            <w:r w:rsidRPr="00842A9C">
              <w:rPr>
                <w:rFonts w:ascii="Times New Roman" w:hAnsi="Times New Roman" w:cs="Times New Roman"/>
              </w:rPr>
              <w:t>11-002-02-11-01-04-04</w:t>
            </w:r>
          </w:p>
        </w:tc>
        <w:tc>
          <w:tcPr>
            <w:tcW w:w="7306" w:type="dxa"/>
            <w:gridSpan w:val="4"/>
          </w:tcPr>
          <w:p w14:paraId="2597C47A" w14:textId="4A34838F" w:rsidR="00192BFE" w:rsidRPr="009C094C" w:rsidRDefault="00842A9C" w:rsidP="008F62D3">
            <w:pPr>
              <w:jc w:val="both"/>
              <w:rPr>
                <w:rFonts w:ascii="Times New Roman" w:hAnsi="Times New Roman" w:cs="Times New Roman"/>
                <w:i/>
                <w:iCs/>
              </w:rPr>
            </w:pPr>
            <w:r w:rsidRPr="00842A9C">
              <w:rPr>
                <w:rFonts w:ascii="Times New Roman" w:hAnsi="Times New Roman" w:cs="Times New Roman"/>
              </w:rPr>
              <w:t>Sveikatos sektoriaus skaitmeninimo projektai</w:t>
            </w:r>
            <w:r>
              <w:rPr>
                <w:rFonts w:ascii="Times New Roman" w:hAnsi="Times New Roman" w:cs="Times New Roman"/>
              </w:rPr>
              <w:t xml:space="preserve"> (</w:t>
            </w:r>
            <w:r w:rsidRPr="00842A9C">
              <w:rPr>
                <w:rFonts w:ascii="Times New Roman" w:hAnsi="Times New Roman" w:cs="Times New Roman"/>
              </w:rPr>
              <w:t>ESPBI IS sudarančių posistemių dekomponavimas)</w:t>
            </w:r>
          </w:p>
        </w:tc>
      </w:tr>
      <w:tr w:rsidR="00AC029E" w:rsidRPr="008B168C" w14:paraId="09CF0D37" w14:textId="5E93F9A5" w:rsidTr="00AE7DE3">
        <w:trPr>
          <w:cantSplit/>
          <w:trHeight w:val="300"/>
        </w:trPr>
        <w:tc>
          <w:tcPr>
            <w:tcW w:w="849"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129"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306" w:type="dxa"/>
            <w:gridSpan w:val="4"/>
          </w:tcPr>
          <w:p w14:paraId="6DDD2301" w14:textId="32A21175" w:rsidR="00AC029E" w:rsidRPr="007A0245" w:rsidRDefault="007A0245" w:rsidP="007A0245">
            <w:pPr>
              <w:jc w:val="both"/>
              <w:rPr>
                <w:rFonts w:ascii="Times New Roman" w:hAnsi="Times New Roman" w:cs="Times New Roman"/>
              </w:rPr>
            </w:pPr>
            <w:r w:rsidRPr="007A0245">
              <w:rPr>
                <w:rFonts w:ascii="Times New Roman" w:hAnsi="Times New Roman" w:cs="Times New Roman"/>
              </w:rPr>
              <w:t>Lietuvos Respublikos gyventojai, sveikatos priežiūros specialistai ir kiti specialistai, dirbantys visuomenės sveikatos priežiūros, farmacijos, asmens sveikatos priežiūros ir kontrolės funkcijas atliekančiose įstaigose.</w:t>
            </w:r>
          </w:p>
        </w:tc>
      </w:tr>
      <w:tr w:rsidR="00AC029E" w:rsidRPr="008B168C" w14:paraId="5DF64BDA" w14:textId="212F7AE2" w:rsidTr="00AE7DE3">
        <w:trPr>
          <w:cantSplit/>
          <w:trHeight w:val="300"/>
        </w:trPr>
        <w:tc>
          <w:tcPr>
            <w:tcW w:w="849"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129"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306" w:type="dxa"/>
            <w:gridSpan w:val="4"/>
          </w:tcPr>
          <w:p w14:paraId="3589E60D" w14:textId="3F65CC5E" w:rsidR="00AC029E" w:rsidRPr="007A0245" w:rsidRDefault="007A0245" w:rsidP="00AC029E">
            <w:pPr>
              <w:rPr>
                <w:rFonts w:ascii="Times New Roman" w:hAnsi="Times New Roman" w:cs="Times New Roman"/>
              </w:rPr>
            </w:pPr>
            <w:r w:rsidRPr="007A0245">
              <w:rPr>
                <w:rFonts w:ascii="Times New Roman" w:hAnsi="Times New Roman" w:cs="Times New Roman"/>
              </w:rPr>
              <w:t>Valstybės įmonė Registrų centras</w:t>
            </w:r>
          </w:p>
        </w:tc>
      </w:tr>
      <w:tr w:rsidR="00D548BA" w:rsidRPr="008B168C" w14:paraId="3FA5F900" w14:textId="77777777" w:rsidTr="00AE7DE3">
        <w:trPr>
          <w:cantSplit/>
          <w:trHeight w:val="300"/>
        </w:trPr>
        <w:tc>
          <w:tcPr>
            <w:tcW w:w="849" w:type="dxa"/>
          </w:tcPr>
          <w:p w14:paraId="776683CB" w14:textId="3FED82CB" w:rsidR="00D548BA" w:rsidRPr="00287660" w:rsidRDefault="310EF675" w:rsidP="00D548BA">
            <w:pPr>
              <w:rPr>
                <w:rFonts w:ascii="Times New Roman" w:hAnsi="Times New Roman" w:cs="Times New Roman"/>
                <w:b/>
                <w:bCs/>
              </w:rPr>
            </w:pPr>
            <w:r w:rsidRPr="00287660">
              <w:rPr>
                <w:rFonts w:ascii="Times New Roman" w:hAnsi="Times New Roman" w:cs="Times New Roman"/>
                <w:b/>
                <w:bCs/>
              </w:rPr>
              <w:t>2.13.4</w:t>
            </w:r>
          </w:p>
        </w:tc>
        <w:tc>
          <w:tcPr>
            <w:tcW w:w="2129" w:type="dxa"/>
          </w:tcPr>
          <w:p w14:paraId="32DB0C51" w14:textId="69296544" w:rsidR="00D548BA" w:rsidRPr="00287660" w:rsidRDefault="00D548BA" w:rsidP="00D548BA">
            <w:pPr>
              <w:rPr>
                <w:rFonts w:ascii="Times New Roman" w:hAnsi="Times New Roman" w:cs="Times New Roman"/>
                <w:b/>
                <w:bCs/>
              </w:rPr>
            </w:pPr>
            <w:r w:rsidRPr="00287660">
              <w:rPr>
                <w:rFonts w:ascii="Times New Roman" w:hAnsi="Times New Roman" w:cs="Times New Roman"/>
                <w:b/>
                <w:bCs/>
              </w:rPr>
              <w:t>Pareiškėjų tipas</w:t>
            </w:r>
          </w:p>
        </w:tc>
        <w:tc>
          <w:tcPr>
            <w:tcW w:w="7306" w:type="dxa"/>
            <w:gridSpan w:val="4"/>
          </w:tcPr>
          <w:p w14:paraId="12EADA53" w14:textId="53BEDE91" w:rsidR="00625FE0" w:rsidRPr="00287660" w:rsidRDefault="00AE7DE3"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287660" w:rsidRPr="00287660">
                  <w:rPr>
                    <w:rFonts w:ascii="MS Gothic" w:eastAsia="MS Gothic" w:hAnsi="MS Gothic" w:cs="Times New Roman" w:hint="eastAsia"/>
                  </w:rPr>
                  <w:t>☒</w:t>
                </w:r>
              </w:sdtContent>
            </w:sdt>
            <w:r w:rsidR="00625FE0" w:rsidRPr="00287660">
              <w:rPr>
                <w:rFonts w:ascii="Times New Roman" w:hAnsi="Times New Roman" w:cs="Times New Roman"/>
                <w:b/>
                <w:sz w:val="20"/>
                <w:szCs w:val="20"/>
              </w:rPr>
              <w:t xml:space="preserve"> </w:t>
            </w:r>
            <w:r w:rsidR="00625FE0" w:rsidRPr="00287660">
              <w:rPr>
                <w:rFonts w:ascii="Times New Roman" w:hAnsi="Times New Roman" w:cs="Times New Roman"/>
                <w:bCs/>
                <w:sz w:val="20"/>
                <w:szCs w:val="20"/>
              </w:rPr>
              <w:t>Viešasis</w:t>
            </w:r>
          </w:p>
          <w:p w14:paraId="187445C9" w14:textId="1841E073" w:rsidR="00625FE0" w:rsidRPr="00287660" w:rsidRDefault="00AE7DE3" w:rsidP="00AE7DE3">
            <w:pPr>
              <w:rPr>
                <w:rFonts w:ascii="Times New Roman" w:hAnsi="Times New Roman" w:cs="Times New Roman"/>
                <w:i/>
                <w:i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287660">
                  <w:rPr>
                    <w:rFonts w:ascii="MS Gothic" w:eastAsia="MS Gothic" w:hAnsi="MS Gothic" w:cs="Times New Roman" w:hint="eastAsia"/>
                    <w:bCs/>
                  </w:rPr>
                  <w:t>☐</w:t>
                </w:r>
              </w:sdtContent>
            </w:sdt>
            <w:r w:rsidR="00625FE0" w:rsidRPr="00287660">
              <w:rPr>
                <w:rFonts w:ascii="Times New Roman" w:hAnsi="Times New Roman" w:cs="Times New Roman"/>
                <w:bCs/>
                <w:sz w:val="20"/>
                <w:szCs w:val="20"/>
              </w:rPr>
              <w:t xml:space="preserve"> Privatusis</w:t>
            </w:r>
          </w:p>
        </w:tc>
      </w:tr>
      <w:tr w:rsidR="00D548BA" w:rsidRPr="008B168C" w14:paraId="3D216911" w14:textId="77777777" w:rsidTr="00AE7DE3">
        <w:trPr>
          <w:cantSplit/>
          <w:trHeight w:val="300"/>
        </w:trPr>
        <w:tc>
          <w:tcPr>
            <w:tcW w:w="849"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129"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306" w:type="dxa"/>
            <w:gridSpan w:val="4"/>
          </w:tcPr>
          <w:p w14:paraId="19DC8D32" w14:textId="5C7A1553" w:rsidR="00D548BA" w:rsidRPr="00B52EB3" w:rsidRDefault="007A0245" w:rsidP="00D548BA">
            <w:pPr>
              <w:rPr>
                <w:rFonts w:ascii="Times New Roman" w:hAnsi="Times New Roman" w:cs="Times New Roman"/>
                <w:i/>
                <w:iCs/>
              </w:rPr>
            </w:pPr>
            <w:r w:rsidRPr="007A0245">
              <w:rPr>
                <w:rFonts w:ascii="Times New Roman" w:hAnsi="Times New Roman" w:cs="Times New Roman"/>
              </w:rPr>
              <w:t>Pagal šį Aprašą projekto partneriai negalimi.</w:t>
            </w:r>
          </w:p>
        </w:tc>
      </w:tr>
      <w:tr w:rsidR="00D548BA" w14:paraId="384CD925" w14:textId="77777777" w:rsidTr="00AE7DE3">
        <w:trPr>
          <w:cantSplit/>
          <w:trHeight w:val="300"/>
        </w:trPr>
        <w:tc>
          <w:tcPr>
            <w:tcW w:w="849"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129"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306" w:type="dxa"/>
            <w:gridSpan w:val="4"/>
          </w:tcPr>
          <w:p w14:paraId="42C9777A" w14:textId="17C8C64C" w:rsidR="00D548BA" w:rsidRDefault="007A0245" w:rsidP="008F62D3">
            <w:pPr>
              <w:jc w:val="both"/>
              <w:rPr>
                <w:rFonts w:ascii="Times New Roman" w:hAnsi="Times New Roman" w:cs="Times New Roman"/>
                <w:i/>
                <w:iCs/>
              </w:rPr>
            </w:pPr>
            <w:r w:rsidRPr="00287660">
              <w:rPr>
                <w:rFonts w:ascii="Times New Roman" w:hAnsi="Times New Roman" w:cs="Times New Roman"/>
              </w:rPr>
              <w:t>27 229 997,00</w:t>
            </w:r>
            <w:r>
              <w:rPr>
                <w:rFonts w:ascii="Times New Roman" w:hAnsi="Times New Roman" w:cs="Times New Roman"/>
              </w:rPr>
              <w:t xml:space="preserve"> </w:t>
            </w:r>
            <w:r w:rsidRPr="00287660">
              <w:rPr>
                <w:rFonts w:ascii="Times New Roman" w:hAnsi="Times New Roman" w:cs="Times New Roman"/>
              </w:rPr>
              <w:t xml:space="preserve"> Eur</w:t>
            </w:r>
          </w:p>
        </w:tc>
      </w:tr>
      <w:tr w:rsidR="00D548BA" w14:paraId="27CDC5B4" w14:textId="77777777" w:rsidTr="00AE7DE3">
        <w:trPr>
          <w:cantSplit/>
          <w:trHeight w:val="300"/>
        </w:trPr>
        <w:tc>
          <w:tcPr>
            <w:tcW w:w="849"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129"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306" w:type="dxa"/>
            <w:gridSpan w:val="4"/>
          </w:tcPr>
          <w:p w14:paraId="6F1A2BCF" w14:textId="5DF487B7" w:rsidR="00D548BA" w:rsidRDefault="007A0245" w:rsidP="008F62D3">
            <w:pPr>
              <w:jc w:val="both"/>
              <w:rPr>
                <w:rFonts w:ascii="Times New Roman" w:hAnsi="Times New Roman" w:cs="Times New Roman"/>
                <w:i/>
                <w:iCs/>
              </w:rPr>
            </w:pPr>
            <w:r w:rsidRPr="007A0245">
              <w:rPr>
                <w:rFonts w:ascii="Times New Roman" w:hAnsi="Times New Roman" w:cs="Times New Roman"/>
              </w:rPr>
              <w:t>100 proc.</w:t>
            </w:r>
            <w:r w:rsidR="21B6B153" w:rsidRPr="670FA332">
              <w:rPr>
                <w:rFonts w:ascii="Times New Roman" w:hAnsi="Times New Roman" w:cs="Times New Roman"/>
                <w:i/>
              </w:rPr>
              <w:t xml:space="preserve"> </w:t>
            </w:r>
            <w:r w:rsidR="00D548BA" w:rsidRPr="670FA332">
              <w:rPr>
                <w:rFonts w:ascii="Times New Roman" w:hAnsi="Times New Roman" w:cs="Times New Roman"/>
                <w:i/>
              </w:rPr>
              <w:t xml:space="preserve"> </w:t>
            </w:r>
          </w:p>
        </w:tc>
      </w:tr>
      <w:tr w:rsidR="00D548BA" w:rsidRPr="008B168C" w14:paraId="2BB4D75E" w14:textId="77777777" w:rsidTr="00AE7DE3">
        <w:trPr>
          <w:cantSplit/>
          <w:trHeight w:val="300"/>
        </w:trPr>
        <w:tc>
          <w:tcPr>
            <w:tcW w:w="849"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129"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306" w:type="dxa"/>
            <w:gridSpan w:val="4"/>
          </w:tcPr>
          <w:p w14:paraId="7D4DC614" w14:textId="1344EB49" w:rsidR="00D548BA" w:rsidRPr="006400DE" w:rsidRDefault="007A0245" w:rsidP="00D548BA">
            <w:pPr>
              <w:rPr>
                <w:rFonts w:ascii="Times New Roman" w:hAnsi="Times New Roman" w:cs="Times New Roman"/>
                <w:i/>
                <w:u w:val="single"/>
              </w:rPr>
            </w:pPr>
            <w:r>
              <w:rPr>
                <w:rFonts w:ascii="Times New Roman" w:eastAsia="Times New Roman" w:hAnsi="Times New Roman" w:cs="Times New Roman"/>
                <w:i/>
                <w:iCs/>
              </w:rPr>
              <w:t>_</w:t>
            </w:r>
          </w:p>
        </w:tc>
      </w:tr>
      <w:tr w:rsidR="00D548BA" w:rsidRPr="008B168C" w14:paraId="68D5E615" w14:textId="77777777" w:rsidTr="00E661B8">
        <w:trPr>
          <w:cantSplit/>
          <w:trHeight w:val="300"/>
        </w:trPr>
        <w:tc>
          <w:tcPr>
            <w:tcW w:w="849" w:type="dxa"/>
          </w:tcPr>
          <w:p w14:paraId="2803F80B" w14:textId="01FE6A55" w:rsidR="00D548BA" w:rsidRPr="00D66C41" w:rsidRDefault="00D548BA" w:rsidP="00AE7DE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tc>
        <w:tc>
          <w:tcPr>
            <w:tcW w:w="9435" w:type="dxa"/>
            <w:gridSpan w:val="5"/>
          </w:tcPr>
          <w:p w14:paraId="725959C6" w14:textId="1E6DAB39" w:rsidR="00D548BA" w:rsidRPr="00AE7DE3" w:rsidRDefault="00D548BA" w:rsidP="00D548BA">
            <w:pPr>
              <w:rPr>
                <w:rFonts w:ascii="Times New Roman" w:hAnsi="Times New Roman" w:cs="Times New Roman"/>
                <w:b/>
                <w:bCs/>
              </w:rPr>
            </w:pPr>
            <w:r w:rsidRPr="00AE7DE3">
              <w:rPr>
                <w:rFonts w:ascii="Times New Roman" w:hAnsi="Times New Roman" w:cs="Times New Roman"/>
                <w:b/>
                <w:bCs/>
              </w:rPr>
              <w:t>Išlaidų tinkamumo reikalavimai</w:t>
            </w:r>
          </w:p>
        </w:tc>
      </w:tr>
      <w:tr w:rsidR="00D548BA" w:rsidRPr="008B168C" w14:paraId="2C855A08" w14:textId="77777777" w:rsidTr="00E661B8">
        <w:trPr>
          <w:cantSplit/>
          <w:trHeight w:val="300"/>
        </w:trPr>
        <w:tc>
          <w:tcPr>
            <w:tcW w:w="849"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5" w:type="dxa"/>
            <w:gridSpan w:val="5"/>
          </w:tcPr>
          <w:p w14:paraId="0284719A" w14:textId="4289F65A" w:rsidR="007A0245" w:rsidRPr="007A0245" w:rsidRDefault="007A0245" w:rsidP="007A0245">
            <w:pPr>
              <w:jc w:val="both"/>
              <w:rPr>
                <w:rFonts w:ascii="Times New Roman" w:hAnsi="Times New Roman" w:cs="Times New Roman"/>
              </w:rPr>
            </w:pPr>
            <w:r w:rsidRPr="007A0245">
              <w:rPr>
                <w:rFonts w:ascii="Times New Roman" w:hAnsi="Times New Roman" w:cs="Times New Roman"/>
              </w:rPr>
              <w:t>1. Projekto tinkamų finansuoti išlaidų dalis, kurios nepadengia projektui skiriamo finansavimo lėšos, turi būti finansuojama iš projekto vykdytojo ir (arba) partnerio lėšų.</w:t>
            </w:r>
          </w:p>
          <w:p w14:paraId="2E06D8D8" w14:textId="61B62B87" w:rsidR="007A0245" w:rsidRPr="007A0245" w:rsidRDefault="007A0245" w:rsidP="007A0245">
            <w:pPr>
              <w:jc w:val="both"/>
              <w:rPr>
                <w:rFonts w:ascii="Times New Roman" w:hAnsi="Times New Roman" w:cs="Times New Roman"/>
              </w:rPr>
            </w:pPr>
            <w:r w:rsidRPr="007A0245">
              <w:rPr>
                <w:rFonts w:ascii="Times New Roman" w:hAnsi="Times New Roman" w:cs="Times New Roman"/>
              </w:rPr>
              <w:t>2. Projekto vykdytojui, vadovaujantis PAFT numatytomis sąlygomis, gali būti mokamas avansas.</w:t>
            </w:r>
          </w:p>
          <w:p w14:paraId="57B99D47" w14:textId="3E47FA0F" w:rsidR="007A0245" w:rsidRPr="007A0245" w:rsidRDefault="007A0245" w:rsidP="007A0245">
            <w:pPr>
              <w:jc w:val="both"/>
              <w:rPr>
                <w:rFonts w:ascii="Times New Roman" w:hAnsi="Times New Roman" w:cs="Times New Roman"/>
              </w:rPr>
            </w:pPr>
            <w:r w:rsidRPr="007A0245">
              <w:rPr>
                <w:rFonts w:ascii="Times New Roman" w:hAnsi="Times New Roman" w:cs="Times New Roman"/>
              </w:rPr>
              <w:t>3. Projekto išlaidos įgyvendinimo metu apmokamos išlaidų kompensavimo būdu projekto vykdytojui deklaruojant patirtas ir apmokėtas išlaidas, supaprastintai apmokamas išlaidas arba kartu derinant šias abi apmokėjimo formas.</w:t>
            </w:r>
          </w:p>
          <w:p w14:paraId="06D3903A" w14:textId="2D6FF76B" w:rsidR="007A0245" w:rsidRPr="007A0245" w:rsidRDefault="007A0245" w:rsidP="007A0245">
            <w:pPr>
              <w:jc w:val="both"/>
              <w:rPr>
                <w:rFonts w:ascii="Times New Roman" w:hAnsi="Times New Roman" w:cs="Times New Roman"/>
              </w:rPr>
            </w:pPr>
            <w:r w:rsidRPr="007A0245">
              <w:rPr>
                <w:rFonts w:ascii="Times New Roman" w:hAnsi="Times New Roman" w:cs="Times New Roman"/>
              </w:rPr>
              <w:t>4. Išlaidų tinkamumo finansuoti reikalavimai nustatyti Projektų administravimo ir finansavimo taisyklių VII skyriuje „Projektų išlaidų reikalavimai“.</w:t>
            </w:r>
          </w:p>
          <w:p w14:paraId="7D50B5F7" w14:textId="5EE05877" w:rsidR="007A0245" w:rsidRPr="007A0245" w:rsidRDefault="007A0245" w:rsidP="007A0245">
            <w:pPr>
              <w:jc w:val="both"/>
              <w:rPr>
                <w:rFonts w:ascii="Times New Roman" w:hAnsi="Times New Roman" w:cs="Times New Roman"/>
              </w:rPr>
            </w:pPr>
            <w:r w:rsidRPr="007A0245">
              <w:rPr>
                <w:rFonts w:ascii="Times New Roman" w:hAnsi="Times New Roman" w:cs="Times New Roman"/>
              </w:rPr>
              <w:t>5. Netiesioginėms išlaidoms taikoma 7 proc. fiksuota norma nuo tinkamų finansuoti tiesioginių projekto išlaidų.</w:t>
            </w:r>
          </w:p>
          <w:p w14:paraId="1C61CE14" w14:textId="14967AC9" w:rsidR="007A0245" w:rsidRPr="007A0245" w:rsidRDefault="007A0245" w:rsidP="007A0245">
            <w:pPr>
              <w:rPr>
                <w:rFonts w:ascii="Times New Roman" w:hAnsi="Times New Roman" w:cs="Times New Roman"/>
              </w:rPr>
            </w:pPr>
            <w:r w:rsidRPr="007A0245">
              <w:rPr>
                <w:rFonts w:ascii="Times New Roman" w:hAnsi="Times New Roman" w:cs="Times New Roman"/>
              </w:rPr>
              <w:t>6. Projektui taikomi supaprastinti išlaidų dydžiai, kurie nurodyti šio Aprašo 14 lentelėje „Projektų veiklų ir jungtinio projekto projektų įgyvendinimui taikomi supaprastintai apmokamų išlaidų dydžiai“.</w:t>
            </w:r>
          </w:p>
          <w:p w14:paraId="6F2B86CA" w14:textId="71A25B38" w:rsidR="007A0245" w:rsidRPr="007A0245" w:rsidRDefault="007A0245" w:rsidP="007A0245">
            <w:pPr>
              <w:jc w:val="both"/>
              <w:rPr>
                <w:rFonts w:ascii="Times New Roman" w:hAnsi="Times New Roman" w:cs="Times New Roman"/>
              </w:rPr>
            </w:pPr>
            <w:r w:rsidRPr="007A0245">
              <w:rPr>
                <w:rFonts w:ascii="Times New Roman" w:hAnsi="Times New Roman" w:cs="Times New Roman"/>
              </w:rPr>
              <w:t>7. Projekto vykdytojo surengtų komunikacinių renginių ar kitų komunikacinių veiklų, vadovaujantis PAFT 341.5 papunkčio reikalavimu, išlaidos apmokamos pagal faktinį jų patyrimą.</w:t>
            </w:r>
          </w:p>
          <w:p w14:paraId="73DEF60E" w14:textId="182889F0" w:rsidR="007A0245" w:rsidRPr="007A0245" w:rsidRDefault="007A0245" w:rsidP="007A0245">
            <w:pPr>
              <w:jc w:val="both"/>
              <w:rPr>
                <w:rFonts w:ascii="Times New Roman" w:hAnsi="Times New Roman" w:cs="Times New Roman"/>
              </w:rPr>
            </w:pPr>
            <w:r w:rsidRPr="007A0245">
              <w:rPr>
                <w:rFonts w:ascii="Times New Roman" w:hAnsi="Times New Roman" w:cs="Times New Roman"/>
              </w:rPr>
              <w:t>8. Lietuvos Respublikos valstybės biudžeto lėšų pridėtinės vertės mokestis (toliau – PVM) nėra tinkamas finansuoti EGADP lėšomis. PVM gali būti finansuojamas Lietuvos biudžeto lėšomis vadovaujantis PAFT ketvirtajame skirsnyje nustatyta tvarka. Projekte išlaidos nurodomos su PVM, o jo tinkamumas finansuoti bus nustatytas vertinimo metu.</w:t>
            </w:r>
          </w:p>
          <w:p w14:paraId="4B926EE5" w14:textId="53F253E0" w:rsidR="007A0245" w:rsidRPr="007A0245" w:rsidRDefault="007A0245" w:rsidP="007A0245">
            <w:pPr>
              <w:jc w:val="both"/>
              <w:rPr>
                <w:rFonts w:ascii="Times New Roman" w:hAnsi="Times New Roman" w:cs="Times New Roman"/>
              </w:rPr>
            </w:pPr>
            <w:r w:rsidRPr="007A0245">
              <w:rPr>
                <w:rFonts w:ascii="Times New Roman" w:hAnsi="Times New Roman" w:cs="Times New Roman"/>
              </w:rPr>
              <w:t>9. Netinkamos finansuoti projekto lėšomis išlaidos:</w:t>
            </w:r>
          </w:p>
          <w:p w14:paraId="4BB5321D" w14:textId="36854282" w:rsidR="007A0245" w:rsidRPr="007A0245" w:rsidRDefault="007A0245" w:rsidP="007A0245">
            <w:pPr>
              <w:jc w:val="both"/>
              <w:rPr>
                <w:rFonts w:ascii="Times New Roman" w:hAnsi="Times New Roman" w:cs="Times New Roman"/>
              </w:rPr>
            </w:pPr>
            <w:r w:rsidRPr="007A0245">
              <w:rPr>
                <w:rFonts w:ascii="Times New Roman" w:hAnsi="Times New Roman" w:cs="Times New Roman"/>
              </w:rPr>
              <w:t>9.1. žemės ir nekilnojamojo turto įsigijimo išlaidos;</w:t>
            </w:r>
          </w:p>
          <w:p w14:paraId="01506419" w14:textId="58757D7D" w:rsidR="007A0245" w:rsidRPr="007A0245" w:rsidRDefault="007A0245" w:rsidP="007A0245">
            <w:pPr>
              <w:jc w:val="both"/>
              <w:rPr>
                <w:rFonts w:ascii="Times New Roman" w:hAnsi="Times New Roman" w:cs="Times New Roman"/>
              </w:rPr>
            </w:pPr>
            <w:r w:rsidRPr="007A0245">
              <w:rPr>
                <w:rFonts w:ascii="Times New Roman" w:hAnsi="Times New Roman" w:cs="Times New Roman"/>
              </w:rPr>
              <w:t>9.2. naudojamo ilgalaikio turto nusidėvėjimo (amortizacijos) sąnaudos;</w:t>
            </w:r>
          </w:p>
          <w:p w14:paraId="041CB33B" w14:textId="0E216046" w:rsidR="007A0245" w:rsidRPr="007A0245" w:rsidRDefault="007A0245" w:rsidP="007A0245">
            <w:pPr>
              <w:jc w:val="both"/>
              <w:rPr>
                <w:rFonts w:ascii="Times New Roman" w:hAnsi="Times New Roman" w:cs="Times New Roman"/>
              </w:rPr>
            </w:pPr>
            <w:r w:rsidRPr="007A0245">
              <w:rPr>
                <w:rFonts w:ascii="Times New Roman" w:hAnsi="Times New Roman" w:cs="Times New Roman"/>
              </w:rPr>
              <w:t>9.3. nepiniginis projekto vykdytojo / partnerio įnašas;</w:t>
            </w:r>
          </w:p>
          <w:p w14:paraId="5C148EFD" w14:textId="18A9176F" w:rsidR="007A0245" w:rsidRPr="007A0245" w:rsidRDefault="007A0245" w:rsidP="007A0245">
            <w:pPr>
              <w:jc w:val="both"/>
              <w:rPr>
                <w:rFonts w:ascii="Times New Roman" w:hAnsi="Times New Roman" w:cs="Times New Roman"/>
              </w:rPr>
            </w:pPr>
            <w:r w:rsidRPr="007A0245">
              <w:rPr>
                <w:rFonts w:ascii="Times New Roman" w:hAnsi="Times New Roman" w:cs="Times New Roman"/>
              </w:rPr>
              <w:t>9.4. remonto / rekonstrukcijos darbai;</w:t>
            </w:r>
          </w:p>
          <w:p w14:paraId="1BBE59DC" w14:textId="512079AB" w:rsidR="007A0245" w:rsidRPr="007A0245" w:rsidRDefault="007A0245" w:rsidP="007A0245">
            <w:pPr>
              <w:jc w:val="both"/>
              <w:rPr>
                <w:rFonts w:ascii="Times New Roman" w:hAnsi="Times New Roman" w:cs="Times New Roman"/>
              </w:rPr>
            </w:pPr>
            <w:r w:rsidRPr="007A0245">
              <w:rPr>
                <w:rFonts w:ascii="Times New Roman" w:hAnsi="Times New Roman" w:cs="Times New Roman"/>
              </w:rPr>
              <w:t>9.5. baldai;</w:t>
            </w:r>
          </w:p>
          <w:p w14:paraId="708A0E42" w14:textId="4B5B6C4E" w:rsidR="007A0245" w:rsidRPr="007A0245" w:rsidRDefault="007A0245" w:rsidP="007A0245">
            <w:pPr>
              <w:jc w:val="both"/>
              <w:rPr>
                <w:rFonts w:ascii="Times New Roman" w:hAnsi="Times New Roman" w:cs="Times New Roman"/>
              </w:rPr>
            </w:pPr>
            <w:r w:rsidRPr="007A0245">
              <w:rPr>
                <w:rFonts w:ascii="Times New Roman" w:hAnsi="Times New Roman" w:cs="Times New Roman"/>
              </w:rPr>
              <w:t>9.6. PĮP rengimo išlaidos (išskyrus investicijų projekto ar kitų su PĮP privalomų teikti dokumentų rengimo išlaidas);</w:t>
            </w:r>
          </w:p>
          <w:p w14:paraId="7B51E2CC" w14:textId="7BDC2547" w:rsidR="007A0245" w:rsidRPr="007A0245" w:rsidRDefault="007A0245" w:rsidP="007A0245">
            <w:pPr>
              <w:jc w:val="both"/>
              <w:rPr>
                <w:rFonts w:ascii="Times New Roman" w:hAnsi="Times New Roman" w:cs="Times New Roman"/>
              </w:rPr>
            </w:pPr>
            <w:r w:rsidRPr="007A0245">
              <w:rPr>
                <w:rFonts w:ascii="Times New Roman" w:hAnsi="Times New Roman" w:cs="Times New Roman"/>
              </w:rPr>
              <w:t>9.7. išlaidos, kuriomis pakeičiamos periodinės nacionalinės biudžeto išlaidos (tokios kaip valstybės tarnautojų, mokytojų, gydytojų atlyginimai už kasdienį darbą, periodinės infrastruktūros priežiūros išlaidos ir pan., angl. recurrent costs), išskyrus atvejus, kai tokios išlaidos numatytos Plane „Naujos kartos Lietuva“ arba suderintos su EK. DU tinkamas esamiems įstaigų darbuotojams tik tuo atveju, jei darbo užmokestis mokamas už papildomų funkcijų ar užduočių, nenustatytų pareigybės aprašyme, vykdymą.</w:t>
            </w:r>
          </w:p>
          <w:p w14:paraId="18FC924D" w14:textId="387BD746" w:rsidR="00D548BA" w:rsidRPr="007A0245" w:rsidRDefault="007A0245" w:rsidP="00AE7DE3">
            <w:pPr>
              <w:jc w:val="both"/>
              <w:rPr>
                <w:rFonts w:ascii="Times New Roman" w:hAnsi="Times New Roman" w:cs="Times New Roman"/>
              </w:rPr>
            </w:pPr>
            <w:r w:rsidRPr="007A0245">
              <w:rPr>
                <w:rFonts w:ascii="Times New Roman" w:hAnsi="Times New Roman" w:cs="Times New Roman"/>
              </w:rPr>
              <w:t>10. Kryžminis finansavimas netaikomas.</w:t>
            </w:r>
          </w:p>
        </w:tc>
      </w:tr>
      <w:tr w:rsidR="00E661B8" w:rsidRPr="008B168C" w14:paraId="2B662F75" w14:textId="77777777" w:rsidTr="00E661B8">
        <w:trPr>
          <w:cantSplit/>
          <w:trHeight w:val="300"/>
        </w:trPr>
        <w:tc>
          <w:tcPr>
            <w:tcW w:w="849" w:type="dxa"/>
            <w:vMerge w:val="restart"/>
          </w:tcPr>
          <w:p w14:paraId="48119E53" w14:textId="3F6B4240" w:rsidR="00E661B8" w:rsidRDefault="00E661B8"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5" w:type="dxa"/>
            <w:gridSpan w:val="5"/>
          </w:tcPr>
          <w:p w14:paraId="66F3A0A1" w14:textId="387196F8" w:rsidR="00E661B8" w:rsidRPr="00421A95" w:rsidRDefault="00E661B8" w:rsidP="004375FB">
            <w:pPr>
              <w:jc w:val="both"/>
              <w:rPr>
                <w:rFonts w:ascii="Times New Roman" w:hAnsi="Times New Roman" w:cs="Times New Roman"/>
                <w:i/>
                <w:iCs/>
              </w:rPr>
            </w:pPr>
            <w:r w:rsidRPr="00421A95">
              <w:rPr>
                <w:rFonts w:ascii="Times New Roman" w:hAnsi="Times New Roman" w:cs="Times New Roman"/>
                <w:b/>
                <w:bCs/>
                <w:iCs/>
              </w:rPr>
              <w:t>Projektų veiklų įgyvendinimui taikomi supaprastintai apmokamų išlaidų dydžiai</w:t>
            </w:r>
          </w:p>
        </w:tc>
      </w:tr>
      <w:tr w:rsidR="00E661B8" w:rsidRPr="008B168C" w14:paraId="50B57CAF" w14:textId="77777777" w:rsidTr="00E661B8">
        <w:trPr>
          <w:cantSplit/>
          <w:trHeight w:val="341"/>
        </w:trPr>
        <w:tc>
          <w:tcPr>
            <w:tcW w:w="849" w:type="dxa"/>
            <w:vMerge/>
          </w:tcPr>
          <w:p w14:paraId="68308826" w14:textId="77777777" w:rsidR="00E661B8" w:rsidRDefault="00E661B8" w:rsidP="00D548BA">
            <w:pPr>
              <w:rPr>
                <w:rFonts w:ascii="Times New Roman" w:hAnsi="Times New Roman" w:cs="Times New Roman"/>
                <w:b/>
                <w:bCs/>
              </w:rPr>
            </w:pPr>
          </w:p>
        </w:tc>
        <w:tc>
          <w:tcPr>
            <w:tcW w:w="9435" w:type="dxa"/>
            <w:gridSpan w:val="5"/>
          </w:tcPr>
          <w:p w14:paraId="28E412E4" w14:textId="622E186E" w:rsidR="00E661B8" w:rsidRPr="00421A95" w:rsidRDefault="00E661B8" w:rsidP="004375FB">
            <w:pPr>
              <w:rPr>
                <w:rFonts w:ascii="Times New Roman" w:hAnsi="Times New Roman" w:cs="Times New Roman"/>
                <w:b/>
                <w:bCs/>
                <w:iCs/>
              </w:rPr>
            </w:pPr>
            <w:r>
              <w:rPr>
                <w:rFonts w:ascii="Times New Roman" w:hAnsi="Times New Roman" w:cs="Times New Roman"/>
              </w:rPr>
              <w:t xml:space="preserve"> </w:t>
            </w:r>
            <w:sdt>
              <w:sdtPr>
                <w:rPr>
                  <w:rFonts w:ascii="Times New Roman" w:hAnsi="Times New Roman" w:cs="Times New Roman"/>
                </w:rPr>
                <w:id w:val="-965265599"/>
                <w:placeholder>
                  <w:docPart w:val="6741FA3D83004077A6C924DD2E27D505"/>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275EDA9C03894F139F2B61BF4D0BB70A"/>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E661B8" w:rsidRPr="008B168C" w14:paraId="3278484E" w14:textId="1A8BCCD1" w:rsidTr="00AE7DE3">
        <w:trPr>
          <w:cantSplit/>
          <w:trHeight w:val="381"/>
        </w:trPr>
        <w:tc>
          <w:tcPr>
            <w:tcW w:w="849" w:type="dxa"/>
            <w:vMerge/>
          </w:tcPr>
          <w:p w14:paraId="01922881" w14:textId="77777777" w:rsidR="00E661B8" w:rsidRDefault="00E661B8" w:rsidP="00D548BA">
            <w:pPr>
              <w:rPr>
                <w:rFonts w:ascii="Times New Roman" w:hAnsi="Times New Roman" w:cs="Times New Roman"/>
                <w:b/>
                <w:bCs/>
              </w:rPr>
            </w:pPr>
          </w:p>
        </w:tc>
        <w:tc>
          <w:tcPr>
            <w:tcW w:w="2129" w:type="dxa"/>
          </w:tcPr>
          <w:p w14:paraId="5F289210" w14:textId="65E7C41E" w:rsidR="00E661B8" w:rsidRDefault="00E661B8" w:rsidP="00E661B8">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59" w:type="dxa"/>
          </w:tcPr>
          <w:p w14:paraId="7847F7D8" w14:textId="00745E64" w:rsidR="00E661B8" w:rsidRDefault="00E661B8" w:rsidP="00E661B8">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117" w:type="dxa"/>
            <w:gridSpan w:val="2"/>
          </w:tcPr>
          <w:p w14:paraId="71D003FA" w14:textId="0B55CCAB" w:rsidR="00E661B8" w:rsidRDefault="00E661B8"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30" w:type="dxa"/>
          </w:tcPr>
          <w:p w14:paraId="003D37BC" w14:textId="344C15A9" w:rsidR="00E661B8" w:rsidRDefault="00E661B8"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E661B8" w:rsidRPr="008B168C" w14:paraId="61268EC5" w14:textId="259DC5C8" w:rsidTr="00AE7DE3">
        <w:trPr>
          <w:cantSplit/>
          <w:trHeight w:val="750"/>
        </w:trPr>
        <w:tc>
          <w:tcPr>
            <w:tcW w:w="849" w:type="dxa"/>
            <w:vMerge/>
          </w:tcPr>
          <w:p w14:paraId="1ED10324" w14:textId="77777777" w:rsidR="00E661B8" w:rsidRDefault="00E661B8" w:rsidP="00D548BA">
            <w:pPr>
              <w:rPr>
                <w:rFonts w:ascii="Times New Roman" w:hAnsi="Times New Roman" w:cs="Times New Roman"/>
                <w:b/>
                <w:bCs/>
              </w:rPr>
            </w:pPr>
          </w:p>
        </w:tc>
        <w:tc>
          <w:tcPr>
            <w:tcW w:w="2129" w:type="dxa"/>
          </w:tcPr>
          <w:p w14:paraId="537240A3" w14:textId="0C919FBA" w:rsidR="00E661B8" w:rsidRPr="004375FB" w:rsidRDefault="00E661B8" w:rsidP="00E661B8">
            <w:pPr>
              <w:jc w:val="center"/>
              <w:rPr>
                <w:rFonts w:ascii="Times New Roman" w:hAnsi="Times New Roman" w:cs="Times New Roman"/>
                <w:sz w:val="20"/>
                <w:szCs w:val="20"/>
              </w:rPr>
            </w:pPr>
            <w:r w:rsidRPr="004375FB">
              <w:rPr>
                <w:rFonts w:ascii="Times New Roman" w:hAnsi="Times New Roman" w:cs="Times New Roman"/>
                <w:sz w:val="20"/>
                <w:szCs w:val="20"/>
              </w:rPr>
              <w:t>FS-01-04</w:t>
            </w:r>
          </w:p>
        </w:tc>
        <w:tc>
          <w:tcPr>
            <w:tcW w:w="1559" w:type="dxa"/>
          </w:tcPr>
          <w:p w14:paraId="616A55FB" w14:textId="69B9DEA5" w:rsidR="00E661B8" w:rsidRPr="004375FB" w:rsidRDefault="00E661B8" w:rsidP="00E661B8">
            <w:pPr>
              <w:jc w:val="center"/>
              <w:rPr>
                <w:rFonts w:ascii="Times New Roman" w:hAnsi="Times New Roman" w:cs="Times New Roman"/>
                <w:sz w:val="20"/>
                <w:szCs w:val="20"/>
              </w:rPr>
            </w:pPr>
            <w:r w:rsidRPr="004375FB">
              <w:rPr>
                <w:rFonts w:ascii="Times New Roman" w:hAnsi="Times New Roman" w:cs="Times New Roman"/>
                <w:sz w:val="20"/>
                <w:szCs w:val="20"/>
              </w:rPr>
              <w:t>01</w:t>
            </w:r>
          </w:p>
        </w:tc>
        <w:tc>
          <w:tcPr>
            <w:tcW w:w="3117" w:type="dxa"/>
            <w:gridSpan w:val="2"/>
          </w:tcPr>
          <w:p w14:paraId="1C1F164E" w14:textId="706B67F6" w:rsidR="00E661B8" w:rsidRPr="004375FB" w:rsidRDefault="00E661B8" w:rsidP="00D548BA">
            <w:pPr>
              <w:jc w:val="both"/>
              <w:rPr>
                <w:rFonts w:ascii="Times New Roman" w:hAnsi="Times New Roman" w:cs="Times New Roman"/>
                <w:sz w:val="20"/>
                <w:szCs w:val="20"/>
              </w:rPr>
            </w:pPr>
            <w:r w:rsidRPr="004375FB">
              <w:rPr>
                <w:rFonts w:ascii="Times New Roman" w:hAnsi="Times New Roman" w:cs="Times New Roman"/>
                <w:sz w:val="20"/>
                <w:szCs w:val="20"/>
              </w:rPr>
              <w:t>Įgyvendintų privalomų matomumo ir informavimo priemonių apie ES fondų investicijų veiklas fiksuotoji suma, antrojo rinkinio FS su PVM</w:t>
            </w:r>
          </w:p>
        </w:tc>
        <w:tc>
          <w:tcPr>
            <w:tcW w:w="2630" w:type="dxa"/>
            <w:vMerge w:val="restart"/>
          </w:tcPr>
          <w:p w14:paraId="30B95243" w14:textId="646E608A" w:rsidR="00E661B8" w:rsidRPr="004375FB" w:rsidRDefault="00E661B8" w:rsidP="00D548BA">
            <w:pPr>
              <w:jc w:val="both"/>
              <w:rPr>
                <w:rFonts w:ascii="Times New Roman" w:eastAsia="Times New Roman" w:hAnsi="Times New Roman" w:cs="Times New Roman"/>
                <w:i/>
                <w:iCs/>
                <w:sz w:val="20"/>
                <w:szCs w:val="20"/>
              </w:rPr>
            </w:pPr>
            <w:r w:rsidRPr="004375FB">
              <w:rPr>
                <w:rFonts w:ascii="Times New Roman" w:hAnsi="Times New Roman" w:cs="Times New Roman"/>
                <w:sz w:val="20"/>
                <w:szCs w:val="20"/>
              </w:rPr>
              <w:t xml:space="preserve">Supaprastintai apmokamų išlaidų dydžių registras yra paskelbtas Europos Sąjungos investicijų interneto svetainėje adresu </w:t>
            </w:r>
            <w:r w:rsidRPr="004375FB">
              <w:rPr>
                <w:rFonts w:ascii="Times New Roman" w:hAnsi="Times New Roman" w:cs="Times New Roman"/>
                <w:sz w:val="20"/>
                <w:szCs w:val="20"/>
                <w:shd w:val="clear" w:color="auto" w:fill="FFFFFF"/>
              </w:rPr>
              <w:t>https://2021.esinvesticijos.lt/dokumentai/supaprastintai-apmokamu-islaidu-dydziu-registras</w:t>
            </w:r>
          </w:p>
        </w:tc>
      </w:tr>
      <w:tr w:rsidR="00E661B8" w:rsidRPr="008B168C" w14:paraId="64BE491A" w14:textId="77777777" w:rsidTr="00AE7DE3">
        <w:trPr>
          <w:cantSplit/>
          <w:trHeight w:val="750"/>
        </w:trPr>
        <w:tc>
          <w:tcPr>
            <w:tcW w:w="849" w:type="dxa"/>
            <w:vMerge/>
          </w:tcPr>
          <w:p w14:paraId="4C4F9F26" w14:textId="77777777" w:rsidR="00E661B8" w:rsidRDefault="00E661B8" w:rsidP="00D548BA">
            <w:pPr>
              <w:rPr>
                <w:rFonts w:ascii="Times New Roman" w:hAnsi="Times New Roman" w:cs="Times New Roman"/>
                <w:b/>
                <w:bCs/>
              </w:rPr>
            </w:pPr>
          </w:p>
        </w:tc>
        <w:tc>
          <w:tcPr>
            <w:tcW w:w="2129" w:type="dxa"/>
          </w:tcPr>
          <w:p w14:paraId="25996520" w14:textId="7322FCD7" w:rsidR="00E661B8" w:rsidRPr="004375FB" w:rsidRDefault="00E661B8" w:rsidP="00E661B8">
            <w:pPr>
              <w:jc w:val="center"/>
              <w:rPr>
                <w:rFonts w:ascii="Times New Roman" w:hAnsi="Times New Roman" w:cs="Times New Roman"/>
                <w:sz w:val="20"/>
                <w:szCs w:val="20"/>
              </w:rPr>
            </w:pPr>
            <w:r w:rsidRPr="004375FB">
              <w:rPr>
                <w:rFonts w:ascii="Times New Roman" w:hAnsi="Times New Roman" w:cs="Times New Roman"/>
                <w:sz w:val="20"/>
                <w:szCs w:val="20"/>
              </w:rPr>
              <w:t>FS-01-03</w:t>
            </w:r>
          </w:p>
        </w:tc>
        <w:tc>
          <w:tcPr>
            <w:tcW w:w="1559" w:type="dxa"/>
          </w:tcPr>
          <w:p w14:paraId="08C93AD2" w14:textId="6BB3A68D" w:rsidR="00E661B8" w:rsidRPr="004375FB" w:rsidRDefault="00E661B8" w:rsidP="00E661B8">
            <w:pPr>
              <w:jc w:val="center"/>
              <w:rPr>
                <w:rFonts w:ascii="Times New Roman" w:hAnsi="Times New Roman" w:cs="Times New Roman"/>
                <w:sz w:val="20"/>
                <w:szCs w:val="20"/>
              </w:rPr>
            </w:pPr>
            <w:r w:rsidRPr="004375FB">
              <w:rPr>
                <w:rFonts w:ascii="Times New Roman" w:hAnsi="Times New Roman" w:cs="Times New Roman"/>
                <w:sz w:val="20"/>
                <w:szCs w:val="20"/>
              </w:rPr>
              <w:t>01</w:t>
            </w:r>
          </w:p>
        </w:tc>
        <w:tc>
          <w:tcPr>
            <w:tcW w:w="3117" w:type="dxa"/>
            <w:gridSpan w:val="2"/>
          </w:tcPr>
          <w:p w14:paraId="2AE234A0" w14:textId="5C260579" w:rsidR="00E661B8" w:rsidRPr="004375FB" w:rsidRDefault="00E661B8" w:rsidP="00D548BA">
            <w:pPr>
              <w:jc w:val="both"/>
              <w:rPr>
                <w:rFonts w:ascii="Times New Roman" w:hAnsi="Times New Roman" w:cs="Times New Roman"/>
                <w:sz w:val="20"/>
                <w:szCs w:val="20"/>
              </w:rPr>
            </w:pPr>
            <w:r w:rsidRPr="004375FB">
              <w:rPr>
                <w:rFonts w:ascii="Times New Roman" w:hAnsi="Times New Roman" w:cs="Times New Roman"/>
                <w:sz w:val="20"/>
                <w:szCs w:val="20"/>
              </w:rPr>
              <w:t>Įgyvendintų privalomų matomumo ir informavimo priemonių apie ES fondų investicijų veiklas fiksuotoji suma, antrojo rinkinio FS be PVM</w:t>
            </w:r>
          </w:p>
        </w:tc>
        <w:tc>
          <w:tcPr>
            <w:tcW w:w="2630" w:type="dxa"/>
            <w:vMerge/>
          </w:tcPr>
          <w:p w14:paraId="4309A9A7" w14:textId="77777777" w:rsidR="00E661B8" w:rsidRPr="00421A95" w:rsidRDefault="00E661B8" w:rsidP="00D548BA">
            <w:pPr>
              <w:jc w:val="both"/>
              <w:rPr>
                <w:rFonts w:ascii="Times New Roman" w:hAnsi="Times New Roman" w:cs="Times New Roman"/>
                <w:i/>
                <w:iCs/>
                <w:sz w:val="20"/>
                <w:szCs w:val="20"/>
              </w:rPr>
            </w:pPr>
          </w:p>
        </w:tc>
      </w:tr>
      <w:tr w:rsidR="00E661B8" w:rsidRPr="008B168C" w14:paraId="29A23C7F" w14:textId="77777777" w:rsidTr="00AE7DE3">
        <w:trPr>
          <w:cantSplit/>
          <w:trHeight w:val="369"/>
        </w:trPr>
        <w:tc>
          <w:tcPr>
            <w:tcW w:w="849" w:type="dxa"/>
            <w:vMerge/>
          </w:tcPr>
          <w:p w14:paraId="1696D80E" w14:textId="77777777" w:rsidR="00E661B8" w:rsidRDefault="00E661B8" w:rsidP="00D548BA">
            <w:pPr>
              <w:rPr>
                <w:rFonts w:ascii="Times New Roman" w:hAnsi="Times New Roman" w:cs="Times New Roman"/>
                <w:b/>
                <w:bCs/>
              </w:rPr>
            </w:pPr>
          </w:p>
        </w:tc>
        <w:tc>
          <w:tcPr>
            <w:tcW w:w="2129" w:type="dxa"/>
          </w:tcPr>
          <w:p w14:paraId="33EB47DC" w14:textId="42DF767B" w:rsidR="00E661B8" w:rsidRPr="004375FB" w:rsidRDefault="00E661B8" w:rsidP="00E661B8">
            <w:pPr>
              <w:jc w:val="center"/>
              <w:rPr>
                <w:rFonts w:ascii="Times New Roman" w:hAnsi="Times New Roman" w:cs="Times New Roman"/>
                <w:sz w:val="20"/>
                <w:szCs w:val="20"/>
              </w:rPr>
            </w:pPr>
            <w:r w:rsidRPr="004375FB">
              <w:rPr>
                <w:rFonts w:ascii="Times New Roman" w:hAnsi="Times New Roman" w:cs="Times New Roman"/>
                <w:sz w:val="20"/>
                <w:szCs w:val="20"/>
              </w:rPr>
              <w:t>FN-01</w:t>
            </w:r>
          </w:p>
        </w:tc>
        <w:tc>
          <w:tcPr>
            <w:tcW w:w="1559" w:type="dxa"/>
          </w:tcPr>
          <w:p w14:paraId="6430944B" w14:textId="1F5DF8C0" w:rsidR="00E661B8" w:rsidRPr="004375FB" w:rsidRDefault="00E661B8" w:rsidP="00E661B8">
            <w:pPr>
              <w:jc w:val="center"/>
              <w:rPr>
                <w:rFonts w:ascii="Times New Roman" w:hAnsi="Times New Roman" w:cs="Times New Roman"/>
                <w:sz w:val="20"/>
                <w:szCs w:val="20"/>
              </w:rPr>
            </w:pPr>
            <w:r w:rsidRPr="004375FB">
              <w:rPr>
                <w:rFonts w:ascii="Times New Roman" w:hAnsi="Times New Roman" w:cs="Times New Roman"/>
                <w:sz w:val="20"/>
                <w:szCs w:val="20"/>
              </w:rPr>
              <w:t>01</w:t>
            </w:r>
          </w:p>
        </w:tc>
        <w:tc>
          <w:tcPr>
            <w:tcW w:w="3117" w:type="dxa"/>
            <w:gridSpan w:val="2"/>
          </w:tcPr>
          <w:p w14:paraId="36B5E520" w14:textId="0A963850" w:rsidR="00E661B8" w:rsidRPr="004375FB" w:rsidRDefault="00E661B8" w:rsidP="00D548BA">
            <w:pPr>
              <w:jc w:val="both"/>
              <w:rPr>
                <w:rFonts w:ascii="Times New Roman" w:hAnsi="Times New Roman" w:cs="Times New Roman"/>
                <w:sz w:val="20"/>
                <w:szCs w:val="20"/>
              </w:rPr>
            </w:pPr>
            <w:r w:rsidRPr="004375FB">
              <w:rPr>
                <w:rFonts w:ascii="Times New Roman" w:hAnsi="Times New Roman" w:cs="Times New Roman"/>
                <w:sz w:val="20"/>
                <w:szCs w:val="20"/>
              </w:rPr>
              <w:t>7 proc. netiesioginių išlaidų fiksuotoji norma</w:t>
            </w:r>
          </w:p>
        </w:tc>
        <w:tc>
          <w:tcPr>
            <w:tcW w:w="2630" w:type="dxa"/>
            <w:vMerge/>
          </w:tcPr>
          <w:p w14:paraId="7B23DB55" w14:textId="77777777" w:rsidR="00E661B8" w:rsidRPr="00421A95" w:rsidRDefault="00E661B8" w:rsidP="00D548BA">
            <w:pPr>
              <w:jc w:val="both"/>
              <w:rPr>
                <w:rFonts w:ascii="Times New Roman" w:hAnsi="Times New Roman" w:cs="Times New Roman"/>
                <w:i/>
                <w:iCs/>
                <w:sz w:val="20"/>
                <w:szCs w:val="20"/>
              </w:rPr>
            </w:pPr>
          </w:p>
        </w:tc>
      </w:tr>
      <w:tr w:rsidR="00E661B8" w:rsidRPr="008B168C" w14:paraId="6C654D58" w14:textId="77777777" w:rsidTr="00AE7DE3">
        <w:trPr>
          <w:cantSplit/>
          <w:trHeight w:val="750"/>
        </w:trPr>
        <w:tc>
          <w:tcPr>
            <w:tcW w:w="849" w:type="dxa"/>
            <w:vMerge/>
          </w:tcPr>
          <w:p w14:paraId="13F93A21" w14:textId="77777777" w:rsidR="00E661B8" w:rsidRDefault="00E661B8" w:rsidP="00D548BA">
            <w:pPr>
              <w:rPr>
                <w:rFonts w:ascii="Times New Roman" w:hAnsi="Times New Roman" w:cs="Times New Roman"/>
                <w:b/>
                <w:bCs/>
              </w:rPr>
            </w:pPr>
          </w:p>
        </w:tc>
        <w:tc>
          <w:tcPr>
            <w:tcW w:w="2129" w:type="dxa"/>
          </w:tcPr>
          <w:p w14:paraId="5B37BA9C" w14:textId="504756AD" w:rsidR="00E661B8" w:rsidRPr="004375FB" w:rsidRDefault="00E661B8" w:rsidP="00E661B8">
            <w:pPr>
              <w:jc w:val="center"/>
              <w:rPr>
                <w:rFonts w:ascii="Times New Roman" w:hAnsi="Times New Roman" w:cs="Times New Roman"/>
                <w:sz w:val="20"/>
                <w:szCs w:val="20"/>
              </w:rPr>
            </w:pPr>
            <w:r w:rsidRPr="004375FB">
              <w:rPr>
                <w:rFonts w:ascii="Times New Roman" w:hAnsi="Times New Roman" w:cs="Times New Roman"/>
                <w:sz w:val="20"/>
                <w:szCs w:val="20"/>
              </w:rPr>
              <w:t>FN-05-01</w:t>
            </w:r>
          </w:p>
        </w:tc>
        <w:tc>
          <w:tcPr>
            <w:tcW w:w="1559" w:type="dxa"/>
          </w:tcPr>
          <w:p w14:paraId="03FEDC7A" w14:textId="1888C9F0" w:rsidR="00E661B8" w:rsidRPr="004375FB" w:rsidRDefault="00E661B8" w:rsidP="00E661B8">
            <w:pPr>
              <w:jc w:val="center"/>
              <w:rPr>
                <w:rFonts w:ascii="Times New Roman" w:hAnsi="Times New Roman" w:cs="Times New Roman"/>
                <w:sz w:val="20"/>
                <w:szCs w:val="20"/>
              </w:rPr>
            </w:pPr>
            <w:r w:rsidRPr="004375FB">
              <w:rPr>
                <w:rFonts w:ascii="Times New Roman" w:hAnsi="Times New Roman" w:cs="Times New Roman"/>
                <w:sz w:val="20"/>
                <w:szCs w:val="20"/>
              </w:rPr>
              <w:t>01</w:t>
            </w:r>
          </w:p>
        </w:tc>
        <w:tc>
          <w:tcPr>
            <w:tcW w:w="3117" w:type="dxa"/>
            <w:gridSpan w:val="2"/>
          </w:tcPr>
          <w:p w14:paraId="635CD3B7" w14:textId="3D1BA00D" w:rsidR="00E661B8" w:rsidRPr="004375FB" w:rsidRDefault="00E661B8" w:rsidP="00D548BA">
            <w:pPr>
              <w:jc w:val="both"/>
              <w:rPr>
                <w:rFonts w:ascii="Times New Roman" w:hAnsi="Times New Roman" w:cs="Times New Roman"/>
                <w:sz w:val="20"/>
                <w:szCs w:val="20"/>
              </w:rPr>
            </w:pPr>
            <w:r w:rsidRPr="004375FB">
              <w:rPr>
                <w:rFonts w:ascii="Times New Roman" w:hAnsi="Times New Roman" w:cs="Times New Roman"/>
                <w:sz w:val="20"/>
                <w:szCs w:val="20"/>
              </w:rPr>
              <w:t>Fiksuotoji norma, taikoma, kai priklauso 20 d. d. (jeigu dirbama 5 d. d. per savaitę) arba 24 d. d. (jeigu dirbama 6 d. d. per savaitę) kasmetinės atostogos</w:t>
            </w:r>
          </w:p>
        </w:tc>
        <w:tc>
          <w:tcPr>
            <w:tcW w:w="2630" w:type="dxa"/>
            <w:vMerge/>
          </w:tcPr>
          <w:p w14:paraId="7B32F170" w14:textId="77777777" w:rsidR="00E661B8" w:rsidRPr="00421A95" w:rsidRDefault="00E661B8" w:rsidP="00D548BA">
            <w:pPr>
              <w:jc w:val="both"/>
              <w:rPr>
                <w:rFonts w:ascii="Times New Roman" w:hAnsi="Times New Roman" w:cs="Times New Roman"/>
                <w:i/>
                <w:iCs/>
                <w:sz w:val="20"/>
                <w:szCs w:val="20"/>
              </w:rPr>
            </w:pPr>
          </w:p>
        </w:tc>
      </w:tr>
      <w:tr w:rsidR="00E661B8" w:rsidRPr="008B168C" w14:paraId="3D94FB2D" w14:textId="77777777" w:rsidTr="00AE7DE3">
        <w:trPr>
          <w:cantSplit/>
          <w:trHeight w:val="750"/>
        </w:trPr>
        <w:tc>
          <w:tcPr>
            <w:tcW w:w="849" w:type="dxa"/>
            <w:vMerge/>
          </w:tcPr>
          <w:p w14:paraId="0CB8DF5C" w14:textId="77777777" w:rsidR="00E661B8" w:rsidRDefault="00E661B8" w:rsidP="00D548BA">
            <w:pPr>
              <w:rPr>
                <w:rFonts w:ascii="Times New Roman" w:hAnsi="Times New Roman" w:cs="Times New Roman"/>
                <w:b/>
                <w:bCs/>
              </w:rPr>
            </w:pPr>
          </w:p>
        </w:tc>
        <w:tc>
          <w:tcPr>
            <w:tcW w:w="2129" w:type="dxa"/>
          </w:tcPr>
          <w:p w14:paraId="2B5D9015" w14:textId="49625DDD" w:rsidR="00E661B8" w:rsidRPr="004375FB" w:rsidRDefault="00E661B8" w:rsidP="00E661B8">
            <w:pPr>
              <w:jc w:val="center"/>
              <w:rPr>
                <w:rFonts w:ascii="Times New Roman" w:hAnsi="Times New Roman" w:cs="Times New Roman"/>
                <w:sz w:val="20"/>
                <w:szCs w:val="20"/>
              </w:rPr>
            </w:pPr>
            <w:r w:rsidRPr="004375FB">
              <w:rPr>
                <w:rFonts w:ascii="Times New Roman" w:hAnsi="Times New Roman" w:cs="Times New Roman"/>
                <w:sz w:val="20"/>
                <w:szCs w:val="20"/>
              </w:rPr>
              <w:t>FN-05-02</w:t>
            </w:r>
          </w:p>
        </w:tc>
        <w:tc>
          <w:tcPr>
            <w:tcW w:w="1559" w:type="dxa"/>
          </w:tcPr>
          <w:p w14:paraId="3F6D504B" w14:textId="6ECBEB09" w:rsidR="00E661B8" w:rsidRPr="004375FB" w:rsidRDefault="00E661B8" w:rsidP="00E661B8">
            <w:pPr>
              <w:jc w:val="center"/>
              <w:rPr>
                <w:rFonts w:ascii="Times New Roman" w:hAnsi="Times New Roman" w:cs="Times New Roman"/>
                <w:sz w:val="20"/>
                <w:szCs w:val="20"/>
              </w:rPr>
            </w:pPr>
            <w:r w:rsidRPr="004375FB">
              <w:rPr>
                <w:rFonts w:ascii="Times New Roman" w:hAnsi="Times New Roman" w:cs="Times New Roman"/>
                <w:sz w:val="20"/>
                <w:szCs w:val="20"/>
              </w:rPr>
              <w:t>01</w:t>
            </w:r>
          </w:p>
        </w:tc>
        <w:tc>
          <w:tcPr>
            <w:tcW w:w="3117" w:type="dxa"/>
            <w:gridSpan w:val="2"/>
          </w:tcPr>
          <w:p w14:paraId="5FAE1ED7" w14:textId="777F0901" w:rsidR="00E661B8" w:rsidRPr="004375FB" w:rsidRDefault="00E661B8" w:rsidP="00D548BA">
            <w:pPr>
              <w:jc w:val="both"/>
              <w:rPr>
                <w:rFonts w:ascii="Times New Roman" w:hAnsi="Times New Roman" w:cs="Times New Roman"/>
                <w:sz w:val="20"/>
                <w:szCs w:val="20"/>
              </w:rPr>
            </w:pPr>
            <w:r w:rsidRPr="004375FB">
              <w:rPr>
                <w:rFonts w:ascii="Times New Roman" w:hAnsi="Times New Roman" w:cs="Times New Roman"/>
                <w:sz w:val="20"/>
                <w:szCs w:val="20"/>
              </w:rPr>
              <w:t>Fiksuotoji norma, taikoma, kai priklauso nuo 21 iki 25 d. d. (jeigu dirbama 5 d. d. per savaitę) arba nuo 25 iki 30 d. d. (jeigu dirbama 6 d. d. per savaitę) kasmetinės atostogos</w:t>
            </w:r>
          </w:p>
        </w:tc>
        <w:tc>
          <w:tcPr>
            <w:tcW w:w="2630" w:type="dxa"/>
            <w:vMerge/>
          </w:tcPr>
          <w:p w14:paraId="35E216E4" w14:textId="77777777" w:rsidR="00E661B8" w:rsidRPr="00421A95" w:rsidRDefault="00E661B8" w:rsidP="00D548BA">
            <w:pPr>
              <w:jc w:val="both"/>
              <w:rPr>
                <w:rFonts w:ascii="Times New Roman" w:hAnsi="Times New Roman" w:cs="Times New Roman"/>
                <w:i/>
                <w:iCs/>
                <w:sz w:val="20"/>
                <w:szCs w:val="20"/>
              </w:rPr>
            </w:pPr>
          </w:p>
        </w:tc>
      </w:tr>
      <w:tr w:rsidR="00E661B8" w:rsidRPr="008B168C" w14:paraId="690C4A8C" w14:textId="77777777" w:rsidTr="00AE7DE3">
        <w:trPr>
          <w:cantSplit/>
          <w:trHeight w:val="750"/>
        </w:trPr>
        <w:tc>
          <w:tcPr>
            <w:tcW w:w="849" w:type="dxa"/>
            <w:vMerge/>
          </w:tcPr>
          <w:p w14:paraId="3D5ABBAB" w14:textId="77777777" w:rsidR="00E661B8" w:rsidRDefault="00E661B8" w:rsidP="00D548BA">
            <w:pPr>
              <w:rPr>
                <w:rFonts w:ascii="Times New Roman" w:hAnsi="Times New Roman" w:cs="Times New Roman"/>
                <w:b/>
                <w:bCs/>
              </w:rPr>
            </w:pPr>
          </w:p>
        </w:tc>
        <w:tc>
          <w:tcPr>
            <w:tcW w:w="2129" w:type="dxa"/>
          </w:tcPr>
          <w:p w14:paraId="5CDE6417" w14:textId="4E31CF37" w:rsidR="00E661B8" w:rsidRPr="004375FB" w:rsidRDefault="00E661B8" w:rsidP="00E661B8">
            <w:pPr>
              <w:jc w:val="center"/>
              <w:rPr>
                <w:rFonts w:ascii="Times New Roman" w:hAnsi="Times New Roman" w:cs="Times New Roman"/>
                <w:sz w:val="20"/>
                <w:szCs w:val="20"/>
              </w:rPr>
            </w:pPr>
            <w:r w:rsidRPr="004375FB">
              <w:rPr>
                <w:rFonts w:ascii="Times New Roman" w:hAnsi="Times New Roman" w:cs="Times New Roman"/>
                <w:sz w:val="20"/>
                <w:szCs w:val="20"/>
              </w:rPr>
              <w:t>FN-05-03</w:t>
            </w:r>
          </w:p>
        </w:tc>
        <w:tc>
          <w:tcPr>
            <w:tcW w:w="1559" w:type="dxa"/>
          </w:tcPr>
          <w:p w14:paraId="5AB29F72" w14:textId="2E175882" w:rsidR="00E661B8" w:rsidRPr="004375FB" w:rsidRDefault="00E661B8" w:rsidP="00E661B8">
            <w:pPr>
              <w:jc w:val="center"/>
              <w:rPr>
                <w:rFonts w:ascii="Times New Roman" w:hAnsi="Times New Roman" w:cs="Times New Roman"/>
                <w:sz w:val="20"/>
                <w:szCs w:val="20"/>
              </w:rPr>
            </w:pPr>
            <w:r w:rsidRPr="004375FB">
              <w:rPr>
                <w:rFonts w:ascii="Times New Roman" w:hAnsi="Times New Roman" w:cs="Times New Roman"/>
                <w:sz w:val="20"/>
                <w:szCs w:val="20"/>
              </w:rPr>
              <w:t>01</w:t>
            </w:r>
          </w:p>
        </w:tc>
        <w:tc>
          <w:tcPr>
            <w:tcW w:w="3117" w:type="dxa"/>
            <w:gridSpan w:val="2"/>
          </w:tcPr>
          <w:p w14:paraId="119BB122" w14:textId="11B75A00" w:rsidR="00E661B8" w:rsidRPr="004375FB" w:rsidRDefault="00E661B8" w:rsidP="004375FB">
            <w:pPr>
              <w:jc w:val="both"/>
              <w:rPr>
                <w:rFonts w:ascii="Times New Roman" w:hAnsi="Times New Roman" w:cs="Times New Roman"/>
                <w:sz w:val="20"/>
                <w:szCs w:val="20"/>
              </w:rPr>
            </w:pPr>
            <w:r w:rsidRPr="004375FB">
              <w:rPr>
                <w:rFonts w:ascii="Times New Roman" w:hAnsi="Times New Roman" w:cs="Times New Roman"/>
                <w:sz w:val="20"/>
                <w:szCs w:val="20"/>
              </w:rPr>
              <w:t>Fiksuotoji norma, taikoma, kai priklauso nuo 26 iki 30 d. d. (jeigu dirbama 5 d. d. per savaitę) arba nuo 31 iki 36 d. d. (jeigu dirbama 6 d. d. per savaitę) kasmetinės atostogos</w:t>
            </w:r>
          </w:p>
        </w:tc>
        <w:tc>
          <w:tcPr>
            <w:tcW w:w="2630" w:type="dxa"/>
            <w:vMerge/>
          </w:tcPr>
          <w:p w14:paraId="1CE71B3A" w14:textId="77777777" w:rsidR="00E661B8" w:rsidRPr="00421A95" w:rsidRDefault="00E661B8" w:rsidP="00D548BA">
            <w:pPr>
              <w:jc w:val="both"/>
              <w:rPr>
                <w:rFonts w:ascii="Times New Roman" w:hAnsi="Times New Roman" w:cs="Times New Roman"/>
                <w:i/>
                <w:iCs/>
                <w:sz w:val="20"/>
                <w:szCs w:val="20"/>
              </w:rPr>
            </w:pPr>
          </w:p>
        </w:tc>
      </w:tr>
      <w:tr w:rsidR="00E661B8" w:rsidRPr="008B168C" w14:paraId="2262A2C6" w14:textId="77777777" w:rsidTr="00AE7DE3">
        <w:trPr>
          <w:cantSplit/>
          <w:trHeight w:val="750"/>
        </w:trPr>
        <w:tc>
          <w:tcPr>
            <w:tcW w:w="849" w:type="dxa"/>
            <w:vMerge/>
          </w:tcPr>
          <w:p w14:paraId="7549EAA9" w14:textId="77777777" w:rsidR="00E661B8" w:rsidRDefault="00E661B8" w:rsidP="00D548BA">
            <w:pPr>
              <w:rPr>
                <w:rFonts w:ascii="Times New Roman" w:hAnsi="Times New Roman" w:cs="Times New Roman"/>
                <w:b/>
                <w:bCs/>
              </w:rPr>
            </w:pPr>
          </w:p>
        </w:tc>
        <w:tc>
          <w:tcPr>
            <w:tcW w:w="2129" w:type="dxa"/>
          </w:tcPr>
          <w:p w14:paraId="2FBC4CAF" w14:textId="3BBFBE0A" w:rsidR="00E661B8" w:rsidRPr="004375FB" w:rsidRDefault="00E661B8" w:rsidP="00E661B8">
            <w:pPr>
              <w:jc w:val="center"/>
              <w:rPr>
                <w:rFonts w:ascii="Times New Roman" w:hAnsi="Times New Roman" w:cs="Times New Roman"/>
                <w:sz w:val="20"/>
                <w:szCs w:val="20"/>
              </w:rPr>
            </w:pPr>
            <w:r w:rsidRPr="004375FB">
              <w:rPr>
                <w:rFonts w:ascii="Times New Roman" w:hAnsi="Times New Roman" w:cs="Times New Roman"/>
                <w:sz w:val="20"/>
                <w:szCs w:val="20"/>
              </w:rPr>
              <w:t>FN-05-04</w:t>
            </w:r>
          </w:p>
        </w:tc>
        <w:tc>
          <w:tcPr>
            <w:tcW w:w="1559" w:type="dxa"/>
          </w:tcPr>
          <w:p w14:paraId="65D68FA4" w14:textId="494C8E6D" w:rsidR="00E661B8" w:rsidRPr="004375FB" w:rsidRDefault="00E661B8" w:rsidP="00E661B8">
            <w:pPr>
              <w:jc w:val="center"/>
              <w:rPr>
                <w:rFonts w:ascii="Times New Roman" w:hAnsi="Times New Roman" w:cs="Times New Roman"/>
                <w:sz w:val="20"/>
                <w:szCs w:val="20"/>
              </w:rPr>
            </w:pPr>
            <w:r w:rsidRPr="004375FB">
              <w:rPr>
                <w:rFonts w:ascii="Times New Roman" w:hAnsi="Times New Roman" w:cs="Times New Roman"/>
                <w:sz w:val="20"/>
                <w:szCs w:val="20"/>
              </w:rPr>
              <w:t>01</w:t>
            </w:r>
          </w:p>
        </w:tc>
        <w:tc>
          <w:tcPr>
            <w:tcW w:w="3117" w:type="dxa"/>
            <w:gridSpan w:val="2"/>
          </w:tcPr>
          <w:p w14:paraId="73517E03" w14:textId="7C4ABCB8" w:rsidR="00E661B8" w:rsidRPr="004375FB" w:rsidRDefault="00E661B8" w:rsidP="004375FB">
            <w:pPr>
              <w:jc w:val="both"/>
              <w:rPr>
                <w:rFonts w:ascii="Times New Roman" w:hAnsi="Times New Roman" w:cs="Times New Roman"/>
                <w:sz w:val="20"/>
                <w:szCs w:val="20"/>
              </w:rPr>
            </w:pPr>
            <w:r w:rsidRPr="004375FB">
              <w:rPr>
                <w:rFonts w:ascii="Times New Roman" w:hAnsi="Times New Roman" w:cs="Times New Roman"/>
                <w:sz w:val="20"/>
                <w:szCs w:val="20"/>
              </w:rPr>
              <w:t>Fiksuotoji norma, taikoma, kai priklauso nuo 31 iki 36 d. d. (jeigu dirbama 5 d. d. per savaitę) arba nuo 37 iki 42 d. d. (jeigu dirbama 6 d. d. per savaitę) kasmetinės atostogos</w:t>
            </w:r>
          </w:p>
        </w:tc>
        <w:tc>
          <w:tcPr>
            <w:tcW w:w="2630" w:type="dxa"/>
            <w:vMerge/>
          </w:tcPr>
          <w:p w14:paraId="185C2776" w14:textId="77777777" w:rsidR="00E661B8" w:rsidRPr="00421A95" w:rsidRDefault="00E661B8" w:rsidP="00D548BA">
            <w:pPr>
              <w:jc w:val="both"/>
              <w:rPr>
                <w:rFonts w:ascii="Times New Roman" w:hAnsi="Times New Roman" w:cs="Times New Roman"/>
                <w:i/>
                <w:iCs/>
                <w:sz w:val="20"/>
                <w:szCs w:val="20"/>
              </w:rPr>
            </w:pPr>
          </w:p>
        </w:tc>
      </w:tr>
      <w:tr w:rsidR="00E661B8" w:rsidRPr="008B168C" w14:paraId="39CFCE27" w14:textId="77777777" w:rsidTr="00AE7DE3">
        <w:trPr>
          <w:cantSplit/>
          <w:trHeight w:val="750"/>
        </w:trPr>
        <w:tc>
          <w:tcPr>
            <w:tcW w:w="849" w:type="dxa"/>
            <w:vMerge/>
          </w:tcPr>
          <w:p w14:paraId="7AA7E98A" w14:textId="77777777" w:rsidR="00E661B8" w:rsidRDefault="00E661B8" w:rsidP="00D548BA">
            <w:pPr>
              <w:rPr>
                <w:rFonts w:ascii="Times New Roman" w:hAnsi="Times New Roman" w:cs="Times New Roman"/>
                <w:b/>
                <w:bCs/>
              </w:rPr>
            </w:pPr>
          </w:p>
        </w:tc>
        <w:tc>
          <w:tcPr>
            <w:tcW w:w="2129" w:type="dxa"/>
          </w:tcPr>
          <w:p w14:paraId="16B73DFC" w14:textId="1CBD7A1D" w:rsidR="00E661B8" w:rsidRPr="004375FB" w:rsidRDefault="00E661B8" w:rsidP="00E661B8">
            <w:pPr>
              <w:jc w:val="center"/>
              <w:rPr>
                <w:rFonts w:ascii="Times New Roman" w:hAnsi="Times New Roman" w:cs="Times New Roman"/>
                <w:sz w:val="20"/>
                <w:szCs w:val="20"/>
              </w:rPr>
            </w:pPr>
            <w:r w:rsidRPr="004375FB">
              <w:rPr>
                <w:rFonts w:ascii="Times New Roman" w:hAnsi="Times New Roman" w:cs="Times New Roman"/>
                <w:sz w:val="20"/>
                <w:szCs w:val="20"/>
              </w:rPr>
              <w:t>FN-05-05</w:t>
            </w:r>
          </w:p>
        </w:tc>
        <w:tc>
          <w:tcPr>
            <w:tcW w:w="1559" w:type="dxa"/>
          </w:tcPr>
          <w:p w14:paraId="0ED1A0ED" w14:textId="718A0E82" w:rsidR="00E661B8" w:rsidRPr="004375FB" w:rsidRDefault="00E661B8" w:rsidP="00E661B8">
            <w:pPr>
              <w:jc w:val="center"/>
              <w:rPr>
                <w:rFonts w:ascii="Times New Roman" w:hAnsi="Times New Roman" w:cs="Times New Roman"/>
                <w:sz w:val="20"/>
                <w:szCs w:val="20"/>
              </w:rPr>
            </w:pPr>
            <w:r w:rsidRPr="004375FB">
              <w:rPr>
                <w:rFonts w:ascii="Times New Roman" w:hAnsi="Times New Roman" w:cs="Times New Roman"/>
                <w:sz w:val="20"/>
                <w:szCs w:val="20"/>
              </w:rPr>
              <w:t>01</w:t>
            </w:r>
          </w:p>
        </w:tc>
        <w:tc>
          <w:tcPr>
            <w:tcW w:w="3117" w:type="dxa"/>
            <w:gridSpan w:val="2"/>
          </w:tcPr>
          <w:p w14:paraId="1B17564D" w14:textId="645F642C" w:rsidR="00E661B8" w:rsidRPr="004375FB" w:rsidRDefault="00E661B8" w:rsidP="004375FB">
            <w:pPr>
              <w:jc w:val="both"/>
              <w:rPr>
                <w:rFonts w:ascii="Times New Roman" w:hAnsi="Times New Roman" w:cs="Times New Roman"/>
                <w:sz w:val="20"/>
                <w:szCs w:val="20"/>
              </w:rPr>
            </w:pPr>
            <w:r w:rsidRPr="004375FB">
              <w:rPr>
                <w:rFonts w:ascii="Times New Roman" w:hAnsi="Times New Roman" w:cs="Times New Roman"/>
                <w:sz w:val="20"/>
                <w:szCs w:val="20"/>
              </w:rPr>
              <w:t>Fiksuotoji norma, taikoma, kai priklauso nuo 37 iki 39 d. d. (jeigu dirbama 5 d. d. per savaitę) arba nuo 43 iki 47 d. d. (jeigu dirbama 6 d. d. per savaitę) kasmetinės atostogos</w:t>
            </w:r>
          </w:p>
        </w:tc>
        <w:tc>
          <w:tcPr>
            <w:tcW w:w="2630" w:type="dxa"/>
            <w:vMerge/>
          </w:tcPr>
          <w:p w14:paraId="69569645" w14:textId="77777777" w:rsidR="00E661B8" w:rsidRPr="00421A95" w:rsidRDefault="00E661B8" w:rsidP="00D548BA">
            <w:pPr>
              <w:jc w:val="both"/>
              <w:rPr>
                <w:rFonts w:ascii="Times New Roman" w:hAnsi="Times New Roman" w:cs="Times New Roman"/>
                <w:i/>
                <w:iCs/>
                <w:sz w:val="20"/>
                <w:szCs w:val="20"/>
              </w:rPr>
            </w:pPr>
          </w:p>
        </w:tc>
      </w:tr>
      <w:tr w:rsidR="00E661B8" w:rsidRPr="008B168C" w14:paraId="6A047B5E" w14:textId="77777777" w:rsidTr="00AE7DE3">
        <w:trPr>
          <w:cantSplit/>
          <w:trHeight w:val="750"/>
        </w:trPr>
        <w:tc>
          <w:tcPr>
            <w:tcW w:w="849" w:type="dxa"/>
            <w:vMerge/>
          </w:tcPr>
          <w:p w14:paraId="66676973" w14:textId="77777777" w:rsidR="00E661B8" w:rsidRDefault="00E661B8" w:rsidP="00D548BA">
            <w:pPr>
              <w:rPr>
                <w:rFonts w:ascii="Times New Roman" w:hAnsi="Times New Roman" w:cs="Times New Roman"/>
                <w:b/>
                <w:bCs/>
              </w:rPr>
            </w:pPr>
          </w:p>
        </w:tc>
        <w:tc>
          <w:tcPr>
            <w:tcW w:w="2129" w:type="dxa"/>
          </w:tcPr>
          <w:p w14:paraId="284547F5" w14:textId="691730A9" w:rsidR="00E661B8" w:rsidRPr="004375FB" w:rsidRDefault="00E661B8" w:rsidP="00E661B8">
            <w:pPr>
              <w:jc w:val="center"/>
              <w:rPr>
                <w:rFonts w:ascii="Times New Roman" w:hAnsi="Times New Roman" w:cs="Times New Roman"/>
                <w:sz w:val="20"/>
                <w:szCs w:val="20"/>
              </w:rPr>
            </w:pPr>
            <w:r w:rsidRPr="004375FB">
              <w:rPr>
                <w:rFonts w:ascii="Times New Roman" w:hAnsi="Times New Roman" w:cs="Times New Roman"/>
                <w:sz w:val="20"/>
                <w:szCs w:val="20"/>
              </w:rPr>
              <w:t>FN-05-06</w:t>
            </w:r>
          </w:p>
        </w:tc>
        <w:tc>
          <w:tcPr>
            <w:tcW w:w="1559" w:type="dxa"/>
          </w:tcPr>
          <w:p w14:paraId="04E63A0E" w14:textId="149D1498" w:rsidR="00E661B8" w:rsidRPr="004375FB" w:rsidRDefault="00E661B8" w:rsidP="00E661B8">
            <w:pPr>
              <w:jc w:val="center"/>
              <w:rPr>
                <w:rFonts w:ascii="Times New Roman" w:hAnsi="Times New Roman" w:cs="Times New Roman"/>
                <w:sz w:val="20"/>
                <w:szCs w:val="20"/>
              </w:rPr>
            </w:pPr>
            <w:r w:rsidRPr="004375FB">
              <w:rPr>
                <w:rFonts w:ascii="Times New Roman" w:hAnsi="Times New Roman" w:cs="Times New Roman"/>
                <w:sz w:val="20"/>
                <w:szCs w:val="20"/>
              </w:rPr>
              <w:t>01</w:t>
            </w:r>
          </w:p>
        </w:tc>
        <w:tc>
          <w:tcPr>
            <w:tcW w:w="3117" w:type="dxa"/>
            <w:gridSpan w:val="2"/>
          </w:tcPr>
          <w:p w14:paraId="0F4DD978" w14:textId="34C93518" w:rsidR="00E661B8" w:rsidRPr="004375FB" w:rsidRDefault="00E661B8" w:rsidP="004375FB">
            <w:pPr>
              <w:jc w:val="both"/>
              <w:rPr>
                <w:rFonts w:ascii="Times New Roman" w:hAnsi="Times New Roman" w:cs="Times New Roman"/>
                <w:sz w:val="20"/>
                <w:szCs w:val="20"/>
              </w:rPr>
            </w:pPr>
            <w:r w:rsidRPr="004375FB">
              <w:rPr>
                <w:rFonts w:ascii="Times New Roman" w:hAnsi="Times New Roman" w:cs="Times New Roman"/>
                <w:sz w:val="20"/>
                <w:szCs w:val="20"/>
              </w:rPr>
              <w:t>Fiksuotoji norma, taikoma, kai priklauso 40 d. d. (jeigu dirbama 5 d. d. per savaitę) arba 48 d. d. (jeigu dirbama 6 d. d. per savaitę) kasmetinės atostogos</w:t>
            </w:r>
          </w:p>
        </w:tc>
        <w:tc>
          <w:tcPr>
            <w:tcW w:w="2630" w:type="dxa"/>
            <w:vMerge/>
          </w:tcPr>
          <w:p w14:paraId="389C94C7" w14:textId="77777777" w:rsidR="00E661B8" w:rsidRPr="00421A95" w:rsidRDefault="00E661B8" w:rsidP="00D548BA">
            <w:pPr>
              <w:jc w:val="both"/>
              <w:rPr>
                <w:rFonts w:ascii="Times New Roman" w:hAnsi="Times New Roman" w:cs="Times New Roman"/>
                <w:i/>
                <w:iCs/>
                <w:sz w:val="20"/>
                <w:szCs w:val="20"/>
              </w:rPr>
            </w:pPr>
          </w:p>
        </w:tc>
      </w:tr>
      <w:tr w:rsidR="00E661B8" w:rsidRPr="008B168C" w14:paraId="6883E64C" w14:textId="77777777" w:rsidTr="00AE7DE3">
        <w:trPr>
          <w:cantSplit/>
          <w:trHeight w:val="750"/>
        </w:trPr>
        <w:tc>
          <w:tcPr>
            <w:tcW w:w="849" w:type="dxa"/>
            <w:vMerge/>
          </w:tcPr>
          <w:p w14:paraId="133D1A4B" w14:textId="77777777" w:rsidR="00E661B8" w:rsidRDefault="00E661B8" w:rsidP="00D548BA">
            <w:pPr>
              <w:rPr>
                <w:rFonts w:ascii="Times New Roman" w:hAnsi="Times New Roman" w:cs="Times New Roman"/>
                <w:b/>
                <w:bCs/>
              </w:rPr>
            </w:pPr>
          </w:p>
        </w:tc>
        <w:tc>
          <w:tcPr>
            <w:tcW w:w="2129" w:type="dxa"/>
          </w:tcPr>
          <w:p w14:paraId="2A267C6D" w14:textId="51AEF6E9" w:rsidR="00E661B8" w:rsidRPr="004375FB" w:rsidRDefault="00E661B8" w:rsidP="00E661B8">
            <w:pPr>
              <w:jc w:val="center"/>
              <w:rPr>
                <w:rFonts w:ascii="Times New Roman" w:hAnsi="Times New Roman" w:cs="Times New Roman"/>
                <w:sz w:val="20"/>
                <w:szCs w:val="20"/>
              </w:rPr>
            </w:pPr>
            <w:r w:rsidRPr="004375FB">
              <w:rPr>
                <w:rFonts w:ascii="Times New Roman" w:hAnsi="Times New Roman" w:cs="Times New Roman"/>
                <w:sz w:val="20"/>
                <w:szCs w:val="20"/>
              </w:rPr>
              <w:t>FN-05-07</w:t>
            </w:r>
          </w:p>
        </w:tc>
        <w:tc>
          <w:tcPr>
            <w:tcW w:w="1559" w:type="dxa"/>
          </w:tcPr>
          <w:p w14:paraId="21801886" w14:textId="6D4C2129" w:rsidR="00E661B8" w:rsidRPr="004375FB" w:rsidRDefault="00E661B8" w:rsidP="00E661B8">
            <w:pPr>
              <w:jc w:val="center"/>
              <w:rPr>
                <w:rFonts w:ascii="Times New Roman" w:hAnsi="Times New Roman" w:cs="Times New Roman"/>
                <w:sz w:val="20"/>
                <w:szCs w:val="20"/>
              </w:rPr>
            </w:pPr>
            <w:r w:rsidRPr="004375FB">
              <w:rPr>
                <w:rFonts w:ascii="Times New Roman" w:hAnsi="Times New Roman" w:cs="Times New Roman"/>
                <w:sz w:val="20"/>
                <w:szCs w:val="20"/>
              </w:rPr>
              <w:t>01</w:t>
            </w:r>
          </w:p>
        </w:tc>
        <w:tc>
          <w:tcPr>
            <w:tcW w:w="3117" w:type="dxa"/>
            <w:gridSpan w:val="2"/>
          </w:tcPr>
          <w:p w14:paraId="4A3985A0" w14:textId="7F695DFB" w:rsidR="00E661B8" w:rsidRPr="004375FB" w:rsidRDefault="00E661B8" w:rsidP="004375FB">
            <w:pPr>
              <w:jc w:val="both"/>
              <w:rPr>
                <w:rFonts w:ascii="Times New Roman" w:hAnsi="Times New Roman" w:cs="Times New Roman"/>
                <w:sz w:val="20"/>
                <w:szCs w:val="20"/>
              </w:rPr>
            </w:pPr>
            <w:r w:rsidRPr="004375FB">
              <w:rPr>
                <w:rFonts w:ascii="Times New Roman" w:hAnsi="Times New Roman" w:cs="Times New Roman"/>
                <w:sz w:val="20"/>
                <w:szCs w:val="20"/>
              </w:rPr>
              <w:t>Fiksuotoji norma, taikoma, kai priklauso nuo 41 d. d. (jeigu dirbama 5 d. d. per savaitę) arba nuo 49 d. d. (jeigu dirbama 6 d. d. per savaitę) kasmetinės atostogos</w:t>
            </w:r>
          </w:p>
        </w:tc>
        <w:tc>
          <w:tcPr>
            <w:tcW w:w="2630" w:type="dxa"/>
            <w:vMerge/>
          </w:tcPr>
          <w:p w14:paraId="1BC826C4" w14:textId="77777777" w:rsidR="00E661B8" w:rsidRPr="00421A95" w:rsidRDefault="00E661B8" w:rsidP="00D548BA">
            <w:pPr>
              <w:jc w:val="both"/>
              <w:rPr>
                <w:rFonts w:ascii="Times New Roman" w:hAnsi="Times New Roman" w:cs="Times New Roman"/>
                <w:i/>
                <w:iCs/>
                <w:sz w:val="20"/>
                <w:szCs w:val="20"/>
              </w:rPr>
            </w:pPr>
          </w:p>
        </w:tc>
      </w:tr>
      <w:tr w:rsidR="00D548BA" w:rsidRPr="008B168C" w14:paraId="549FAECB" w14:textId="49F63845" w:rsidTr="00E661B8">
        <w:trPr>
          <w:cantSplit/>
          <w:trHeight w:val="300"/>
        </w:trPr>
        <w:tc>
          <w:tcPr>
            <w:tcW w:w="849"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5" w:type="dxa"/>
            <w:gridSpan w:val="5"/>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4375FB">
        <w:trPr>
          <w:cantSplit/>
          <w:trHeight w:val="1548"/>
        </w:trPr>
        <w:tc>
          <w:tcPr>
            <w:tcW w:w="10284"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03"/>
              <w:gridCol w:w="2409"/>
              <w:gridCol w:w="2129"/>
              <w:gridCol w:w="1274"/>
              <w:gridCol w:w="1983"/>
            </w:tblGrid>
            <w:tr w:rsidR="00D548BA" w:rsidRPr="00F44ADD" w14:paraId="7CF26569" w14:textId="77777777" w:rsidTr="004375FB">
              <w:trPr>
                <w:trHeight w:val="557"/>
              </w:trPr>
              <w:tc>
                <w:tcPr>
                  <w:tcW w:w="1140" w:type="pct"/>
                  <w:shd w:val="clear" w:color="auto" w:fill="auto"/>
                  <w:vAlign w:val="center"/>
                </w:tcPr>
                <w:p w14:paraId="154659A1" w14:textId="33FE82FA" w:rsidR="00D548BA" w:rsidRPr="004375FB" w:rsidRDefault="00D548BA" w:rsidP="004A79FA">
                  <w:pPr>
                    <w:jc w:val="center"/>
                    <w:textAlignment w:val="baseline"/>
                    <w:rPr>
                      <w:rFonts w:ascii="Times New Roman" w:hAnsi="Times New Roman" w:cs="Times New Roman"/>
                      <w:b/>
                      <w:sz w:val="20"/>
                      <w:szCs w:val="20"/>
                      <w:highlight w:val="yellow"/>
                      <w:lang w:eastAsia="lt-LT"/>
                    </w:rPr>
                  </w:pPr>
                  <w:r w:rsidRPr="004375FB">
                    <w:rPr>
                      <w:rFonts w:ascii="Times New Roman" w:hAnsi="Times New Roman" w:cs="Times New Roman"/>
                      <w:b/>
                      <w:bCs/>
                      <w:sz w:val="20"/>
                      <w:szCs w:val="20"/>
                      <w:lang w:eastAsia="lt-LT"/>
                    </w:rPr>
                    <w:t>Pažangos priemonės poveiklės numeris</w:t>
                  </w:r>
                </w:p>
              </w:tc>
              <w:tc>
                <w:tcPr>
                  <w:tcW w:w="1193" w:type="pct"/>
                  <w:shd w:val="clear" w:color="auto" w:fill="auto"/>
                  <w:vAlign w:val="center"/>
                </w:tcPr>
                <w:p w14:paraId="46E92B10" w14:textId="47E9A39B" w:rsidR="00D548BA" w:rsidRPr="004375FB" w:rsidRDefault="00D548BA" w:rsidP="00D548BA">
                  <w:pPr>
                    <w:keepNext/>
                    <w:jc w:val="center"/>
                    <w:rPr>
                      <w:rFonts w:ascii="Times New Roman" w:hAnsi="Times New Roman" w:cs="Times New Roman"/>
                      <w:b/>
                      <w:sz w:val="20"/>
                      <w:szCs w:val="20"/>
                    </w:rPr>
                  </w:pPr>
                  <w:r w:rsidRPr="004375FB">
                    <w:rPr>
                      <w:rFonts w:ascii="Times New Roman" w:hAnsi="Times New Roman" w:cs="Times New Roman"/>
                      <w:b/>
                      <w:sz w:val="20"/>
                      <w:szCs w:val="20"/>
                    </w:rPr>
                    <w:t>Rodiklio pavadinimas</w:t>
                  </w:r>
                </w:p>
              </w:tc>
              <w:tc>
                <w:tcPr>
                  <w:tcW w:w="1054" w:type="pct"/>
                  <w:shd w:val="clear" w:color="auto" w:fill="auto"/>
                  <w:vAlign w:val="center"/>
                </w:tcPr>
                <w:p w14:paraId="7A25D9C7" w14:textId="3E6773A0" w:rsidR="00D548BA" w:rsidRPr="004375FB" w:rsidRDefault="00D548BA" w:rsidP="00D548BA">
                  <w:pPr>
                    <w:keepNext/>
                    <w:jc w:val="center"/>
                    <w:rPr>
                      <w:rFonts w:ascii="Times New Roman" w:hAnsi="Times New Roman" w:cs="Times New Roman"/>
                      <w:b/>
                      <w:sz w:val="20"/>
                      <w:szCs w:val="20"/>
                    </w:rPr>
                  </w:pPr>
                  <w:r w:rsidRPr="004375FB">
                    <w:rPr>
                      <w:rFonts w:ascii="Times New Roman" w:hAnsi="Times New Roman" w:cs="Times New Roman"/>
                      <w:b/>
                      <w:sz w:val="20"/>
                      <w:szCs w:val="20"/>
                    </w:rPr>
                    <w:t>Rodiklio kodas</w:t>
                  </w:r>
                </w:p>
              </w:tc>
              <w:tc>
                <w:tcPr>
                  <w:tcW w:w="631" w:type="pct"/>
                  <w:shd w:val="clear" w:color="auto" w:fill="auto"/>
                  <w:vAlign w:val="center"/>
                </w:tcPr>
                <w:p w14:paraId="1920A6C0" w14:textId="77777777" w:rsidR="00D548BA" w:rsidRPr="004375FB" w:rsidRDefault="00D548BA" w:rsidP="00D548BA">
                  <w:pPr>
                    <w:keepNext/>
                    <w:jc w:val="center"/>
                    <w:rPr>
                      <w:rFonts w:ascii="Times New Roman" w:hAnsi="Times New Roman" w:cs="Times New Roman"/>
                      <w:b/>
                      <w:sz w:val="20"/>
                      <w:szCs w:val="20"/>
                    </w:rPr>
                  </w:pPr>
                  <w:r w:rsidRPr="004375FB">
                    <w:rPr>
                      <w:rFonts w:ascii="Times New Roman" w:hAnsi="Times New Roman" w:cs="Times New Roman"/>
                      <w:b/>
                      <w:sz w:val="20"/>
                      <w:szCs w:val="20"/>
                    </w:rPr>
                    <w:t>Matavimo vienetas</w:t>
                  </w:r>
                </w:p>
              </w:tc>
              <w:tc>
                <w:tcPr>
                  <w:tcW w:w="982" w:type="pct"/>
                  <w:shd w:val="clear" w:color="auto" w:fill="auto"/>
                  <w:vAlign w:val="center"/>
                </w:tcPr>
                <w:p w14:paraId="14A9C62E" w14:textId="79DB9431" w:rsidR="00D548BA" w:rsidRPr="004375FB" w:rsidRDefault="00D548BA" w:rsidP="00D548BA">
                  <w:pPr>
                    <w:keepNext/>
                    <w:jc w:val="center"/>
                    <w:rPr>
                      <w:rFonts w:ascii="Times New Roman" w:hAnsi="Times New Roman" w:cs="Times New Roman"/>
                      <w:b/>
                      <w:sz w:val="20"/>
                      <w:szCs w:val="20"/>
                    </w:rPr>
                  </w:pPr>
                  <w:r w:rsidRPr="004375FB">
                    <w:rPr>
                      <w:rFonts w:ascii="Times New Roman" w:hAnsi="Times New Roman" w:cs="Times New Roman"/>
                      <w:b/>
                      <w:sz w:val="20"/>
                      <w:szCs w:val="20"/>
                    </w:rPr>
                    <w:t>Minimali siektina reikšmė projektui</w:t>
                  </w:r>
                </w:p>
              </w:tc>
            </w:tr>
            <w:tr w:rsidR="00A07928" w:rsidRPr="00F44ADD" w14:paraId="16868029" w14:textId="77777777" w:rsidTr="004375FB">
              <w:trPr>
                <w:trHeight w:val="615"/>
              </w:trPr>
              <w:tc>
                <w:tcPr>
                  <w:tcW w:w="1140" w:type="pct"/>
                  <w:shd w:val="clear" w:color="auto" w:fill="auto"/>
                  <w:vAlign w:val="center"/>
                </w:tcPr>
                <w:p w14:paraId="7C59E614" w14:textId="303AAE60" w:rsidR="00A07928" w:rsidRPr="004375FB" w:rsidRDefault="00A07928" w:rsidP="00D548BA">
                  <w:pPr>
                    <w:rPr>
                      <w:rFonts w:ascii="Times New Roman" w:hAnsi="Times New Roman" w:cs="Times New Roman"/>
                      <w:sz w:val="20"/>
                      <w:szCs w:val="20"/>
                    </w:rPr>
                  </w:pPr>
                  <w:r w:rsidRPr="004375FB">
                    <w:rPr>
                      <w:rFonts w:ascii="Times New Roman" w:hAnsi="Times New Roman" w:cs="Times New Roman"/>
                      <w:sz w:val="20"/>
                      <w:szCs w:val="20"/>
                    </w:rPr>
                    <w:t>11-002-02-11-01-04-04</w:t>
                  </w:r>
                </w:p>
              </w:tc>
              <w:tc>
                <w:tcPr>
                  <w:tcW w:w="1193" w:type="pct"/>
                  <w:shd w:val="clear" w:color="auto" w:fill="auto"/>
                  <w:vAlign w:val="center"/>
                </w:tcPr>
                <w:p w14:paraId="1FDC8F0B" w14:textId="1752FE3F" w:rsidR="00A07928" w:rsidRPr="004375FB" w:rsidRDefault="00A07928" w:rsidP="004375FB">
                  <w:pPr>
                    <w:keepNext/>
                    <w:spacing w:line="240" w:lineRule="auto"/>
                    <w:jc w:val="center"/>
                    <w:rPr>
                      <w:rFonts w:ascii="Times New Roman" w:hAnsi="Times New Roman" w:cs="Times New Roman"/>
                      <w:sz w:val="20"/>
                      <w:szCs w:val="20"/>
                    </w:rPr>
                  </w:pPr>
                  <w:r w:rsidRPr="004375FB">
                    <w:rPr>
                      <w:rFonts w:ascii="Times New Roman" w:hAnsi="Times New Roman" w:cs="Times New Roman"/>
                      <w:sz w:val="20"/>
                      <w:szCs w:val="20"/>
                    </w:rPr>
                    <w:t>Šalies gyventojų, kuriems teikiamos su sveikata susijusios elektroninės paslaugos, dalis</w:t>
                  </w:r>
                </w:p>
              </w:tc>
              <w:tc>
                <w:tcPr>
                  <w:tcW w:w="1054" w:type="pct"/>
                  <w:shd w:val="clear" w:color="auto" w:fill="auto"/>
                  <w:vAlign w:val="center"/>
                </w:tcPr>
                <w:p w14:paraId="749DBEF5" w14:textId="77777777" w:rsidR="00A07928" w:rsidRPr="004375FB" w:rsidRDefault="00A07928" w:rsidP="004375FB">
                  <w:pPr>
                    <w:spacing w:line="240" w:lineRule="auto"/>
                    <w:jc w:val="center"/>
                    <w:rPr>
                      <w:rFonts w:ascii="Times New Roman" w:hAnsi="Times New Roman" w:cs="Times New Roman"/>
                      <w:sz w:val="20"/>
                      <w:szCs w:val="20"/>
                    </w:rPr>
                  </w:pPr>
                  <w:r w:rsidRPr="004375FB">
                    <w:rPr>
                      <w:rFonts w:ascii="Times New Roman" w:hAnsi="Times New Roman" w:cs="Times New Roman"/>
                      <w:sz w:val="20"/>
                      <w:szCs w:val="20"/>
                    </w:rPr>
                    <w:t>R-11-002-02-11-01-25</w:t>
                  </w:r>
                </w:p>
                <w:p w14:paraId="6B68638C" w14:textId="62B3B650" w:rsidR="00A07928" w:rsidRPr="004375FB" w:rsidRDefault="00A07928" w:rsidP="004375FB">
                  <w:pPr>
                    <w:spacing w:line="240" w:lineRule="auto"/>
                    <w:jc w:val="center"/>
                    <w:rPr>
                      <w:rFonts w:ascii="Times New Roman" w:hAnsi="Times New Roman" w:cs="Times New Roman"/>
                      <w:sz w:val="20"/>
                      <w:szCs w:val="20"/>
                    </w:rPr>
                  </w:pPr>
                  <w:r w:rsidRPr="004375FB">
                    <w:rPr>
                      <w:rFonts w:ascii="Times New Roman" w:hAnsi="Times New Roman" w:cs="Times New Roman"/>
                      <w:sz w:val="20"/>
                      <w:szCs w:val="20"/>
                    </w:rPr>
                    <w:t>R.S.1.3012</w:t>
                  </w:r>
                </w:p>
              </w:tc>
              <w:tc>
                <w:tcPr>
                  <w:tcW w:w="631" w:type="pct"/>
                  <w:shd w:val="clear" w:color="auto" w:fill="auto"/>
                  <w:vAlign w:val="center"/>
                </w:tcPr>
                <w:p w14:paraId="1EBFE7CD" w14:textId="4D9BD70C" w:rsidR="00A07928" w:rsidRPr="004375FB" w:rsidRDefault="00A07928" w:rsidP="00D548BA">
                  <w:pPr>
                    <w:keepNext/>
                    <w:jc w:val="center"/>
                    <w:rPr>
                      <w:rFonts w:ascii="Times New Roman" w:hAnsi="Times New Roman" w:cs="Times New Roman"/>
                      <w:sz w:val="20"/>
                      <w:szCs w:val="20"/>
                    </w:rPr>
                  </w:pPr>
                  <w:r w:rsidRPr="004375FB">
                    <w:rPr>
                      <w:rFonts w:ascii="Times New Roman" w:hAnsi="Times New Roman" w:cs="Times New Roman"/>
                      <w:sz w:val="20"/>
                      <w:szCs w:val="20"/>
                    </w:rPr>
                    <w:t>Proc.</w:t>
                  </w:r>
                </w:p>
              </w:tc>
              <w:tc>
                <w:tcPr>
                  <w:tcW w:w="982" w:type="pct"/>
                  <w:shd w:val="clear" w:color="auto" w:fill="auto"/>
                  <w:vAlign w:val="center"/>
                </w:tcPr>
                <w:p w14:paraId="432C535A" w14:textId="6964763B" w:rsidR="00A07928" w:rsidRPr="004375FB" w:rsidRDefault="00A07928" w:rsidP="00D548BA">
                  <w:pPr>
                    <w:keepNext/>
                    <w:jc w:val="center"/>
                    <w:rPr>
                      <w:rFonts w:ascii="Times New Roman" w:hAnsi="Times New Roman" w:cs="Times New Roman"/>
                      <w:sz w:val="20"/>
                      <w:szCs w:val="20"/>
                    </w:rPr>
                  </w:pPr>
                  <w:r w:rsidRPr="004375FB">
                    <w:rPr>
                      <w:rFonts w:ascii="Times New Roman" w:hAnsi="Times New Roman" w:cs="Times New Roman"/>
                      <w:sz w:val="20"/>
                      <w:szCs w:val="20"/>
                    </w:rPr>
                    <w:t>60 (2025 m. IV ketv.)</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E661B8">
        <w:trPr>
          <w:cantSplit/>
          <w:trHeight w:val="300"/>
        </w:trPr>
        <w:tc>
          <w:tcPr>
            <w:tcW w:w="849"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5" w:type="dxa"/>
            <w:gridSpan w:val="5"/>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E661B8">
        <w:trPr>
          <w:cantSplit/>
          <w:trHeight w:val="300"/>
        </w:trPr>
        <w:tc>
          <w:tcPr>
            <w:tcW w:w="849"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5" w:type="dxa"/>
            <w:gridSpan w:val="5"/>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E661B8">
        <w:trPr>
          <w:cantSplit/>
          <w:trHeight w:val="477"/>
        </w:trPr>
        <w:tc>
          <w:tcPr>
            <w:tcW w:w="849" w:type="dxa"/>
          </w:tcPr>
          <w:p w14:paraId="31C64C8D" w14:textId="77777777" w:rsidR="00D548BA" w:rsidRPr="00F62A6E" w:rsidRDefault="00D548BA" w:rsidP="00D548BA">
            <w:pPr>
              <w:rPr>
                <w:rFonts w:ascii="Times New Roman" w:hAnsi="Times New Roman" w:cs="Times New Roman"/>
                <w:b/>
              </w:rPr>
            </w:pPr>
          </w:p>
        </w:tc>
        <w:tc>
          <w:tcPr>
            <w:tcW w:w="9435" w:type="dxa"/>
            <w:gridSpan w:val="5"/>
            <w:shd w:val="clear" w:color="auto" w:fill="auto"/>
          </w:tcPr>
          <w:p w14:paraId="092275B7" w14:textId="77777777" w:rsidR="00232003" w:rsidRPr="00232003" w:rsidRDefault="00232003" w:rsidP="00231213">
            <w:pPr>
              <w:jc w:val="both"/>
              <w:rPr>
                <w:rFonts w:ascii="Times New Roman" w:hAnsi="Times New Roman" w:cs="Times New Roman"/>
              </w:rPr>
            </w:pPr>
            <w:r w:rsidRPr="00232003">
              <w:rPr>
                <w:rFonts w:ascii="Times New Roman" w:hAnsi="Times New Roman" w:cs="Times New Roman"/>
              </w:rPr>
              <w:t>Lietuvoje Centrinė e. sveikatos sistema, kitaip Elektroninės sveikatos paslaugų ir bendradarbiavimo infrastruktūros informacinė  sistema (toliau – ESPBI IS), susideda iš daugelio posistemių, tačiau yra vienas didelis monolitas (visos posistemės, duomenų bazė, informacijos mainų posistemė ir t. t.), kuriame kaupiamų medicinos duomenų apimtys didėja milžiniškais tempais (nuo 2019 m. 33 TB,  2021 m. 160 TB iki 2023 m. 245 TB, tendencijos išlieka panašios ir toliau), tad apdoroti tokius duomenų kiekius bei palaikyti stabiliai veikiančias paslaugų posistemes (tokias kaip www.esveikata.lt, išankstinė pacientų registracija (toliau – IPR IS) ir kitos) tampa dideliu iššūkiu net su moderniomis techninėmis priemonėmis, kurios prie esamos ESPBI IS monolitinės architektūros negali būti plečiamos neribotai ir jau beveik pasiekė maksimalią technologinę ribą.</w:t>
            </w:r>
          </w:p>
          <w:p w14:paraId="0A0AA6A8" w14:textId="77777777" w:rsidR="00232003" w:rsidRPr="00232003" w:rsidRDefault="00232003" w:rsidP="00231213">
            <w:pPr>
              <w:jc w:val="both"/>
              <w:rPr>
                <w:rFonts w:ascii="Times New Roman" w:hAnsi="Times New Roman" w:cs="Times New Roman"/>
              </w:rPr>
            </w:pPr>
            <w:r w:rsidRPr="00232003">
              <w:rPr>
                <w:rFonts w:ascii="Times New Roman" w:hAnsi="Times New Roman" w:cs="Times New Roman"/>
              </w:rPr>
              <w:t>Siekiant kurti ir plėtoti pažangias integralias e. sveikatos paslaugas, atitinkančias gyventojų, pacientų, sveikatos priežiūros įstaigų ir specialistų poreikius bei lūkesčius, pagrindiniu iššūkiu tampa tai, kad esama ESPBI IS monolitinė architektūra lemia sudėtingą ir daug laiko sąnaudų reikalaujantį naujų funkcionalumų diegimą, todėl nėra laiku atliepiami naudotojų poreikiai, sunkiai prisitaikoma pasikeitus sveikatos priežiūros paslaugų veiklą reglamentuojantiems teisės aktams, kurių pasikeitimas reikalauja ir ESPBI IS naujų funkcijų diegimo ar tobulinimo. Tad reikalingas esamų paslaugų, duomenų bazių  dekomponavimas į atskiras sistemas pagal paslaugas, kas leis ir greitesnį vystymą, savalaikį plėtojimą atliepiantį naudotojų lūkesčius, bei išskaidyti infrastruktūrinius sprendimus atskiroms paslaugomis. Visa tai padės stabilizuoti esamų paslaugų veiklą, pagreitinti naujų paslaugų įgyvendinimą, teikti duomenis suinteresuotoms institucijoms, bei padidins greitaveiką.</w:t>
            </w:r>
          </w:p>
          <w:p w14:paraId="55A81ED9" w14:textId="6C5EB4A5" w:rsidR="00232003" w:rsidRPr="003E03A9" w:rsidRDefault="00232003" w:rsidP="00231213">
            <w:pPr>
              <w:tabs>
                <w:tab w:val="left" w:pos="600"/>
              </w:tabs>
              <w:jc w:val="both"/>
              <w:rPr>
                <w:rFonts w:ascii="Times New Roman" w:hAnsi="Times New Roman" w:cs="Times New Roman"/>
                <w:color w:val="000000" w:themeColor="text1"/>
              </w:rPr>
            </w:pPr>
            <w:r w:rsidRPr="00232003">
              <w:rPr>
                <w:rFonts w:ascii="Times New Roman" w:hAnsi="Times New Roman" w:cs="Times New Roman"/>
              </w:rPr>
              <w:t xml:space="preserve">1. Įgyvendinant Pažangos priemonę investicijos bus skiriamos ESPBI IS sudarančių posistemių dekomponavimui (pacientų registro sukūrimui; medicininių organizacijų bei medicininių paslaugų tiekėjų komponento sukūrimui; terminologijų ir klasifikatorių posistemės sukūrimui; prieigos teisių prie Elektroninės sveikatos istorijos (ESI) kontrolės ir valdymo komponento sukūrimui; nacionalinės ESI saugyklos, pagrįstos šiuolaikiniais industriniais standartais, sukūrimui; auditavimo ir žurnalizavimo komponento sukūrimui; specialisto, paciento, farmacininko portalų dekomponavimui į atskirus modulius; ESPBI duomenų saugyklų techninės dalies išplėtimui / įsigijimui; saugios įrangos atnaujinimui / </w:t>
            </w:r>
            <w:r w:rsidRPr="003E03A9">
              <w:rPr>
                <w:rFonts w:ascii="Times New Roman" w:hAnsi="Times New Roman" w:cs="Times New Roman"/>
                <w:color w:val="000000" w:themeColor="text1"/>
              </w:rPr>
              <w:t xml:space="preserve">įsigijimui; kt.). Bus investuojama į infrastruktūros sukūrimą, įrangos įsigijimą. </w:t>
            </w:r>
          </w:p>
          <w:p w14:paraId="2F18BBC8" w14:textId="609628D7" w:rsidR="00232003" w:rsidRPr="003E03A9" w:rsidRDefault="00232003" w:rsidP="00231213">
            <w:pPr>
              <w:tabs>
                <w:tab w:val="left" w:pos="459"/>
              </w:tabs>
              <w:jc w:val="both"/>
              <w:rPr>
                <w:rFonts w:ascii="Times New Roman" w:hAnsi="Times New Roman" w:cs="Times New Roman"/>
                <w:color w:val="000000" w:themeColor="text1"/>
              </w:rPr>
            </w:pPr>
            <w:r w:rsidRPr="003E03A9">
              <w:rPr>
                <w:rFonts w:ascii="Times New Roman" w:hAnsi="Times New Roman" w:cs="Times New Roman"/>
                <w:color w:val="000000" w:themeColor="text1"/>
              </w:rPr>
              <w:t xml:space="preserve">2. Pagal Aprašą finansuojama veikla – sveikatos sektoriaus skaitmeninimas. Numatoma poveiklė – sveikatos sektoriaus skaitmeninimo projektai: ESPBI IS sudarančių posistemių dekomponavimas. Finansuojama: </w:t>
            </w:r>
          </w:p>
          <w:p w14:paraId="62E8BC8C" w14:textId="43B68A5A" w:rsidR="00232003" w:rsidRPr="00232003" w:rsidRDefault="00232003" w:rsidP="003E03A9">
            <w:pPr>
              <w:tabs>
                <w:tab w:val="left" w:pos="459"/>
              </w:tabs>
              <w:ind w:left="459"/>
              <w:jc w:val="both"/>
              <w:rPr>
                <w:rFonts w:ascii="Times New Roman" w:hAnsi="Times New Roman" w:cs="Times New Roman"/>
              </w:rPr>
            </w:pPr>
            <w:r w:rsidRPr="003E03A9">
              <w:rPr>
                <w:rFonts w:ascii="Times New Roman" w:hAnsi="Times New Roman" w:cs="Times New Roman"/>
                <w:color w:val="000000" w:themeColor="text1"/>
              </w:rPr>
              <w:t xml:space="preserve">2.1. ESPBI </w:t>
            </w:r>
            <w:r w:rsidRPr="00232003">
              <w:rPr>
                <w:rFonts w:ascii="Times New Roman" w:hAnsi="Times New Roman" w:cs="Times New Roman"/>
              </w:rPr>
              <w:t>IS sudarančių posistemių dekomponavimas ir su tuo susijusios veiklos bei išlaidos:</w:t>
            </w:r>
          </w:p>
          <w:p w14:paraId="15963F59" w14:textId="6968DD9B" w:rsidR="00232003" w:rsidRPr="00232003" w:rsidRDefault="00232003" w:rsidP="003E03A9">
            <w:pPr>
              <w:tabs>
                <w:tab w:val="left" w:pos="459"/>
              </w:tabs>
              <w:ind w:left="1296" w:hanging="838"/>
              <w:jc w:val="both"/>
              <w:rPr>
                <w:rFonts w:ascii="Times New Roman" w:hAnsi="Times New Roman" w:cs="Times New Roman"/>
              </w:rPr>
            </w:pPr>
            <w:r w:rsidRPr="00232003">
              <w:rPr>
                <w:rFonts w:ascii="Times New Roman" w:hAnsi="Times New Roman" w:cs="Times New Roman"/>
              </w:rPr>
              <w:t xml:space="preserve">2.1.1. Pacientų registro kaip atskiro komponento sukūrimas; </w:t>
            </w:r>
          </w:p>
          <w:p w14:paraId="56216930" w14:textId="77777777" w:rsidR="003E03A9" w:rsidRDefault="00232003" w:rsidP="003E03A9">
            <w:pPr>
              <w:tabs>
                <w:tab w:val="left" w:pos="459"/>
              </w:tabs>
              <w:ind w:left="33" w:firstLine="425"/>
              <w:jc w:val="both"/>
              <w:rPr>
                <w:rFonts w:ascii="Times New Roman" w:hAnsi="Times New Roman" w:cs="Times New Roman"/>
              </w:rPr>
            </w:pPr>
            <w:r w:rsidRPr="00232003">
              <w:rPr>
                <w:rFonts w:ascii="Times New Roman" w:hAnsi="Times New Roman" w:cs="Times New Roman"/>
              </w:rPr>
              <w:t>2.1.2. Medicininių organizacijų bei medicininių paslaugų tiekėjų (gydytojai, slaugytojos) komponento sukūrimas, kuris skirtas duomenų apsikeitimui užtikrinti;</w:t>
            </w:r>
          </w:p>
          <w:p w14:paraId="31E48DB3" w14:textId="6F933971" w:rsidR="00232003" w:rsidRPr="00232003" w:rsidRDefault="003E03A9" w:rsidP="003E03A9">
            <w:pPr>
              <w:tabs>
                <w:tab w:val="left" w:pos="459"/>
              </w:tabs>
              <w:ind w:left="33" w:firstLine="425"/>
              <w:jc w:val="both"/>
              <w:rPr>
                <w:rFonts w:ascii="Times New Roman" w:hAnsi="Times New Roman" w:cs="Times New Roman"/>
              </w:rPr>
            </w:pPr>
            <w:r w:rsidRPr="004375FB">
              <w:rPr>
                <w:rFonts w:ascii="Times New Roman" w:hAnsi="Times New Roman" w:cs="Times New Roman"/>
                <w:lang w:val="pt-BR"/>
              </w:rPr>
              <w:t xml:space="preserve">2.1.3. </w:t>
            </w:r>
            <w:r w:rsidR="00232003" w:rsidRPr="00232003">
              <w:rPr>
                <w:rFonts w:ascii="Times New Roman" w:hAnsi="Times New Roman" w:cs="Times New Roman"/>
              </w:rPr>
              <w:t xml:space="preserve">Terminologijų ir klasifikatorių posistemės sukūrimas (terminologijų serveris, skirtas duomenų apsikeitimui užtikrinti); </w:t>
            </w:r>
          </w:p>
          <w:p w14:paraId="281CDA08" w14:textId="6F246FD3" w:rsidR="00232003" w:rsidRPr="00232003" w:rsidRDefault="00232003" w:rsidP="003E03A9">
            <w:pPr>
              <w:tabs>
                <w:tab w:val="left" w:pos="459"/>
              </w:tabs>
              <w:ind w:left="1296" w:hanging="838"/>
              <w:jc w:val="both"/>
              <w:rPr>
                <w:rFonts w:ascii="Times New Roman" w:hAnsi="Times New Roman" w:cs="Times New Roman"/>
              </w:rPr>
            </w:pPr>
            <w:r w:rsidRPr="00232003">
              <w:rPr>
                <w:rFonts w:ascii="Times New Roman" w:hAnsi="Times New Roman" w:cs="Times New Roman"/>
              </w:rPr>
              <w:t>2.1.4. Prieigos teisių prie ESI kontrolės ir valdymo komponento sukūrimas;</w:t>
            </w:r>
          </w:p>
          <w:p w14:paraId="7AA03060" w14:textId="77777777" w:rsidR="003E03A9" w:rsidRDefault="00232003" w:rsidP="003E03A9">
            <w:pPr>
              <w:tabs>
                <w:tab w:val="left" w:pos="459"/>
              </w:tabs>
              <w:ind w:left="1296" w:hanging="838"/>
              <w:jc w:val="both"/>
              <w:rPr>
                <w:rFonts w:ascii="Times New Roman" w:hAnsi="Times New Roman" w:cs="Times New Roman"/>
              </w:rPr>
            </w:pPr>
            <w:r w:rsidRPr="00232003">
              <w:rPr>
                <w:rFonts w:ascii="Times New Roman" w:hAnsi="Times New Roman" w:cs="Times New Roman"/>
              </w:rPr>
              <w:t>2.1.5. Nacionalinės ESI saugyklos, pagrįstos šiuolaikiniais industriniais standartais, sukūrimas;</w:t>
            </w:r>
          </w:p>
          <w:p w14:paraId="71669373" w14:textId="521CDB05" w:rsidR="00232003" w:rsidRPr="00232003" w:rsidRDefault="003E03A9" w:rsidP="003E03A9">
            <w:pPr>
              <w:tabs>
                <w:tab w:val="left" w:pos="459"/>
              </w:tabs>
              <w:ind w:left="39" w:firstLine="419"/>
              <w:jc w:val="both"/>
              <w:rPr>
                <w:rFonts w:ascii="Times New Roman" w:hAnsi="Times New Roman" w:cs="Times New Roman"/>
              </w:rPr>
            </w:pPr>
            <w:r>
              <w:rPr>
                <w:rFonts w:ascii="Times New Roman" w:hAnsi="Times New Roman" w:cs="Times New Roman"/>
              </w:rPr>
              <w:t xml:space="preserve">2.1.6. </w:t>
            </w:r>
            <w:r w:rsidR="00232003" w:rsidRPr="00232003">
              <w:rPr>
                <w:rFonts w:ascii="Times New Roman" w:hAnsi="Times New Roman" w:cs="Times New Roman"/>
              </w:rPr>
              <w:t>Auditavimo ir žurnalizavimo komponento, skirto E</w:t>
            </w:r>
            <w:r>
              <w:rPr>
                <w:rFonts w:ascii="Times New Roman" w:hAnsi="Times New Roman" w:cs="Times New Roman"/>
              </w:rPr>
              <w:t xml:space="preserve">SPBI komponentų žurnalizavimui, </w:t>
            </w:r>
            <w:r w:rsidR="00232003" w:rsidRPr="00232003">
              <w:rPr>
                <w:rFonts w:ascii="Times New Roman" w:hAnsi="Times New Roman" w:cs="Times New Roman"/>
              </w:rPr>
              <w:t>sukūrimas;</w:t>
            </w:r>
          </w:p>
          <w:p w14:paraId="0733A8FA" w14:textId="27F45121" w:rsidR="00232003" w:rsidRPr="00232003" w:rsidRDefault="00232003" w:rsidP="003E03A9">
            <w:pPr>
              <w:tabs>
                <w:tab w:val="left" w:pos="459"/>
              </w:tabs>
              <w:ind w:left="1296" w:hanging="838"/>
              <w:jc w:val="both"/>
              <w:rPr>
                <w:rFonts w:ascii="Times New Roman" w:hAnsi="Times New Roman" w:cs="Times New Roman"/>
              </w:rPr>
            </w:pPr>
            <w:r w:rsidRPr="00232003">
              <w:rPr>
                <w:rFonts w:ascii="Times New Roman" w:hAnsi="Times New Roman" w:cs="Times New Roman"/>
              </w:rPr>
              <w:t>2.1.7. specialisto, paciento, farmacininko portalų dekomponavimas į atskirus modulius;</w:t>
            </w:r>
          </w:p>
          <w:p w14:paraId="63E63E95" w14:textId="40A3FC38" w:rsidR="00232003" w:rsidRPr="00232003" w:rsidRDefault="00232003" w:rsidP="003E03A9">
            <w:pPr>
              <w:tabs>
                <w:tab w:val="left" w:pos="459"/>
              </w:tabs>
              <w:ind w:left="1296" w:hanging="838"/>
              <w:jc w:val="both"/>
              <w:rPr>
                <w:rFonts w:ascii="Times New Roman" w:hAnsi="Times New Roman" w:cs="Times New Roman"/>
              </w:rPr>
            </w:pPr>
            <w:r w:rsidRPr="00232003">
              <w:rPr>
                <w:rFonts w:ascii="Times New Roman" w:hAnsi="Times New Roman" w:cs="Times New Roman"/>
              </w:rPr>
              <w:t xml:space="preserve">2.1.8. ESPBI duomenų saugyklų techninės dalies išplėtimas / įsigijimas;  </w:t>
            </w:r>
          </w:p>
          <w:p w14:paraId="12FBCA13" w14:textId="14E38257" w:rsidR="00232003" w:rsidRPr="00232003" w:rsidRDefault="00232003" w:rsidP="003E03A9">
            <w:pPr>
              <w:tabs>
                <w:tab w:val="left" w:pos="459"/>
              </w:tabs>
              <w:ind w:left="1296" w:hanging="838"/>
              <w:jc w:val="both"/>
              <w:rPr>
                <w:rFonts w:ascii="Times New Roman" w:hAnsi="Times New Roman" w:cs="Times New Roman"/>
              </w:rPr>
            </w:pPr>
            <w:r w:rsidRPr="00232003">
              <w:rPr>
                <w:rFonts w:ascii="Times New Roman" w:hAnsi="Times New Roman" w:cs="Times New Roman"/>
              </w:rPr>
              <w:t>2.1.9. saugios įrangos atnaujinimas / įsigijimas;</w:t>
            </w:r>
          </w:p>
          <w:p w14:paraId="6083FC9D" w14:textId="28296376" w:rsidR="00232003" w:rsidRPr="00232003" w:rsidRDefault="00232003" w:rsidP="00231213">
            <w:pPr>
              <w:tabs>
                <w:tab w:val="left" w:pos="459"/>
              </w:tabs>
              <w:ind w:left="1296" w:hanging="838"/>
              <w:jc w:val="both"/>
              <w:rPr>
                <w:rFonts w:ascii="Times New Roman" w:hAnsi="Times New Roman" w:cs="Times New Roman"/>
              </w:rPr>
            </w:pPr>
            <w:r w:rsidRPr="00232003">
              <w:rPr>
                <w:rFonts w:ascii="Times New Roman" w:hAnsi="Times New Roman" w:cs="Times New Roman"/>
              </w:rPr>
              <w:t>2.1.10. kitos veiklos, kurios bus identifikuotos investicinio projekto parengimo metu.</w:t>
            </w:r>
          </w:p>
          <w:p w14:paraId="43933205" w14:textId="19716F85" w:rsidR="00232003" w:rsidRPr="00232003" w:rsidRDefault="00232003" w:rsidP="00231213">
            <w:pPr>
              <w:jc w:val="both"/>
              <w:rPr>
                <w:rFonts w:ascii="Times New Roman" w:hAnsi="Times New Roman" w:cs="Times New Roman"/>
              </w:rPr>
            </w:pPr>
            <w:r w:rsidRPr="00232003">
              <w:rPr>
                <w:rFonts w:ascii="Times New Roman" w:hAnsi="Times New Roman" w:cs="Times New Roman"/>
              </w:rPr>
              <w:t>3. Projektas turi atitikti projekto bendruosius atrankos kriterijus, nustatytus Projektų administravimo ir finansavimo taisyklių 2 priede „Projektų bendrųjų atrankos kriterijų sąrašo ir jų vertinimo metodikos“.</w:t>
            </w:r>
          </w:p>
          <w:p w14:paraId="00F2CB01" w14:textId="76B7A9E7" w:rsidR="00232003" w:rsidRPr="00232003" w:rsidRDefault="00232003" w:rsidP="00231213">
            <w:pPr>
              <w:tabs>
                <w:tab w:val="left" w:pos="459"/>
              </w:tabs>
              <w:jc w:val="both"/>
              <w:rPr>
                <w:rFonts w:ascii="Times New Roman" w:hAnsi="Times New Roman" w:cs="Times New Roman"/>
              </w:rPr>
            </w:pPr>
            <w:r w:rsidRPr="00232003">
              <w:rPr>
                <w:rFonts w:ascii="Times New Roman" w:hAnsi="Times New Roman" w:cs="Times New Roman"/>
              </w:rPr>
              <w:t>4. Projektų komunikacijos ir informavimo apie projektą veiksmai atliekami vadovaujantis Projektų administravimo ir finansavimo taisyklių VIII skyriaus pirmojo skirsnio nuostatomis.</w:t>
            </w:r>
          </w:p>
          <w:p w14:paraId="7D628907" w14:textId="2EDD947A" w:rsidR="00232003" w:rsidRPr="00232003" w:rsidRDefault="00232003" w:rsidP="00231213">
            <w:pPr>
              <w:tabs>
                <w:tab w:val="left" w:pos="459"/>
              </w:tabs>
              <w:jc w:val="both"/>
              <w:rPr>
                <w:rFonts w:ascii="Times New Roman" w:hAnsi="Times New Roman" w:cs="Times New Roman"/>
              </w:rPr>
            </w:pPr>
            <w:r w:rsidRPr="00232003">
              <w:rPr>
                <w:rFonts w:ascii="Times New Roman" w:hAnsi="Times New Roman" w:cs="Times New Roman"/>
              </w:rPr>
              <w:t>5. Projekto investicinis projektas iki pateikiant administruojančiajai institucijai (toliau – CPVA) privalo būti suderintas su Sveikatos apsaugos ministerija;</w:t>
            </w:r>
          </w:p>
          <w:p w14:paraId="330E5419" w14:textId="3B233E17" w:rsidR="00232003" w:rsidRPr="00232003" w:rsidRDefault="00232003" w:rsidP="00231213">
            <w:pPr>
              <w:tabs>
                <w:tab w:val="left" w:pos="426"/>
                <w:tab w:val="left" w:pos="709"/>
              </w:tabs>
              <w:jc w:val="both"/>
              <w:rPr>
                <w:rFonts w:ascii="Times New Roman" w:hAnsi="Times New Roman" w:cs="Times New Roman"/>
              </w:rPr>
            </w:pPr>
            <w:r w:rsidRPr="00232003">
              <w:rPr>
                <w:rFonts w:ascii="Times New Roman" w:hAnsi="Times New Roman" w:cs="Times New Roman"/>
              </w:rPr>
              <w:t>6. Taikomi reikalavimai projekto įgyvendinimo metu:</w:t>
            </w:r>
          </w:p>
          <w:p w14:paraId="47BD10C8" w14:textId="3AC31542" w:rsidR="00232003" w:rsidRPr="00232003" w:rsidRDefault="00232003" w:rsidP="00231213">
            <w:pPr>
              <w:tabs>
                <w:tab w:val="left" w:pos="426"/>
                <w:tab w:val="left" w:pos="709"/>
              </w:tabs>
              <w:jc w:val="both"/>
              <w:rPr>
                <w:rFonts w:ascii="Times New Roman" w:hAnsi="Times New Roman" w:cs="Times New Roman"/>
              </w:rPr>
            </w:pPr>
            <w:r w:rsidRPr="00232003">
              <w:rPr>
                <w:rFonts w:ascii="Times New Roman" w:hAnsi="Times New Roman" w:cs="Times New Roman"/>
              </w:rPr>
              <w:t>6.1. atsižvelgiant į Lietuvos Respublikos valstybės informacinių išteklių valdymo įstatymo 30 straipsnio 2 dalies reikalavimus, steigdama valstybės informacinę sistemą, institucija turi parengti valstybės informacinės sistemos nuostatų ir valstybės informacinės sistemos saugos nuostatų projektus. Valstybės informacinė sistema laikoma įsteigta nuo valstybės informacinės sistemos nuostatų patvirtinimo;</w:t>
            </w:r>
          </w:p>
          <w:p w14:paraId="3B39B05C" w14:textId="3A6C4A43" w:rsidR="00232003" w:rsidRPr="00232003" w:rsidRDefault="00232003" w:rsidP="00231213">
            <w:pPr>
              <w:tabs>
                <w:tab w:val="left" w:pos="426"/>
                <w:tab w:val="left" w:pos="709"/>
              </w:tabs>
              <w:jc w:val="both"/>
              <w:rPr>
                <w:rFonts w:ascii="Times New Roman" w:hAnsi="Times New Roman" w:cs="Times New Roman"/>
              </w:rPr>
            </w:pPr>
            <w:r w:rsidRPr="00232003">
              <w:rPr>
                <w:rFonts w:ascii="Times New Roman" w:hAnsi="Times New Roman" w:cs="Times New Roman"/>
              </w:rPr>
              <w:lastRenderedPageBreak/>
              <w:t>6.2. sukūrus ar modernizavus elektronines paslaugas, turi būti atliktas atsparumo įsilaužimams testas, kaip tai numatyta Elektroninių paslaugų kūrimo metodikoje, nustačius kritinių klaidų, jos turi būti ištaisytos iki projekto veiklų pabaigos;</w:t>
            </w:r>
          </w:p>
          <w:p w14:paraId="31C64C8E" w14:textId="0B42D61A" w:rsidR="00D548BA" w:rsidRPr="009C094C" w:rsidRDefault="00232003" w:rsidP="00231213">
            <w:pPr>
              <w:jc w:val="both"/>
              <w:rPr>
                <w:rFonts w:ascii="Times New Roman" w:hAnsi="Times New Roman" w:cs="Times New Roman"/>
              </w:rPr>
            </w:pPr>
            <w:r w:rsidRPr="00232003">
              <w:rPr>
                <w:rFonts w:ascii="Times New Roman" w:hAnsi="Times New Roman" w:cs="Times New Roman"/>
              </w:rPr>
              <w:t>6.3. sukūrus ar modernizavus elektronines paslaugas, turi būti patvirtintas kuriamos arba modernizuojamos informacinės sistemos priėmimo ir tinkamumo eksploatuoti aktas, kaip tai nustatyta Valstybės informacinių sistemų gyvavimo ciklo valdymo metodikoje.</w:t>
            </w:r>
          </w:p>
        </w:tc>
      </w:tr>
      <w:tr w:rsidR="00D548BA" w:rsidRPr="008B168C" w14:paraId="31C64C92" w14:textId="77777777" w:rsidTr="00E661B8">
        <w:trPr>
          <w:cantSplit/>
          <w:trHeight w:val="300"/>
        </w:trPr>
        <w:tc>
          <w:tcPr>
            <w:tcW w:w="849"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5" w:type="dxa"/>
            <w:gridSpan w:val="5"/>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E661B8">
        <w:trPr>
          <w:cantSplit/>
          <w:trHeight w:val="464"/>
        </w:trPr>
        <w:tc>
          <w:tcPr>
            <w:tcW w:w="849" w:type="dxa"/>
            <w:vMerge/>
          </w:tcPr>
          <w:p w14:paraId="31C64C93" w14:textId="77777777" w:rsidR="00D548BA" w:rsidRPr="00533406" w:rsidRDefault="00D548BA" w:rsidP="00D548BA">
            <w:pPr>
              <w:rPr>
                <w:rFonts w:ascii="Times New Roman" w:hAnsi="Times New Roman" w:cs="Times New Roman"/>
              </w:rPr>
            </w:pPr>
          </w:p>
        </w:tc>
        <w:tc>
          <w:tcPr>
            <w:tcW w:w="9435" w:type="dxa"/>
            <w:gridSpan w:val="5"/>
            <w:shd w:val="clear" w:color="auto" w:fill="auto"/>
          </w:tcPr>
          <w:p w14:paraId="1C5DE7F6" w14:textId="77777777" w:rsidR="00052D8E" w:rsidRPr="00052D8E" w:rsidRDefault="00052D8E" w:rsidP="00052D8E">
            <w:pPr>
              <w:jc w:val="both"/>
              <w:rPr>
                <w:rFonts w:ascii="Times New Roman" w:hAnsi="Times New Roman" w:cs="Times New Roman"/>
              </w:rPr>
            </w:pPr>
            <w:r w:rsidRPr="00052D8E">
              <w:rPr>
                <w:rFonts w:ascii="Times New Roman" w:hAnsi="Times New Roman" w:cs="Times New Roman"/>
              </w:rPr>
              <w:t>Projekto įgyvendinimo metu neturi būti pažeidžiamas HP laikymasis.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ir kitų aspektų), įskaitant prieinamumo visiems reikalavimo užtikrinimą (paslaugų, infrastruktūros, fizinės ar e. aplinkos sprendimai, informacijos, transporto prieinamumas ir pan.), inovatyvumo (kūrybingumo) (įgyvendinant veiklas vykdomi inovatyvūs viešieji pirkimai, taikomos naujos technologijos, kuriami ar diegiami inovatyvūs sprendimai ir pan.).</w:t>
            </w:r>
          </w:p>
          <w:p w14:paraId="59988548" w14:textId="77777777" w:rsidR="00052D8E" w:rsidRPr="00052D8E" w:rsidRDefault="00052D8E" w:rsidP="00052D8E">
            <w:pPr>
              <w:jc w:val="both"/>
              <w:rPr>
                <w:rFonts w:ascii="Times New Roman" w:hAnsi="Times New Roman" w:cs="Times New Roman"/>
              </w:rPr>
            </w:pPr>
            <w:r w:rsidRPr="00052D8E">
              <w:rPr>
                <w:rFonts w:ascii="Times New Roman" w:hAnsi="Times New Roman" w:cs="Times New Roman"/>
              </w:rPr>
              <w:t>Įvertinus EGADP 1 komponento planuojamos reformos „Sveikatos priežiūros paslaugų kokybės ir prieinamumo gerinimas bei inovacijų skatinimas“ poveikį šešiems aplinkos veiksniams, nurodytiems 2020 m. birželio 18 d. Europos Parlamento ir Tarybos reglamento (ES) Nr. 2020/852 dėl sistemos tvariam investavimui palengvinti sukūrimo, kuriuo iš dalies keičiamas Reglamentas (ES) 2019/208, 17 straipsnyje, nustatyta, kad reforma pagal planuojamų įgyvendinti veiklų pobūdį neturi jokio numatomo poveikio visiems šešiems aplinkos tikslams arba numatomas jos poveikis yra nereikšmingas, t. y. nedaro tiesioginio ir pirminio netiesioginio poveikio per visą gyvavimo ciklą, atsižvelgiant į jos pobūdį, ir todėl laikoma, kad ji atitinka principą „nedarome reikšmingos žalos“.</w:t>
            </w:r>
          </w:p>
          <w:p w14:paraId="4B3E0ED8" w14:textId="77777777" w:rsidR="00052D8E" w:rsidRPr="00052D8E" w:rsidRDefault="00052D8E" w:rsidP="00052D8E">
            <w:pPr>
              <w:jc w:val="both"/>
              <w:rPr>
                <w:rFonts w:ascii="Times New Roman" w:hAnsi="Times New Roman" w:cs="Times New Roman"/>
              </w:rPr>
            </w:pPr>
            <w:r w:rsidRPr="00052D8E">
              <w:rPr>
                <w:rFonts w:ascii="Times New Roman" w:hAnsi="Times New Roman" w:cs="Times New Roman"/>
              </w:rPr>
              <w:t>Projektų atitikties reikšmingos žalos nedarymo HP vertinimo reikalavimai pateikiami Aprašo priede „Projekto atitikties reikšmingos žalos nedarymo horizontaliajam principui vertinimo reikalavimų aprašas“.</w:t>
            </w:r>
          </w:p>
          <w:p w14:paraId="31C64C94" w14:textId="500A0E6F" w:rsidR="00232003" w:rsidRPr="00052D8E" w:rsidRDefault="00052D8E" w:rsidP="00232003">
            <w:pPr>
              <w:jc w:val="both"/>
              <w:rPr>
                <w:rFonts w:ascii="Times New Roman" w:hAnsi="Times New Roman" w:cs="Times New Roman"/>
              </w:rPr>
            </w:pPr>
            <w:r w:rsidRPr="00052D8E">
              <w:rPr>
                <w:rFonts w:ascii="Times New Roman" w:hAnsi="Times New Roman" w:cs="Times New Roman"/>
              </w:rPr>
              <w:t>Projekto įgyvendinimo metu neturi būti pažeidžiamos Jungtinių Tautų neįgaliųjų teisių konvencijos nuostatos.</w:t>
            </w:r>
          </w:p>
        </w:tc>
      </w:tr>
      <w:tr w:rsidR="00D548BA" w:rsidRPr="008B168C" w14:paraId="31C64C98" w14:textId="77777777" w:rsidTr="00E661B8">
        <w:trPr>
          <w:cantSplit/>
          <w:trHeight w:val="300"/>
        </w:trPr>
        <w:tc>
          <w:tcPr>
            <w:tcW w:w="849"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5" w:type="dxa"/>
            <w:gridSpan w:val="5"/>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E661B8">
        <w:trPr>
          <w:cantSplit/>
          <w:trHeight w:val="431"/>
        </w:trPr>
        <w:tc>
          <w:tcPr>
            <w:tcW w:w="849" w:type="dxa"/>
            <w:vMerge/>
          </w:tcPr>
          <w:p w14:paraId="31C64C99" w14:textId="77777777" w:rsidR="00D548BA" w:rsidRPr="00533406" w:rsidRDefault="00D548BA" w:rsidP="00D548BA">
            <w:pPr>
              <w:rPr>
                <w:rFonts w:ascii="Times New Roman" w:hAnsi="Times New Roman" w:cs="Times New Roman"/>
              </w:rPr>
            </w:pPr>
          </w:p>
        </w:tc>
        <w:tc>
          <w:tcPr>
            <w:tcW w:w="9435" w:type="dxa"/>
            <w:gridSpan w:val="5"/>
            <w:shd w:val="clear" w:color="auto" w:fill="auto"/>
          </w:tcPr>
          <w:p w14:paraId="31C64C9A" w14:textId="4D9F5212" w:rsidR="00D548BA" w:rsidRPr="00533406" w:rsidRDefault="00235898" w:rsidP="00D548BA">
            <w:pPr>
              <w:rPr>
                <w:rFonts w:ascii="Times New Roman" w:hAnsi="Times New Roman" w:cs="Times New Roman"/>
                <w:i/>
              </w:rPr>
            </w:pPr>
            <w:r w:rsidRPr="002816F8">
              <w:rPr>
                <w:rFonts w:ascii="Times New Roman" w:hAnsi="Times New Roman" w:cs="Times New Roman"/>
              </w:rPr>
              <w:t>Papildomi reikalavimai įgyvendinus projekto veiklas, kurie nenumatyti Taisyklėse ir Projektų administravimo ir finansavimo taisyklėse, netaikomi.</w:t>
            </w:r>
          </w:p>
        </w:tc>
      </w:tr>
      <w:tr w:rsidR="00D548BA" w:rsidRPr="008B168C" w14:paraId="31C64C9F" w14:textId="77777777" w:rsidTr="00E661B8">
        <w:trPr>
          <w:cantSplit/>
          <w:trHeight w:val="300"/>
        </w:trPr>
        <w:tc>
          <w:tcPr>
            <w:tcW w:w="849"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5" w:type="dxa"/>
            <w:gridSpan w:val="5"/>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E661B8">
        <w:trPr>
          <w:cantSplit/>
          <w:trHeight w:val="279"/>
        </w:trPr>
        <w:tc>
          <w:tcPr>
            <w:tcW w:w="849" w:type="dxa"/>
            <w:vMerge/>
          </w:tcPr>
          <w:p w14:paraId="53B69355" w14:textId="77777777" w:rsidR="00D548BA" w:rsidRPr="00533406" w:rsidRDefault="00D548BA" w:rsidP="00D548BA">
            <w:pPr>
              <w:rPr>
                <w:rFonts w:ascii="Times New Roman" w:hAnsi="Times New Roman" w:cs="Times New Roman"/>
              </w:rPr>
            </w:pPr>
          </w:p>
        </w:tc>
        <w:tc>
          <w:tcPr>
            <w:tcW w:w="9435" w:type="dxa"/>
            <w:gridSpan w:val="5"/>
            <w:shd w:val="clear" w:color="auto" w:fill="auto"/>
          </w:tcPr>
          <w:p w14:paraId="731F3BED" w14:textId="368B852F" w:rsidR="00D548BA" w:rsidRPr="009C094C" w:rsidRDefault="00235898" w:rsidP="00D548BA">
            <w:pPr>
              <w:rPr>
                <w:rFonts w:ascii="Times New Roman" w:hAnsi="Times New Roman" w:cs="Times New Roman"/>
                <w:i/>
              </w:rPr>
            </w:pPr>
            <w:r w:rsidRPr="00235898">
              <w:rPr>
                <w:rFonts w:ascii="Times New Roman" w:hAnsi="Times New Roman" w:cs="Times New Roman"/>
              </w:rPr>
              <w:t>Finansuojamos projekto veiklos turi būti baigtos įgyvendinti iki 2025 metų gruodžio 31 d.</w:t>
            </w:r>
          </w:p>
        </w:tc>
      </w:tr>
      <w:tr w:rsidR="00D548BA" w:rsidRPr="008B168C" w14:paraId="31C64CA7" w14:textId="77777777" w:rsidTr="00E661B8">
        <w:trPr>
          <w:cantSplit/>
          <w:trHeight w:val="327"/>
        </w:trPr>
        <w:tc>
          <w:tcPr>
            <w:tcW w:w="849"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5" w:type="dxa"/>
            <w:gridSpan w:val="5"/>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E661B8">
        <w:trPr>
          <w:cantSplit/>
          <w:trHeight w:val="529"/>
        </w:trPr>
        <w:tc>
          <w:tcPr>
            <w:tcW w:w="849" w:type="dxa"/>
            <w:shd w:val="clear" w:color="auto" w:fill="auto"/>
          </w:tcPr>
          <w:p w14:paraId="3F662C1E" w14:textId="77777777" w:rsidR="00D548BA" w:rsidRPr="00F62A6E" w:rsidRDefault="00D548BA" w:rsidP="00D548BA">
            <w:pPr>
              <w:rPr>
                <w:rFonts w:ascii="Times New Roman" w:hAnsi="Times New Roman" w:cs="Times New Roman"/>
                <w:b/>
              </w:rPr>
            </w:pPr>
          </w:p>
        </w:tc>
        <w:tc>
          <w:tcPr>
            <w:tcW w:w="9435" w:type="dxa"/>
            <w:gridSpan w:val="5"/>
            <w:shd w:val="clear" w:color="auto" w:fill="auto"/>
          </w:tcPr>
          <w:p w14:paraId="0E17FE61" w14:textId="227DEE86" w:rsidR="00D548BA" w:rsidRPr="00235898" w:rsidRDefault="00235898" w:rsidP="00235898">
            <w:pPr>
              <w:jc w:val="both"/>
              <w:rPr>
                <w:rFonts w:ascii="Times New Roman" w:hAnsi="Times New Roman" w:cs="Times New Roman"/>
              </w:rPr>
            </w:pPr>
            <w:r w:rsidRPr="00235898">
              <w:rPr>
                <w:rFonts w:ascii="Times New Roman" w:hAnsi="Times New Roman" w:cs="Times New Roman"/>
              </w:rPr>
              <w:t>Pagal šį Aprašą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tc>
      </w:tr>
      <w:tr w:rsidR="00D548BA" w:rsidRPr="008B168C" w14:paraId="736F24E0" w14:textId="77777777" w:rsidTr="00AE7DE3">
        <w:trPr>
          <w:cantSplit/>
          <w:trHeight w:val="331"/>
        </w:trPr>
        <w:tc>
          <w:tcPr>
            <w:tcW w:w="849" w:type="dxa"/>
            <w:shd w:val="clear" w:color="auto" w:fill="auto"/>
          </w:tcPr>
          <w:p w14:paraId="0805D974" w14:textId="1EDE68C4" w:rsidR="00D548BA" w:rsidRPr="00F62A6E" w:rsidRDefault="00D548BA" w:rsidP="00AE7DE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5" w:type="dxa"/>
            <w:gridSpan w:val="5"/>
            <w:shd w:val="clear" w:color="auto" w:fill="auto"/>
          </w:tcPr>
          <w:p w14:paraId="6373FAF3" w14:textId="64509AE0" w:rsidR="00D548BA" w:rsidRPr="009C094C" w:rsidRDefault="00D548BA" w:rsidP="00AE7DE3">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AE7DE3">
        <w:trPr>
          <w:cantSplit/>
          <w:trHeight w:val="748"/>
        </w:trPr>
        <w:tc>
          <w:tcPr>
            <w:tcW w:w="849" w:type="dxa"/>
          </w:tcPr>
          <w:p w14:paraId="60CF28AA" w14:textId="299A923C" w:rsidR="00D548BA" w:rsidRPr="00F62A6E" w:rsidRDefault="00D548BA" w:rsidP="00AE7DE3">
            <w:pPr>
              <w:rPr>
                <w:rFonts w:ascii="Times New Roman" w:hAnsi="Times New Roman" w:cs="Times New Roman"/>
                <w:b/>
              </w:rPr>
            </w:pPr>
          </w:p>
        </w:tc>
        <w:tc>
          <w:tcPr>
            <w:tcW w:w="9435" w:type="dxa"/>
            <w:gridSpan w:val="5"/>
            <w:shd w:val="clear" w:color="auto" w:fill="auto"/>
          </w:tcPr>
          <w:p w14:paraId="189B9764" w14:textId="56C2E70B" w:rsidR="00D548BA" w:rsidRPr="009C094C" w:rsidRDefault="00D548BA" w:rsidP="00AE7DE3">
            <w:pPr>
              <w:spacing w:after="160"/>
            </w:pPr>
            <w:r w:rsidRPr="00235898">
              <w:rPr>
                <w:rFonts w:ascii="Times New Roman" w:eastAsia="Times New Roman" w:hAnsi="Times New Roman" w:cs="Times New Roman"/>
              </w:rPr>
              <w:t xml:space="preserve">Projektų bendrieji atrankos kriterijai nurodyti </w:t>
            </w:r>
            <w:r w:rsidRPr="00235898">
              <w:rPr>
                <w:rFonts w:ascii="Times New Roman" w:eastAsia="Times New Roman" w:hAnsi="Times New Roman" w:cs="Times New Roman"/>
                <w:color w:val="000000" w:themeColor="text1"/>
              </w:rPr>
              <w:t>Projektų administravimo ir finansavimo taisyklių 2 priede</w:t>
            </w:r>
            <w:r w:rsidRPr="009C094C">
              <w:rPr>
                <w:rFonts w:ascii="Times New Roman" w:eastAsia="Times New Roman" w:hAnsi="Times New Roman" w:cs="Times New Roman"/>
                <w:i/>
                <w:color w:val="000000" w:themeColor="text1"/>
              </w:rPr>
              <w:t xml:space="preserve"> </w:t>
            </w:r>
            <w:hyperlink r:id="rId12" w:history="1">
              <w:r w:rsidRPr="009C094C">
                <w:rPr>
                  <w:rStyle w:val="Hyperlink"/>
                  <w:rFonts w:ascii="Times New Roman" w:hAnsi="Times New Roman" w:cs="Times New Roman"/>
                </w:rPr>
                <w:t>https://2021.esinvesticijos.lt/dokumentai/projektu-bendruju-atrankos-kriteriju-sarasas-ir-ju-vertinimo-metodika-3</w:t>
              </w:r>
            </w:hyperlink>
          </w:p>
        </w:tc>
      </w:tr>
      <w:tr w:rsidR="00D548BA" w:rsidRPr="008B168C" w14:paraId="0327D8D8" w14:textId="77777777" w:rsidTr="00AE7DE3">
        <w:trPr>
          <w:cantSplit/>
          <w:trHeight w:val="252"/>
        </w:trPr>
        <w:tc>
          <w:tcPr>
            <w:tcW w:w="849" w:type="dxa"/>
            <w:vMerge w:val="restart"/>
          </w:tcPr>
          <w:p w14:paraId="5BA77AE0" w14:textId="7C229CBF" w:rsidR="00D548BA" w:rsidRPr="00F62A6E" w:rsidRDefault="00D548BA" w:rsidP="00AE7DE3">
            <w:pPr>
              <w:rPr>
                <w:rFonts w:ascii="Times New Roman" w:hAnsi="Times New Roman" w:cs="Times New Roman"/>
                <w:b/>
              </w:rPr>
            </w:pPr>
            <w:r w:rsidRPr="00F62A6E">
              <w:rPr>
                <w:rFonts w:ascii="Times New Roman" w:hAnsi="Times New Roman" w:cs="Times New Roman"/>
                <w:b/>
              </w:rPr>
              <w:t>2.16.7</w:t>
            </w:r>
          </w:p>
        </w:tc>
        <w:tc>
          <w:tcPr>
            <w:tcW w:w="9435" w:type="dxa"/>
            <w:gridSpan w:val="5"/>
            <w:shd w:val="clear" w:color="auto" w:fill="auto"/>
          </w:tcPr>
          <w:p w14:paraId="4321CFA6" w14:textId="25C780B1" w:rsidR="00D548BA" w:rsidRPr="009C094C" w:rsidRDefault="00D548BA" w:rsidP="00AE7DE3">
            <w:pPr>
              <w:rPr>
                <w:rFonts w:ascii="Times New Roman" w:hAnsi="Times New Roman" w:cs="Times New Roman"/>
                <w:b/>
              </w:rPr>
            </w:pPr>
            <w:r w:rsidRPr="009C094C">
              <w:rPr>
                <w:rFonts w:ascii="Times New Roman" w:hAnsi="Times New Roman" w:cs="Times New Roman"/>
                <w:b/>
              </w:rPr>
              <w:t>Projektų specialieji atrankos kriterijai</w:t>
            </w:r>
          </w:p>
        </w:tc>
      </w:tr>
      <w:tr w:rsidR="00D548BA" w14:paraId="251D5187" w14:textId="77777777" w:rsidTr="00AE7DE3">
        <w:trPr>
          <w:cantSplit/>
          <w:trHeight w:val="269"/>
        </w:trPr>
        <w:tc>
          <w:tcPr>
            <w:tcW w:w="849" w:type="dxa"/>
            <w:vMerge/>
          </w:tcPr>
          <w:p w14:paraId="332C59B2" w14:textId="7569E6C6" w:rsidR="00D548BA" w:rsidRDefault="00D548BA" w:rsidP="00AE7DE3">
            <w:pPr>
              <w:rPr>
                <w:rFonts w:ascii="Times New Roman" w:hAnsi="Times New Roman" w:cs="Times New Roman"/>
              </w:rPr>
            </w:pPr>
          </w:p>
        </w:tc>
        <w:tc>
          <w:tcPr>
            <w:tcW w:w="9435" w:type="dxa"/>
            <w:gridSpan w:val="5"/>
            <w:shd w:val="clear" w:color="auto" w:fill="auto"/>
          </w:tcPr>
          <w:p w14:paraId="52540129" w14:textId="0A1D6BB0" w:rsidR="00D548BA" w:rsidRDefault="00235898" w:rsidP="00AE7DE3">
            <w:pPr>
              <w:rPr>
                <w:rFonts w:ascii="Times New Roman" w:hAnsi="Times New Roman" w:cs="Times New Roman"/>
                <w:i/>
                <w:iCs/>
              </w:rPr>
            </w:pPr>
            <w:r w:rsidRPr="00230E26">
              <w:rPr>
                <w:rFonts w:ascii="Times New Roman" w:hAnsi="Times New Roman" w:cs="Times New Roman"/>
              </w:rPr>
              <w:t>Specialieji projektų atrankos kriterijai nenustatomi.</w:t>
            </w:r>
          </w:p>
        </w:tc>
      </w:tr>
      <w:tr w:rsidR="00D548BA" w14:paraId="3462DE83" w14:textId="77777777" w:rsidTr="00AE7DE3">
        <w:trPr>
          <w:cantSplit/>
          <w:trHeight w:val="235"/>
        </w:trPr>
        <w:tc>
          <w:tcPr>
            <w:tcW w:w="849" w:type="dxa"/>
            <w:vMerge w:val="restart"/>
          </w:tcPr>
          <w:p w14:paraId="451EA9F3" w14:textId="310E8EE6" w:rsidR="00D548BA" w:rsidRPr="00F62A6E" w:rsidRDefault="00D548BA" w:rsidP="00AE7DE3">
            <w:pPr>
              <w:rPr>
                <w:rFonts w:ascii="Times New Roman" w:hAnsi="Times New Roman" w:cs="Times New Roman"/>
                <w:b/>
              </w:rPr>
            </w:pPr>
            <w:r w:rsidRPr="00F62A6E">
              <w:rPr>
                <w:rFonts w:ascii="Times New Roman" w:hAnsi="Times New Roman" w:cs="Times New Roman"/>
                <w:b/>
              </w:rPr>
              <w:t>2.16.8</w:t>
            </w:r>
          </w:p>
        </w:tc>
        <w:tc>
          <w:tcPr>
            <w:tcW w:w="9435" w:type="dxa"/>
            <w:gridSpan w:val="5"/>
            <w:shd w:val="clear" w:color="auto" w:fill="auto"/>
          </w:tcPr>
          <w:p w14:paraId="3B04E1E1" w14:textId="356E87A9" w:rsidR="00D548BA" w:rsidRPr="009C094C" w:rsidRDefault="00D548BA" w:rsidP="00AE7DE3">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AE7DE3">
        <w:trPr>
          <w:cantSplit/>
          <w:trHeight w:val="227"/>
        </w:trPr>
        <w:tc>
          <w:tcPr>
            <w:tcW w:w="849" w:type="dxa"/>
            <w:vMerge/>
          </w:tcPr>
          <w:p w14:paraId="639006DB" w14:textId="1353E2A2" w:rsidR="00D548BA" w:rsidRDefault="00D548BA" w:rsidP="00AE7DE3">
            <w:pPr>
              <w:rPr>
                <w:rFonts w:ascii="Times New Roman" w:hAnsi="Times New Roman" w:cs="Times New Roman"/>
              </w:rPr>
            </w:pPr>
          </w:p>
        </w:tc>
        <w:tc>
          <w:tcPr>
            <w:tcW w:w="9435" w:type="dxa"/>
            <w:gridSpan w:val="5"/>
            <w:shd w:val="clear" w:color="auto" w:fill="auto"/>
          </w:tcPr>
          <w:p w14:paraId="15523968" w14:textId="2F62ADB8" w:rsidR="00D548BA" w:rsidRPr="009C094C" w:rsidRDefault="00235898" w:rsidP="00AE7DE3">
            <w:pPr>
              <w:rPr>
                <w:rFonts w:ascii="Times New Roman" w:hAnsi="Times New Roman" w:cs="Times New Roman"/>
                <w:b/>
                <w:bCs/>
                <w:i/>
                <w:iCs/>
              </w:rPr>
            </w:pPr>
            <w:r>
              <w:rPr>
                <w:rFonts w:ascii="Times New Roman" w:hAnsi="Times New Roman" w:cs="Times New Roman"/>
              </w:rPr>
              <w:t>P</w:t>
            </w:r>
            <w:r w:rsidRPr="00230E26">
              <w:rPr>
                <w:rFonts w:ascii="Times New Roman" w:hAnsi="Times New Roman" w:cs="Times New Roman"/>
              </w:rPr>
              <w:t>rioritetiniai projektų atrankos kriterijai nenustatomi.</w:t>
            </w:r>
          </w:p>
        </w:tc>
      </w:tr>
      <w:tr w:rsidR="00D548BA" w:rsidRPr="008B168C" w14:paraId="31C64CB8" w14:textId="77777777" w:rsidTr="00E661B8">
        <w:trPr>
          <w:cantSplit/>
          <w:trHeight w:val="423"/>
        </w:trPr>
        <w:tc>
          <w:tcPr>
            <w:tcW w:w="849" w:type="dxa"/>
          </w:tcPr>
          <w:p w14:paraId="31C64CB4" w14:textId="7CA25471" w:rsidR="00D548BA" w:rsidRPr="0090338F" w:rsidRDefault="00D548BA" w:rsidP="00AE7DE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5" w:type="dxa"/>
            <w:gridSpan w:val="5"/>
          </w:tcPr>
          <w:p w14:paraId="31C64CB7" w14:textId="3A0B9723" w:rsidR="00D548BA" w:rsidRPr="00816450" w:rsidRDefault="00D548BA" w:rsidP="00AE7DE3">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AE7DE3">
        <w:trPr>
          <w:cantSplit/>
          <w:trHeight w:val="300"/>
        </w:trPr>
        <w:tc>
          <w:tcPr>
            <w:tcW w:w="849"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2.17.1.</w:t>
            </w:r>
          </w:p>
        </w:tc>
        <w:tc>
          <w:tcPr>
            <w:tcW w:w="2129" w:type="dxa"/>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7306" w:type="dxa"/>
            <w:gridSpan w:val="4"/>
          </w:tcPr>
          <w:p w14:paraId="31C64CC5" w14:textId="1781AE32" w:rsidR="00D548BA" w:rsidRPr="00F62A6E" w:rsidRDefault="00973D07" w:rsidP="00D548BA">
            <w:pPr>
              <w:jc w:val="both"/>
              <w:rPr>
                <w:rFonts w:ascii="Times New Roman" w:hAnsi="Times New Roman" w:cs="Times New Roman"/>
                <w:i/>
              </w:rPr>
            </w:pPr>
            <w:r w:rsidRPr="00F37741">
              <w:rPr>
                <w:rFonts w:ascii="Times New Roman" w:hAnsi="Times New Roman" w:cs="Times New Roman"/>
                <w:iCs/>
              </w:rPr>
              <w:t xml:space="preserve">Projektų įgyvendinimo planas turi būti parengtas pagal </w:t>
            </w:r>
            <w:r>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F37741">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eastAsia="Calibri" w:hAnsi="Times New Roman" w:cs="Times New Roman"/>
                <w:szCs w:val="24"/>
              </w:rPr>
              <w:t>,</w:t>
            </w:r>
            <w:r w:rsidRPr="00F37741">
              <w:rPr>
                <w:rFonts w:ascii="Times New Roman" w:hAnsi="Times New Roman" w:cs="Times New Roman"/>
                <w:szCs w:val="24"/>
              </w:rPr>
              <w:t xml:space="preserve"> 1 priedą.</w:t>
            </w:r>
            <w:r>
              <w:rPr>
                <w:rFonts w:ascii="Times New Roman" w:hAnsi="Times New Roman" w:cs="Times New Roman"/>
                <w:szCs w:val="24"/>
              </w:rPr>
              <w:t xml:space="preserve"> </w:t>
            </w:r>
            <w:bookmarkStart w:id="0" w:name="_Hlk97040275"/>
            <w:bookmarkStart w:id="1" w:name="_Hlk97040444"/>
            <w:r w:rsidRPr="006E0119">
              <w:rPr>
                <w:rFonts w:ascii="Times New Roman" w:hAnsi="Times New Roman" w:cs="Times New Roman"/>
                <w:iCs/>
              </w:rPr>
              <w:t xml:space="preserve">Parengtas projektų įgyvendinimo planas (su visais privalomais priedais) pasirašomas kvalifikuotu elektroniniu parašu ir teikiamas </w:t>
            </w:r>
            <w:bookmarkEnd w:id="0"/>
            <w:r w:rsidRPr="006E0119">
              <w:rPr>
                <w:rFonts w:ascii="Times New Roman" w:hAnsi="Times New Roman" w:cs="Times New Roman"/>
                <w:iCs/>
              </w:rPr>
              <w:t>e</w:t>
            </w:r>
            <w:r w:rsidRPr="006E0119">
              <w:rPr>
                <w:rFonts w:ascii="Times New Roman" w:hAnsi="Times New Roman" w:cs="Times New Roman"/>
                <w:color w:val="000000"/>
              </w:rPr>
              <w:t xml:space="preserve">l. paštu </w:t>
            </w:r>
            <w:hyperlink r:id="rId13" w:history="1">
              <w:r w:rsidRPr="006E0119">
                <w:rPr>
                  <w:rStyle w:val="Hyperlink"/>
                  <w:rFonts w:ascii="Times New Roman" w:hAnsi="Times New Roman" w:cs="Times New Roman"/>
                </w:rPr>
                <w:t>info@cpva.lt</w:t>
              </w:r>
            </w:hyperlink>
            <w:r w:rsidRPr="006E0119">
              <w:rPr>
                <w:rFonts w:ascii="Times New Roman" w:hAnsi="Times New Roman" w:cs="Times New Roman"/>
                <w:color w:val="000000"/>
              </w:rPr>
              <w:t>.</w:t>
            </w:r>
            <w:bookmarkEnd w:id="1"/>
          </w:p>
        </w:tc>
      </w:tr>
      <w:tr w:rsidR="00D548BA" w:rsidRPr="008B168C" w14:paraId="31C64CCF" w14:textId="77777777" w:rsidTr="00AE7DE3">
        <w:trPr>
          <w:cantSplit/>
          <w:trHeight w:val="5800"/>
        </w:trPr>
        <w:tc>
          <w:tcPr>
            <w:tcW w:w="849"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t xml:space="preserve">2.17.2. </w:t>
            </w:r>
          </w:p>
        </w:tc>
        <w:tc>
          <w:tcPr>
            <w:tcW w:w="2129" w:type="dxa"/>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306" w:type="dxa"/>
            <w:gridSpan w:val="4"/>
          </w:tcPr>
          <w:p w14:paraId="2666D50F" w14:textId="54B55F32" w:rsidR="00D548BA" w:rsidRPr="009C094C" w:rsidRDefault="00D548BA" w:rsidP="00D548B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D548BA" w:rsidRPr="00B57DA7" w:rsidRDefault="00AE7DE3"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(-iais)</w:t>
            </w:r>
          </w:p>
          <w:p w14:paraId="421AAF23" w14:textId="05FAC61A" w:rsidR="00D548BA" w:rsidRPr="00B57DA7" w:rsidRDefault="00AE7DE3" w:rsidP="00D548BA">
            <w:pPr>
              <w:rPr>
                <w:rFonts w:ascii="Times New Roman" w:hAnsi="Times New Roman" w:cs="Times New Roman"/>
              </w:rPr>
            </w:pPr>
            <w:hyperlink r:id="rId14" w:history="1">
              <w:r w:rsidR="00D548BA" w:rsidRPr="00F112F2">
                <w:rPr>
                  <w:rStyle w:val="Hyperlink"/>
                  <w:rFonts w:ascii="Times New Roman" w:hAnsi="Times New Roman" w:cs="Times New Roman"/>
                </w:rPr>
                <w:t>https://2021.esinvesticijos.lt/dokumentai/partnerio-deklaracija</w:t>
              </w:r>
            </w:hyperlink>
            <w:r w:rsidR="00D548BA">
              <w:rPr>
                <w:rFonts w:ascii="Times New Roman" w:hAnsi="Times New Roman" w:cs="Times New Roman"/>
              </w:rPr>
              <w:t xml:space="preserve"> </w:t>
            </w:r>
          </w:p>
          <w:p w14:paraId="21262708" w14:textId="5A84811E" w:rsidR="00D548BA" w:rsidRDefault="00AE7DE3"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5C73B96" w:rsidR="00D548BA" w:rsidRPr="00B57DA7" w:rsidRDefault="00D548BA" w:rsidP="00D548BA">
            <w:pPr>
              <w:rPr>
                <w:rFonts w:ascii="Times New Roman" w:hAnsi="Times New Roman" w:cs="Times New Roman"/>
              </w:rPr>
            </w:pPr>
            <w:r w:rsidRPr="61F0C4A1">
              <w:rPr>
                <w:rFonts w:ascii="Times New Roman" w:hAnsi="Times New Roman" w:cs="Times New Roman"/>
              </w:rPr>
              <w:t xml:space="preserve">su partneriu (-iais) </w:t>
            </w:r>
            <w:hyperlink r:id="rId15"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D548BA" w:rsidRPr="00B57DA7" w:rsidRDefault="00AE7DE3" w:rsidP="00D548BA">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s de minimis) forma</w:t>
            </w:r>
          </w:p>
          <w:p w14:paraId="7DDD0DBC" w14:textId="450729CF" w:rsidR="00D548BA" w:rsidRDefault="00AE7DE3" w:rsidP="00D548BA">
            <w:pPr>
              <w:rPr>
                <w:rFonts w:ascii="Times New Roman" w:hAnsi="Times New Roman" w:cs="Times New Roman"/>
              </w:rPr>
            </w:pPr>
            <w:hyperlink r:id="rId16" w:history="1">
              <w:r w:rsidR="00D548BA" w:rsidRPr="00F112F2">
                <w:rPr>
                  <w:rStyle w:val="Hyperlink"/>
                  <w:rFonts w:ascii="Times New Roman" w:hAnsi="Times New Roman" w:cs="Times New Roman"/>
                </w:rPr>
                <w:t>https://2021.esinvesticijos.lt/dokumentai/informacijos-apie-pareiskejui-partneriui-suteikta-valstybes-pagalba-isskyrus-de-minimis-forma-1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783E4556" w:rsidR="00D548BA" w:rsidRDefault="00AE7DE3"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17" w:history="1">
              <w:r w:rsidR="00D548BA" w:rsidRPr="0008436A">
                <w:rPr>
                  <w:rStyle w:val="Hyperlink"/>
                  <w:rFonts w:ascii="Times New Roman" w:hAnsi="Times New Roman" w:cs="Times New Roman"/>
                </w:rPr>
                <w:t>https://2021.esinvesticijos.lt/dokumentai/informacijos-apie-projektui-taikomus-aplinkosaugos-reikalavimus-forma-1</w:t>
              </w:r>
            </w:hyperlink>
            <w:r w:rsidR="00D548BA">
              <w:rPr>
                <w:rFonts w:ascii="Times New Roman" w:hAnsi="Times New Roman" w:cs="Times New Roman"/>
              </w:rPr>
              <w:t xml:space="preserve">  </w:t>
            </w:r>
          </w:p>
          <w:p w14:paraId="59AE7EAB" w14:textId="77777777" w:rsidR="00D548BA" w:rsidRPr="00973D07" w:rsidRDefault="00AE7DE3" w:rsidP="00973D07">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973D07">
                  <w:rPr>
                    <w:rFonts w:ascii="MS Gothic" w:eastAsia="MS Gothic" w:hAnsi="MS Gothic" w:cs="Times New Roman" w:hint="eastAsia"/>
                  </w:rPr>
                  <w:t>☒</w:t>
                </w:r>
              </w:sdtContent>
            </w:sdt>
            <w:r w:rsidR="00D548BA">
              <w:rPr>
                <w:rFonts w:ascii="Times New Roman" w:hAnsi="Times New Roman" w:cs="Times New Roman"/>
              </w:rPr>
              <w:t xml:space="preserve"> </w:t>
            </w:r>
            <w:r w:rsidR="00D548BA" w:rsidRPr="7BC78F99">
              <w:rPr>
                <w:rFonts w:ascii="Times New Roman" w:hAnsi="Times New Roman" w:cs="Times New Roman"/>
              </w:rPr>
              <w:t xml:space="preserve">Kiti priedai: </w:t>
            </w:r>
          </w:p>
          <w:p w14:paraId="16A518E0" w14:textId="77777777" w:rsidR="00973D07" w:rsidRPr="00973D07" w:rsidRDefault="00973D07" w:rsidP="00973D07">
            <w:pPr>
              <w:pStyle w:val="ListParagraph"/>
              <w:numPr>
                <w:ilvl w:val="0"/>
                <w:numId w:val="27"/>
              </w:numPr>
              <w:tabs>
                <w:tab w:val="decimal" w:pos="458"/>
                <w:tab w:val="left" w:pos="680"/>
                <w:tab w:val="left" w:pos="738"/>
              </w:tabs>
              <w:jc w:val="both"/>
              <w:rPr>
                <w:rFonts w:ascii="Times New Roman" w:hAnsi="Times New Roman" w:cs="Times New Roman"/>
              </w:rPr>
            </w:pPr>
            <w:r w:rsidRPr="00973D07">
              <w:rPr>
                <w:rFonts w:ascii="Times New Roman" w:hAnsi="Times New Roman" w:cs="Times New Roman"/>
              </w:rPr>
              <w:t>dokumentai, pagrindžiantys darbo užmokesčio išlaidų pagrįstumą (veiklų sąrašą, kuriame būtų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Įkainio pagrindimui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38E7B325" w14:textId="77777777" w:rsidR="007A6108" w:rsidRDefault="00973D07" w:rsidP="007A6108">
            <w:pPr>
              <w:pStyle w:val="ListParagraph"/>
              <w:numPr>
                <w:ilvl w:val="0"/>
                <w:numId w:val="27"/>
              </w:numPr>
              <w:tabs>
                <w:tab w:val="decimal" w:pos="458"/>
                <w:tab w:val="left" w:pos="680"/>
                <w:tab w:val="left" w:pos="738"/>
              </w:tabs>
              <w:jc w:val="both"/>
              <w:rPr>
                <w:rFonts w:ascii="Times New Roman" w:hAnsi="Times New Roman" w:cs="Times New Roman"/>
              </w:rPr>
            </w:pPr>
            <w:r w:rsidRPr="00973D07">
              <w:rPr>
                <w:rFonts w:ascii="Times New Roman" w:hAnsi="Times New Roman" w:cs="Times New Roman"/>
              </w:rPr>
              <w:t>investicijų projektas,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(2023 m. sausio 6 d. įsakymo Nr. 2023/8-4 redakcija), kuri paskelbta http://www.cpva.lt/ skiltyje „Plėtros programų portfelio metodinės pagalbos centras“ prie „Dokumentai“;</w:t>
            </w:r>
          </w:p>
          <w:p w14:paraId="31C64CCE" w14:textId="05B2D6D1" w:rsidR="00973D07" w:rsidRPr="007A6108" w:rsidRDefault="00973D07" w:rsidP="007A6108">
            <w:pPr>
              <w:pStyle w:val="ListParagraph"/>
              <w:numPr>
                <w:ilvl w:val="0"/>
                <w:numId w:val="27"/>
              </w:numPr>
              <w:tabs>
                <w:tab w:val="decimal" w:pos="458"/>
                <w:tab w:val="left" w:pos="680"/>
                <w:tab w:val="left" w:pos="738"/>
              </w:tabs>
              <w:jc w:val="both"/>
              <w:rPr>
                <w:rFonts w:ascii="Times New Roman" w:hAnsi="Times New Roman" w:cs="Times New Roman"/>
              </w:rPr>
            </w:pPr>
            <w:r w:rsidRPr="007A6108">
              <w:rPr>
                <w:rFonts w:ascii="Times New Roman" w:hAnsi="Times New Roman" w:cs="Times New Roman"/>
              </w:rPr>
              <w:t>dokumentai, pagrindžiantys projekto išlaidų pagrįstumą (sudarytos sutartys, komerciniai pasiūlymai, nuorodos į rinkoje esančias kainas (pvz.,  Centrinėje viešųjų pirkimų informacinėje sistemoje), jeigu išlaidos grindžiamos tiekėjų pasiūlymais, paklausimais tiekėjams; jeigu išlaidos, skirtos informacinei sistemai / registrui / programinei įrangai kurti, modernizuoti, grindžiamos komerciniais pasiūlymais, juose turi būti detaliai, atsižvelgiant į informacinės sistemos / registro / programinės įrangos kūrimo etapus, pateikta kaina, kūrimo laikas, būtini specialistai, jų įkainiai, išorinių sąsajų skaičius, įvertintos numatomos naudoti programinės įrangos licencijos, jų kaina ir pan.).</w:t>
            </w:r>
          </w:p>
        </w:tc>
      </w:tr>
      <w:tr w:rsidR="00D548BA" w:rsidRPr="008B168C" w14:paraId="61AE40BF" w14:textId="77777777" w:rsidTr="00AE7DE3">
        <w:trPr>
          <w:cantSplit/>
          <w:trHeight w:val="300"/>
        </w:trPr>
        <w:tc>
          <w:tcPr>
            <w:tcW w:w="849"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2129" w:type="dxa"/>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306" w:type="dxa"/>
            <w:gridSpan w:val="4"/>
          </w:tcPr>
          <w:p w14:paraId="59DAEE27" w14:textId="29EF5F03" w:rsidR="00D548BA" w:rsidRPr="00B57DA7" w:rsidRDefault="00AE7DE3" w:rsidP="00D548BA">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973D0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514A26F" w:rsidR="00D548BA" w:rsidRPr="008B168C" w:rsidRDefault="00AE7DE3" w:rsidP="00D548BA">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AE7DE3">
        <w:trPr>
          <w:cantSplit/>
          <w:trHeight w:val="300"/>
        </w:trPr>
        <w:tc>
          <w:tcPr>
            <w:tcW w:w="849"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lastRenderedPageBreak/>
              <w:t>2.17.4.</w:t>
            </w:r>
          </w:p>
        </w:tc>
        <w:tc>
          <w:tcPr>
            <w:tcW w:w="2129" w:type="dxa"/>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306" w:type="dxa"/>
            <w:gridSpan w:val="4"/>
          </w:tcPr>
          <w:p w14:paraId="31C64CD6" w14:textId="29046C1D" w:rsidR="00D548BA" w:rsidRPr="009C094C" w:rsidRDefault="00973D07" w:rsidP="00973D07">
            <w:pPr>
              <w:rPr>
                <w:rFonts w:ascii="Times New Roman" w:hAnsi="Times New Roman" w:cs="Times New Roman"/>
                <w:i/>
                <w:iCs/>
              </w:rPr>
            </w:pPr>
            <w:r w:rsidRPr="002A3C0E">
              <w:rPr>
                <w:rFonts w:ascii="Times New Roman" w:hAnsi="Times New Roman" w:cs="Times New Roman"/>
              </w:rPr>
              <w:t xml:space="preserve">CPVA Struktūrinių ir investicijų fondų programos Informacinės visuomenės plėtros projektų skyriaus vyresnioji projektų vadovė </w:t>
            </w:r>
            <w:r>
              <w:rPr>
                <w:rFonts w:ascii="Times New Roman" w:hAnsi="Times New Roman" w:cs="Times New Roman"/>
              </w:rPr>
              <w:t>Sonata Matakaitė-Čečotė</w:t>
            </w:r>
            <w:r w:rsidRPr="002A3C0E">
              <w:rPr>
                <w:rFonts w:ascii="Times New Roman" w:hAnsi="Times New Roman" w:cs="Times New Roman"/>
              </w:rPr>
              <w:t xml:space="preserve">, tel. </w:t>
            </w:r>
            <w:r w:rsidRPr="00AD1C8B">
              <w:rPr>
                <w:rFonts w:ascii="Times New Roman" w:hAnsi="Times New Roman" w:cs="Times New Roman"/>
              </w:rPr>
              <w:t>8</w:t>
            </w:r>
            <w:r>
              <w:rPr>
                <w:rFonts w:ascii="Times New Roman" w:hAnsi="Times New Roman" w:cs="Times New Roman"/>
              </w:rPr>
              <w:t> </w:t>
            </w:r>
            <w:r w:rsidRPr="00AD1C8B">
              <w:rPr>
                <w:rFonts w:ascii="Times New Roman" w:hAnsi="Times New Roman" w:cs="Times New Roman"/>
              </w:rPr>
              <w:t>6</w:t>
            </w:r>
            <w:r w:rsidRPr="004375FB">
              <w:rPr>
                <w:rFonts w:ascii="Times New Roman" w:hAnsi="Times New Roman" w:cs="Times New Roman"/>
              </w:rPr>
              <w:t xml:space="preserve">85 </w:t>
            </w:r>
            <w:r>
              <w:rPr>
                <w:rFonts w:ascii="Times New Roman" w:hAnsi="Times New Roman" w:cs="Times New Roman"/>
              </w:rPr>
              <w:t>72246</w:t>
            </w:r>
            <w:r w:rsidRPr="002A3C0E">
              <w:rPr>
                <w:rFonts w:ascii="Times New Roman" w:hAnsi="Times New Roman" w:cs="Times New Roman"/>
              </w:rPr>
              <w:t xml:space="preserve">, el. p. </w:t>
            </w:r>
            <w:hyperlink r:id="rId18" w:history="1">
              <w:r w:rsidRPr="008C4AFA">
                <w:rPr>
                  <w:rStyle w:val="Hyperlink"/>
                  <w:rFonts w:ascii="Times New Roman" w:hAnsi="Times New Roman" w:cs="Times New Roman"/>
                </w:rPr>
                <w:t>s.matakaite-cecote@cpva.lt</w:t>
              </w:r>
            </w:hyperlink>
          </w:p>
        </w:tc>
      </w:tr>
      <w:tr w:rsidR="00D548BA" w:rsidRPr="008B168C" w14:paraId="228A697B" w14:textId="77777777" w:rsidTr="00AE7DE3">
        <w:trPr>
          <w:cantSplit/>
          <w:trHeight w:val="300"/>
        </w:trPr>
        <w:tc>
          <w:tcPr>
            <w:tcW w:w="849"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2129" w:type="dxa"/>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7306" w:type="dxa"/>
            <w:gridSpan w:val="4"/>
          </w:tcPr>
          <w:p w14:paraId="509A7FB9" w14:textId="77777777" w:rsidR="00231213" w:rsidRDefault="00231213" w:rsidP="00231213">
            <w:pPr>
              <w:jc w:val="both"/>
              <w:rPr>
                <w:rFonts w:ascii="Times New Roman" w:hAnsi="Times New Roman" w:cs="Times New Roman"/>
              </w:rPr>
            </w:pPr>
            <w:r>
              <w:rPr>
                <w:rFonts w:ascii="Times New Roman" w:hAnsi="Times New Roman" w:cs="Times New Roman"/>
                <w:color w:val="000000"/>
              </w:rPr>
              <w:t xml:space="preserve">Projektų administravimo ir finansavimo taisyklės (PAFT): </w:t>
            </w:r>
            <w:hyperlink r:id="rId19" w:history="1">
              <w:r>
                <w:rPr>
                  <w:rStyle w:val="Hyperlink"/>
                  <w:rFonts w:ascii="Times New Roman" w:hAnsi="Times New Roman" w:cs="Times New Roman"/>
                </w:rPr>
                <w:t>https://www.e-tar.lt/portal/lt/legalAct/14e33320f1ed11ec8fa7d02a65c371ad/asr</w:t>
              </w:r>
            </w:hyperlink>
          </w:p>
          <w:p w14:paraId="5222CBA0" w14:textId="77777777" w:rsidR="00231213" w:rsidRDefault="00231213" w:rsidP="00231213">
            <w:pPr>
              <w:jc w:val="both"/>
              <w:rPr>
                <w:rFonts w:ascii="Times New Roman" w:hAnsi="Times New Roman" w:cs="Times New Roman"/>
                <w:i/>
                <w:iCs/>
              </w:rPr>
            </w:pPr>
          </w:p>
          <w:p w14:paraId="025C0CC5" w14:textId="2062932C" w:rsidR="00231213" w:rsidRDefault="00231213" w:rsidP="00231213">
            <w:pPr>
              <w:jc w:val="both"/>
              <w:rPr>
                <w:rFonts w:ascii="Times New Roman" w:hAnsi="Times New Roman" w:cs="Times New Roman"/>
                <w:bCs/>
                <w:szCs w:val="24"/>
              </w:rPr>
            </w:pPr>
            <w:r w:rsidRPr="00231213">
              <w:rPr>
                <w:rFonts w:ascii="Times New Roman" w:hAnsi="Times New Roman" w:cs="Times New Roman"/>
                <w:bCs/>
                <w:szCs w:val="24"/>
              </w:rPr>
              <w:t>2022-2030 metų plėtros programos valdytojos Lietuvos Respublikos sveikatos apsaugos ministerijos sveikatos priežiūros kokybės ir efektyvumo didinimo plėtros programos pažangos priemonės Nr. 11-002-02-11-01 „Gerinti sveikatos priežiūros kokybę ir prieinamumo didinimą“ aprašas</w:t>
            </w:r>
          </w:p>
          <w:p w14:paraId="4853FC5C" w14:textId="645FA348" w:rsidR="00231213" w:rsidRDefault="00AE7DE3" w:rsidP="00231213">
            <w:pPr>
              <w:jc w:val="both"/>
              <w:rPr>
                <w:rFonts w:ascii="Times New Roman" w:hAnsi="Times New Roman" w:cs="Times New Roman"/>
                <w:iCs/>
              </w:rPr>
            </w:pPr>
            <w:hyperlink r:id="rId20" w:history="1">
              <w:r w:rsidR="00A171E8" w:rsidRPr="008C4AFA">
                <w:rPr>
                  <w:rStyle w:val="Hyperlink"/>
                  <w:rFonts w:ascii="Times New Roman" w:hAnsi="Times New Roman" w:cs="Times New Roman"/>
                  <w:iCs/>
                </w:rPr>
                <w:t>https://www.e-tar.lt/portal/lt/legalAct/2f2a51d0168811ee9f7ec2ffce8b47bc</w:t>
              </w:r>
            </w:hyperlink>
          </w:p>
          <w:p w14:paraId="218C684F" w14:textId="471EDB1F" w:rsidR="004375FB" w:rsidRPr="00231213" w:rsidRDefault="004375FB" w:rsidP="00E661B8">
            <w:pPr>
              <w:jc w:val="both"/>
              <w:rPr>
                <w:rFonts w:ascii="Times New Roman" w:hAnsi="Times New Roman" w:cs="Times New Roman"/>
                <w:iCs/>
              </w:rPr>
            </w:pPr>
            <w:hyperlink r:id="rId21" w:history="1">
              <w:r w:rsidRPr="00492A50">
                <w:rPr>
                  <w:rStyle w:val="Hyperlink"/>
                  <w:rFonts w:ascii="Times New Roman" w:hAnsi="Times New Roman" w:cs="Times New Roman"/>
                  <w:iCs/>
                </w:rPr>
                <w:t>https://www.e-tar.lt/portal/lt/legalAct/983e025047fe11ee9de9e7e0fd363afc</w:t>
              </w:r>
            </w:hyperlink>
            <w:r w:rsidR="00E661B8">
              <w:rPr>
                <w:rFonts w:ascii="Times New Roman" w:hAnsi="Times New Roman" w:cs="Times New Roman"/>
                <w:iCs/>
              </w:rPr>
              <w:t xml:space="preserve"> (pakeitimo nuoroda)</w:t>
            </w:r>
          </w:p>
        </w:tc>
      </w:tr>
      <w:tr w:rsidR="00D548BA" w:rsidRPr="008B168C" w14:paraId="31C64CDC" w14:textId="77777777" w:rsidTr="00AE7DE3">
        <w:trPr>
          <w:cantSplit/>
          <w:trHeight w:val="300"/>
        </w:trPr>
        <w:tc>
          <w:tcPr>
            <w:tcW w:w="849"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129" w:type="dxa"/>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7306" w:type="dxa"/>
            <w:gridSpan w:val="4"/>
          </w:tcPr>
          <w:p w14:paraId="530C5CF6" w14:textId="262DF96C" w:rsidR="00235898" w:rsidRPr="00232003" w:rsidRDefault="00235898" w:rsidP="00235898">
            <w:pPr>
              <w:jc w:val="both"/>
              <w:rPr>
                <w:rFonts w:ascii="Times New Roman" w:hAnsi="Times New Roman" w:cs="Times New Roman"/>
              </w:rPr>
            </w:pPr>
            <w:r w:rsidRPr="00232003">
              <w:rPr>
                <w:rFonts w:ascii="Times New Roman" w:hAnsi="Times New Roman" w:cs="Times New Roman"/>
              </w:rPr>
              <w:t>1. Vadovaudamasi Administravimo taisyklių 99.4 papunkčiu, projektą administruojanti institucija gali priimti PĮP, pateiktą po kvietime teikti projekto įgyvendinimo planus nustatyto PĮP pateikimo termino pabaigos, gavusi ir įvertinusi pareiškėjo argumentus.</w:t>
            </w:r>
          </w:p>
          <w:p w14:paraId="1C571951" w14:textId="7C438EDF" w:rsidR="00235898" w:rsidRPr="00232003" w:rsidRDefault="00235898" w:rsidP="00235898">
            <w:pPr>
              <w:jc w:val="both"/>
              <w:rPr>
                <w:rFonts w:ascii="Times New Roman" w:hAnsi="Times New Roman" w:cs="Times New Roman"/>
              </w:rPr>
            </w:pPr>
            <w:r w:rsidRPr="00232003">
              <w:rPr>
                <w:rFonts w:ascii="Times New Roman" w:hAnsi="Times New Roman" w:cs="Times New Roman"/>
              </w:rPr>
              <w:t>2. Papildomas finansavimas veiklos įgyvendinimui nebus skiriamas.</w:t>
            </w:r>
          </w:p>
          <w:p w14:paraId="425A7EE7" w14:textId="77777777" w:rsidR="00D548BA" w:rsidRDefault="00235898" w:rsidP="00235898">
            <w:pPr>
              <w:jc w:val="both"/>
              <w:rPr>
                <w:rFonts w:ascii="Times New Roman" w:hAnsi="Times New Roman" w:cs="Times New Roman"/>
              </w:rPr>
            </w:pPr>
            <w:r w:rsidRPr="00232003">
              <w:rPr>
                <w:rFonts w:ascii="Times New Roman" w:hAnsi="Times New Roman" w:cs="Times New Roman"/>
              </w:rPr>
              <w:t>3. Kai įgyvendinamas projektas, kurio bendra vertė viršija 10 000 000,00 (dešimt milijonų) eurų, turi būti surengiamas komunikacinis renginys ar įgyvendinama kita komunikacijos veikla pakviečiant ar įtraukiant Europos Komisijos ir vadovaujančiosios institucijos atstovus, kaip numatyta Projektų administravimo ir finansavimo taisyklių 341.5 papunktyje</w:t>
            </w:r>
            <w:r w:rsidR="00231213">
              <w:rPr>
                <w:rFonts w:ascii="Times New Roman" w:hAnsi="Times New Roman" w:cs="Times New Roman"/>
              </w:rPr>
              <w:t>.</w:t>
            </w:r>
          </w:p>
          <w:p w14:paraId="6F957F1F" w14:textId="77777777" w:rsidR="00231213" w:rsidRDefault="00231213" w:rsidP="00235898">
            <w:pPr>
              <w:jc w:val="both"/>
              <w:rPr>
                <w:rFonts w:ascii="Times New Roman" w:hAnsi="Times New Roman" w:cs="Times New Roman"/>
              </w:rPr>
            </w:pPr>
          </w:p>
          <w:p w14:paraId="31C64CDB" w14:textId="61839788" w:rsidR="00231213" w:rsidRPr="00344EBE" w:rsidRDefault="00231213" w:rsidP="00235898">
            <w:pPr>
              <w:jc w:val="both"/>
              <w:rPr>
                <w:rFonts w:ascii="Times New Roman" w:hAnsi="Times New Roman" w:cs="Times New Roman"/>
              </w:rPr>
            </w:pPr>
            <w:r w:rsidRPr="00C359DC">
              <w:rPr>
                <w:rFonts w:ascii="Times New Roman" w:hAnsi="Times New Roman" w:cs="Times New Roman"/>
              </w:rPr>
              <w:t xml:space="preserve">Daugiau informacijos apie aktualius dokumentus pateikiama </w:t>
            </w:r>
            <w:hyperlink r:id="rId22" w:history="1">
              <w:r w:rsidRPr="0005508D">
                <w:rPr>
                  <w:rStyle w:val="Hyperlink"/>
                  <w:rFonts w:ascii="Times New Roman" w:hAnsi="Times New Roman" w:cs="Times New Roman"/>
                </w:rPr>
                <w:t>https://2021.esinvesticijos.lt/</w:t>
              </w:r>
            </w:hyperlink>
            <w:r>
              <w:rPr>
                <w:rFonts w:ascii="Times New Roman" w:hAnsi="Times New Roman" w:cs="Times New Roman"/>
              </w:rPr>
              <w:t xml:space="preserve"> </w:t>
            </w:r>
            <w:r w:rsidRPr="00C359DC">
              <w:rPr>
                <w:rFonts w:ascii="Times New Roman" w:hAnsi="Times New Roman" w:cs="Times New Roman"/>
              </w:rPr>
              <w:t>kvietimų skiltyje.</w:t>
            </w:r>
          </w:p>
        </w:tc>
      </w:tr>
      <w:tr w:rsidR="00D548BA" w:rsidRPr="008B168C" w14:paraId="2A59DD9A" w14:textId="77777777" w:rsidTr="00AE7DE3">
        <w:trPr>
          <w:cantSplit/>
          <w:trHeight w:val="300"/>
        </w:trPr>
        <w:tc>
          <w:tcPr>
            <w:tcW w:w="849"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129" w:type="dxa"/>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306" w:type="dxa"/>
            <w:gridSpan w:val="4"/>
          </w:tcPr>
          <w:p w14:paraId="128790EA" w14:textId="77777777" w:rsidR="00231213" w:rsidRPr="00936C33" w:rsidRDefault="00231213" w:rsidP="00231213">
            <w:pPr>
              <w:jc w:val="both"/>
              <w:rPr>
                <w:rFonts w:ascii="Times New Roman" w:hAnsi="Times New Roman" w:cs="Times New Roman"/>
              </w:rPr>
            </w:pPr>
            <w:r w:rsidRPr="00C359DC">
              <w:rPr>
                <w:rFonts w:ascii="Times New Roman" w:hAnsi="Times New Roman" w:cs="Times New Roman"/>
              </w:rPr>
              <w:t>Projekto įgyvendinimo plano forma (</w:t>
            </w:r>
            <w:hyperlink r:id="rId23" w:history="1">
              <w:r w:rsidRPr="00A846A7">
                <w:rPr>
                  <w:rStyle w:val="Hyperlink"/>
                  <w:rFonts w:ascii="Times New Roman" w:hAnsi="Times New Roman" w:cs="Times New Roman"/>
                </w:rPr>
                <w:t>PAFT 1 priedas „Projekto įgyvendinimo plano forma“</w:t>
              </w:r>
            </w:hyperlink>
            <w:r w:rsidRPr="00C359DC">
              <w:rPr>
                <w:rFonts w:ascii="Times New Roman" w:hAnsi="Times New Roman" w:cs="Times New Roman"/>
              </w:rPr>
              <w:t>)</w:t>
            </w:r>
            <w:r>
              <w:rPr>
                <w:rFonts w:ascii="Times New Roman" w:hAnsi="Times New Roman" w:cs="Times New Roman"/>
              </w:rPr>
              <w:t>;</w:t>
            </w:r>
          </w:p>
          <w:p w14:paraId="75CF1860" w14:textId="77777777" w:rsidR="00231213" w:rsidRDefault="00231213" w:rsidP="00231213">
            <w:pPr>
              <w:jc w:val="both"/>
              <w:rPr>
                <w:rFonts w:ascii="Times New Roman" w:hAnsi="Times New Roman" w:cs="Times New Roman"/>
              </w:rPr>
            </w:pPr>
            <w:r w:rsidRPr="00C359DC">
              <w:rPr>
                <w:rFonts w:ascii="Times New Roman" w:hAnsi="Times New Roman" w:cs="Times New Roman"/>
              </w:rPr>
              <w:t>Projekto sutarties forma (</w:t>
            </w:r>
            <w:hyperlink r:id="rId24" w:history="1">
              <w:r w:rsidRPr="00A846A7">
                <w:rPr>
                  <w:rStyle w:val="Hyperlink"/>
                  <w:rFonts w:ascii="Times New Roman" w:hAnsi="Times New Roman" w:cs="Times New Roman"/>
                </w:rPr>
                <w:t>PAFT 3 priedas „Projekto sutartis“</w:t>
              </w:r>
            </w:hyperlink>
            <w:r w:rsidRPr="00C359DC">
              <w:rPr>
                <w:rFonts w:ascii="Times New Roman" w:hAnsi="Times New Roman" w:cs="Times New Roman"/>
              </w:rPr>
              <w:t>)</w:t>
            </w:r>
            <w:r>
              <w:rPr>
                <w:rFonts w:ascii="Times New Roman" w:hAnsi="Times New Roman" w:cs="Times New Roman"/>
              </w:rPr>
              <w:t>;</w:t>
            </w:r>
          </w:p>
          <w:p w14:paraId="2A0F5C6F" w14:textId="24E723FF" w:rsidR="00D548BA" w:rsidRPr="009C094C" w:rsidRDefault="00231213" w:rsidP="00231213">
            <w:pPr>
              <w:jc w:val="both"/>
              <w:rPr>
                <w:rFonts w:ascii="Times New Roman" w:hAnsi="Times New Roman" w:cs="Times New Roman"/>
                <w:i/>
                <w:iCs/>
              </w:rPr>
            </w:pPr>
            <w:r w:rsidRPr="0088124B">
              <w:rPr>
                <w:rFonts w:ascii="Times New Roman" w:hAnsi="Times New Roman" w:cs="Times New Roman"/>
              </w:rPr>
              <w:t>Projekto tinkamumo finansuoti vertinimo patikros lapas.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ADA2A" w14:textId="77777777" w:rsidR="005F3B94" w:rsidRDefault="005F3B94" w:rsidP="00213DCB">
      <w:pPr>
        <w:spacing w:after="0" w:line="240" w:lineRule="auto"/>
      </w:pPr>
      <w:r>
        <w:separator/>
      </w:r>
    </w:p>
  </w:endnote>
  <w:endnote w:type="continuationSeparator" w:id="0">
    <w:p w14:paraId="75F8E847" w14:textId="77777777" w:rsidR="005F3B94" w:rsidRDefault="005F3B94" w:rsidP="00213DCB">
      <w:pPr>
        <w:spacing w:after="0" w:line="240" w:lineRule="auto"/>
      </w:pPr>
      <w:r>
        <w:continuationSeparator/>
      </w:r>
    </w:p>
  </w:endnote>
  <w:endnote w:type="continuationNotice" w:id="1">
    <w:p w14:paraId="6C72D844" w14:textId="77777777" w:rsidR="005F3B94" w:rsidRDefault="005F3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C36A8F" w14:paraId="1ACC5198" w14:textId="77777777" w:rsidTr="009C094C">
      <w:trPr>
        <w:trHeight w:val="300"/>
      </w:trPr>
      <w:tc>
        <w:tcPr>
          <w:tcW w:w="3305" w:type="dxa"/>
        </w:tcPr>
        <w:p w14:paraId="4273EA5D" w14:textId="396929C4" w:rsidR="00C36A8F" w:rsidRDefault="00C36A8F" w:rsidP="009C094C">
          <w:pPr>
            <w:pStyle w:val="Header"/>
            <w:ind w:left="-115"/>
          </w:pPr>
        </w:p>
      </w:tc>
      <w:tc>
        <w:tcPr>
          <w:tcW w:w="3305" w:type="dxa"/>
        </w:tcPr>
        <w:p w14:paraId="470C61EF" w14:textId="49F2A30E" w:rsidR="00C36A8F" w:rsidRDefault="00C36A8F" w:rsidP="009C094C">
          <w:pPr>
            <w:pStyle w:val="Header"/>
            <w:jc w:val="center"/>
          </w:pPr>
        </w:p>
      </w:tc>
      <w:tc>
        <w:tcPr>
          <w:tcW w:w="3305" w:type="dxa"/>
        </w:tcPr>
        <w:p w14:paraId="11C385A7" w14:textId="2A624462" w:rsidR="00C36A8F" w:rsidRDefault="00C36A8F" w:rsidP="009C094C">
          <w:pPr>
            <w:pStyle w:val="Header"/>
            <w:ind w:right="-115"/>
            <w:jc w:val="right"/>
          </w:pPr>
        </w:p>
      </w:tc>
    </w:tr>
  </w:tbl>
  <w:p w14:paraId="68455D46" w14:textId="7EB17FEF" w:rsidR="00C36A8F" w:rsidRDefault="00C36A8F"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D486E" w14:textId="77777777" w:rsidR="005F3B94" w:rsidRDefault="005F3B94" w:rsidP="00213DCB">
      <w:pPr>
        <w:spacing w:after="0" w:line="240" w:lineRule="auto"/>
      </w:pPr>
      <w:r>
        <w:separator/>
      </w:r>
    </w:p>
  </w:footnote>
  <w:footnote w:type="continuationSeparator" w:id="0">
    <w:p w14:paraId="564375F0" w14:textId="77777777" w:rsidR="005F3B94" w:rsidRDefault="005F3B94" w:rsidP="00213DCB">
      <w:pPr>
        <w:spacing w:after="0" w:line="240" w:lineRule="auto"/>
      </w:pPr>
      <w:r>
        <w:continuationSeparator/>
      </w:r>
    </w:p>
  </w:footnote>
  <w:footnote w:type="continuationNotice" w:id="1">
    <w:p w14:paraId="0DF6CA6B" w14:textId="77777777" w:rsidR="005F3B94" w:rsidRDefault="005F3B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C36A8F" w:rsidRPr="003737FE" w:rsidRDefault="00C36A8F"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B51A45"/>
    <w:multiLevelType w:val="hybridMultilevel"/>
    <w:tmpl w:val="8CF04870"/>
    <w:lvl w:ilvl="0" w:tplc="BD061DE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CA195B"/>
    <w:multiLevelType w:val="hybridMultilevel"/>
    <w:tmpl w:val="0D4A3C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59214981">
    <w:abstractNumId w:val="9"/>
  </w:num>
  <w:num w:numId="2" w16cid:durableId="1165558772">
    <w:abstractNumId w:val="12"/>
  </w:num>
  <w:num w:numId="3" w16cid:durableId="35545484">
    <w:abstractNumId w:val="2"/>
  </w:num>
  <w:num w:numId="4" w16cid:durableId="402339087">
    <w:abstractNumId w:val="0"/>
  </w:num>
  <w:num w:numId="5" w16cid:durableId="569654679">
    <w:abstractNumId w:val="10"/>
  </w:num>
  <w:num w:numId="6" w16cid:durableId="1273055637">
    <w:abstractNumId w:val="17"/>
  </w:num>
  <w:num w:numId="7" w16cid:durableId="90205573">
    <w:abstractNumId w:val="7"/>
  </w:num>
  <w:num w:numId="8" w16cid:durableId="1051417751">
    <w:abstractNumId w:val="5"/>
  </w:num>
  <w:num w:numId="9" w16cid:durableId="1602224851">
    <w:abstractNumId w:val="6"/>
  </w:num>
  <w:num w:numId="10" w16cid:durableId="1970822843">
    <w:abstractNumId w:val="18"/>
  </w:num>
  <w:num w:numId="11" w16cid:durableId="1530683270">
    <w:abstractNumId w:val="11"/>
  </w:num>
  <w:num w:numId="12" w16cid:durableId="419569245">
    <w:abstractNumId w:val="13"/>
  </w:num>
  <w:num w:numId="13" w16cid:durableId="1497764238">
    <w:abstractNumId w:val="18"/>
    <w:lvlOverride w:ilvl="0"/>
    <w:lvlOverride w:ilvl="1">
      <w:startOverride w:val="2"/>
    </w:lvlOverride>
    <w:lvlOverride w:ilvl="2"/>
    <w:lvlOverride w:ilvl="3"/>
    <w:lvlOverride w:ilvl="4"/>
    <w:lvlOverride w:ilvl="5"/>
    <w:lvlOverride w:ilvl="6"/>
    <w:lvlOverride w:ilvl="7"/>
    <w:lvlOverride w:ilvl="8"/>
  </w:num>
  <w:num w:numId="14" w16cid:durableId="2109767355">
    <w:abstractNumId w:val="16"/>
  </w:num>
  <w:num w:numId="15" w16cid:durableId="306790756">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53057000">
    <w:abstractNumId w:val="18"/>
  </w:num>
  <w:num w:numId="17" w16cid:durableId="1455637404">
    <w:abstractNumId w:val="18"/>
  </w:num>
  <w:num w:numId="18" w16cid:durableId="153617703">
    <w:abstractNumId w:val="18"/>
  </w:num>
  <w:num w:numId="19" w16cid:durableId="1245721005">
    <w:abstractNumId w:val="18"/>
  </w:num>
  <w:num w:numId="20" w16cid:durableId="950011623">
    <w:abstractNumId w:val="18"/>
  </w:num>
  <w:num w:numId="21" w16cid:durableId="4018078">
    <w:abstractNumId w:val="18"/>
  </w:num>
  <w:num w:numId="22" w16cid:durableId="623539141">
    <w:abstractNumId w:val="15"/>
  </w:num>
  <w:num w:numId="23" w16cid:durableId="486627103">
    <w:abstractNumId w:val="3"/>
  </w:num>
  <w:num w:numId="24" w16cid:durableId="882210277">
    <w:abstractNumId w:val="8"/>
  </w:num>
  <w:num w:numId="25" w16cid:durableId="1278949207">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640649763">
    <w:abstractNumId w:val="1"/>
  </w:num>
  <w:num w:numId="27" w16cid:durableId="298339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1FC4"/>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2D8E"/>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3E8"/>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08A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31213"/>
    <w:rsid w:val="00232003"/>
    <w:rsid w:val="00233087"/>
    <w:rsid w:val="00234760"/>
    <w:rsid w:val="00235898"/>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87660"/>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03A9"/>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375FB"/>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B94"/>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5A4"/>
    <w:rsid w:val="00672603"/>
    <w:rsid w:val="00681678"/>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1395"/>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5F3D"/>
    <w:rsid w:val="007772E4"/>
    <w:rsid w:val="00781A7A"/>
    <w:rsid w:val="007826EA"/>
    <w:rsid w:val="007838D7"/>
    <w:rsid w:val="00787479"/>
    <w:rsid w:val="00790FE8"/>
    <w:rsid w:val="007919AD"/>
    <w:rsid w:val="00793E91"/>
    <w:rsid w:val="007977F8"/>
    <w:rsid w:val="007A0245"/>
    <w:rsid w:val="007A0B56"/>
    <w:rsid w:val="007A0F6D"/>
    <w:rsid w:val="007A1B56"/>
    <w:rsid w:val="007A1BEF"/>
    <w:rsid w:val="007A26CE"/>
    <w:rsid w:val="007A39F1"/>
    <w:rsid w:val="007A3E9C"/>
    <w:rsid w:val="007A6108"/>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2A9C"/>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C7B55"/>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3D07"/>
    <w:rsid w:val="00975908"/>
    <w:rsid w:val="00980BB0"/>
    <w:rsid w:val="00981A93"/>
    <w:rsid w:val="00982507"/>
    <w:rsid w:val="00984775"/>
    <w:rsid w:val="00985292"/>
    <w:rsid w:val="0098623A"/>
    <w:rsid w:val="009864DD"/>
    <w:rsid w:val="009868F6"/>
    <w:rsid w:val="009869B0"/>
    <w:rsid w:val="009870F3"/>
    <w:rsid w:val="0098754F"/>
    <w:rsid w:val="00990EFA"/>
    <w:rsid w:val="00995CEE"/>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07928"/>
    <w:rsid w:val="00A10A20"/>
    <w:rsid w:val="00A10AEC"/>
    <w:rsid w:val="00A10D21"/>
    <w:rsid w:val="00A132BF"/>
    <w:rsid w:val="00A13F47"/>
    <w:rsid w:val="00A159C1"/>
    <w:rsid w:val="00A171E8"/>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E7DE3"/>
    <w:rsid w:val="00AF243A"/>
    <w:rsid w:val="00AF361D"/>
    <w:rsid w:val="00AF4DFD"/>
    <w:rsid w:val="00AF50E9"/>
    <w:rsid w:val="00AF57CF"/>
    <w:rsid w:val="00AF5DEE"/>
    <w:rsid w:val="00AF6987"/>
    <w:rsid w:val="00AF6EC6"/>
    <w:rsid w:val="00AF7303"/>
    <w:rsid w:val="00AF7FD4"/>
    <w:rsid w:val="00B020C7"/>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36A8F"/>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0D78"/>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3AB"/>
    <w:rsid w:val="00DF3B08"/>
    <w:rsid w:val="00DF5E35"/>
    <w:rsid w:val="00DF5EB1"/>
    <w:rsid w:val="00DF5F27"/>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1B8"/>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D5303"/>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437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548542219">
      <w:bodyDiv w:val="1"/>
      <w:marLeft w:val="0"/>
      <w:marRight w:val="0"/>
      <w:marTop w:val="0"/>
      <w:marBottom w:val="0"/>
      <w:divBdr>
        <w:top w:val="none" w:sz="0" w:space="0" w:color="auto"/>
        <w:left w:val="none" w:sz="0" w:space="0" w:color="auto"/>
        <w:bottom w:val="none" w:sz="0" w:space="0" w:color="auto"/>
        <w:right w:val="none" w:sz="0" w:space="0" w:color="auto"/>
      </w:divBdr>
    </w:div>
    <w:div w:id="636375966">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35010060">
      <w:bodyDiv w:val="1"/>
      <w:marLeft w:val="0"/>
      <w:marRight w:val="0"/>
      <w:marTop w:val="0"/>
      <w:marBottom w:val="0"/>
      <w:divBdr>
        <w:top w:val="none" w:sz="0" w:space="0" w:color="auto"/>
        <w:left w:val="none" w:sz="0" w:space="0" w:color="auto"/>
        <w:bottom w:val="none" w:sz="0" w:space="0" w:color="auto"/>
        <w:right w:val="none" w:sz="0" w:space="0" w:color="auto"/>
      </w:divBdr>
    </w:div>
    <w:div w:id="808136323">
      <w:bodyDiv w:val="1"/>
      <w:marLeft w:val="0"/>
      <w:marRight w:val="0"/>
      <w:marTop w:val="0"/>
      <w:marBottom w:val="0"/>
      <w:divBdr>
        <w:top w:val="none" w:sz="0" w:space="0" w:color="auto"/>
        <w:left w:val="none" w:sz="0" w:space="0" w:color="auto"/>
        <w:bottom w:val="none" w:sz="0" w:space="0" w:color="auto"/>
        <w:right w:val="none" w:sz="0" w:space="0" w:color="auto"/>
      </w:divBdr>
    </w:div>
    <w:div w:id="996107927">
      <w:bodyDiv w:val="1"/>
      <w:marLeft w:val="0"/>
      <w:marRight w:val="0"/>
      <w:marTop w:val="0"/>
      <w:marBottom w:val="0"/>
      <w:divBdr>
        <w:top w:val="none" w:sz="0" w:space="0" w:color="auto"/>
        <w:left w:val="none" w:sz="0" w:space="0" w:color="auto"/>
        <w:bottom w:val="none" w:sz="0" w:space="0" w:color="auto"/>
        <w:right w:val="none" w:sz="0" w:space="0" w:color="auto"/>
      </w:divBdr>
    </w:div>
    <w:div w:id="1030686906">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82476797">
      <w:bodyDiv w:val="1"/>
      <w:marLeft w:val="0"/>
      <w:marRight w:val="0"/>
      <w:marTop w:val="0"/>
      <w:marBottom w:val="0"/>
      <w:divBdr>
        <w:top w:val="none" w:sz="0" w:space="0" w:color="auto"/>
        <w:left w:val="none" w:sz="0" w:space="0" w:color="auto"/>
        <w:bottom w:val="none" w:sz="0" w:space="0" w:color="auto"/>
        <w:right w:val="none" w:sz="0" w:space="0" w:color="auto"/>
      </w:divBdr>
    </w:div>
    <w:div w:id="1188834290">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47203226">
      <w:bodyDiv w:val="1"/>
      <w:marLeft w:val="0"/>
      <w:marRight w:val="0"/>
      <w:marTop w:val="0"/>
      <w:marBottom w:val="0"/>
      <w:divBdr>
        <w:top w:val="none" w:sz="0" w:space="0" w:color="auto"/>
        <w:left w:val="none" w:sz="0" w:space="0" w:color="auto"/>
        <w:bottom w:val="none" w:sz="0" w:space="0" w:color="auto"/>
        <w:right w:val="none" w:sz="0" w:space="0" w:color="auto"/>
      </w:divBdr>
    </w:div>
    <w:div w:id="212804150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mailto:s.matakaite-cecote@cpva.l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ar.lt/portal/lt/legalAct/983e025047fe11ee9de9e7e0fd363afc" TargetMode="Externa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rojektui-taikomus-aplinkosaugos-reikalavimus-forma-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dokumentai/informacijos-apie-pareiskejui-partneriui-suteikta-valstybes-pagalba-isskyrus-de-minimis-forma-1" TargetMode="External"/><Relationship Id="rId20" Type="http://schemas.openxmlformats.org/officeDocument/2006/relationships/hyperlink" Target="https://www.e-tar.lt/portal/lt/legalAct/2f2a51d0168811ee9f7ec2ffce8b47b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 TargetMode="External"/><Relationship Id="rId24" Type="http://schemas.openxmlformats.org/officeDocument/2006/relationships/hyperlink" Target="https://e-seimas.lrs.lt/portal/legalAct/lt/TAD/fd3d3843f26111ecbfe9c72e552dd5bd/asr" TargetMode="External"/><Relationship Id="rId5" Type="http://schemas.openxmlformats.org/officeDocument/2006/relationships/numbering" Target="numbering.xml"/><Relationship Id="rId15" Type="http://schemas.openxmlformats.org/officeDocument/2006/relationships/hyperlink" Target="https://2021.esinvesticijos.lt/dokumentai/informacijos-apie-biudzeto-pasiskirstyma-forma" TargetMode="External"/><Relationship Id="rId23" Type="http://schemas.openxmlformats.org/officeDocument/2006/relationships/hyperlink" Target="https://e-seimas.lrs.lt/portal/legalAct/lt/TAD/fd3d3843f26111ecbfe9c72e552dd5bd/as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artnerio-deklaracija" TargetMode="External"/><Relationship Id="rId22" Type="http://schemas.openxmlformats.org/officeDocument/2006/relationships/hyperlink" Target="https://2021.esinvesticijos.lt/"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6741FA3D83004077A6C924DD2E27D505"/>
        <w:category>
          <w:name w:val="General"/>
          <w:gallery w:val="placeholder"/>
        </w:category>
        <w:types>
          <w:type w:val="bbPlcHdr"/>
        </w:types>
        <w:behaviors>
          <w:behavior w:val="content"/>
        </w:behaviors>
        <w:guid w:val="{CD81E711-36EF-4DB4-9C40-8FC662057A92}"/>
      </w:docPartPr>
      <w:docPartBody>
        <w:p w:rsidR="0052403C" w:rsidRDefault="0052403C"/>
      </w:docPartBody>
    </w:docPart>
    <w:docPart>
      <w:docPartPr>
        <w:name w:val="275EDA9C03894F139F2B61BF4D0BB70A"/>
        <w:category>
          <w:name w:val="General"/>
          <w:gallery w:val="placeholder"/>
        </w:category>
        <w:types>
          <w:type w:val="bbPlcHdr"/>
        </w:types>
        <w:behaviors>
          <w:behavior w:val="content"/>
        </w:behaviors>
        <w:guid w:val="{AD8D68EC-8106-4631-8C66-DEF0D1304FDF}"/>
      </w:docPartPr>
      <w:docPartBody>
        <w:p w:rsidR="0052403C" w:rsidRDefault="005240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76316"/>
    <w:rsid w:val="001D1682"/>
    <w:rsid w:val="00211B47"/>
    <w:rsid w:val="00317337"/>
    <w:rsid w:val="003D1812"/>
    <w:rsid w:val="004A4126"/>
    <w:rsid w:val="0052403C"/>
    <w:rsid w:val="00631305"/>
    <w:rsid w:val="00666228"/>
    <w:rsid w:val="006E2987"/>
    <w:rsid w:val="007511AF"/>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67DC9"/>
    <w:rsid w:val="00D874F0"/>
    <w:rsid w:val="00DD4385"/>
    <w:rsid w:val="00DF0263"/>
    <w:rsid w:val="00DF7A1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Sonata Matakaitė-Čečotė</DisplayName>
        <AccountId>1160</AccountId>
        <AccountType/>
      </UserInfo>
      <UserInfo>
        <DisplayName>Laura Neliupšytė</DisplayName>
        <AccountId>90</AccountId>
        <AccountType/>
      </UserInfo>
    </DmsPermissionsUsers>
    <DmsPermissionsConfid xmlns="f5ebda27-b626-448f-a7d1-d1cf5ad133fa">false</DmsPermissionsConfid>
    <DmsCommChanPerm xmlns="028236e2-f653-4d19-ab67-4d06a9145e0c" xsi:nil="true"/>
    <DmsDocPrepDocSendRegReal xmlns="028236e2-f653-4d19-ab67-4d06a9145e0c">false</DmsDocPrepDocSendRegRe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6805DE21-ABFC-4E86-8D7A-C34846195E00}"/>
</file>

<file path=customXml/itemProps4.xml><?xml version="1.0" encoding="utf-8"?>
<ds:datastoreItem xmlns:ds="http://schemas.openxmlformats.org/officeDocument/2006/customXml" ds:itemID="{041A1180-060A-466F-BF55-079B2D1C6BB8}"/>
</file>

<file path=docProps/app.xml><?xml version="1.0" encoding="utf-8"?>
<Properties xmlns="http://schemas.openxmlformats.org/officeDocument/2006/extended-properties" xmlns:vt="http://schemas.openxmlformats.org/officeDocument/2006/docPropsVTypes">
  <Template>Normal</Template>
  <TotalTime>92</TotalTime>
  <Pages>13</Pages>
  <Words>22321</Words>
  <Characters>12723</Characters>
  <Application>Microsoft Office Word</Application>
  <DocSecurity>0</DocSecurity>
  <Lines>106</Lines>
  <Paragraphs>69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34975</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Nr. 09-021-P</dc:title>
  <dc:subject/>
  <dc:creator>Zita  Markevičienė</dc:creator>
  <cp:keywords/>
  <dc:description/>
  <cp:lastModifiedBy>Sonata Matakaitė-Čečotė</cp:lastModifiedBy>
  <cp:revision>27</cp:revision>
  <dcterms:created xsi:type="dcterms:W3CDTF">2023-07-04T05:11:00Z</dcterms:created>
  <dcterms:modified xsi:type="dcterms:W3CDTF">2023-09-12T08:33:00Z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1160;#Sonata Matakaitė-Čečotė;#90;#Laura Neliupšytė</vt:lpwstr>
  </property>
  <property fmtid="{D5CDD505-2E9C-101B-9397-08002B2CF9AE}" pid="8" name="DmsPermissionsConfid">
    <vt:bool>true</vt:bool>
  </property>
  <property fmtid="{D5CDD505-2E9C-101B-9397-08002B2CF9AE}" pid="9" name="DmsPermissionsDivisions">
    <vt:lpwstr>206;#Informacinės visuomenės plėtros projektų skyrius|2dc2f6d3-2445-4367-ada3-9d9c6cbeaac6</vt:lpwstr>
  </property>
  <property fmtid="{D5CDD505-2E9C-101B-9397-08002B2CF9AE}" pid="10" name="TaxCatchAll">
    <vt:lpwstr/>
  </property>
  <property fmtid="{D5CDD505-2E9C-101B-9397-08002B2CF9AE}" pid="11" name="DmsWaitingForSign">
    <vt:bool>true</vt:bool>
  </property>
</Properties>
</file>