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2797"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F4AC4">
        <w:rPr>
          <w:rFonts w:ascii="Times New Roman" w:eastAsia="Times New Roman" w:hAnsi="Times New Roman" w:cs="Times New Roman"/>
          <w:b/>
          <w:bCs/>
          <w:sz w:val="24"/>
          <w:szCs w:val="24"/>
        </w:rPr>
        <w:t>Ą</w:t>
      </w:r>
    </w:p>
    <w:p w14:paraId="1BB57D03" w14:textId="4C5ACE05" w:rsidR="007A39F1" w:rsidRPr="007F4AC4" w:rsidRDefault="00F42C77" w:rsidP="6CE1E7ED">
      <w:pPr>
        <w:spacing w:after="0" w:line="240" w:lineRule="auto"/>
        <w:jc w:val="center"/>
        <w:rPr>
          <w:rFonts w:ascii="Times New Roman" w:eastAsia="Times New Roman" w:hAnsi="Times New Roman" w:cs="Times New Roman"/>
          <w:b/>
          <w:bCs/>
          <w:sz w:val="24"/>
          <w:szCs w:val="24"/>
        </w:rPr>
      </w:pPr>
      <w:r w:rsidRPr="007F4AC4">
        <w:rPr>
          <w:rFonts w:ascii="Times New Roman" w:eastAsia="Times New Roman" w:hAnsi="Times New Roman" w:cs="Times New Roman"/>
          <w:b/>
          <w:bCs/>
          <w:sz w:val="24"/>
          <w:szCs w:val="24"/>
        </w:rPr>
        <w:t>„</w:t>
      </w:r>
      <w:r w:rsidR="005D7A67">
        <w:rPr>
          <w:rFonts w:ascii="Times New Roman" w:hAnsi="Times New Roman" w:cs="Times New Roman"/>
          <w:b/>
          <w:bCs/>
          <w:sz w:val="24"/>
          <w:szCs w:val="24"/>
        </w:rPr>
        <w:t>VYKDYTI STARTUOLIŲ INKUBAVIMO VEIKLAS EUROPOS KOSMOSO AGENTŪROS VERSLO INKUBAVIMO CENTRE</w:t>
      </w:r>
      <w:r w:rsidRPr="007F4AC4">
        <w:rPr>
          <w:rFonts w:ascii="Times New Roman" w:eastAsia="Times New Roman" w:hAnsi="Times New Roman" w:cs="Times New Roman"/>
          <w:b/>
          <w:bCs/>
          <w:sz w:val="24"/>
          <w:szCs w:val="24"/>
        </w:rPr>
        <w:t>“</w:t>
      </w:r>
    </w:p>
    <w:p w14:paraId="1C899590" w14:textId="77777777" w:rsidR="00F32C69" w:rsidRPr="00244F72" w:rsidRDefault="00F32C69" w:rsidP="00244F72">
      <w:pPr>
        <w:spacing w:after="0" w:line="240" w:lineRule="auto"/>
        <w:jc w:val="center"/>
        <w:rPr>
          <w:rFonts w:ascii="Times New Roman" w:hAnsi="Times New Roman" w:cs="Times New Roman"/>
          <w:b/>
          <w:sz w:val="24"/>
          <w:szCs w:val="24"/>
        </w:rPr>
      </w:pPr>
    </w:p>
    <w:p w14:paraId="653B7500" w14:textId="7E24018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7C6D4F" w:rsidRPr="005D7A67">
        <w:rPr>
          <w:rFonts w:ascii="Times New Roman" w:hAnsi="Times New Roman" w:cs="Times New Roman"/>
          <w:sz w:val="24"/>
          <w:szCs w:val="24"/>
        </w:rPr>
        <w:t>02-0</w:t>
      </w:r>
      <w:r w:rsidR="005D7A67" w:rsidRPr="005D7A67">
        <w:rPr>
          <w:rFonts w:ascii="Times New Roman" w:hAnsi="Times New Roman" w:cs="Times New Roman"/>
          <w:sz w:val="24"/>
          <w:szCs w:val="24"/>
        </w:rPr>
        <w:t>10</w:t>
      </w:r>
      <w:r w:rsidR="007C6D4F" w:rsidRPr="005D7A67">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50469FA" w14:textId="77777777"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056261A8" w14:textId="77777777" w:rsidR="00244F72" w:rsidRPr="007C6D4F"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A492899" w14:textId="1D77E274" w:rsidR="008B168C" w:rsidRDefault="006E33E6" w:rsidP="3A2C37A1">
      <w:pPr>
        <w:spacing w:after="0" w:line="240" w:lineRule="auto"/>
        <w:ind w:firstLine="567"/>
        <w:jc w:val="both"/>
        <w:rPr>
          <w:rFonts w:ascii="Times New Roman" w:hAnsi="Times New Roman" w:cs="Times New Roman"/>
          <w:sz w:val="24"/>
          <w:szCs w:val="24"/>
        </w:rPr>
      </w:pPr>
      <w:r w:rsidRPr="006C3536">
        <w:rPr>
          <w:rFonts w:ascii="Times New Roman" w:hAnsi="Times New Roman" w:cs="Times New Roman"/>
          <w:sz w:val="24"/>
          <w:szCs w:val="24"/>
        </w:rPr>
        <w:t>Kvietimas parengtas</w:t>
      </w:r>
      <w:r w:rsidRPr="006C3536">
        <w:rPr>
          <w:rFonts w:ascii="Times New Roman" w:hAnsi="Times New Roman" w:cs="Times New Roman"/>
          <w:i/>
          <w:iCs/>
          <w:color w:val="808080" w:themeColor="background1" w:themeShade="80"/>
          <w:sz w:val="24"/>
          <w:szCs w:val="24"/>
        </w:rPr>
        <w:t xml:space="preserve"> </w:t>
      </w:r>
      <w:r w:rsidR="003B7319" w:rsidRPr="006C3536">
        <w:rPr>
          <w:rFonts w:ascii="Times New Roman" w:hAnsi="Times New Roman" w:cs="Times New Roman"/>
          <w:sz w:val="24"/>
          <w:szCs w:val="24"/>
        </w:rPr>
        <w:t>vadovaujantis</w:t>
      </w:r>
      <w:r w:rsidR="003B7319" w:rsidRPr="006C3536">
        <w:rPr>
          <w:rFonts w:ascii="Times New Roman" w:hAnsi="Times New Roman" w:cs="Times New Roman"/>
          <w:i/>
          <w:iCs/>
          <w:color w:val="808080" w:themeColor="background1" w:themeShade="80"/>
          <w:sz w:val="24"/>
          <w:szCs w:val="24"/>
        </w:rPr>
        <w:t xml:space="preserve"> </w:t>
      </w:r>
      <w:r w:rsidR="007F4AC4" w:rsidRPr="006C3536">
        <w:rPr>
          <w:rFonts w:ascii="Times New Roman" w:hAnsi="Times New Roman" w:cs="Times New Roman"/>
          <w:sz w:val="24"/>
          <w:szCs w:val="24"/>
        </w:rPr>
        <w:t>Lietuvos Respublikos ekonomikos ir inovacijų ministro 2023 m.</w:t>
      </w:r>
      <w:r w:rsidR="007C6D4F" w:rsidRPr="006C3536">
        <w:rPr>
          <w:rFonts w:ascii="Times New Roman" w:hAnsi="Times New Roman" w:cs="Times New Roman"/>
          <w:sz w:val="24"/>
          <w:szCs w:val="24"/>
        </w:rPr>
        <w:t xml:space="preserve"> </w:t>
      </w:r>
      <w:r w:rsidR="006C3536" w:rsidRPr="006C3536">
        <w:rPr>
          <w:rFonts w:ascii="Times New Roman" w:hAnsi="Times New Roman" w:cs="Times New Roman"/>
          <w:sz w:val="24"/>
          <w:szCs w:val="24"/>
        </w:rPr>
        <w:t>rugsėjo</w:t>
      </w:r>
      <w:r w:rsidR="007C6D4F" w:rsidRPr="006C3536">
        <w:rPr>
          <w:rFonts w:ascii="Times New Roman" w:hAnsi="Times New Roman" w:cs="Times New Roman"/>
          <w:sz w:val="24"/>
          <w:szCs w:val="24"/>
        </w:rPr>
        <w:t xml:space="preserve"> </w:t>
      </w:r>
      <w:r w:rsidR="006C3536" w:rsidRPr="006C3536">
        <w:rPr>
          <w:rFonts w:ascii="Times New Roman" w:hAnsi="Times New Roman" w:cs="Times New Roman"/>
          <w:sz w:val="24"/>
          <w:szCs w:val="24"/>
        </w:rPr>
        <w:t>7</w:t>
      </w:r>
      <w:r w:rsidR="007C6D4F" w:rsidRPr="006C3536">
        <w:rPr>
          <w:rFonts w:ascii="Times New Roman" w:hAnsi="Times New Roman" w:cs="Times New Roman"/>
          <w:sz w:val="24"/>
          <w:szCs w:val="24"/>
        </w:rPr>
        <w:t xml:space="preserve"> d. įsakymu Nr. 4-</w:t>
      </w:r>
      <w:r w:rsidR="006C3536" w:rsidRPr="006C3536">
        <w:rPr>
          <w:rFonts w:ascii="Times New Roman" w:hAnsi="Times New Roman" w:cs="Times New Roman"/>
          <w:sz w:val="24"/>
          <w:szCs w:val="24"/>
        </w:rPr>
        <w:t>501</w:t>
      </w:r>
      <w:r w:rsidR="007C6D4F" w:rsidRPr="006C3536">
        <w:rPr>
          <w:rFonts w:ascii="Times New Roman" w:hAnsi="Times New Roman" w:cs="Times New Roman"/>
          <w:sz w:val="24"/>
          <w:szCs w:val="24"/>
        </w:rPr>
        <w:t xml:space="preserve"> „Dėl Ekonomikos ir inovacijų ministro 2022 m. liepos 22 d. įsakymo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 pakeitimo</w:t>
      </w:r>
      <w:r w:rsidR="007955CF">
        <w:rPr>
          <w:rFonts w:ascii="Times New Roman" w:hAnsi="Times New Roman" w:cs="Times New Roman"/>
          <w:sz w:val="24"/>
          <w:szCs w:val="24"/>
        </w:rPr>
        <w:t>“</w:t>
      </w:r>
    </w:p>
    <w:p w14:paraId="53A742C2" w14:textId="77777777" w:rsidR="007C6D4F" w:rsidRDefault="007C6D4F"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07213672" w14:textId="77777777" w:rsidTr="3537D0DD">
        <w:trPr>
          <w:cantSplit/>
          <w:trHeight w:val="415"/>
        </w:trPr>
        <w:tc>
          <w:tcPr>
            <w:tcW w:w="766" w:type="dxa"/>
          </w:tcPr>
          <w:p w14:paraId="52B8E9C3"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1AECBD27"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CD2DD43" w14:textId="77777777" w:rsidTr="3537D0DD">
        <w:trPr>
          <w:cantSplit/>
          <w:trHeight w:val="300"/>
        </w:trPr>
        <w:tc>
          <w:tcPr>
            <w:tcW w:w="766" w:type="dxa"/>
          </w:tcPr>
          <w:p w14:paraId="20326C83"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4979A0CD"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5A1AAFB0" w14:textId="77777777" w:rsidR="00962A9D" w:rsidRPr="007C6D4F" w:rsidDel="00CA2776" w:rsidRDefault="007C6D4F" w:rsidP="6DA6B6F8">
            <w:pPr>
              <w:rPr>
                <w:rFonts w:ascii="Times New Roman" w:hAnsi="Times New Roman" w:cs="Times New Roman"/>
              </w:rPr>
            </w:pPr>
            <w:r w:rsidRPr="007C6D4F">
              <w:rPr>
                <w:rFonts w:ascii="Times New Roman" w:hAnsi="Times New Roman" w:cs="Times New Roman"/>
              </w:rPr>
              <w:t>05-001-01-05-07</w:t>
            </w:r>
          </w:p>
        </w:tc>
      </w:tr>
      <w:tr w:rsidR="00DC7931" w:rsidRPr="008B168C" w:rsidDel="00CA2776" w14:paraId="7F6AA357" w14:textId="77777777" w:rsidTr="3537D0DD">
        <w:trPr>
          <w:cantSplit/>
          <w:trHeight w:val="300"/>
        </w:trPr>
        <w:tc>
          <w:tcPr>
            <w:tcW w:w="766" w:type="dxa"/>
          </w:tcPr>
          <w:p w14:paraId="507F2383"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38824011" w14:textId="77777777"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77E0A018" w14:textId="77777777" w:rsidR="00962A9D" w:rsidRPr="004351B2" w:rsidDel="00CA2776" w:rsidRDefault="004351B2" w:rsidP="008B168C">
            <w:pPr>
              <w:rPr>
                <w:rFonts w:ascii="Times New Roman" w:hAnsi="Times New Roman" w:cs="Times New Roman"/>
              </w:rPr>
            </w:pPr>
            <w:r w:rsidRPr="004351B2">
              <w:rPr>
                <w:rFonts w:ascii="Times New Roman" w:hAnsi="Times New Roman" w:cs="Times New Roman"/>
              </w:rPr>
              <w:t>Sukurti nuoseklią inovacinės veiklos skatinimo sistemą</w:t>
            </w:r>
          </w:p>
        </w:tc>
      </w:tr>
      <w:tr w:rsidR="00DC7931" w:rsidRPr="008B168C" w14:paraId="46FCAB31" w14:textId="77777777" w:rsidTr="3537D0DD">
        <w:trPr>
          <w:cantSplit/>
        </w:trPr>
        <w:tc>
          <w:tcPr>
            <w:tcW w:w="766" w:type="dxa"/>
          </w:tcPr>
          <w:p w14:paraId="39092CBA" w14:textId="77777777"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3005B99B"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66AE4792" w14:textId="77777777" w:rsidR="00962A9D" w:rsidRPr="004351B2" w:rsidDel="00CA2776" w:rsidRDefault="004351B2" w:rsidP="3537D0DD">
            <w:pPr>
              <w:rPr>
                <w:rFonts w:ascii="Times New Roman" w:hAnsi="Times New Roman" w:cs="Times New Roman"/>
              </w:rPr>
            </w:pPr>
            <w:r>
              <w:rPr>
                <w:rFonts w:ascii="Times New Roman" w:hAnsi="Times New Roman" w:cs="Times New Roman"/>
              </w:rPr>
              <w:t>Lietuvos Respublikos ekonomikos ir inovacijų ministerija</w:t>
            </w:r>
          </w:p>
        </w:tc>
      </w:tr>
      <w:tr w:rsidR="00DC7931" w:rsidRPr="008B168C" w14:paraId="57DE1826" w14:textId="77777777" w:rsidTr="3537D0DD">
        <w:trPr>
          <w:cantSplit/>
        </w:trPr>
        <w:tc>
          <w:tcPr>
            <w:tcW w:w="766" w:type="dxa"/>
          </w:tcPr>
          <w:p w14:paraId="66405A01" w14:textId="77777777"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DC9C515"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509AA5F9" w14:textId="77777777" w:rsidR="00962A9D" w:rsidRPr="004351B2" w:rsidDel="00CA2776" w:rsidRDefault="00797F0D" w:rsidP="61F0C4A1">
            <w:pPr>
              <w:rPr>
                <w:rFonts w:ascii="Times New Roman" w:hAnsi="Times New Roman" w:cs="Times New Roman"/>
              </w:rPr>
            </w:pPr>
            <w:r>
              <w:rPr>
                <w:rFonts w:ascii="Times New Roman" w:hAnsi="Times New Roman" w:cs="Times New Roman"/>
              </w:rPr>
              <w:t>-</w:t>
            </w:r>
          </w:p>
        </w:tc>
      </w:tr>
      <w:tr w:rsidR="00DC7931" w:rsidRPr="008B168C" w14:paraId="52C3B61E" w14:textId="77777777" w:rsidTr="3537D0DD">
        <w:trPr>
          <w:cantSplit/>
        </w:trPr>
        <w:tc>
          <w:tcPr>
            <w:tcW w:w="766" w:type="dxa"/>
          </w:tcPr>
          <w:p w14:paraId="7E5149B6"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0F85B824"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278B95D" w14:textId="7B80DBD6" w:rsidR="004351B2" w:rsidRDefault="00D138CE" w:rsidP="004351B2">
            <w:hyperlink r:id="rId11" w:history="1">
              <w:r w:rsidR="006C3536" w:rsidRPr="00331978">
                <w:rPr>
                  <w:rStyle w:val="Hyperlink"/>
                </w:rPr>
                <w:t>https://www.e-tar.lt/portal/lt/legalAct/0d5836804d8811ee81b8b446907f594f</w:t>
              </w:r>
            </w:hyperlink>
          </w:p>
          <w:p w14:paraId="17F5FBA5" w14:textId="6EB42296" w:rsidR="006C3536" w:rsidRPr="005D7A67" w:rsidDel="00CA2776" w:rsidRDefault="006C3536" w:rsidP="004351B2">
            <w:pPr>
              <w:rPr>
                <w:rFonts w:ascii="Times New Roman" w:hAnsi="Times New Roman" w:cs="Times New Roman"/>
                <w:highlight w:val="yellow"/>
              </w:rPr>
            </w:pPr>
          </w:p>
        </w:tc>
      </w:tr>
    </w:tbl>
    <w:p w14:paraId="392E7A2F"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29"/>
      </w:tblGrid>
      <w:tr w:rsidR="00DC7931" w:rsidRPr="008B168C" w14:paraId="12569E9F" w14:textId="77777777" w:rsidTr="67FCC6BA">
        <w:trPr>
          <w:cantSplit/>
          <w:trHeight w:val="300"/>
        </w:trPr>
        <w:tc>
          <w:tcPr>
            <w:tcW w:w="850" w:type="dxa"/>
          </w:tcPr>
          <w:p w14:paraId="47123C62"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6"/>
          </w:tcPr>
          <w:p w14:paraId="21A3573E"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A2C99E7" w14:textId="77777777" w:rsidTr="67FCC6BA">
        <w:trPr>
          <w:cantSplit/>
          <w:trHeight w:val="300"/>
        </w:trPr>
        <w:tc>
          <w:tcPr>
            <w:tcW w:w="850" w:type="dxa"/>
          </w:tcPr>
          <w:p w14:paraId="200FFCFA"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068B3AD"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6BC1B7CE"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01B55060"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C81FDA">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23D93424"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EB20492"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6E664E6C"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65DB68F6"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2D569C94"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6EC1B33A"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1805B3A1"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2DC8EF32"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108D247D"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11BD824A"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E3C112C"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516B98FA"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7D8A06A"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3C8EC412"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C04BDE8"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6CF63F2D"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3DE28FA4"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37AD6ECE"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1380A1B7"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48C8AAE5" w14:textId="77777777" w:rsidR="001A1453" w:rsidRPr="008B168C" w:rsidRDefault="00D138C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5550DC9F" w14:textId="77777777" w:rsidR="001A1453" w:rsidRPr="008B168C" w:rsidRDefault="001A1453" w:rsidP="008B168C">
            <w:pPr>
              <w:rPr>
                <w:rFonts w:ascii="Times New Roman" w:hAnsi="Times New Roman" w:cs="Times New Roman"/>
              </w:rPr>
            </w:pPr>
          </w:p>
        </w:tc>
      </w:tr>
      <w:tr w:rsidR="00DC7931" w:rsidRPr="008B168C" w14:paraId="6850290D" w14:textId="77777777" w:rsidTr="67FCC6BA">
        <w:trPr>
          <w:cantSplit/>
          <w:trHeight w:val="300"/>
        </w:trPr>
        <w:tc>
          <w:tcPr>
            <w:tcW w:w="850" w:type="dxa"/>
          </w:tcPr>
          <w:p w14:paraId="3C18FA1A"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253F805A"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02BCC6C"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7B4E08E6" w14:textId="77777777" w:rsidR="00E20AFE" w:rsidRDefault="00D138C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81FD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7BB84C33" w14:textId="77777777" w:rsidR="00DE0665" w:rsidRPr="008B168C" w:rsidRDefault="00D138C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01B17710" w14:textId="77777777" w:rsidTr="00E14442">
        <w:trPr>
          <w:cantSplit/>
          <w:trHeight w:val="300"/>
        </w:trPr>
        <w:tc>
          <w:tcPr>
            <w:tcW w:w="850" w:type="dxa"/>
          </w:tcPr>
          <w:p w14:paraId="6643C08C" w14:textId="77777777"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03E991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shd w:val="clear" w:color="auto" w:fill="auto"/>
          </w:tcPr>
          <w:p w14:paraId="0C850113" w14:textId="524B854F" w:rsidR="00E20AFE" w:rsidRPr="00E14442" w:rsidRDefault="47B38D5F" w:rsidP="008B168C">
            <w:pPr>
              <w:rPr>
                <w:rFonts w:ascii="Times New Roman" w:hAnsi="Times New Roman" w:cs="Times New Roman"/>
              </w:rPr>
            </w:pPr>
            <w:r w:rsidRPr="00E14442">
              <w:rPr>
                <w:rFonts w:ascii="Times New Roman" w:hAnsi="Times New Roman" w:cs="Times New Roman"/>
              </w:rPr>
              <w:t xml:space="preserve">Nuo </w:t>
            </w:r>
            <w:r w:rsidR="00E14442" w:rsidRPr="00E14442">
              <w:rPr>
                <w:rFonts w:ascii="Times New Roman" w:hAnsi="Times New Roman" w:cs="Times New Roman"/>
              </w:rPr>
              <w:t>2023-0</w:t>
            </w:r>
            <w:r w:rsidR="008B4078">
              <w:rPr>
                <w:rFonts w:ascii="Times New Roman" w:hAnsi="Times New Roman" w:cs="Times New Roman"/>
              </w:rPr>
              <w:t>9</w:t>
            </w:r>
            <w:r w:rsidR="00E14442" w:rsidRPr="00E14442">
              <w:rPr>
                <w:rFonts w:ascii="Times New Roman" w:hAnsi="Times New Roman" w:cs="Times New Roman"/>
              </w:rPr>
              <w:t>-</w:t>
            </w:r>
            <w:r w:rsidR="008B2842">
              <w:rPr>
                <w:rFonts w:ascii="Times New Roman" w:hAnsi="Times New Roman" w:cs="Times New Roman"/>
                <w:lang w:val="en-US"/>
              </w:rPr>
              <w:t>20</w:t>
            </w:r>
            <w:r w:rsidR="00E14442" w:rsidRPr="00E14442">
              <w:rPr>
                <w:rFonts w:ascii="Times New Roman" w:hAnsi="Times New Roman" w:cs="Times New Roman"/>
              </w:rPr>
              <w:t xml:space="preserve"> </w:t>
            </w:r>
            <w:r w:rsidR="00C81FDA" w:rsidRPr="00E14442">
              <w:rPr>
                <w:rFonts w:ascii="Times New Roman" w:hAnsi="Times New Roman" w:cs="Times New Roman"/>
              </w:rPr>
              <w:t>08.00</w:t>
            </w:r>
            <w:r w:rsidRPr="00E14442">
              <w:rPr>
                <w:rFonts w:ascii="Times New Roman" w:hAnsi="Times New Roman" w:cs="Times New Roman"/>
              </w:rPr>
              <w:t xml:space="preserve"> </w:t>
            </w:r>
          </w:p>
        </w:tc>
        <w:tc>
          <w:tcPr>
            <w:tcW w:w="3718" w:type="dxa"/>
            <w:gridSpan w:val="2"/>
          </w:tcPr>
          <w:p w14:paraId="6586DBF7" w14:textId="3BEDE15B" w:rsidR="00E20AFE" w:rsidRPr="00C81FDA" w:rsidRDefault="47B38D5F" w:rsidP="00E14442">
            <w:pPr>
              <w:rPr>
                <w:rFonts w:ascii="Times New Roman" w:hAnsi="Times New Roman" w:cs="Times New Roman"/>
                <w:highlight w:val="yellow"/>
              </w:rPr>
            </w:pPr>
            <w:r w:rsidRPr="00E14442">
              <w:rPr>
                <w:rFonts w:ascii="Times New Roman" w:hAnsi="Times New Roman" w:cs="Times New Roman"/>
              </w:rPr>
              <w:t xml:space="preserve">Iki </w:t>
            </w:r>
            <w:r w:rsidR="00C81FDA" w:rsidRPr="00E14442">
              <w:rPr>
                <w:rFonts w:ascii="Times New Roman" w:hAnsi="Times New Roman" w:cs="Times New Roman"/>
              </w:rPr>
              <w:t>2023-</w:t>
            </w:r>
            <w:r w:rsidR="008B4078">
              <w:rPr>
                <w:rFonts w:ascii="Times New Roman" w:hAnsi="Times New Roman" w:cs="Times New Roman"/>
              </w:rPr>
              <w:t>10</w:t>
            </w:r>
            <w:r w:rsidR="00C81FDA" w:rsidRPr="00E14442">
              <w:rPr>
                <w:rFonts w:ascii="Times New Roman" w:hAnsi="Times New Roman" w:cs="Times New Roman"/>
              </w:rPr>
              <w:t>-</w:t>
            </w:r>
            <w:r w:rsidR="008B2842">
              <w:rPr>
                <w:rFonts w:ascii="Times New Roman" w:hAnsi="Times New Roman" w:cs="Times New Roman"/>
              </w:rPr>
              <w:t>20</w:t>
            </w:r>
            <w:r w:rsidR="00C81FDA" w:rsidRPr="00E14442">
              <w:rPr>
                <w:rFonts w:ascii="Times New Roman" w:hAnsi="Times New Roman" w:cs="Times New Roman"/>
              </w:rPr>
              <w:t xml:space="preserve"> 17.00</w:t>
            </w:r>
          </w:p>
        </w:tc>
      </w:tr>
      <w:tr w:rsidR="00DC7931" w:rsidRPr="008B168C" w14:paraId="02148661" w14:textId="77777777" w:rsidTr="00E14442">
        <w:trPr>
          <w:cantSplit/>
          <w:trHeight w:val="300"/>
        </w:trPr>
        <w:tc>
          <w:tcPr>
            <w:tcW w:w="850" w:type="dxa"/>
          </w:tcPr>
          <w:p w14:paraId="10315C9C"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50BA7E33"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shd w:val="clear" w:color="auto" w:fill="auto"/>
          </w:tcPr>
          <w:p w14:paraId="1D885DD8" w14:textId="77777777" w:rsidR="00E20AFE" w:rsidRPr="00E14442" w:rsidRDefault="00E20AFE" w:rsidP="008B168C">
            <w:pPr>
              <w:rPr>
                <w:rFonts w:ascii="Times New Roman" w:hAnsi="Times New Roman" w:cs="Times New Roman"/>
              </w:rPr>
            </w:pPr>
            <w:r w:rsidRPr="00E14442">
              <w:rPr>
                <w:rFonts w:ascii="Times New Roman" w:hAnsi="Times New Roman" w:cs="Times New Roman"/>
              </w:rPr>
              <w:t>Pasirenkama iš:</w:t>
            </w:r>
          </w:p>
          <w:p w14:paraId="1384EFDA" w14:textId="77777777" w:rsidR="00E20AFE" w:rsidRPr="00E14442" w:rsidRDefault="00D138C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C81FDA" w:rsidRPr="00E14442">
                  <w:rPr>
                    <w:rFonts w:ascii="MS Gothic" w:eastAsia="MS Gothic" w:hAnsi="MS Gothic" w:cs="Times New Roman" w:hint="eastAsia"/>
                  </w:rPr>
                  <w:t>☐</w:t>
                </w:r>
              </w:sdtContent>
            </w:sdt>
            <w:r w:rsidR="641D1293" w:rsidRPr="00E14442">
              <w:rPr>
                <w:rFonts w:ascii="Times New Roman" w:hAnsi="Times New Roman" w:cs="Times New Roman"/>
              </w:rPr>
              <w:t xml:space="preserve"> </w:t>
            </w:r>
            <w:r w:rsidR="2C94EFB9" w:rsidRPr="00E14442">
              <w:rPr>
                <w:rFonts w:ascii="Times New Roman" w:hAnsi="Times New Roman" w:cs="Times New Roman"/>
              </w:rPr>
              <w:t xml:space="preserve">2021-2027 m. </w:t>
            </w:r>
            <w:r w:rsidR="641D1293" w:rsidRPr="00E14442">
              <w:rPr>
                <w:rFonts w:ascii="Times New Roman" w:hAnsi="Times New Roman" w:cs="Times New Roman"/>
              </w:rPr>
              <w:t>ES fondų investicijų programa</w:t>
            </w:r>
          </w:p>
          <w:p w14:paraId="6DF24380" w14:textId="77777777" w:rsidR="00E20AFE" w:rsidRPr="00E14442" w:rsidRDefault="00D138C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81FDA" w:rsidRPr="00E14442">
                  <w:rPr>
                    <w:rFonts w:ascii="MS Gothic" w:eastAsia="MS Gothic" w:hAnsi="MS Gothic" w:cs="Times New Roman" w:hint="eastAsia"/>
                  </w:rPr>
                  <w:t>☒</w:t>
                </w:r>
              </w:sdtContent>
            </w:sdt>
            <w:r w:rsidR="00BC1270" w:rsidRPr="00E14442">
              <w:rPr>
                <w:rFonts w:ascii="Times New Roman" w:hAnsi="Times New Roman" w:cs="Times New Roman"/>
              </w:rPr>
              <w:t xml:space="preserve"> </w:t>
            </w:r>
            <w:r w:rsidR="3182CD1D" w:rsidRPr="00E14442">
              <w:rPr>
                <w:rFonts w:ascii="Times New Roman" w:hAnsi="Times New Roman" w:cs="Times New Roman"/>
              </w:rPr>
              <w:t xml:space="preserve">Planas </w:t>
            </w:r>
            <w:r w:rsidR="02663474" w:rsidRPr="00E14442">
              <w:rPr>
                <w:rFonts w:ascii="Times New Roman" w:hAnsi="Times New Roman" w:cs="Times New Roman"/>
              </w:rPr>
              <w:t>„</w:t>
            </w:r>
            <w:r w:rsidR="4EC846E5" w:rsidRPr="00E14442">
              <w:rPr>
                <w:rFonts w:ascii="Times New Roman" w:hAnsi="Times New Roman" w:cs="Times New Roman"/>
              </w:rPr>
              <w:t>Naujos kartos Lietuva</w:t>
            </w:r>
            <w:r w:rsidR="15B735FA" w:rsidRPr="00E14442">
              <w:rPr>
                <w:rFonts w:ascii="Times New Roman" w:hAnsi="Times New Roman" w:cs="Times New Roman"/>
              </w:rPr>
              <w:t>“</w:t>
            </w:r>
          </w:p>
        </w:tc>
      </w:tr>
      <w:tr w:rsidR="00DC7931" w:rsidRPr="008B168C" w14:paraId="345D0929" w14:textId="77777777" w:rsidTr="00C81FDA">
        <w:trPr>
          <w:cantSplit/>
          <w:trHeight w:val="1360"/>
        </w:trPr>
        <w:tc>
          <w:tcPr>
            <w:tcW w:w="850" w:type="dxa"/>
          </w:tcPr>
          <w:p w14:paraId="6873FAE5"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446D2438"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2A1360F2" w14:textId="77777777" w:rsidR="00E20AFE" w:rsidRPr="00A02CA8" w:rsidRDefault="00E20AFE" w:rsidP="02235083">
            <w:pPr>
              <w:rPr>
                <w:rFonts w:ascii="Times New Roman" w:hAnsi="Times New Roman" w:cs="Times New Roman"/>
                <w:b/>
                <w:bCs/>
              </w:rPr>
            </w:pPr>
          </w:p>
          <w:p w14:paraId="447AED45" w14:textId="77777777" w:rsidR="00E20AFE" w:rsidRPr="00A02CA8" w:rsidRDefault="00E20AFE" w:rsidP="02235083">
            <w:pPr>
              <w:rPr>
                <w:rFonts w:ascii="Times New Roman" w:hAnsi="Times New Roman" w:cs="Times New Roman"/>
                <w:b/>
                <w:bCs/>
              </w:rPr>
            </w:pPr>
          </w:p>
          <w:p w14:paraId="3AED433D" w14:textId="77777777" w:rsidR="00E20AFE" w:rsidRPr="00A02CA8" w:rsidRDefault="00E20AFE" w:rsidP="02235083">
            <w:pPr>
              <w:rPr>
                <w:rFonts w:ascii="Times New Roman" w:hAnsi="Times New Roman" w:cs="Times New Roman"/>
                <w:b/>
                <w:bCs/>
              </w:rPr>
            </w:pPr>
          </w:p>
          <w:p w14:paraId="3B394677" w14:textId="77777777" w:rsidR="00E20AFE" w:rsidRPr="00A02CA8" w:rsidRDefault="00E20AFE" w:rsidP="008B168C">
            <w:pPr>
              <w:rPr>
                <w:rFonts w:ascii="Times New Roman" w:hAnsi="Times New Roman" w:cs="Times New Roman"/>
                <w:b/>
                <w:bCs/>
              </w:rPr>
            </w:pPr>
          </w:p>
        </w:tc>
        <w:tc>
          <w:tcPr>
            <w:tcW w:w="7436" w:type="dxa"/>
            <w:gridSpan w:val="5"/>
          </w:tcPr>
          <w:p w14:paraId="1F510BC3"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033D0B17"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81FD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57DF1D43"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25727E1E" w14:textId="77777777" w:rsidR="00571D7C" w:rsidRPr="008B168C" w:rsidRDefault="00E20AFE" w:rsidP="00C81FDA">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61234E6B" w14:textId="77777777" w:rsidTr="67FCC6BA">
        <w:trPr>
          <w:cantSplit/>
          <w:trHeight w:val="1408"/>
        </w:trPr>
        <w:tc>
          <w:tcPr>
            <w:tcW w:w="850" w:type="dxa"/>
          </w:tcPr>
          <w:p w14:paraId="70352F93" w14:textId="77777777" w:rsidR="00E20AFE" w:rsidRPr="00A02CA8" w:rsidDel="008A6FB2" w:rsidRDefault="00E20AFE" w:rsidP="377B9342">
            <w:pPr>
              <w:rPr>
                <w:rFonts w:ascii="Times New Roman" w:hAnsi="Times New Roman" w:cs="Times New Roman"/>
                <w:b/>
                <w:bCs/>
              </w:rPr>
            </w:pPr>
          </w:p>
          <w:p w14:paraId="436F17C2"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17EF42F9" w14:textId="77777777" w:rsidR="00E20AFE" w:rsidRPr="00A02CA8" w:rsidRDefault="00E20AFE" w:rsidP="02235083">
            <w:pPr>
              <w:rPr>
                <w:rFonts w:ascii="Times New Roman" w:hAnsi="Times New Roman" w:cs="Times New Roman"/>
                <w:b/>
                <w:bCs/>
                <w:highlight w:val="green"/>
              </w:rPr>
            </w:pPr>
          </w:p>
          <w:p w14:paraId="50E90799"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16D55AD1" w14:textId="77777777" w:rsidR="009C094C" w:rsidRPr="009C094C" w:rsidRDefault="00D138C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1209BC6D" w14:textId="77777777" w:rsidR="00B9012A" w:rsidRDefault="00D138C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1A8E536D" w14:textId="77777777" w:rsidR="00F16FC5" w:rsidRPr="009C094C" w:rsidRDefault="00D138CE"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01F58DD3" w14:textId="77777777" w:rsidTr="67FCC6BA">
        <w:trPr>
          <w:cantSplit/>
          <w:trHeight w:val="300"/>
        </w:trPr>
        <w:tc>
          <w:tcPr>
            <w:tcW w:w="850" w:type="dxa"/>
          </w:tcPr>
          <w:p w14:paraId="22844633"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4785D883"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74CFE617" w14:textId="77777777"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81FD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66BAEBA7" w14:textId="77777777"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2BEF43B4" w14:textId="77777777"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150528A9" w14:textId="77777777"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058BC054" w14:textId="77777777" w:rsidTr="67FCC6BA">
        <w:trPr>
          <w:cantSplit/>
          <w:trHeight w:val="300"/>
        </w:trPr>
        <w:tc>
          <w:tcPr>
            <w:tcW w:w="850" w:type="dxa"/>
          </w:tcPr>
          <w:p w14:paraId="444E947F"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15A39280"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3F37F21F" w14:textId="77777777" w:rsidR="00AF57CF" w:rsidRPr="008B168C" w:rsidRDefault="00D138C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81FDA">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60505CE3" w14:textId="77777777" w:rsidR="00AF57CF" w:rsidRPr="008B168C" w:rsidRDefault="00D138C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06085133" w14:textId="77777777" w:rsidR="00AF57CF" w:rsidRPr="008B168C" w:rsidRDefault="00D138C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081FD81D" w14:textId="77777777" w:rsidR="00AF57CF" w:rsidRPr="008B168C" w:rsidRDefault="00D138C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48B2880F" w14:textId="77777777" w:rsidR="00AF57CF" w:rsidRPr="008B168C" w:rsidRDefault="00D138C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041A71C8" w14:textId="77777777" w:rsidR="00AF57CF" w:rsidRPr="008B168C" w:rsidRDefault="00D138C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062E7CBC" w14:textId="77777777" w:rsidTr="67FCC6BA">
        <w:trPr>
          <w:cantSplit/>
          <w:trHeight w:val="163"/>
        </w:trPr>
        <w:tc>
          <w:tcPr>
            <w:tcW w:w="850" w:type="dxa"/>
            <w:vMerge w:val="restart"/>
          </w:tcPr>
          <w:p w14:paraId="5D5E129B"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6"/>
          </w:tcPr>
          <w:p w14:paraId="7CFCB812"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311EE086" w14:textId="77777777" w:rsidTr="67FCC6BA">
        <w:trPr>
          <w:cantSplit/>
          <w:trHeight w:val="939"/>
        </w:trPr>
        <w:tc>
          <w:tcPr>
            <w:tcW w:w="850" w:type="dxa"/>
            <w:vMerge/>
          </w:tcPr>
          <w:p w14:paraId="4073E4E1" w14:textId="77777777" w:rsidR="00AC029E" w:rsidRDefault="00AC029E" w:rsidP="00AC029E">
            <w:pPr>
              <w:rPr>
                <w:rFonts w:ascii="Times New Roman" w:hAnsi="Times New Roman" w:cs="Times New Roman"/>
              </w:rPr>
            </w:pPr>
          </w:p>
        </w:tc>
        <w:tc>
          <w:tcPr>
            <w:tcW w:w="1984" w:type="dxa"/>
          </w:tcPr>
          <w:p w14:paraId="39206880"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2B55CB65"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1568B3D1"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6CC70F65"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2BA697EB" w14:textId="77777777" w:rsidR="00AC029E" w:rsidRDefault="00D138C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535211E6" w14:textId="77777777" w:rsidTr="67FCC6BA">
        <w:trPr>
          <w:cantSplit/>
          <w:trHeight w:val="326"/>
        </w:trPr>
        <w:tc>
          <w:tcPr>
            <w:tcW w:w="850" w:type="dxa"/>
            <w:vMerge/>
          </w:tcPr>
          <w:p w14:paraId="08983978" w14:textId="77777777" w:rsidR="00AC029E" w:rsidRDefault="00AC029E" w:rsidP="00AC029E">
            <w:pPr>
              <w:rPr>
                <w:rFonts w:ascii="Times New Roman" w:hAnsi="Times New Roman" w:cs="Times New Roman"/>
              </w:rPr>
            </w:pPr>
          </w:p>
        </w:tc>
        <w:tc>
          <w:tcPr>
            <w:tcW w:w="1984" w:type="dxa"/>
          </w:tcPr>
          <w:p w14:paraId="52E15A54"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2A532906"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5359A338" w14:textId="77777777" w:rsidR="00AC029E" w:rsidRDefault="00D138C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30D78598"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572CE16C"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6FD0D7D4" w14:textId="77777777" w:rsidR="00AC029E" w:rsidRPr="008B168C" w:rsidRDefault="00D138C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39F4D9ED" w14:textId="77777777" w:rsidR="008071B6" w:rsidRPr="008B168C" w:rsidRDefault="00D138C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015920F5" w14:textId="77777777" w:rsidR="00AC029E" w:rsidRPr="008B168C" w:rsidRDefault="00AC029E" w:rsidP="00AC029E">
            <w:pPr>
              <w:rPr>
                <w:rFonts w:ascii="Times New Roman" w:hAnsi="Times New Roman" w:cs="Times New Roman"/>
              </w:rPr>
            </w:pPr>
          </w:p>
        </w:tc>
      </w:tr>
      <w:tr w:rsidR="00AC029E" w:rsidRPr="008B168C" w14:paraId="47A51AF6" w14:textId="77777777" w:rsidTr="67FCC6BA">
        <w:trPr>
          <w:cantSplit/>
          <w:trHeight w:val="1640"/>
        </w:trPr>
        <w:tc>
          <w:tcPr>
            <w:tcW w:w="850" w:type="dxa"/>
            <w:vMerge/>
          </w:tcPr>
          <w:p w14:paraId="0E85758F" w14:textId="77777777" w:rsidR="00AC029E" w:rsidRDefault="00AC029E" w:rsidP="00AC029E">
            <w:pPr>
              <w:rPr>
                <w:rFonts w:ascii="Times New Roman" w:hAnsi="Times New Roman" w:cs="Times New Roman"/>
              </w:rPr>
            </w:pPr>
          </w:p>
        </w:tc>
        <w:tc>
          <w:tcPr>
            <w:tcW w:w="1984" w:type="dxa"/>
          </w:tcPr>
          <w:p w14:paraId="30FB9517"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3E93584A"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35AEECEB"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12C3CBA4"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7C680500"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3D94DA92" w14:textId="77777777" w:rsidR="00AC029E" w:rsidRDefault="00D138C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1291D966" w14:textId="77777777" w:rsidR="008071B6" w:rsidRPr="008B168C" w:rsidRDefault="00D138C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004DE70A" w14:textId="77777777" w:rsidR="00AC029E" w:rsidRPr="002E1152" w:rsidRDefault="00AC029E" w:rsidP="00AC029E">
            <w:pPr>
              <w:rPr>
                <w:rFonts w:ascii="Times New Roman" w:hAnsi="Times New Roman" w:cs="Times New Roman"/>
                <w:i/>
                <w:iCs/>
              </w:rPr>
            </w:pPr>
          </w:p>
        </w:tc>
      </w:tr>
      <w:tr w:rsidR="00AC029E" w:rsidRPr="008B168C" w14:paraId="3984CD9E" w14:textId="77777777" w:rsidTr="67FCC6BA">
        <w:trPr>
          <w:cantSplit/>
          <w:trHeight w:val="1565"/>
        </w:trPr>
        <w:tc>
          <w:tcPr>
            <w:tcW w:w="850" w:type="dxa"/>
            <w:vMerge/>
          </w:tcPr>
          <w:p w14:paraId="24082F47" w14:textId="77777777" w:rsidR="00AC029E" w:rsidRDefault="00AC029E" w:rsidP="00AC029E">
            <w:pPr>
              <w:rPr>
                <w:rFonts w:ascii="Times New Roman" w:hAnsi="Times New Roman" w:cs="Times New Roman"/>
              </w:rPr>
            </w:pPr>
          </w:p>
        </w:tc>
        <w:tc>
          <w:tcPr>
            <w:tcW w:w="1984" w:type="dxa"/>
          </w:tcPr>
          <w:p w14:paraId="690A8BD6"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54A370C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D2B3D12"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1ED291CA"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0F2FB958"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34E618F8" w14:textId="77777777" w:rsidR="00AC029E" w:rsidRDefault="00D138C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A58BE2D" w14:textId="77777777" w:rsidR="008071B6" w:rsidRPr="008B168C" w:rsidRDefault="008071B6" w:rsidP="00AC029E">
            <w:pPr>
              <w:rPr>
                <w:rFonts w:ascii="Times New Roman" w:hAnsi="Times New Roman" w:cs="Times New Roman"/>
              </w:rPr>
            </w:pPr>
          </w:p>
        </w:tc>
      </w:tr>
      <w:tr w:rsidR="00AC029E" w:rsidRPr="008B168C" w14:paraId="0C4EF6A4" w14:textId="77777777" w:rsidTr="67FCC6BA">
        <w:trPr>
          <w:cantSplit/>
          <w:trHeight w:val="1302"/>
        </w:trPr>
        <w:tc>
          <w:tcPr>
            <w:tcW w:w="850" w:type="dxa"/>
            <w:vMerge/>
          </w:tcPr>
          <w:p w14:paraId="36D0F73F" w14:textId="77777777" w:rsidR="00AC029E" w:rsidRDefault="00AC029E" w:rsidP="00AC029E">
            <w:pPr>
              <w:rPr>
                <w:rFonts w:ascii="Times New Roman" w:hAnsi="Times New Roman" w:cs="Times New Roman"/>
              </w:rPr>
            </w:pPr>
          </w:p>
        </w:tc>
        <w:tc>
          <w:tcPr>
            <w:tcW w:w="1984" w:type="dxa"/>
          </w:tcPr>
          <w:p w14:paraId="09AA055B"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5A9C22E3"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32F34C76"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3AC91738"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1"/>
                  <w14:checkedState w14:val="2612" w14:font="MS Gothic"/>
                  <w14:uncheckedState w14:val="2610" w14:font="MS Gothic"/>
                </w14:checkbox>
              </w:sdtPr>
              <w:sdtEndPr/>
              <w:sdtContent>
                <w:r w:rsidR="00EA44B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4F8C9CB4" w14:textId="77777777" w:rsidR="00AC029E" w:rsidRDefault="00D138C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60648BAB" w14:textId="77777777" w:rsidR="008071B6" w:rsidRPr="008B168C" w:rsidRDefault="008071B6" w:rsidP="00AC029E">
            <w:pPr>
              <w:rPr>
                <w:rFonts w:ascii="Times New Roman" w:hAnsi="Times New Roman" w:cs="Times New Roman"/>
              </w:rPr>
            </w:pPr>
          </w:p>
        </w:tc>
      </w:tr>
      <w:tr w:rsidR="00AC029E" w:rsidRPr="008B168C" w14:paraId="20C8EDD0" w14:textId="77777777" w:rsidTr="67FCC6BA">
        <w:trPr>
          <w:cantSplit/>
          <w:trHeight w:val="1565"/>
        </w:trPr>
        <w:tc>
          <w:tcPr>
            <w:tcW w:w="850" w:type="dxa"/>
            <w:vMerge/>
          </w:tcPr>
          <w:p w14:paraId="4C58AB0C" w14:textId="77777777" w:rsidR="00AC029E" w:rsidRDefault="00AC029E" w:rsidP="00AC029E">
            <w:pPr>
              <w:rPr>
                <w:rFonts w:ascii="Times New Roman" w:hAnsi="Times New Roman" w:cs="Times New Roman"/>
              </w:rPr>
            </w:pPr>
          </w:p>
        </w:tc>
        <w:tc>
          <w:tcPr>
            <w:tcW w:w="1984" w:type="dxa"/>
          </w:tcPr>
          <w:p w14:paraId="00A6D16A"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1ABC921F"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4F3E7518"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2A1F0A26"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3D52FAC"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24928120"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23705F79"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290B7D4D"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38D2AC5E"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052B713D"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6EA3D187" w14:textId="77777777"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1DAA13DE" w14:textId="77777777" w:rsidR="00AC029E" w:rsidRPr="008B168C" w:rsidRDefault="00AC029E" w:rsidP="00AC029E">
            <w:pPr>
              <w:rPr>
                <w:rFonts w:ascii="Times New Roman" w:hAnsi="Times New Roman" w:cs="Times New Roman"/>
              </w:rPr>
            </w:pPr>
          </w:p>
        </w:tc>
      </w:tr>
      <w:tr w:rsidR="00AC029E" w:rsidRPr="008B168C" w14:paraId="71393F4A" w14:textId="77777777" w:rsidTr="67FCC6BA">
        <w:trPr>
          <w:cantSplit/>
          <w:trHeight w:val="840"/>
        </w:trPr>
        <w:tc>
          <w:tcPr>
            <w:tcW w:w="850" w:type="dxa"/>
            <w:vMerge/>
          </w:tcPr>
          <w:p w14:paraId="575806F3" w14:textId="77777777" w:rsidR="00AC029E" w:rsidRDefault="00AC029E" w:rsidP="00AC029E">
            <w:pPr>
              <w:rPr>
                <w:rFonts w:ascii="Times New Roman" w:hAnsi="Times New Roman" w:cs="Times New Roman"/>
              </w:rPr>
            </w:pPr>
          </w:p>
        </w:tc>
        <w:tc>
          <w:tcPr>
            <w:tcW w:w="1984" w:type="dxa"/>
          </w:tcPr>
          <w:p w14:paraId="670F6F91"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5637FEF7"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3D3D3C25"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05901F0F" w14:textId="77777777" w:rsidTr="67FCC6BA">
        <w:trPr>
          <w:cantSplit/>
          <w:trHeight w:val="2737"/>
        </w:trPr>
        <w:tc>
          <w:tcPr>
            <w:tcW w:w="850" w:type="dxa"/>
            <w:vMerge/>
          </w:tcPr>
          <w:p w14:paraId="3C3DF0A5" w14:textId="77777777" w:rsidR="00AC029E" w:rsidRDefault="00AC029E" w:rsidP="00AC029E">
            <w:pPr>
              <w:rPr>
                <w:rFonts w:ascii="Times New Roman" w:hAnsi="Times New Roman" w:cs="Times New Roman"/>
              </w:rPr>
            </w:pPr>
          </w:p>
        </w:tc>
        <w:tc>
          <w:tcPr>
            <w:tcW w:w="1984" w:type="dxa"/>
          </w:tcPr>
          <w:p w14:paraId="2F45C009"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1E4E7CC"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659D3E5F"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5C6EA45E" w14:textId="77777777" w:rsidR="00AC029E" w:rsidRDefault="00D138C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1BA48C88" w14:textId="77777777" w:rsidR="00AC029E" w:rsidRDefault="00D138C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12B003D8"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7E31B6CD" w14:textId="77777777" w:rsidTr="67FCC6BA">
        <w:trPr>
          <w:cantSplit/>
          <w:trHeight w:val="3504"/>
        </w:trPr>
        <w:tc>
          <w:tcPr>
            <w:tcW w:w="850" w:type="dxa"/>
            <w:vMerge/>
          </w:tcPr>
          <w:p w14:paraId="05042EA9" w14:textId="77777777" w:rsidR="00AC029E" w:rsidRDefault="00AC029E" w:rsidP="00AC029E">
            <w:pPr>
              <w:rPr>
                <w:rFonts w:ascii="Times New Roman" w:hAnsi="Times New Roman" w:cs="Times New Roman"/>
              </w:rPr>
            </w:pPr>
          </w:p>
        </w:tc>
        <w:tc>
          <w:tcPr>
            <w:tcW w:w="1984" w:type="dxa"/>
          </w:tcPr>
          <w:p w14:paraId="0C7EC351"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7617BD8F"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07D00D91"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53A51578"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7F35735B"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4097774C"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0DC88796"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61064B53"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49849415" w14:textId="77777777" w:rsidR="00AC029E" w:rsidRPr="008B168C" w:rsidRDefault="00D138C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3E645927" w14:textId="77777777" w:rsidTr="67FCC6BA">
        <w:trPr>
          <w:cantSplit/>
          <w:trHeight w:val="1236"/>
        </w:trPr>
        <w:tc>
          <w:tcPr>
            <w:tcW w:w="850" w:type="dxa"/>
            <w:vMerge/>
          </w:tcPr>
          <w:p w14:paraId="543EDA1F" w14:textId="77777777" w:rsidR="00AC029E" w:rsidRDefault="00AC029E" w:rsidP="00AC029E">
            <w:pPr>
              <w:rPr>
                <w:rFonts w:ascii="Times New Roman" w:hAnsi="Times New Roman" w:cs="Times New Roman"/>
              </w:rPr>
            </w:pPr>
          </w:p>
        </w:tc>
        <w:tc>
          <w:tcPr>
            <w:tcW w:w="1984" w:type="dxa"/>
          </w:tcPr>
          <w:p w14:paraId="0A42B6A6"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3C65BA8C"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25B26833"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4854301D" w14:textId="77777777" w:rsidR="00AC029E" w:rsidRDefault="00D138C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60C69C3A" w14:textId="77777777" w:rsidR="00AC029E" w:rsidRPr="008B168C" w:rsidRDefault="00AC029E" w:rsidP="00AC029E">
            <w:pPr>
              <w:rPr>
                <w:rFonts w:ascii="Times New Roman" w:hAnsi="Times New Roman" w:cs="Times New Roman"/>
              </w:rPr>
            </w:pPr>
          </w:p>
        </w:tc>
      </w:tr>
      <w:tr w:rsidR="00AC029E" w:rsidRPr="008B168C" w14:paraId="75E7B431" w14:textId="77777777" w:rsidTr="67FCC6BA">
        <w:trPr>
          <w:cantSplit/>
          <w:trHeight w:val="13298"/>
        </w:trPr>
        <w:tc>
          <w:tcPr>
            <w:tcW w:w="850" w:type="dxa"/>
            <w:vMerge/>
          </w:tcPr>
          <w:p w14:paraId="2ABCFF37" w14:textId="77777777" w:rsidR="00AC029E" w:rsidRDefault="00AC029E" w:rsidP="00AC029E">
            <w:pPr>
              <w:rPr>
                <w:rFonts w:ascii="Times New Roman" w:hAnsi="Times New Roman" w:cs="Times New Roman"/>
              </w:rPr>
            </w:pPr>
          </w:p>
        </w:tc>
        <w:tc>
          <w:tcPr>
            <w:tcW w:w="1984" w:type="dxa"/>
          </w:tcPr>
          <w:p w14:paraId="2F97B6DA"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6A4E82D0"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60FD598D"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726156F4"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1B51BB97"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29964787"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542DE50"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7157557D"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3E777F9E"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096796C2"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60F5974"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23BBE95B" w14:textId="77777777" w:rsidTr="67FCC6BA">
        <w:trPr>
          <w:cantSplit/>
          <w:trHeight w:val="1406"/>
        </w:trPr>
        <w:tc>
          <w:tcPr>
            <w:tcW w:w="850" w:type="dxa"/>
            <w:vMerge/>
          </w:tcPr>
          <w:p w14:paraId="54F8C212" w14:textId="77777777" w:rsidR="00AC029E" w:rsidRDefault="00AC029E" w:rsidP="00AC029E">
            <w:pPr>
              <w:rPr>
                <w:rFonts w:ascii="Times New Roman" w:hAnsi="Times New Roman" w:cs="Times New Roman"/>
              </w:rPr>
            </w:pPr>
          </w:p>
        </w:tc>
        <w:tc>
          <w:tcPr>
            <w:tcW w:w="1984" w:type="dxa"/>
          </w:tcPr>
          <w:p w14:paraId="663A198F"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5DF367CD"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5DE2100B" w14:textId="77777777" w:rsidR="00AC029E" w:rsidRPr="008B168C" w:rsidRDefault="00D138C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448E5767"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018C4B9F" w14:textId="77777777" w:rsidTr="67FCC6BA">
        <w:trPr>
          <w:cantSplit/>
          <w:trHeight w:val="58"/>
        </w:trPr>
        <w:tc>
          <w:tcPr>
            <w:tcW w:w="850" w:type="dxa"/>
            <w:vMerge/>
          </w:tcPr>
          <w:p w14:paraId="7AF400DA" w14:textId="77777777" w:rsidR="00AC029E" w:rsidRDefault="00AC029E" w:rsidP="00AC029E">
            <w:pPr>
              <w:rPr>
                <w:rFonts w:ascii="Times New Roman" w:hAnsi="Times New Roman" w:cs="Times New Roman"/>
              </w:rPr>
            </w:pPr>
          </w:p>
        </w:tc>
        <w:tc>
          <w:tcPr>
            <w:tcW w:w="1984" w:type="dxa"/>
          </w:tcPr>
          <w:p w14:paraId="7DD19F41"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6DD78EC0" w14:textId="77777777" w:rsidR="00AC029E" w:rsidRPr="008B168C" w:rsidRDefault="00D138C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0993D6D3" w14:textId="77777777" w:rsidTr="67FCC6BA">
        <w:trPr>
          <w:cantSplit/>
          <w:trHeight w:val="1338"/>
        </w:trPr>
        <w:tc>
          <w:tcPr>
            <w:tcW w:w="850" w:type="dxa"/>
          </w:tcPr>
          <w:p w14:paraId="7E3DCD94"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24049729"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5F27D097"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157A22C0" w14:textId="77777777" w:rsidR="007139B4" w:rsidRDefault="00D138C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EAB032" w14:textId="77777777" w:rsidTr="67FCC6BA">
        <w:trPr>
          <w:cantSplit/>
          <w:trHeight w:val="58"/>
        </w:trPr>
        <w:tc>
          <w:tcPr>
            <w:tcW w:w="850" w:type="dxa"/>
          </w:tcPr>
          <w:p w14:paraId="07A5238A" w14:textId="77777777" w:rsidR="2C4AF334" w:rsidRDefault="2C4AF334" w:rsidP="2C4AF334">
            <w:pPr>
              <w:rPr>
                <w:rFonts w:ascii="Times New Roman" w:hAnsi="Times New Roman" w:cs="Times New Roman"/>
                <w:b/>
                <w:bCs/>
              </w:rPr>
            </w:pPr>
          </w:p>
        </w:tc>
        <w:tc>
          <w:tcPr>
            <w:tcW w:w="1984" w:type="dxa"/>
          </w:tcPr>
          <w:p w14:paraId="6551122A"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232B577"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1E6878C3" w14:textId="77777777" w:rsidR="004D43A0" w:rsidRDefault="00D138C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28EDA549" w14:textId="77777777" w:rsidR="2C4AF334" w:rsidRDefault="2C4AF334" w:rsidP="2C4AF334">
            <w:pPr>
              <w:rPr>
                <w:rFonts w:ascii="Segoe UI Symbol" w:hAnsi="Segoe UI Symbol" w:cs="Segoe UI Symbol"/>
              </w:rPr>
            </w:pPr>
          </w:p>
        </w:tc>
      </w:tr>
      <w:tr w:rsidR="2C4AF334" w14:paraId="25B23D38" w14:textId="77777777" w:rsidTr="67FCC6BA">
        <w:trPr>
          <w:cantSplit/>
          <w:trHeight w:val="58"/>
        </w:trPr>
        <w:tc>
          <w:tcPr>
            <w:tcW w:w="850" w:type="dxa"/>
          </w:tcPr>
          <w:p w14:paraId="29763D5D" w14:textId="77777777" w:rsidR="2C4AF334" w:rsidRDefault="2C4AF334" w:rsidP="2C4AF334">
            <w:pPr>
              <w:rPr>
                <w:rFonts w:ascii="Times New Roman" w:hAnsi="Times New Roman" w:cs="Times New Roman"/>
                <w:b/>
                <w:bCs/>
              </w:rPr>
            </w:pPr>
          </w:p>
        </w:tc>
        <w:tc>
          <w:tcPr>
            <w:tcW w:w="1984" w:type="dxa"/>
          </w:tcPr>
          <w:p w14:paraId="381CF266"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498C162F"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1E3BEED4" w14:textId="77777777" w:rsidR="004D43A0" w:rsidRPr="009C094C" w:rsidRDefault="00D138C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7C46081D" w14:textId="77777777" w:rsidR="2C4AF334" w:rsidRPr="009C094C" w:rsidRDefault="2C4AF334" w:rsidP="2C4AF334">
            <w:pPr>
              <w:rPr>
                <w:rFonts w:ascii="Times New Roman" w:hAnsi="Times New Roman" w:cs="Times New Roman"/>
              </w:rPr>
            </w:pPr>
          </w:p>
        </w:tc>
      </w:tr>
      <w:tr w:rsidR="00AC029E" w:rsidRPr="008B168C" w14:paraId="157FA9A9" w14:textId="77777777" w:rsidTr="67FCC6BA">
        <w:trPr>
          <w:cantSplit/>
          <w:trHeight w:val="300"/>
        </w:trPr>
        <w:tc>
          <w:tcPr>
            <w:tcW w:w="850" w:type="dxa"/>
          </w:tcPr>
          <w:p w14:paraId="41E34A69"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47AA7968"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72006DC2" w14:textId="7CF237C7" w:rsidR="00FF7835" w:rsidRPr="00EA44B9" w:rsidRDefault="008B4078" w:rsidP="347B8ECA">
            <w:pPr>
              <w:spacing w:line="257" w:lineRule="auto"/>
              <w:rPr>
                <w:rFonts w:ascii="Times New Roman" w:eastAsia="Times New Roman" w:hAnsi="Times New Roman" w:cs="Times New Roman"/>
              </w:rPr>
            </w:pPr>
            <w:r>
              <w:rPr>
                <w:rFonts w:ascii="Times New Roman" w:eastAsia="Times New Roman" w:hAnsi="Times New Roman" w:cs="Times New Roman"/>
              </w:rPr>
              <w:t>605 000,00</w:t>
            </w:r>
            <w:r w:rsidR="00EA44B9">
              <w:rPr>
                <w:rFonts w:ascii="Times New Roman" w:eastAsia="Times New Roman" w:hAnsi="Times New Roman" w:cs="Times New Roman"/>
              </w:rPr>
              <w:t xml:space="preserve"> Eur.</w:t>
            </w:r>
          </w:p>
        </w:tc>
      </w:tr>
      <w:tr w:rsidR="4926D183" w14:paraId="4DBF97A0" w14:textId="77777777" w:rsidTr="67FCC6BA">
        <w:trPr>
          <w:cantSplit/>
          <w:trHeight w:val="300"/>
        </w:trPr>
        <w:tc>
          <w:tcPr>
            <w:tcW w:w="850" w:type="dxa"/>
          </w:tcPr>
          <w:p w14:paraId="5D9C6760"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5436A371"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4F291086" w14:textId="77777777" w:rsidR="00390B47" w:rsidRPr="001C6355" w:rsidRDefault="00D138C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 xml:space="preserve">Europos regioninės plėtros </w:t>
            </w:r>
            <w:r w:rsidR="3AA7B983" w:rsidRPr="001C6355">
              <w:rPr>
                <w:rFonts w:ascii="Times New Roman" w:hAnsi="Times New Roman" w:cs="Times New Roman"/>
              </w:rPr>
              <w:t>fondas</w:t>
            </w:r>
            <w:r w:rsidR="33722683" w:rsidRPr="001C6355">
              <w:rPr>
                <w:rFonts w:ascii="Times New Roman" w:hAnsi="Times New Roman" w:cs="Times New Roman"/>
              </w:rPr>
              <w:t xml:space="preserve">_______ </w:t>
            </w:r>
            <w:proofErr w:type="spellStart"/>
            <w:r w:rsidR="33722683" w:rsidRPr="001C6355">
              <w:rPr>
                <w:rFonts w:ascii="Times New Roman" w:hAnsi="Times New Roman" w:cs="Times New Roman"/>
              </w:rPr>
              <w:t>eur</w:t>
            </w:r>
            <w:proofErr w:type="spellEnd"/>
            <w:r w:rsidR="33722683" w:rsidRPr="001C6355">
              <w:rPr>
                <w:rFonts w:ascii="Times New Roman" w:hAnsi="Times New Roman" w:cs="Times New Roman"/>
              </w:rPr>
              <w:t>.</w:t>
            </w:r>
          </w:p>
          <w:p w14:paraId="756BC2C9" w14:textId="77777777" w:rsidR="009E7A2B" w:rsidRPr="001C6355" w:rsidRDefault="247A71BF" w:rsidP="009E7A2B">
            <w:pPr>
              <w:rPr>
                <w:rFonts w:ascii="Times New Roman" w:hAnsi="Times New Roman" w:cs="Times New Roman"/>
              </w:rPr>
            </w:pPr>
            <w:r w:rsidRPr="001C6355">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1C6355">
                  <w:rPr>
                    <w:rFonts w:ascii="MS Gothic" w:eastAsia="MS Gothic" w:hAnsi="MS Gothic" w:cs="Times New Roman"/>
                  </w:rPr>
                  <w:t>☐</w:t>
                </w:r>
              </w:sdtContent>
            </w:sdt>
            <w:r w:rsidR="535EA8EF" w:rsidRPr="001C6355">
              <w:rPr>
                <w:rFonts w:ascii="Times New Roman" w:hAnsi="Times New Roman" w:cs="Times New Roman"/>
              </w:rPr>
              <w:t xml:space="preserve"> </w:t>
            </w:r>
            <w:r w:rsidR="79450CC8" w:rsidRPr="001C6355">
              <w:rPr>
                <w:rFonts w:ascii="Times New Roman" w:hAnsi="Times New Roman" w:cs="Times New Roman"/>
              </w:rPr>
              <w:t xml:space="preserve">Europos socialinis fondas </w:t>
            </w:r>
            <w:r w:rsidR="7B4A9438" w:rsidRPr="001C6355">
              <w:rPr>
                <w:rFonts w:ascii="Times New Roman" w:hAnsi="Times New Roman" w:cs="Times New Roman"/>
              </w:rPr>
              <w:t>+</w:t>
            </w:r>
            <w:r w:rsidR="33722683" w:rsidRPr="001C6355">
              <w:rPr>
                <w:rFonts w:ascii="Times New Roman" w:hAnsi="Times New Roman" w:cs="Times New Roman"/>
              </w:rPr>
              <w:t>___________</w:t>
            </w:r>
            <w:proofErr w:type="spellStart"/>
            <w:r w:rsidR="06C8467B" w:rsidRPr="001C6355">
              <w:rPr>
                <w:rFonts w:ascii="Times New Roman" w:hAnsi="Times New Roman" w:cs="Times New Roman"/>
              </w:rPr>
              <w:t>eur</w:t>
            </w:r>
            <w:proofErr w:type="spellEnd"/>
            <w:r w:rsidR="06C8467B" w:rsidRPr="001C6355">
              <w:rPr>
                <w:rFonts w:ascii="Times New Roman" w:hAnsi="Times New Roman" w:cs="Times New Roman"/>
              </w:rPr>
              <w:t>.</w:t>
            </w:r>
          </w:p>
          <w:p w14:paraId="421C9E9E" w14:textId="77777777" w:rsidR="000E1E0A" w:rsidRPr="001C6355" w:rsidRDefault="0B1C3224" w:rsidP="004F4154">
            <w:pPr>
              <w:rPr>
                <w:rFonts w:ascii="Times New Roman" w:hAnsi="Times New Roman" w:cs="Times New Roman"/>
              </w:rPr>
            </w:pPr>
            <w:r w:rsidRPr="001C6355">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1C6355">
                  <w:rPr>
                    <w:rFonts w:ascii="MS Gothic" w:eastAsia="MS Gothic" w:hAnsi="MS Gothic" w:cs="Times New Roman"/>
                  </w:rPr>
                  <w:t>☐</w:t>
                </w:r>
              </w:sdtContent>
            </w:sdt>
            <w:r w:rsidR="535EA8EF" w:rsidRPr="001C6355">
              <w:rPr>
                <w:rFonts w:ascii="Times New Roman" w:hAnsi="Times New Roman" w:cs="Times New Roman"/>
              </w:rPr>
              <w:t xml:space="preserve"> </w:t>
            </w:r>
            <w:r w:rsidR="2274D272" w:rsidRPr="001C6355">
              <w:rPr>
                <w:rFonts w:ascii="Times New Roman" w:hAnsi="Times New Roman" w:cs="Times New Roman"/>
              </w:rPr>
              <w:t>Sanglaudos fondas</w:t>
            </w:r>
            <w:r w:rsidR="33722683" w:rsidRPr="001C6355">
              <w:rPr>
                <w:rFonts w:ascii="Times New Roman" w:hAnsi="Times New Roman" w:cs="Times New Roman"/>
              </w:rPr>
              <w:t>____________</w:t>
            </w:r>
            <w:proofErr w:type="spellStart"/>
            <w:r w:rsidR="06C8467B" w:rsidRPr="001C6355">
              <w:rPr>
                <w:rFonts w:ascii="Times New Roman" w:hAnsi="Times New Roman" w:cs="Times New Roman"/>
              </w:rPr>
              <w:t>eur</w:t>
            </w:r>
            <w:proofErr w:type="spellEnd"/>
            <w:r w:rsidR="06C8467B" w:rsidRPr="001C6355">
              <w:rPr>
                <w:rFonts w:ascii="Times New Roman" w:hAnsi="Times New Roman" w:cs="Times New Roman"/>
              </w:rPr>
              <w:t>.</w:t>
            </w:r>
          </w:p>
          <w:p w14:paraId="5EFDE824" w14:textId="77777777" w:rsidR="004F4154" w:rsidRPr="00FF7835" w:rsidRDefault="2274D272" w:rsidP="009C094C">
            <w:pPr>
              <w:rPr>
                <w:rFonts w:ascii="Times New Roman" w:hAnsi="Times New Roman" w:cs="Times New Roman"/>
              </w:rPr>
            </w:pPr>
            <w:r w:rsidRPr="001C6355">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1C6355">
                  <w:rPr>
                    <w:rFonts w:ascii="MS Gothic" w:eastAsia="MS Gothic" w:hAnsi="MS Gothic" w:cs="Times New Roman"/>
                  </w:rPr>
                  <w:t>☐</w:t>
                </w:r>
              </w:sdtContent>
            </w:sdt>
            <w:r w:rsidR="535EA8EF" w:rsidRPr="001C6355">
              <w:rPr>
                <w:rFonts w:ascii="Times New Roman" w:hAnsi="Times New Roman" w:cs="Times New Roman"/>
              </w:rPr>
              <w:t xml:space="preserve"> </w:t>
            </w:r>
            <w:r w:rsidR="16C7FBB6" w:rsidRPr="001C6355">
              <w:rPr>
                <w:rFonts w:ascii="Times New Roman" w:hAnsi="Times New Roman" w:cs="Times New Roman"/>
              </w:rPr>
              <w:t>Teisin</w:t>
            </w:r>
            <w:r w:rsidR="7A8907E7" w:rsidRPr="001C6355">
              <w:rPr>
                <w:rFonts w:ascii="Times New Roman" w:hAnsi="Times New Roman" w:cs="Times New Roman"/>
              </w:rPr>
              <w:t>gos</w:t>
            </w:r>
            <w:r w:rsidR="0D91793B" w:rsidRPr="001C6355">
              <w:rPr>
                <w:rFonts w:ascii="Times New Roman" w:hAnsi="Times New Roman" w:cs="Times New Roman"/>
              </w:rPr>
              <w:t xml:space="preserve"> pertvarkos fondas</w:t>
            </w:r>
            <w:r w:rsidR="33722683" w:rsidRPr="001C6355">
              <w:rPr>
                <w:rFonts w:ascii="Times New Roman" w:hAnsi="Times New Roman" w:cs="Times New Roman"/>
              </w:rPr>
              <w:t>_____________</w:t>
            </w:r>
            <w:proofErr w:type="spellStart"/>
            <w:r w:rsidR="06C8467B" w:rsidRPr="001C6355">
              <w:rPr>
                <w:rFonts w:ascii="Times New Roman" w:hAnsi="Times New Roman" w:cs="Times New Roman"/>
              </w:rPr>
              <w:t>eur</w:t>
            </w:r>
            <w:proofErr w:type="spellEnd"/>
            <w:r w:rsidR="06C8467B" w:rsidRPr="001C6355">
              <w:rPr>
                <w:rFonts w:ascii="Times New Roman" w:hAnsi="Times New Roman" w:cs="Times New Roman"/>
              </w:rPr>
              <w:t>.</w:t>
            </w:r>
          </w:p>
        </w:tc>
      </w:tr>
      <w:tr w:rsidR="4926D183" w14:paraId="49F59CD7" w14:textId="77777777" w:rsidTr="67FCC6BA">
        <w:trPr>
          <w:cantSplit/>
          <w:trHeight w:val="300"/>
        </w:trPr>
        <w:tc>
          <w:tcPr>
            <w:tcW w:w="850" w:type="dxa"/>
          </w:tcPr>
          <w:p w14:paraId="4A28BA34"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177C3802" w14:textId="77777777"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137D5369" w14:textId="0027F5FF" w:rsidR="4DC97C98" w:rsidRPr="001C6355" w:rsidRDefault="001C6355" w:rsidP="009C094C">
            <w:pPr>
              <w:rPr>
                <w:rFonts w:ascii="Times New Roman" w:eastAsia="Times New Roman" w:hAnsi="Times New Roman" w:cs="Times New Roman"/>
              </w:rPr>
            </w:pPr>
            <w:r w:rsidRPr="001C6355">
              <w:rPr>
                <w:rFonts w:ascii="Times New Roman" w:eastAsia="Times New Roman" w:hAnsi="Times New Roman" w:cs="Times New Roman"/>
              </w:rPr>
              <w:t>500 000,00 Eur.</w:t>
            </w:r>
          </w:p>
        </w:tc>
      </w:tr>
      <w:tr w:rsidR="4926D183" w14:paraId="02F41336" w14:textId="77777777" w:rsidTr="67FCC6BA">
        <w:trPr>
          <w:cantSplit/>
          <w:trHeight w:val="300"/>
        </w:trPr>
        <w:tc>
          <w:tcPr>
            <w:tcW w:w="850" w:type="dxa"/>
          </w:tcPr>
          <w:p w14:paraId="6E8EB8B2"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745087A3" w14:textId="77777777"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50706589" w14:textId="77777777" w:rsidR="0C6E61CA" w:rsidRPr="001C6355" w:rsidRDefault="001C6355" w:rsidP="4926D183">
            <w:pPr>
              <w:spacing w:line="257" w:lineRule="auto"/>
              <w:rPr>
                <w:rFonts w:ascii="Times New Roman" w:eastAsia="Times New Roman" w:hAnsi="Times New Roman" w:cs="Times New Roman"/>
                <w:iCs/>
              </w:rPr>
            </w:pPr>
            <w:r w:rsidRPr="001C6355">
              <w:rPr>
                <w:rFonts w:ascii="Times New Roman" w:eastAsia="Times New Roman" w:hAnsi="Times New Roman" w:cs="Times New Roman"/>
                <w:iCs/>
              </w:rPr>
              <w:t>0</w:t>
            </w:r>
          </w:p>
        </w:tc>
      </w:tr>
      <w:tr w:rsidR="4926D183" w14:paraId="370D774F" w14:textId="77777777" w:rsidTr="67FCC6BA">
        <w:trPr>
          <w:cantSplit/>
          <w:trHeight w:val="300"/>
        </w:trPr>
        <w:tc>
          <w:tcPr>
            <w:tcW w:w="850" w:type="dxa"/>
          </w:tcPr>
          <w:p w14:paraId="6891BB4F" w14:textId="77777777"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39CBA47D" w14:textId="77777777"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54721145" w14:textId="77777777" w:rsidR="7809CF08" w:rsidRPr="001C6355" w:rsidRDefault="001C6355" w:rsidP="4926D183">
            <w:pPr>
              <w:spacing w:line="257" w:lineRule="auto"/>
              <w:rPr>
                <w:rFonts w:ascii="Times New Roman" w:eastAsia="Times New Roman" w:hAnsi="Times New Roman" w:cs="Times New Roman"/>
                <w:iCs/>
              </w:rPr>
            </w:pPr>
            <w:r w:rsidRPr="001C6355">
              <w:rPr>
                <w:rFonts w:ascii="Times New Roman" w:eastAsia="Times New Roman" w:hAnsi="Times New Roman" w:cs="Times New Roman"/>
                <w:iCs/>
              </w:rPr>
              <w:t>0</w:t>
            </w:r>
          </w:p>
        </w:tc>
      </w:tr>
      <w:tr w:rsidR="6E319D59" w14:paraId="2B038332" w14:textId="77777777" w:rsidTr="67FCC6BA">
        <w:trPr>
          <w:cantSplit/>
          <w:trHeight w:val="300"/>
        </w:trPr>
        <w:tc>
          <w:tcPr>
            <w:tcW w:w="850" w:type="dxa"/>
          </w:tcPr>
          <w:p w14:paraId="1AA6D31D"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0CFDC8F8"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7F1385DE" w14:textId="77777777" w:rsidR="5C52ABD5" w:rsidRPr="001C6355" w:rsidRDefault="001C6355" w:rsidP="6E319D59">
            <w:pPr>
              <w:spacing w:line="257" w:lineRule="auto"/>
              <w:rPr>
                <w:rFonts w:ascii="Times New Roman" w:eastAsia="Times New Roman" w:hAnsi="Times New Roman" w:cs="Times New Roman"/>
                <w:iCs/>
              </w:rPr>
            </w:pPr>
            <w:r w:rsidRPr="001C6355">
              <w:rPr>
                <w:rFonts w:ascii="Times New Roman" w:eastAsia="Times New Roman" w:hAnsi="Times New Roman" w:cs="Times New Roman"/>
                <w:iCs/>
              </w:rPr>
              <w:t>0</w:t>
            </w:r>
          </w:p>
        </w:tc>
      </w:tr>
      <w:tr w:rsidR="4926D183" w14:paraId="27B062DC" w14:textId="77777777" w:rsidTr="67FCC6BA">
        <w:trPr>
          <w:cantSplit/>
          <w:trHeight w:val="300"/>
        </w:trPr>
        <w:tc>
          <w:tcPr>
            <w:tcW w:w="850" w:type="dxa"/>
          </w:tcPr>
          <w:p w14:paraId="40CCDE38"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0E75E802"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5C524A26" w14:textId="6681F05C" w:rsidR="72276AC6" w:rsidRPr="00FE1329" w:rsidRDefault="00B616A8" w:rsidP="00BF5F79">
            <w:pPr>
              <w:rPr>
                <w:rFonts w:ascii="Times New Roman" w:eastAsia="Times New Roman" w:hAnsi="Times New Roman" w:cs="Times New Roman"/>
              </w:rPr>
            </w:pPr>
            <w:r>
              <w:rPr>
                <w:rFonts w:ascii="Times New Roman" w:eastAsia="Times New Roman" w:hAnsi="Times New Roman" w:cs="Times New Roman"/>
              </w:rPr>
              <w:t>105 000</w:t>
            </w:r>
            <w:r w:rsidR="00FE1329" w:rsidRPr="00FE1329">
              <w:rPr>
                <w:rFonts w:ascii="Times New Roman" w:eastAsia="Times New Roman" w:hAnsi="Times New Roman" w:cs="Times New Roman"/>
              </w:rPr>
              <w:t>,00 Eur.</w:t>
            </w:r>
          </w:p>
          <w:p w14:paraId="5BF38133" w14:textId="77777777" w:rsidR="4926D183" w:rsidRDefault="4926D183" w:rsidP="009C094C">
            <w:pPr>
              <w:rPr>
                <w:rFonts w:ascii="Times New Roman" w:hAnsi="Times New Roman" w:cs="Times New Roman"/>
                <w:i/>
                <w:iCs/>
              </w:rPr>
            </w:pPr>
          </w:p>
        </w:tc>
      </w:tr>
      <w:tr w:rsidR="00395C6D" w14:paraId="5E8FB5AC" w14:textId="77777777" w:rsidTr="67FCC6BA">
        <w:trPr>
          <w:cantSplit/>
          <w:trHeight w:val="300"/>
        </w:trPr>
        <w:tc>
          <w:tcPr>
            <w:tcW w:w="850" w:type="dxa"/>
          </w:tcPr>
          <w:p w14:paraId="34CD69E4" w14:textId="77777777" w:rsidR="00395C6D" w:rsidRPr="00D138CE" w:rsidRDefault="007C5938" w:rsidP="00BF5F79">
            <w:pPr>
              <w:rPr>
                <w:rFonts w:ascii="Times New Roman" w:hAnsi="Times New Roman" w:cs="Times New Roman"/>
                <w:b/>
                <w:bCs/>
              </w:rPr>
            </w:pPr>
            <w:r w:rsidRPr="00D138CE">
              <w:rPr>
                <w:rFonts w:ascii="Times New Roman" w:hAnsi="Times New Roman" w:cs="Times New Roman"/>
                <w:b/>
                <w:bCs/>
              </w:rPr>
              <w:t>2</w:t>
            </w:r>
            <w:r w:rsidR="6E25E853" w:rsidRPr="00D138CE">
              <w:rPr>
                <w:rFonts w:ascii="Times New Roman" w:hAnsi="Times New Roman" w:cs="Times New Roman"/>
                <w:b/>
                <w:bCs/>
              </w:rPr>
              <w:t>.</w:t>
            </w:r>
            <w:r w:rsidR="421E418B" w:rsidRPr="00D138CE">
              <w:rPr>
                <w:rFonts w:ascii="Times New Roman" w:hAnsi="Times New Roman" w:cs="Times New Roman"/>
                <w:b/>
                <w:bCs/>
              </w:rPr>
              <w:t>11</w:t>
            </w:r>
            <w:r w:rsidR="00184469" w:rsidRPr="00D138CE" w:rsidDel="6E25E853">
              <w:rPr>
                <w:rFonts w:ascii="Times New Roman" w:hAnsi="Times New Roman" w:cs="Times New Roman"/>
                <w:b/>
                <w:bCs/>
              </w:rPr>
              <w:t>.</w:t>
            </w:r>
          </w:p>
        </w:tc>
        <w:tc>
          <w:tcPr>
            <w:tcW w:w="1984" w:type="dxa"/>
          </w:tcPr>
          <w:p w14:paraId="47640CBF" w14:textId="77777777" w:rsidR="00395C6D" w:rsidRPr="00D138CE" w:rsidRDefault="20961786" w:rsidP="6E319D59">
            <w:pPr>
              <w:rPr>
                <w:rFonts w:ascii="Times New Roman" w:eastAsia="Times New Roman" w:hAnsi="Times New Roman" w:cs="Times New Roman"/>
                <w:b/>
                <w:bCs/>
              </w:rPr>
            </w:pPr>
            <w:r w:rsidRPr="00D138CE">
              <w:rPr>
                <w:rFonts w:ascii="Times New Roman" w:eastAsia="Times New Roman" w:hAnsi="Times New Roman" w:cs="Times New Roman"/>
                <w:b/>
                <w:bCs/>
              </w:rPr>
              <w:t>Nuosav</w:t>
            </w:r>
            <w:r w:rsidR="70175C8E" w:rsidRPr="00D138CE">
              <w:rPr>
                <w:rFonts w:ascii="Times New Roman" w:eastAsia="Times New Roman" w:hAnsi="Times New Roman" w:cs="Times New Roman"/>
                <w:b/>
                <w:bCs/>
              </w:rPr>
              <w:t>o</w:t>
            </w:r>
            <w:r w:rsidRPr="00D138CE">
              <w:rPr>
                <w:rFonts w:ascii="Times New Roman" w:eastAsia="Times New Roman" w:hAnsi="Times New Roman" w:cs="Times New Roman"/>
                <w:b/>
                <w:bCs/>
              </w:rPr>
              <w:t xml:space="preserve"> įnaš</w:t>
            </w:r>
            <w:r w:rsidR="5CDB7D61" w:rsidRPr="00D138CE">
              <w:rPr>
                <w:rFonts w:ascii="Times New Roman" w:eastAsia="Times New Roman" w:hAnsi="Times New Roman" w:cs="Times New Roman"/>
                <w:b/>
                <w:bCs/>
              </w:rPr>
              <w:t>o</w:t>
            </w:r>
          </w:p>
          <w:p w14:paraId="6449C8B6" w14:textId="77777777" w:rsidR="00395C6D" w:rsidRPr="00D138CE" w:rsidRDefault="07CD5129" w:rsidP="00BF5F79">
            <w:pPr>
              <w:rPr>
                <w:rFonts w:ascii="Times New Roman" w:eastAsia="Times New Roman" w:hAnsi="Times New Roman" w:cs="Times New Roman"/>
                <w:b/>
                <w:bCs/>
              </w:rPr>
            </w:pPr>
            <w:r w:rsidRPr="00D138CE">
              <w:rPr>
                <w:rFonts w:ascii="Times New Roman" w:eastAsia="Times New Roman" w:hAnsi="Times New Roman" w:cs="Times New Roman"/>
                <w:b/>
                <w:bCs/>
              </w:rPr>
              <w:t>dydis</w:t>
            </w:r>
          </w:p>
        </w:tc>
        <w:tc>
          <w:tcPr>
            <w:tcW w:w="7436" w:type="dxa"/>
            <w:gridSpan w:val="5"/>
          </w:tcPr>
          <w:p w14:paraId="7DA5D956" w14:textId="77777777" w:rsidR="00395C6D" w:rsidRPr="00FE1329" w:rsidRDefault="00FE1329" w:rsidP="00F62A6E">
            <w:pPr>
              <w:spacing w:line="257" w:lineRule="auto"/>
              <w:jc w:val="both"/>
              <w:rPr>
                <w:rFonts w:ascii="Times New Roman" w:eastAsia="Times New Roman" w:hAnsi="Times New Roman" w:cs="Times New Roman"/>
              </w:rPr>
            </w:pPr>
            <w:r w:rsidRPr="00D138CE">
              <w:rPr>
                <w:rFonts w:ascii="Times New Roman" w:eastAsia="Times New Roman" w:hAnsi="Times New Roman" w:cs="Times New Roman"/>
              </w:rPr>
              <w:t>-</w:t>
            </w:r>
          </w:p>
        </w:tc>
      </w:tr>
      <w:tr w:rsidR="00AC029E" w:rsidRPr="008B168C" w14:paraId="2F794186" w14:textId="77777777" w:rsidTr="67FCC6BA">
        <w:trPr>
          <w:cantSplit/>
          <w:trHeight w:val="300"/>
        </w:trPr>
        <w:tc>
          <w:tcPr>
            <w:tcW w:w="850" w:type="dxa"/>
          </w:tcPr>
          <w:p w14:paraId="4A396405"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16BEFA2C" w14:textId="77777777"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0E220559" w:rsidRPr="00FE1329">
              <w:rPr>
                <w:rFonts w:ascii="Times New Roman" w:hAnsi="Times New Roman" w:cs="Times New Roman"/>
                <w:b/>
                <w:bCs/>
              </w:rPr>
              <w:t>projektui</w:t>
            </w:r>
            <w:r w:rsidR="6A3C6EBE" w:rsidRPr="00FE1329">
              <w:rPr>
                <w:rFonts w:ascii="Times New Roman" w:hAnsi="Times New Roman" w:cs="Times New Roman"/>
                <w:b/>
                <w:bCs/>
              </w:rPr>
              <w:t xml:space="preserve"> ir (arba) projekto veiklai </w:t>
            </w:r>
            <w:r w:rsidRPr="00FE1329">
              <w:rPr>
                <w:rFonts w:ascii="Times New Roman" w:hAnsi="Times New Roman" w:cs="Times New Roman"/>
                <w:b/>
                <w:bCs/>
              </w:rPr>
              <w:t>įgyvendinti</w:t>
            </w:r>
            <w:r w:rsidR="0E220559" w:rsidRPr="00FE1329">
              <w:rPr>
                <w:rFonts w:ascii="Times New Roman" w:hAnsi="Times New Roman" w:cs="Times New Roman"/>
                <w:b/>
                <w:bCs/>
              </w:rPr>
              <w:t xml:space="preserve"> (eurais)</w:t>
            </w:r>
            <w:r w:rsidR="0E220559" w:rsidRPr="67FCC6BA">
              <w:rPr>
                <w:rFonts w:ascii="Times New Roman" w:hAnsi="Times New Roman" w:cs="Times New Roman"/>
                <w:b/>
                <w:bCs/>
              </w:rPr>
              <w:t xml:space="preserve"> </w:t>
            </w:r>
          </w:p>
        </w:tc>
        <w:tc>
          <w:tcPr>
            <w:tcW w:w="7436" w:type="dxa"/>
            <w:gridSpan w:val="5"/>
          </w:tcPr>
          <w:p w14:paraId="3790221B" w14:textId="22440FA5" w:rsidR="00AC029E" w:rsidRPr="00FE1329" w:rsidRDefault="00B616A8" w:rsidP="00FE1329">
            <w:pPr>
              <w:rPr>
                <w:rFonts w:ascii="Times New Roman" w:hAnsi="Times New Roman" w:cs="Times New Roman"/>
              </w:rPr>
            </w:pPr>
            <w:r>
              <w:rPr>
                <w:rFonts w:ascii="Times New Roman" w:eastAsia="Times New Roman" w:hAnsi="Times New Roman" w:cs="Times New Roman"/>
              </w:rPr>
              <w:t xml:space="preserve">605 000,00 </w:t>
            </w:r>
            <w:r w:rsidR="00FE1329" w:rsidRPr="00FE1329">
              <w:rPr>
                <w:rFonts w:ascii="Times New Roman" w:hAnsi="Times New Roman" w:cs="Times New Roman"/>
              </w:rPr>
              <w:t>Eur.</w:t>
            </w:r>
          </w:p>
        </w:tc>
      </w:tr>
      <w:tr w:rsidR="00AC029E" w:rsidRPr="008B168C" w14:paraId="0D8AFEEA" w14:textId="77777777" w:rsidTr="67FCC6BA">
        <w:trPr>
          <w:cantSplit/>
          <w:trHeight w:val="350"/>
        </w:trPr>
        <w:tc>
          <w:tcPr>
            <w:tcW w:w="850" w:type="dxa"/>
          </w:tcPr>
          <w:p w14:paraId="59D371BE"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6"/>
          </w:tcPr>
          <w:p w14:paraId="1FBF6B7B" w14:textId="77777777"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30A5E352" w14:textId="77777777" w:rsidTr="67FCC6BA">
        <w:trPr>
          <w:cantSplit/>
          <w:trHeight w:val="300"/>
        </w:trPr>
        <w:tc>
          <w:tcPr>
            <w:tcW w:w="850" w:type="dxa"/>
          </w:tcPr>
          <w:p w14:paraId="28621773"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6"/>
          </w:tcPr>
          <w:p w14:paraId="562A5258" w14:textId="77777777"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355CA914" w14:textId="77777777" w:rsidTr="008B2842">
        <w:trPr>
          <w:cantSplit/>
          <w:trHeight w:val="300"/>
        </w:trPr>
        <w:tc>
          <w:tcPr>
            <w:tcW w:w="850" w:type="dxa"/>
          </w:tcPr>
          <w:p w14:paraId="670E8319" w14:textId="77777777" w:rsidR="00192BFE" w:rsidRPr="00B52EB3" w:rsidRDefault="00192BFE" w:rsidP="00AC029E">
            <w:pPr>
              <w:rPr>
                <w:rFonts w:ascii="Times New Roman" w:hAnsi="Times New Roman" w:cs="Times New Roman"/>
              </w:rPr>
            </w:pPr>
          </w:p>
        </w:tc>
        <w:tc>
          <w:tcPr>
            <w:tcW w:w="1984" w:type="dxa"/>
            <w:shd w:val="clear" w:color="auto" w:fill="auto"/>
          </w:tcPr>
          <w:p w14:paraId="32C84CC5" w14:textId="77777777" w:rsidR="00192BFE" w:rsidRPr="00B616A8" w:rsidRDefault="00FE1329" w:rsidP="545FE871">
            <w:pPr>
              <w:spacing w:after="160" w:line="259" w:lineRule="auto"/>
              <w:rPr>
                <w:rFonts w:ascii="Times New Roman" w:hAnsi="Times New Roman" w:cs="Times New Roman"/>
                <w:highlight w:val="yellow"/>
              </w:rPr>
            </w:pPr>
            <w:r w:rsidRPr="00D138CE">
              <w:rPr>
                <w:rFonts w:ascii="Times New Roman" w:hAnsi="Times New Roman" w:cs="Times New Roman"/>
              </w:rPr>
              <w:t>05-001-01-05-07</w:t>
            </w:r>
          </w:p>
        </w:tc>
        <w:tc>
          <w:tcPr>
            <w:tcW w:w="7436" w:type="dxa"/>
            <w:gridSpan w:val="5"/>
            <w:shd w:val="clear" w:color="auto" w:fill="auto"/>
          </w:tcPr>
          <w:p w14:paraId="4935F09E" w14:textId="1325ABAC" w:rsidR="00192BFE" w:rsidRPr="00FE1329" w:rsidRDefault="00B616A8" w:rsidP="008F62D3">
            <w:pPr>
              <w:jc w:val="both"/>
              <w:rPr>
                <w:rFonts w:ascii="Times New Roman" w:hAnsi="Times New Roman" w:cs="Times New Roman"/>
                <w:highlight w:val="yellow"/>
              </w:rPr>
            </w:pPr>
            <w:proofErr w:type="spellStart"/>
            <w:r>
              <w:rPr>
                <w:rFonts w:ascii="Times New Roman" w:hAnsi="Times New Roman" w:cs="Times New Roman"/>
              </w:rPr>
              <w:t>S</w:t>
            </w:r>
            <w:r w:rsidRPr="00B616A8">
              <w:rPr>
                <w:rFonts w:ascii="Times New Roman" w:hAnsi="Times New Roman" w:cs="Times New Roman"/>
              </w:rPr>
              <w:t>tartuolių</w:t>
            </w:r>
            <w:proofErr w:type="spellEnd"/>
            <w:r w:rsidRPr="00B616A8">
              <w:rPr>
                <w:rFonts w:ascii="Times New Roman" w:hAnsi="Times New Roman" w:cs="Times New Roman"/>
              </w:rPr>
              <w:t xml:space="preserve"> ekosistemos plėtros skatinimas, pagal veiklą vykdoma </w:t>
            </w:r>
            <w:proofErr w:type="spellStart"/>
            <w:r w:rsidRPr="00B616A8">
              <w:rPr>
                <w:rFonts w:ascii="Times New Roman" w:hAnsi="Times New Roman" w:cs="Times New Roman"/>
              </w:rPr>
              <w:t>poveiklė</w:t>
            </w:r>
            <w:proofErr w:type="spellEnd"/>
            <w:r w:rsidRPr="00B616A8">
              <w:rPr>
                <w:rFonts w:ascii="Times New Roman" w:hAnsi="Times New Roman" w:cs="Times New Roman"/>
              </w:rPr>
              <w:t xml:space="preserve"> – </w:t>
            </w:r>
            <w:proofErr w:type="spellStart"/>
            <w:r w:rsidRPr="00B616A8">
              <w:rPr>
                <w:rFonts w:ascii="Times New Roman" w:hAnsi="Times New Roman" w:cs="Times New Roman"/>
              </w:rPr>
              <w:t>startuolių</w:t>
            </w:r>
            <w:proofErr w:type="spellEnd"/>
            <w:r w:rsidRPr="00B616A8">
              <w:rPr>
                <w:rFonts w:ascii="Times New Roman" w:hAnsi="Times New Roman" w:cs="Times New Roman"/>
              </w:rPr>
              <w:t xml:space="preserve"> </w:t>
            </w:r>
            <w:proofErr w:type="spellStart"/>
            <w:r w:rsidRPr="00B616A8">
              <w:rPr>
                <w:rFonts w:ascii="Times New Roman" w:hAnsi="Times New Roman" w:cs="Times New Roman"/>
              </w:rPr>
              <w:t>inkubavimo</w:t>
            </w:r>
            <w:proofErr w:type="spellEnd"/>
            <w:r w:rsidRPr="00B616A8">
              <w:rPr>
                <w:rFonts w:ascii="Times New Roman" w:hAnsi="Times New Roman" w:cs="Times New Roman"/>
              </w:rPr>
              <w:t xml:space="preserve"> veikla Europos kosmoso agentūros verslo </w:t>
            </w:r>
            <w:proofErr w:type="spellStart"/>
            <w:r w:rsidRPr="00B616A8">
              <w:rPr>
                <w:rFonts w:ascii="Times New Roman" w:hAnsi="Times New Roman" w:cs="Times New Roman"/>
              </w:rPr>
              <w:t>inkubavimo</w:t>
            </w:r>
            <w:proofErr w:type="spellEnd"/>
            <w:r w:rsidRPr="00B616A8">
              <w:rPr>
                <w:rFonts w:ascii="Times New Roman" w:hAnsi="Times New Roman" w:cs="Times New Roman"/>
              </w:rPr>
              <w:t xml:space="preserve"> centre</w:t>
            </w:r>
            <w:r>
              <w:rPr>
                <w:rFonts w:ascii="Times New Roman" w:hAnsi="Times New Roman" w:cs="Times New Roman"/>
              </w:rPr>
              <w:t>.</w:t>
            </w:r>
          </w:p>
        </w:tc>
      </w:tr>
      <w:tr w:rsidR="00AC029E" w:rsidRPr="008B168C" w14:paraId="582071C2" w14:textId="77777777" w:rsidTr="008B2842">
        <w:trPr>
          <w:cantSplit/>
          <w:trHeight w:val="300"/>
        </w:trPr>
        <w:tc>
          <w:tcPr>
            <w:tcW w:w="850" w:type="dxa"/>
          </w:tcPr>
          <w:p w14:paraId="3ECF2946"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shd w:val="clear" w:color="auto" w:fill="auto"/>
          </w:tcPr>
          <w:p w14:paraId="2C6F476F"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shd w:val="clear" w:color="auto" w:fill="auto"/>
          </w:tcPr>
          <w:p w14:paraId="44144178" w14:textId="3D5CE6B9" w:rsidR="00AC029E" w:rsidRPr="00FE1329" w:rsidRDefault="00B616A8" w:rsidP="2327CC7F">
            <w:pPr>
              <w:rPr>
                <w:rFonts w:ascii="Times New Roman" w:hAnsi="Times New Roman" w:cs="Times New Roman"/>
              </w:rPr>
            </w:pPr>
            <w:r w:rsidRPr="00B616A8">
              <w:rPr>
                <w:rFonts w:ascii="Times New Roman" w:hAnsi="Times New Roman" w:cs="Times New Roman"/>
              </w:rPr>
              <w:t xml:space="preserve">MVĮ, turinčios susitarimą dėl </w:t>
            </w:r>
            <w:proofErr w:type="spellStart"/>
            <w:r w:rsidRPr="00B616A8">
              <w:rPr>
                <w:rFonts w:ascii="Times New Roman" w:hAnsi="Times New Roman" w:cs="Times New Roman"/>
              </w:rPr>
              <w:t>inkubavimo</w:t>
            </w:r>
            <w:proofErr w:type="spellEnd"/>
            <w:r w:rsidRPr="00B616A8">
              <w:rPr>
                <w:rFonts w:ascii="Times New Roman" w:hAnsi="Times New Roman" w:cs="Times New Roman"/>
              </w:rPr>
              <w:t xml:space="preserve"> su EKA Centru.</w:t>
            </w:r>
          </w:p>
        </w:tc>
      </w:tr>
      <w:tr w:rsidR="00AC029E" w:rsidRPr="008B168C" w14:paraId="5294D1FF" w14:textId="77777777" w:rsidTr="008B2842">
        <w:trPr>
          <w:cantSplit/>
          <w:trHeight w:val="300"/>
        </w:trPr>
        <w:tc>
          <w:tcPr>
            <w:tcW w:w="850" w:type="dxa"/>
          </w:tcPr>
          <w:p w14:paraId="6FB8FF28"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shd w:val="clear" w:color="auto" w:fill="auto"/>
          </w:tcPr>
          <w:p w14:paraId="2721A003"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5"/>
            <w:shd w:val="clear" w:color="auto" w:fill="auto"/>
          </w:tcPr>
          <w:p w14:paraId="50045DF1" w14:textId="1DC70084" w:rsidR="00AC029E" w:rsidRPr="00FE1329" w:rsidRDefault="00B616A8" w:rsidP="00AC029E">
            <w:pPr>
              <w:rPr>
                <w:rFonts w:ascii="Times New Roman" w:hAnsi="Times New Roman" w:cs="Times New Roman"/>
              </w:rPr>
            </w:pPr>
            <w:r w:rsidRPr="00B616A8">
              <w:rPr>
                <w:rFonts w:ascii="Times New Roman" w:hAnsi="Times New Roman" w:cs="Times New Roman"/>
              </w:rPr>
              <w:t xml:space="preserve">Mokslo ir technologijų parkai, turintys susitarimą su EKA dėl verslo </w:t>
            </w:r>
            <w:proofErr w:type="spellStart"/>
            <w:r w:rsidRPr="00B616A8">
              <w:rPr>
                <w:rFonts w:ascii="Times New Roman" w:hAnsi="Times New Roman" w:cs="Times New Roman"/>
              </w:rPr>
              <w:t>inkubavimo</w:t>
            </w:r>
            <w:proofErr w:type="spellEnd"/>
            <w:r w:rsidRPr="00B616A8">
              <w:rPr>
                <w:rFonts w:ascii="Times New Roman" w:hAnsi="Times New Roman" w:cs="Times New Roman"/>
              </w:rPr>
              <w:t xml:space="preserve"> centro veiklos vykdymo</w:t>
            </w:r>
            <w:r>
              <w:rPr>
                <w:rFonts w:ascii="Times New Roman" w:hAnsi="Times New Roman" w:cs="Times New Roman"/>
              </w:rPr>
              <w:t>.</w:t>
            </w:r>
          </w:p>
        </w:tc>
      </w:tr>
      <w:tr w:rsidR="00D548BA" w:rsidRPr="008B168C" w14:paraId="38B1360D" w14:textId="77777777" w:rsidTr="008B2842">
        <w:trPr>
          <w:cantSplit/>
          <w:trHeight w:val="300"/>
        </w:trPr>
        <w:tc>
          <w:tcPr>
            <w:tcW w:w="850" w:type="dxa"/>
          </w:tcPr>
          <w:p w14:paraId="32490F9C" w14:textId="77777777" w:rsidR="00D548BA" w:rsidRPr="00FE1329" w:rsidRDefault="310EF675" w:rsidP="00D548BA">
            <w:pPr>
              <w:rPr>
                <w:rFonts w:ascii="Times New Roman" w:hAnsi="Times New Roman" w:cs="Times New Roman"/>
                <w:b/>
                <w:bCs/>
              </w:rPr>
            </w:pPr>
            <w:r w:rsidRPr="00FE1329">
              <w:rPr>
                <w:rFonts w:ascii="Times New Roman" w:hAnsi="Times New Roman" w:cs="Times New Roman"/>
                <w:b/>
                <w:bCs/>
              </w:rPr>
              <w:t>2.13.4</w:t>
            </w:r>
          </w:p>
        </w:tc>
        <w:tc>
          <w:tcPr>
            <w:tcW w:w="1984" w:type="dxa"/>
            <w:shd w:val="clear" w:color="auto" w:fill="auto"/>
          </w:tcPr>
          <w:p w14:paraId="37E8A3B2" w14:textId="77777777" w:rsidR="00D548BA" w:rsidRPr="00FE1329" w:rsidRDefault="00D548BA" w:rsidP="00D548BA">
            <w:pPr>
              <w:rPr>
                <w:rFonts w:ascii="Times New Roman" w:hAnsi="Times New Roman" w:cs="Times New Roman"/>
                <w:b/>
                <w:bCs/>
              </w:rPr>
            </w:pPr>
            <w:r w:rsidRPr="00FE1329">
              <w:rPr>
                <w:rFonts w:ascii="Times New Roman" w:hAnsi="Times New Roman" w:cs="Times New Roman"/>
                <w:b/>
                <w:bCs/>
              </w:rPr>
              <w:t>Pareiškėjų tipas</w:t>
            </w:r>
          </w:p>
        </w:tc>
        <w:tc>
          <w:tcPr>
            <w:tcW w:w="7436" w:type="dxa"/>
            <w:gridSpan w:val="5"/>
            <w:shd w:val="clear" w:color="auto" w:fill="auto"/>
          </w:tcPr>
          <w:p w14:paraId="72DCBD33" w14:textId="77777777" w:rsidR="00625FE0" w:rsidRPr="00FE1329" w:rsidRDefault="00D138C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1329" w:rsidRPr="00D138CE">
                  <w:rPr>
                    <w:rFonts w:ascii="MS Gothic" w:eastAsia="MS Gothic" w:hAnsi="MS Gothic" w:cs="Times New Roman" w:hint="eastAsia"/>
                  </w:rPr>
                  <w:t>☒</w:t>
                </w:r>
              </w:sdtContent>
            </w:sdt>
            <w:r w:rsidR="00625FE0" w:rsidRPr="00D138CE">
              <w:rPr>
                <w:rFonts w:ascii="Times New Roman" w:hAnsi="Times New Roman" w:cs="Times New Roman"/>
                <w:b/>
                <w:sz w:val="20"/>
                <w:szCs w:val="20"/>
              </w:rPr>
              <w:t xml:space="preserve"> </w:t>
            </w:r>
            <w:r w:rsidR="00625FE0" w:rsidRPr="00D138CE">
              <w:rPr>
                <w:rFonts w:ascii="Times New Roman" w:hAnsi="Times New Roman" w:cs="Times New Roman"/>
                <w:bCs/>
                <w:sz w:val="20"/>
                <w:szCs w:val="20"/>
              </w:rPr>
              <w:t>Viešasis</w:t>
            </w:r>
          </w:p>
          <w:p w14:paraId="1953500E" w14:textId="77777777" w:rsidR="00625FE0" w:rsidRPr="00FE1329" w:rsidRDefault="00D138C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FE1329">
                  <w:rPr>
                    <w:rFonts w:ascii="MS Gothic" w:eastAsia="MS Gothic" w:hAnsi="MS Gothic" w:cs="Times New Roman" w:hint="eastAsia"/>
                    <w:bCs/>
                  </w:rPr>
                  <w:t>☐</w:t>
                </w:r>
              </w:sdtContent>
            </w:sdt>
            <w:r w:rsidR="00625FE0" w:rsidRPr="00FE1329">
              <w:rPr>
                <w:rFonts w:ascii="Times New Roman" w:hAnsi="Times New Roman" w:cs="Times New Roman"/>
                <w:bCs/>
                <w:sz w:val="20"/>
                <w:szCs w:val="20"/>
              </w:rPr>
              <w:t xml:space="preserve"> Privatusis</w:t>
            </w:r>
          </w:p>
          <w:p w14:paraId="2C32ECBF" w14:textId="77777777" w:rsidR="00625FE0" w:rsidRPr="00FE1329" w:rsidRDefault="00625FE0" w:rsidP="00CE0D6A">
            <w:pPr>
              <w:rPr>
                <w:rFonts w:ascii="Times New Roman" w:hAnsi="Times New Roman" w:cs="Times New Roman"/>
                <w:i/>
                <w:iCs/>
              </w:rPr>
            </w:pPr>
          </w:p>
        </w:tc>
      </w:tr>
      <w:tr w:rsidR="00D548BA" w:rsidRPr="008B168C" w14:paraId="32946593" w14:textId="77777777" w:rsidTr="67FCC6BA">
        <w:trPr>
          <w:cantSplit/>
          <w:trHeight w:val="300"/>
        </w:trPr>
        <w:tc>
          <w:tcPr>
            <w:tcW w:w="850" w:type="dxa"/>
          </w:tcPr>
          <w:p w14:paraId="01736253"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428FB636"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E4E07F8" w14:textId="77777777" w:rsidR="00D548BA" w:rsidRPr="00FE1329" w:rsidRDefault="00FE1329" w:rsidP="00D548BA">
            <w:pPr>
              <w:rPr>
                <w:rFonts w:ascii="Times New Roman" w:hAnsi="Times New Roman" w:cs="Times New Roman"/>
              </w:rPr>
            </w:pPr>
            <w:r>
              <w:rPr>
                <w:rFonts w:ascii="Times New Roman" w:hAnsi="Times New Roman" w:cs="Times New Roman"/>
              </w:rPr>
              <w:t>-</w:t>
            </w:r>
          </w:p>
        </w:tc>
      </w:tr>
      <w:tr w:rsidR="00D548BA" w14:paraId="23AEDC23" w14:textId="77777777" w:rsidTr="67FCC6BA">
        <w:trPr>
          <w:cantSplit/>
          <w:trHeight w:val="300"/>
        </w:trPr>
        <w:tc>
          <w:tcPr>
            <w:tcW w:w="850" w:type="dxa"/>
          </w:tcPr>
          <w:p w14:paraId="02097FE3" w14:textId="77777777"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417BE5E1" w14:textId="77777777"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92ECE58" w14:textId="15419A3D" w:rsidR="00D548BA" w:rsidRPr="00FE1329" w:rsidRDefault="00B616A8" w:rsidP="008F62D3">
            <w:pPr>
              <w:jc w:val="both"/>
              <w:rPr>
                <w:rFonts w:ascii="Times New Roman" w:hAnsi="Times New Roman" w:cs="Times New Roman"/>
              </w:rPr>
            </w:pPr>
            <w:r w:rsidRPr="00B616A8">
              <w:rPr>
                <w:rFonts w:ascii="Times New Roman" w:hAnsi="Times New Roman" w:cs="Times New Roman"/>
              </w:rPr>
              <w:t xml:space="preserve">605 000,00 </w:t>
            </w:r>
            <w:r w:rsidR="00FE1329" w:rsidRPr="00FE1329">
              <w:rPr>
                <w:rFonts w:ascii="Times New Roman" w:hAnsi="Times New Roman" w:cs="Times New Roman"/>
              </w:rPr>
              <w:t>Eur.</w:t>
            </w:r>
          </w:p>
        </w:tc>
      </w:tr>
      <w:tr w:rsidR="00D548BA" w14:paraId="22BC169E" w14:textId="77777777" w:rsidTr="67FCC6BA">
        <w:trPr>
          <w:cantSplit/>
          <w:trHeight w:val="300"/>
        </w:trPr>
        <w:tc>
          <w:tcPr>
            <w:tcW w:w="850" w:type="dxa"/>
          </w:tcPr>
          <w:p w14:paraId="06400036"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6054D4C2"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3172F8B5" w14:textId="3548760A" w:rsidR="00D548BA" w:rsidRPr="00FE1329" w:rsidRDefault="00B616A8" w:rsidP="008F62D3">
            <w:pPr>
              <w:jc w:val="both"/>
              <w:rPr>
                <w:rFonts w:ascii="Times New Roman" w:hAnsi="Times New Roman" w:cs="Times New Roman"/>
              </w:rPr>
            </w:pPr>
            <w:r w:rsidRPr="00D138CE">
              <w:rPr>
                <w:rFonts w:ascii="Times New Roman" w:hAnsi="Times New Roman" w:cs="Times New Roman"/>
              </w:rPr>
              <w:t>50</w:t>
            </w:r>
            <w:r w:rsidR="00D548BA" w:rsidRPr="00FE1329">
              <w:rPr>
                <w:rFonts w:ascii="Times New Roman" w:hAnsi="Times New Roman" w:cs="Times New Roman"/>
              </w:rPr>
              <w:t xml:space="preserve"> </w:t>
            </w:r>
          </w:p>
        </w:tc>
      </w:tr>
      <w:tr w:rsidR="00D548BA" w:rsidRPr="008B168C" w14:paraId="220B3184" w14:textId="77777777" w:rsidTr="67FCC6BA">
        <w:trPr>
          <w:cantSplit/>
          <w:trHeight w:val="300"/>
        </w:trPr>
        <w:tc>
          <w:tcPr>
            <w:tcW w:w="850" w:type="dxa"/>
          </w:tcPr>
          <w:p w14:paraId="24BC5D3A"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69514BE4"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6ED95127" w14:textId="77777777" w:rsidR="00D548BA" w:rsidRPr="00FE1329" w:rsidRDefault="00FE1329" w:rsidP="00FE1329">
            <w:pPr>
              <w:jc w:val="both"/>
              <w:rPr>
                <w:rFonts w:ascii="Times New Roman" w:hAnsi="Times New Roman" w:cs="Times New Roman"/>
                <w:iCs/>
              </w:rPr>
            </w:pPr>
            <w:r w:rsidRPr="00FE1329">
              <w:rPr>
                <w:rFonts w:ascii="Times New Roman" w:hAnsi="Times New Roman" w:cs="Times New Roman"/>
                <w:iCs/>
              </w:rPr>
              <w:t>0</w:t>
            </w:r>
          </w:p>
        </w:tc>
      </w:tr>
      <w:tr w:rsidR="00D548BA" w:rsidRPr="008B168C" w14:paraId="61EAD9E0" w14:textId="77777777" w:rsidTr="67FCC6BA">
        <w:trPr>
          <w:cantSplit/>
          <w:trHeight w:val="300"/>
        </w:trPr>
        <w:tc>
          <w:tcPr>
            <w:tcW w:w="850" w:type="dxa"/>
          </w:tcPr>
          <w:p w14:paraId="2277619B"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58E84A2E" w14:textId="77777777" w:rsidR="00D548BA" w:rsidRPr="00D66C41" w:rsidRDefault="00D548BA" w:rsidP="00D548BA">
            <w:pPr>
              <w:rPr>
                <w:rFonts w:ascii="Times New Roman" w:hAnsi="Times New Roman" w:cs="Times New Roman"/>
                <w:b/>
                <w:bCs/>
              </w:rPr>
            </w:pPr>
          </w:p>
        </w:tc>
        <w:tc>
          <w:tcPr>
            <w:tcW w:w="9434" w:type="dxa"/>
            <w:gridSpan w:val="6"/>
          </w:tcPr>
          <w:p w14:paraId="62729C81" w14:textId="77777777"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3F9684C1" w14:textId="77777777" w:rsidTr="67FCC6BA">
        <w:trPr>
          <w:cantSplit/>
          <w:trHeight w:val="300"/>
        </w:trPr>
        <w:tc>
          <w:tcPr>
            <w:tcW w:w="850" w:type="dxa"/>
          </w:tcPr>
          <w:p w14:paraId="09B55E7D" w14:textId="77777777" w:rsidR="00D548BA" w:rsidRPr="007438C6" w:rsidRDefault="00D548BA" w:rsidP="00D548BA">
            <w:pPr>
              <w:rPr>
                <w:rFonts w:ascii="Times New Roman" w:hAnsi="Times New Roman" w:cs="Times New Roman"/>
                <w:b/>
                <w:bCs/>
                <w:highlight w:val="yellow"/>
              </w:rPr>
            </w:pPr>
            <w:r w:rsidRPr="001172C4">
              <w:rPr>
                <w:rFonts w:ascii="Times New Roman" w:hAnsi="Times New Roman" w:cs="Times New Roman"/>
                <w:b/>
                <w:bCs/>
              </w:rPr>
              <w:lastRenderedPageBreak/>
              <w:t>2.14.1</w:t>
            </w:r>
          </w:p>
        </w:tc>
        <w:tc>
          <w:tcPr>
            <w:tcW w:w="9434" w:type="dxa"/>
            <w:gridSpan w:val="6"/>
          </w:tcPr>
          <w:p w14:paraId="0DF69B68" w14:textId="77777777" w:rsidR="00D548BA" w:rsidRPr="001172C4" w:rsidRDefault="00A84AAD" w:rsidP="00A84AAD">
            <w:pPr>
              <w:jc w:val="both"/>
              <w:rPr>
                <w:rFonts w:ascii="Times New Roman" w:hAnsi="Times New Roman" w:cs="Times New Roman"/>
              </w:rPr>
            </w:pPr>
            <w:r w:rsidRPr="001172C4">
              <w:rPr>
                <w:rFonts w:ascii="Times New Roman" w:hAnsi="Times New Roman" w:cs="Times New Roman"/>
              </w:rPr>
              <w:t>Planuojamos išlaidos turi atitikti Projektų administravimo ir finansavimo taisyklių (PAFT) 7 skyriuje išdėstytus projektų išlaidoms taikomus reikalavimus.</w:t>
            </w:r>
          </w:p>
          <w:p w14:paraId="48B4AEE3" w14:textId="77777777" w:rsidR="00A84AAD" w:rsidRPr="001172C4" w:rsidRDefault="00A84AAD" w:rsidP="00A84AAD">
            <w:pPr>
              <w:jc w:val="both"/>
              <w:rPr>
                <w:rFonts w:ascii="Times New Roman" w:hAnsi="Times New Roman" w:cs="Times New Roman"/>
              </w:rPr>
            </w:pPr>
            <w:r w:rsidRPr="001172C4">
              <w:rPr>
                <w:rFonts w:ascii="Times New Roman" w:hAnsi="Times New Roman" w:cs="Times New Roman"/>
              </w:rPr>
              <w:t>Pagal Aprašą tinkamų išlaidų rūšys yra šios:</w:t>
            </w:r>
          </w:p>
          <w:tbl>
            <w:tblPr>
              <w:tblStyle w:val="TableGrid3"/>
              <w:tblW w:w="9104" w:type="dxa"/>
              <w:tblLayout w:type="fixed"/>
              <w:tblLook w:val="06A0" w:firstRow="1" w:lastRow="0" w:firstColumn="1" w:lastColumn="0" w:noHBand="1" w:noVBand="1"/>
            </w:tblPr>
            <w:tblGrid>
              <w:gridCol w:w="1024"/>
              <w:gridCol w:w="2694"/>
              <w:gridCol w:w="5386"/>
            </w:tblGrid>
            <w:tr w:rsidR="001172C4" w:rsidRPr="007438C6" w14:paraId="50053C04" w14:textId="77777777" w:rsidTr="008B2842">
              <w:trPr>
                <w:trHeight w:val="525"/>
              </w:trPr>
              <w:tc>
                <w:tcPr>
                  <w:tcW w:w="1024" w:type="dxa"/>
                  <w:vAlign w:val="center"/>
                </w:tcPr>
                <w:p w14:paraId="56A60697" w14:textId="14062AB8" w:rsidR="001172C4" w:rsidRPr="007438C6" w:rsidRDefault="001172C4" w:rsidP="001172C4">
                  <w:pPr>
                    <w:rPr>
                      <w:highlight w:val="yellow"/>
                    </w:rPr>
                  </w:pPr>
                  <w:r w:rsidRPr="009D775B">
                    <w:rPr>
                      <w:b/>
                      <w:sz w:val="22"/>
                      <w:szCs w:val="22"/>
                    </w:rPr>
                    <w:t xml:space="preserve">  Nr.</w:t>
                  </w:r>
                </w:p>
              </w:tc>
              <w:tc>
                <w:tcPr>
                  <w:tcW w:w="2694" w:type="dxa"/>
                  <w:vAlign w:val="center"/>
                </w:tcPr>
                <w:p w14:paraId="3A57BDAD" w14:textId="0E2E4C84" w:rsidR="001172C4" w:rsidRPr="007438C6" w:rsidRDefault="001172C4" w:rsidP="001172C4">
                  <w:pPr>
                    <w:rPr>
                      <w:highlight w:val="yellow"/>
                    </w:rPr>
                  </w:pPr>
                  <w:r w:rsidRPr="009D775B">
                    <w:rPr>
                      <w:b/>
                      <w:sz w:val="22"/>
                      <w:szCs w:val="22"/>
                    </w:rPr>
                    <w:t xml:space="preserve">Išlaidos  </w:t>
                  </w:r>
                </w:p>
              </w:tc>
              <w:tc>
                <w:tcPr>
                  <w:tcW w:w="5386" w:type="dxa"/>
                  <w:vAlign w:val="center"/>
                </w:tcPr>
                <w:p w14:paraId="53146220" w14:textId="4F8D0702" w:rsidR="001172C4" w:rsidRPr="007438C6" w:rsidRDefault="001172C4" w:rsidP="001172C4">
                  <w:pPr>
                    <w:jc w:val="both"/>
                    <w:rPr>
                      <w:highlight w:val="yellow"/>
                    </w:rPr>
                  </w:pPr>
                  <w:r w:rsidRPr="009D775B">
                    <w:rPr>
                      <w:b/>
                      <w:sz w:val="22"/>
                      <w:szCs w:val="22"/>
                    </w:rPr>
                    <w:t>Reikalavimai ir paaiškinimai</w:t>
                  </w:r>
                </w:p>
              </w:tc>
            </w:tr>
            <w:tr w:rsidR="001172C4" w:rsidRPr="007438C6" w14:paraId="724BB3F6" w14:textId="77777777" w:rsidTr="00A84AAD">
              <w:trPr>
                <w:trHeight w:val="1124"/>
              </w:trPr>
              <w:tc>
                <w:tcPr>
                  <w:tcW w:w="1024" w:type="dxa"/>
                </w:tcPr>
                <w:p w14:paraId="73DC4FD9" w14:textId="4BB0FBB4" w:rsidR="001172C4" w:rsidRPr="001172C4" w:rsidRDefault="001172C4" w:rsidP="001172C4">
                  <w:pPr>
                    <w:numPr>
                      <w:ilvl w:val="0"/>
                      <w:numId w:val="26"/>
                    </w:numPr>
                    <w:contextualSpacing/>
                    <w:rPr>
                      <w:szCs w:val="24"/>
                    </w:rPr>
                  </w:pPr>
                </w:p>
              </w:tc>
              <w:tc>
                <w:tcPr>
                  <w:tcW w:w="2694" w:type="dxa"/>
                </w:tcPr>
                <w:p w14:paraId="65F03556" w14:textId="50496D71" w:rsidR="001172C4" w:rsidRPr="001172C4" w:rsidRDefault="001172C4" w:rsidP="001172C4">
                  <w:pPr>
                    <w:rPr>
                      <w:szCs w:val="24"/>
                    </w:rPr>
                  </w:pPr>
                  <w:r w:rsidRPr="001172C4">
                    <w:rPr>
                      <w:sz w:val="22"/>
                      <w:szCs w:val="22"/>
                      <w:lang w:eastAsia="lt-LT"/>
                    </w:rPr>
                    <w:t>Įranga, įrenginiai ir kitas turtas</w:t>
                  </w:r>
                </w:p>
              </w:tc>
              <w:tc>
                <w:tcPr>
                  <w:tcW w:w="5386" w:type="dxa"/>
                </w:tcPr>
                <w:p w14:paraId="72C1DA25" w14:textId="77777777" w:rsidR="001172C4" w:rsidRPr="001172C4" w:rsidRDefault="001172C4" w:rsidP="001172C4">
                  <w:pPr>
                    <w:jc w:val="both"/>
                    <w:rPr>
                      <w:szCs w:val="22"/>
                    </w:rPr>
                  </w:pPr>
                  <w:r w:rsidRPr="001172C4">
                    <w:rPr>
                      <w:sz w:val="22"/>
                      <w:szCs w:val="22"/>
                    </w:rPr>
                    <w:t>Tinkama finansuoti:</w:t>
                  </w:r>
                </w:p>
                <w:p w14:paraId="129B7E5F" w14:textId="11DAAB70" w:rsidR="001172C4" w:rsidRPr="001172C4" w:rsidRDefault="001172C4" w:rsidP="001172C4">
                  <w:pPr>
                    <w:pStyle w:val="ListParagraph"/>
                    <w:numPr>
                      <w:ilvl w:val="0"/>
                      <w:numId w:val="28"/>
                    </w:numPr>
                    <w:jc w:val="both"/>
                    <w:rPr>
                      <w:szCs w:val="24"/>
                    </w:rPr>
                  </w:pPr>
                  <w:r w:rsidRPr="001172C4">
                    <w:rPr>
                      <w:sz w:val="22"/>
                      <w:szCs w:val="22"/>
                    </w:rPr>
                    <w:t xml:space="preserve">projekto veikloms vykdyti būtinų baldų, kompiuterinės technikos, programinės įrangos, kitos įrangos, įrenginių ir kito ilgalaikio turto įsigijimo ir lizingo (finansinės nuomos) išlaidos, taip pat programinės įrangos kūrimo, informacinių sistemų kūrimo ir (ar) modernizavimo išlaidos (įskaitant informacinių sistemų projektavimo, techninės priežiūros ir kitas susijusias išlaidas). Taikant </w:t>
                  </w:r>
                  <w:r w:rsidRPr="001172C4">
                    <w:rPr>
                      <w:i/>
                      <w:iCs/>
                      <w:sz w:val="22"/>
                      <w:szCs w:val="22"/>
                    </w:rPr>
                    <w:t xml:space="preserve">pro </w:t>
                  </w:r>
                  <w:proofErr w:type="spellStart"/>
                  <w:r w:rsidRPr="001172C4">
                    <w:rPr>
                      <w:i/>
                      <w:iCs/>
                      <w:sz w:val="22"/>
                      <w:szCs w:val="22"/>
                    </w:rPr>
                    <w:t>rata</w:t>
                  </w:r>
                  <w:proofErr w:type="spellEnd"/>
                  <w:r w:rsidRPr="001172C4">
                    <w:rPr>
                      <w:sz w:val="22"/>
                      <w:szCs w:val="22"/>
                    </w:rPr>
                    <w:t xml:space="preserve"> dydžio taikymą, jei naudojama ne tik projekto veikloms, tokiu atveju būtų finansuojama tik ta apimtimi, kuri būtina projekto rezultatams pasiekti.</w:t>
                  </w:r>
                </w:p>
              </w:tc>
            </w:tr>
            <w:tr w:rsidR="001172C4" w:rsidRPr="007438C6" w14:paraId="16927DF6" w14:textId="77777777" w:rsidTr="00A84AAD">
              <w:trPr>
                <w:trHeight w:val="1129"/>
              </w:trPr>
              <w:tc>
                <w:tcPr>
                  <w:tcW w:w="1024" w:type="dxa"/>
                </w:tcPr>
                <w:p w14:paraId="5D43E013" w14:textId="3FDE0F31" w:rsidR="001172C4" w:rsidRPr="001172C4" w:rsidRDefault="001172C4" w:rsidP="001172C4">
                  <w:pPr>
                    <w:numPr>
                      <w:ilvl w:val="0"/>
                      <w:numId w:val="26"/>
                    </w:numPr>
                    <w:contextualSpacing/>
                    <w:jc w:val="both"/>
                    <w:rPr>
                      <w:szCs w:val="24"/>
                    </w:rPr>
                  </w:pPr>
                </w:p>
              </w:tc>
              <w:tc>
                <w:tcPr>
                  <w:tcW w:w="2694" w:type="dxa"/>
                </w:tcPr>
                <w:p w14:paraId="0FF80E8C" w14:textId="7D2AB68C" w:rsidR="001172C4" w:rsidRPr="001172C4" w:rsidRDefault="001172C4" w:rsidP="001172C4">
                  <w:pPr>
                    <w:jc w:val="both"/>
                    <w:rPr>
                      <w:szCs w:val="24"/>
                    </w:rPr>
                  </w:pPr>
                  <w:r w:rsidRPr="001172C4">
                    <w:rPr>
                      <w:sz w:val="22"/>
                      <w:szCs w:val="22"/>
                      <w:lang w:eastAsia="lt-LT"/>
                    </w:rPr>
                    <w:t>Projekto vykdymas (paslaugos ir darbo užmokestis)</w:t>
                  </w:r>
                </w:p>
              </w:tc>
              <w:tc>
                <w:tcPr>
                  <w:tcW w:w="5386" w:type="dxa"/>
                </w:tcPr>
                <w:p w14:paraId="1A37307F" w14:textId="77777777" w:rsidR="001172C4" w:rsidRPr="001172C4" w:rsidRDefault="001172C4" w:rsidP="001172C4">
                  <w:pPr>
                    <w:jc w:val="both"/>
                    <w:rPr>
                      <w:bCs/>
                      <w:szCs w:val="22"/>
                    </w:rPr>
                  </w:pPr>
                  <w:r w:rsidRPr="001172C4">
                    <w:rPr>
                      <w:bCs/>
                      <w:sz w:val="22"/>
                      <w:szCs w:val="22"/>
                    </w:rPr>
                    <w:t xml:space="preserve">Tinkama finansuoti: </w:t>
                  </w:r>
                </w:p>
                <w:p w14:paraId="524C37D3" w14:textId="77777777" w:rsidR="001172C4" w:rsidRPr="001172C4" w:rsidRDefault="001172C4" w:rsidP="001172C4">
                  <w:pPr>
                    <w:pStyle w:val="ListParagraph"/>
                    <w:numPr>
                      <w:ilvl w:val="0"/>
                      <w:numId w:val="29"/>
                    </w:numPr>
                    <w:jc w:val="both"/>
                    <w:rPr>
                      <w:bCs/>
                      <w:szCs w:val="22"/>
                    </w:rPr>
                  </w:pPr>
                  <w:r w:rsidRPr="001172C4">
                    <w:rPr>
                      <w:bCs/>
                      <w:sz w:val="22"/>
                      <w:szCs w:val="22"/>
                    </w:rPr>
                    <w:t>projektą vykdančio personalo darbo užmokestis ir išlaidos su darbo santykiais susijusiems darbdavio įsipareigojimams, atlygio projektą vykdantiems fiziniams asmenims pagal paslaugų (civilines), autorines ar kitas sutartis išlaidos. Patirtos projektą vykdančio personalo darbo užmokesčio už kasmetines atostogas ir (arba) kompensacijos už nepanaudotas kasmetines atostogas ir papildomų poilsio dienų išmokos;</w:t>
                  </w:r>
                </w:p>
                <w:p w14:paraId="510682A0" w14:textId="77777777" w:rsidR="001172C4" w:rsidRPr="001172C4" w:rsidRDefault="001172C4" w:rsidP="001172C4">
                  <w:pPr>
                    <w:pStyle w:val="ListParagraph"/>
                    <w:numPr>
                      <w:ilvl w:val="0"/>
                      <w:numId w:val="29"/>
                    </w:numPr>
                    <w:jc w:val="both"/>
                    <w:rPr>
                      <w:bCs/>
                      <w:szCs w:val="22"/>
                    </w:rPr>
                  </w:pPr>
                  <w:r w:rsidRPr="001172C4">
                    <w:rPr>
                      <w:bCs/>
                      <w:sz w:val="22"/>
                      <w:szCs w:val="22"/>
                    </w:rPr>
                    <w:t>teisinės ir kitos paslaugos;</w:t>
                  </w:r>
                </w:p>
                <w:p w14:paraId="17CC602E" w14:textId="01CE2053" w:rsidR="001172C4" w:rsidRPr="001172C4" w:rsidRDefault="001172C4" w:rsidP="001172C4">
                  <w:pPr>
                    <w:pStyle w:val="ListParagraph"/>
                    <w:numPr>
                      <w:ilvl w:val="1"/>
                      <w:numId w:val="27"/>
                    </w:numPr>
                    <w:ind w:left="741" w:hanging="425"/>
                    <w:jc w:val="both"/>
                    <w:rPr>
                      <w:szCs w:val="24"/>
                    </w:rPr>
                  </w:pPr>
                  <w:r w:rsidRPr="001172C4">
                    <w:rPr>
                      <w:sz w:val="22"/>
                      <w:szCs w:val="22"/>
                      <w:lang w:val="lt"/>
                    </w:rPr>
                    <w:t>Mokslinių tyrimų, eksperimentinės plėtros ir inovacinės veiklos paslaugų įsigijimo iš išorės šaltinių įprastomis rinkos sąlygomis, t. y. kai perkama iš išorinių šaltinių už rinkos kainas, pagal šalių sudarytą sandorį, kai nėra jokių susijusių slapto susitarimo elementų, išlaidos.</w:t>
                  </w:r>
                </w:p>
              </w:tc>
            </w:tr>
            <w:tr w:rsidR="001172C4" w:rsidRPr="007438C6" w14:paraId="7A9D791C" w14:textId="77777777" w:rsidTr="00A84AAD">
              <w:trPr>
                <w:trHeight w:val="837"/>
              </w:trPr>
              <w:tc>
                <w:tcPr>
                  <w:tcW w:w="1024" w:type="dxa"/>
                </w:tcPr>
                <w:p w14:paraId="0CF6F128" w14:textId="34FD9DFB" w:rsidR="001172C4" w:rsidRPr="001172C4" w:rsidRDefault="001172C4" w:rsidP="001172C4">
                  <w:pPr>
                    <w:numPr>
                      <w:ilvl w:val="0"/>
                      <w:numId w:val="26"/>
                    </w:numPr>
                    <w:contextualSpacing/>
                    <w:rPr>
                      <w:szCs w:val="24"/>
                    </w:rPr>
                  </w:pPr>
                </w:p>
              </w:tc>
              <w:tc>
                <w:tcPr>
                  <w:tcW w:w="2694" w:type="dxa"/>
                </w:tcPr>
                <w:p w14:paraId="788E3424" w14:textId="18BA521C" w:rsidR="001172C4" w:rsidRPr="001172C4" w:rsidRDefault="001172C4" w:rsidP="001172C4">
                  <w:pPr>
                    <w:rPr>
                      <w:szCs w:val="24"/>
                    </w:rPr>
                  </w:pPr>
                  <w:r w:rsidRPr="001172C4">
                    <w:rPr>
                      <w:sz w:val="22"/>
                      <w:szCs w:val="22"/>
                      <w:lang w:eastAsia="lt-LT"/>
                    </w:rPr>
                    <w:t>Informavimas apie projektą</w:t>
                  </w:r>
                </w:p>
              </w:tc>
              <w:tc>
                <w:tcPr>
                  <w:tcW w:w="5386" w:type="dxa"/>
                </w:tcPr>
                <w:p w14:paraId="18914B30" w14:textId="77777777" w:rsidR="001172C4" w:rsidRPr="001172C4" w:rsidRDefault="001172C4" w:rsidP="001172C4">
                  <w:pPr>
                    <w:jc w:val="both"/>
                    <w:rPr>
                      <w:bCs/>
                      <w:szCs w:val="22"/>
                    </w:rPr>
                  </w:pPr>
                  <w:r w:rsidRPr="001172C4">
                    <w:rPr>
                      <w:bCs/>
                      <w:sz w:val="22"/>
                      <w:szCs w:val="22"/>
                    </w:rPr>
                    <w:t xml:space="preserve">Tinkama finansuoti. </w:t>
                  </w:r>
                </w:p>
                <w:p w14:paraId="18FE2976" w14:textId="77777777" w:rsidR="001172C4" w:rsidRPr="001172C4" w:rsidRDefault="001172C4" w:rsidP="001172C4">
                  <w:pPr>
                    <w:pStyle w:val="ListParagraph"/>
                    <w:numPr>
                      <w:ilvl w:val="0"/>
                      <w:numId w:val="30"/>
                    </w:numPr>
                    <w:jc w:val="both"/>
                    <w:rPr>
                      <w:bCs/>
                      <w:szCs w:val="22"/>
                    </w:rPr>
                  </w:pPr>
                  <w:r w:rsidRPr="001172C4">
                    <w:rPr>
                      <w:bCs/>
                      <w:sz w:val="22"/>
                      <w:szCs w:val="22"/>
                    </w:rPr>
                    <w:t xml:space="preserve">Privalomos projektų matomumo ir informavimo apie projektus priemonės. </w:t>
                  </w:r>
                </w:p>
                <w:p w14:paraId="18A48560" w14:textId="6989501B" w:rsidR="001172C4" w:rsidRPr="001172C4" w:rsidRDefault="001172C4" w:rsidP="001172C4">
                  <w:pPr>
                    <w:pStyle w:val="ListParagraph"/>
                    <w:numPr>
                      <w:ilvl w:val="1"/>
                      <w:numId w:val="27"/>
                    </w:numPr>
                    <w:ind w:left="743" w:hanging="425"/>
                    <w:jc w:val="both"/>
                  </w:pPr>
                  <w:r w:rsidRPr="001172C4">
                    <w:rPr>
                      <w:bCs/>
                      <w:sz w:val="22"/>
                      <w:szCs w:val="22"/>
                    </w:rPr>
                    <w:t>Papildomos PĮP numatytos projektų veiklų sklaidos ir viešinimo priemonės.</w:t>
                  </w:r>
                </w:p>
              </w:tc>
            </w:tr>
          </w:tbl>
          <w:p w14:paraId="063C11B9" w14:textId="77777777" w:rsidR="00A84AAD" w:rsidRPr="007438C6" w:rsidRDefault="00A84AAD" w:rsidP="00A84AAD">
            <w:pPr>
              <w:jc w:val="both"/>
              <w:rPr>
                <w:rFonts w:ascii="Times New Roman" w:hAnsi="Times New Roman" w:cs="Times New Roman"/>
                <w:bCs/>
                <w:highlight w:val="yellow"/>
              </w:rPr>
            </w:pPr>
          </w:p>
          <w:p w14:paraId="37719843"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13.2. Pagal Aprašą netinkamos finansuoti išlaidų kategorijos / išlaidos:</w:t>
            </w:r>
          </w:p>
          <w:p w14:paraId="1BEB0734"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13.2.1. PĮP parengimo išlaidos;</w:t>
            </w:r>
          </w:p>
          <w:p w14:paraId="22800699"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13.2.2. žemė;</w:t>
            </w:r>
          </w:p>
          <w:p w14:paraId="2489D19B"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13.2.3. nekilnojamas turtas;</w:t>
            </w:r>
          </w:p>
          <w:p w14:paraId="563AFFB9"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13.2.4. statyba, rekonstravimas ir kitas turtas;</w:t>
            </w:r>
          </w:p>
          <w:p w14:paraId="307142EF"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13.2.5. įgyvendinant projektą naudojamo ilgalaikio turto nusidėvėjimo (amortizacijos) sąnaudos.</w:t>
            </w:r>
          </w:p>
          <w:p w14:paraId="0421A5CB"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13.3. PVM nėra tinkamos finansuoti išlaidos EGADP lėšomis. PVM gali būti finansuojamas Lietuvos biudžeto lėšomis vadovaujantis Projektų administravimo ir finansavimo taisyklių VII skyriaus ketvirtajame skirsnyje nustatyta tvarka.</w:t>
            </w:r>
          </w:p>
          <w:p w14:paraId="19E1FD7E"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 xml:space="preserve">13.4. Išlaidos laikomos tinkamomis finansuoti yra 6 (šeši) mėnesiai iki Sutarties dėl </w:t>
            </w:r>
            <w:proofErr w:type="spellStart"/>
            <w:r w:rsidRPr="004B5183">
              <w:rPr>
                <w:rFonts w:ascii="Times New Roman" w:hAnsi="Times New Roman" w:cs="Times New Roman"/>
                <w:bCs/>
              </w:rPr>
              <w:t>inkubavimo</w:t>
            </w:r>
            <w:proofErr w:type="spellEnd"/>
            <w:r w:rsidRPr="004B5183">
              <w:rPr>
                <w:rFonts w:ascii="Times New Roman" w:hAnsi="Times New Roman" w:cs="Times New Roman"/>
                <w:bCs/>
              </w:rPr>
              <w:t xml:space="preserve"> pasirašymo datos ir gali būti patirtos iki Projekto sutarties pasirašymo, neprieštaraujant Administravimo taisyklių nuostatoms.</w:t>
            </w:r>
          </w:p>
          <w:p w14:paraId="0DC68CB7"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13.5. Projekto tinkamų finansuoti išlaidų dalis, kurios nepadengia projektui skiriamo finansavimo lėšos, turi būti finansuojama iš projekto vykdytojo ir (ar) partnerio (-</w:t>
            </w:r>
            <w:proofErr w:type="spellStart"/>
            <w:r w:rsidRPr="004B5183">
              <w:rPr>
                <w:rFonts w:ascii="Times New Roman" w:hAnsi="Times New Roman" w:cs="Times New Roman"/>
                <w:bCs/>
              </w:rPr>
              <w:t>ių</w:t>
            </w:r>
            <w:proofErr w:type="spellEnd"/>
            <w:r w:rsidRPr="004B5183">
              <w:rPr>
                <w:rFonts w:ascii="Times New Roman" w:hAnsi="Times New Roman" w:cs="Times New Roman"/>
                <w:bCs/>
              </w:rPr>
              <w:t>) lėšų.</w:t>
            </w:r>
          </w:p>
          <w:p w14:paraId="1510F5F7"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lastRenderedPageBreak/>
              <w:t xml:space="preserve">13.6. Vienam projektą įgyvendinančiam </w:t>
            </w:r>
            <w:proofErr w:type="spellStart"/>
            <w:r w:rsidRPr="004B5183">
              <w:rPr>
                <w:rFonts w:ascii="Times New Roman" w:hAnsi="Times New Roman" w:cs="Times New Roman"/>
                <w:bCs/>
              </w:rPr>
              <w:t>startuoliui</w:t>
            </w:r>
            <w:proofErr w:type="spellEnd"/>
            <w:r w:rsidRPr="004B5183">
              <w:rPr>
                <w:rFonts w:ascii="Times New Roman" w:hAnsi="Times New Roman" w:cs="Times New Roman"/>
                <w:bCs/>
              </w:rPr>
              <w:t xml:space="preserve"> tenkanti finansavimo lėšų suma negali būti didesnė negu 25 000 Eur  (dvidešimt penki tūkstančiai eurų) de </w:t>
            </w:r>
            <w:proofErr w:type="spellStart"/>
            <w:r w:rsidRPr="004B5183">
              <w:rPr>
                <w:rFonts w:ascii="Times New Roman" w:hAnsi="Times New Roman" w:cs="Times New Roman"/>
                <w:bCs/>
              </w:rPr>
              <w:t>minimis</w:t>
            </w:r>
            <w:proofErr w:type="spellEnd"/>
            <w:r w:rsidRPr="004B5183">
              <w:rPr>
                <w:rFonts w:ascii="Times New Roman" w:hAnsi="Times New Roman" w:cs="Times New Roman"/>
                <w:bCs/>
              </w:rPr>
              <w:t xml:space="preserve"> pagalba.</w:t>
            </w:r>
          </w:p>
          <w:p w14:paraId="46B8C206" w14:textId="77777777" w:rsidR="004B5183" w:rsidRPr="004B5183" w:rsidRDefault="004B5183" w:rsidP="004B5183">
            <w:pPr>
              <w:jc w:val="both"/>
              <w:rPr>
                <w:rFonts w:ascii="Times New Roman" w:hAnsi="Times New Roman" w:cs="Times New Roman"/>
                <w:bCs/>
              </w:rPr>
            </w:pPr>
            <w:r w:rsidRPr="004B5183">
              <w:rPr>
                <w:rFonts w:ascii="Times New Roman" w:hAnsi="Times New Roman" w:cs="Times New Roman"/>
                <w:bCs/>
              </w:rPr>
              <w:t>13.7. Kryžminis finansavimas nėra taikomas.</w:t>
            </w:r>
          </w:p>
          <w:p w14:paraId="00B87614" w14:textId="38F829FC" w:rsidR="00A84AAD" w:rsidRPr="007438C6" w:rsidRDefault="004B5183" w:rsidP="004B5183">
            <w:pPr>
              <w:jc w:val="both"/>
              <w:rPr>
                <w:rFonts w:ascii="Times New Roman" w:hAnsi="Times New Roman" w:cs="Times New Roman"/>
                <w:b/>
                <w:highlight w:val="yellow"/>
              </w:rPr>
            </w:pPr>
            <w:r w:rsidRPr="004B5183">
              <w:rPr>
                <w:rFonts w:ascii="Times New Roman" w:hAnsi="Times New Roman" w:cs="Times New Roman"/>
                <w:bCs/>
              </w:rPr>
              <w:t xml:space="preserve">13.8. Projektui gali būti mokamas avansas, vadovaujantis Taisyklių 155 punktu – iki 30 procentų. De </w:t>
            </w:r>
            <w:proofErr w:type="spellStart"/>
            <w:r w:rsidRPr="004B5183">
              <w:rPr>
                <w:rFonts w:ascii="Times New Roman" w:hAnsi="Times New Roman" w:cs="Times New Roman"/>
                <w:bCs/>
              </w:rPr>
              <w:t>minimis</w:t>
            </w:r>
            <w:proofErr w:type="spellEnd"/>
            <w:r w:rsidRPr="004B5183">
              <w:rPr>
                <w:rFonts w:ascii="Times New Roman" w:hAnsi="Times New Roman" w:cs="Times New Roman"/>
                <w:bCs/>
              </w:rPr>
              <w:t xml:space="preserve"> diskontavimas taikomas De </w:t>
            </w:r>
            <w:proofErr w:type="spellStart"/>
            <w:r w:rsidRPr="004B5183">
              <w:rPr>
                <w:rFonts w:ascii="Times New Roman" w:hAnsi="Times New Roman" w:cs="Times New Roman"/>
                <w:bCs/>
              </w:rPr>
              <w:t>minimis</w:t>
            </w:r>
            <w:proofErr w:type="spellEnd"/>
            <w:r w:rsidRPr="004B5183">
              <w:rPr>
                <w:rFonts w:ascii="Times New Roman" w:hAnsi="Times New Roman" w:cs="Times New Roman"/>
                <w:bCs/>
              </w:rPr>
              <w:t xml:space="preserve"> reglamento 3 straipsnio 6 dalyje nustatyta tvarka.</w:t>
            </w:r>
          </w:p>
        </w:tc>
      </w:tr>
      <w:tr w:rsidR="00E365F3" w:rsidRPr="008B168C" w14:paraId="28CB9A0D" w14:textId="77777777" w:rsidTr="67FCC6BA">
        <w:trPr>
          <w:cantSplit/>
          <w:trHeight w:val="300"/>
        </w:trPr>
        <w:tc>
          <w:tcPr>
            <w:tcW w:w="850" w:type="dxa"/>
            <w:vMerge w:val="restart"/>
          </w:tcPr>
          <w:p w14:paraId="0C6FAF64" w14:textId="77777777" w:rsidR="00E365F3" w:rsidRDefault="00E365F3"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6"/>
          </w:tcPr>
          <w:p w14:paraId="33A85503" w14:textId="77777777" w:rsidR="00E365F3" w:rsidRDefault="00E365F3"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5BD22B15" w14:textId="77777777" w:rsidR="00E365F3" w:rsidRPr="00421A95" w:rsidRDefault="00E365F3" w:rsidP="00D548BA">
            <w:pPr>
              <w:jc w:val="both"/>
              <w:rPr>
                <w:rFonts w:ascii="Times New Roman" w:hAnsi="Times New Roman" w:cs="Times New Roman"/>
                <w:i/>
                <w:iCs/>
              </w:rPr>
            </w:pPr>
          </w:p>
        </w:tc>
      </w:tr>
      <w:tr w:rsidR="00E365F3" w:rsidRPr="008B168C" w14:paraId="304697FB" w14:textId="77777777" w:rsidTr="67FCC6BA">
        <w:trPr>
          <w:cantSplit/>
          <w:trHeight w:val="1190"/>
        </w:trPr>
        <w:tc>
          <w:tcPr>
            <w:tcW w:w="850" w:type="dxa"/>
            <w:vMerge/>
          </w:tcPr>
          <w:p w14:paraId="25E19AE6" w14:textId="77777777" w:rsidR="00E365F3" w:rsidRDefault="00E365F3" w:rsidP="00D548BA">
            <w:pPr>
              <w:rPr>
                <w:rFonts w:ascii="Times New Roman" w:hAnsi="Times New Roman" w:cs="Times New Roman"/>
                <w:b/>
                <w:bCs/>
              </w:rPr>
            </w:pPr>
          </w:p>
        </w:tc>
        <w:tc>
          <w:tcPr>
            <w:tcW w:w="9434" w:type="dxa"/>
            <w:gridSpan w:val="6"/>
          </w:tcPr>
          <w:p w14:paraId="5B00298B" w14:textId="77777777" w:rsidR="00E365F3" w:rsidRPr="00E365F3" w:rsidRDefault="00E365F3" w:rsidP="00E365F3">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D84C8D19BE340A588B1668705FE05B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672FD4E5CE34DB19A759EE91FDD2720"/>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E365F3" w:rsidRPr="008B168C" w14:paraId="1D21D539" w14:textId="77777777" w:rsidTr="67FCC6BA">
        <w:trPr>
          <w:cantSplit/>
          <w:trHeight w:val="381"/>
        </w:trPr>
        <w:tc>
          <w:tcPr>
            <w:tcW w:w="850" w:type="dxa"/>
            <w:vMerge/>
          </w:tcPr>
          <w:p w14:paraId="1F4153E6" w14:textId="77777777" w:rsidR="00E365F3" w:rsidRDefault="00E365F3" w:rsidP="00D548BA">
            <w:pPr>
              <w:rPr>
                <w:rFonts w:ascii="Times New Roman" w:hAnsi="Times New Roman" w:cs="Times New Roman"/>
                <w:b/>
                <w:bCs/>
              </w:rPr>
            </w:pPr>
          </w:p>
        </w:tc>
        <w:tc>
          <w:tcPr>
            <w:tcW w:w="2360" w:type="dxa"/>
            <w:gridSpan w:val="2"/>
          </w:tcPr>
          <w:p w14:paraId="283C5E9F" w14:textId="77777777" w:rsidR="00E365F3" w:rsidRPr="007A4C1C" w:rsidRDefault="00E365F3" w:rsidP="00D548BA">
            <w:pPr>
              <w:rPr>
                <w:rFonts w:ascii="Times New Roman" w:hAnsi="Times New Roman" w:cs="Times New Roman"/>
                <w:b/>
                <w:bCs/>
                <w:iCs/>
              </w:rPr>
            </w:pPr>
            <w:r w:rsidRPr="007A4C1C">
              <w:rPr>
                <w:rFonts w:ascii="Times New Roman" w:hAnsi="Times New Roman" w:cs="Times New Roman"/>
                <w:b/>
                <w:sz w:val="20"/>
                <w:szCs w:val="20"/>
              </w:rPr>
              <w:t>Supaprastintai apmokamų išlaidų dydžio kodas</w:t>
            </w:r>
          </w:p>
        </w:tc>
        <w:tc>
          <w:tcPr>
            <w:tcW w:w="2319" w:type="dxa"/>
          </w:tcPr>
          <w:p w14:paraId="2F06B8DA" w14:textId="77777777" w:rsidR="00E365F3" w:rsidRPr="007A4C1C" w:rsidRDefault="00E365F3" w:rsidP="00D548BA">
            <w:pPr>
              <w:rPr>
                <w:rFonts w:ascii="Times New Roman" w:hAnsi="Times New Roman" w:cs="Times New Roman"/>
                <w:b/>
                <w:bCs/>
                <w:iCs/>
              </w:rPr>
            </w:pPr>
            <w:r w:rsidRPr="007A4C1C">
              <w:rPr>
                <w:rFonts w:ascii="Times New Roman" w:hAnsi="Times New Roman" w:cs="Times New Roman"/>
                <w:b/>
                <w:sz w:val="20"/>
                <w:szCs w:val="20"/>
              </w:rPr>
              <w:t>Supaprastintai apmokamų išlaidų dydžio versija</w:t>
            </w:r>
          </w:p>
        </w:tc>
        <w:tc>
          <w:tcPr>
            <w:tcW w:w="2126" w:type="dxa"/>
            <w:gridSpan w:val="2"/>
          </w:tcPr>
          <w:p w14:paraId="2FEE5ACA" w14:textId="77777777" w:rsidR="00E365F3" w:rsidRPr="007A4C1C" w:rsidRDefault="00E365F3" w:rsidP="00D548BA">
            <w:pPr>
              <w:rPr>
                <w:rFonts w:ascii="Times New Roman" w:hAnsi="Times New Roman" w:cs="Times New Roman"/>
                <w:b/>
                <w:bCs/>
                <w:iCs/>
              </w:rPr>
            </w:pPr>
            <w:r w:rsidRPr="007A4C1C">
              <w:rPr>
                <w:rFonts w:ascii="Times New Roman" w:hAnsi="Times New Roman" w:cs="Times New Roman"/>
                <w:b/>
                <w:sz w:val="20"/>
                <w:szCs w:val="20"/>
              </w:rPr>
              <w:t>Supaprastintai apmokamų išlaidų dydžio pavadinimas</w:t>
            </w:r>
          </w:p>
        </w:tc>
        <w:tc>
          <w:tcPr>
            <w:tcW w:w="2629" w:type="dxa"/>
          </w:tcPr>
          <w:p w14:paraId="661DB7D2" w14:textId="77777777" w:rsidR="00E365F3" w:rsidRPr="007A4C1C" w:rsidRDefault="00E365F3" w:rsidP="00D548BA">
            <w:pPr>
              <w:rPr>
                <w:rFonts w:ascii="Times New Roman" w:hAnsi="Times New Roman" w:cs="Times New Roman"/>
                <w:b/>
                <w:bCs/>
                <w:iCs/>
              </w:rPr>
            </w:pPr>
            <w:r w:rsidRPr="007A4C1C">
              <w:rPr>
                <w:rFonts w:ascii="Times New Roman" w:hAnsi="Times New Roman" w:cs="Times New Roman"/>
                <w:b/>
                <w:bCs/>
                <w:sz w:val="20"/>
                <w:szCs w:val="20"/>
              </w:rPr>
              <w:t>Papildoma informacija</w:t>
            </w:r>
          </w:p>
        </w:tc>
      </w:tr>
      <w:tr w:rsidR="007A4C1C" w:rsidRPr="008B168C" w14:paraId="45B0F126" w14:textId="77777777" w:rsidTr="008B2842">
        <w:trPr>
          <w:cantSplit/>
          <w:trHeight w:val="750"/>
        </w:trPr>
        <w:tc>
          <w:tcPr>
            <w:tcW w:w="850" w:type="dxa"/>
            <w:vMerge/>
          </w:tcPr>
          <w:p w14:paraId="35FDAEB2"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02FDA31A" w14:textId="77777777" w:rsidR="007A4C1C" w:rsidRDefault="007A4C1C" w:rsidP="007A4C1C">
            <w:pPr>
              <w:jc w:val="center"/>
              <w:rPr>
                <w:sz w:val="20"/>
              </w:rPr>
            </w:pPr>
          </w:p>
          <w:p w14:paraId="5766D7CA" w14:textId="77777777" w:rsidR="007A4C1C" w:rsidRDefault="007A4C1C" w:rsidP="007A4C1C">
            <w:pPr>
              <w:rPr>
                <w:sz w:val="20"/>
              </w:rPr>
            </w:pPr>
          </w:p>
          <w:p w14:paraId="6023A4F9" w14:textId="1F7134D5" w:rsidR="007A4C1C" w:rsidRPr="003557BA" w:rsidRDefault="007A4C1C" w:rsidP="007A4C1C">
            <w:pPr>
              <w:jc w:val="both"/>
              <w:rPr>
                <w:rFonts w:ascii="Times New Roman" w:eastAsia="Times New Roman" w:hAnsi="Times New Roman" w:cs="Times New Roman"/>
                <w:i/>
                <w:iCs/>
                <w:highlight w:val="yellow"/>
              </w:rPr>
            </w:pPr>
            <w:r>
              <w:rPr>
                <w:sz w:val="20"/>
                <w:lang w:eastAsia="lt-LT"/>
              </w:rPr>
              <w:t>FS-01-03</w:t>
            </w:r>
          </w:p>
        </w:tc>
        <w:tc>
          <w:tcPr>
            <w:tcW w:w="2319" w:type="dxa"/>
            <w:tcBorders>
              <w:top w:val="single" w:sz="8" w:space="0" w:color="auto"/>
              <w:left w:val="single" w:sz="8" w:space="0" w:color="auto"/>
              <w:bottom w:val="single" w:sz="8" w:space="0" w:color="auto"/>
              <w:right w:val="single" w:sz="8" w:space="0" w:color="auto"/>
            </w:tcBorders>
          </w:tcPr>
          <w:p w14:paraId="527CDB25" w14:textId="55048EB1" w:rsidR="007A4C1C" w:rsidRPr="003557BA" w:rsidRDefault="007A4C1C" w:rsidP="007A4C1C">
            <w:pPr>
              <w:jc w:val="both"/>
              <w:rPr>
                <w:rFonts w:ascii="Times New Roman" w:eastAsia="Times New Roman" w:hAnsi="Times New Roman" w:cs="Times New Roman"/>
                <w:i/>
                <w:iCs/>
                <w:highlight w:val="yellow"/>
              </w:rPr>
            </w:pPr>
            <w:r>
              <w:rPr>
                <w:sz w:val="20"/>
              </w:rPr>
              <w:t>01</w:t>
            </w:r>
          </w:p>
        </w:tc>
        <w:tc>
          <w:tcPr>
            <w:tcW w:w="2126" w:type="dxa"/>
            <w:gridSpan w:val="2"/>
            <w:tcBorders>
              <w:top w:val="single" w:sz="8" w:space="0" w:color="auto"/>
              <w:left w:val="single" w:sz="8" w:space="0" w:color="auto"/>
              <w:bottom w:val="single" w:sz="8" w:space="0" w:color="auto"/>
              <w:right w:val="single" w:sz="8" w:space="0" w:color="auto"/>
            </w:tcBorders>
          </w:tcPr>
          <w:p w14:paraId="2AE308CC" w14:textId="77777777" w:rsidR="007A4C1C" w:rsidRDefault="007A4C1C" w:rsidP="007A4C1C">
            <w:pPr>
              <w:rPr>
                <w:sz w:val="20"/>
                <w:lang w:eastAsia="lt-LT"/>
              </w:rPr>
            </w:pPr>
            <w:r>
              <w:rPr>
                <w:sz w:val="20"/>
                <w:lang w:eastAsia="lt-LT"/>
              </w:rPr>
              <w:t>Įgyvendintų privalomų matomumo ir informavimo priemonių apie ES fondų investicijų veiklas fiksuotoji suma, pirmojo rinkinio FS be PVM (FS-01-03)</w:t>
            </w:r>
          </w:p>
          <w:p w14:paraId="1AEFE97E" w14:textId="6E45F435" w:rsidR="007A4C1C" w:rsidRPr="003557BA" w:rsidRDefault="007A4C1C" w:rsidP="007A4C1C">
            <w:pPr>
              <w:jc w:val="both"/>
              <w:rPr>
                <w:rFonts w:ascii="Times New Roman" w:eastAsia="Times New Roman" w:hAnsi="Times New Roman" w:cs="Times New Roman"/>
                <w:i/>
                <w:iCs/>
                <w:highlight w:val="yellow"/>
              </w:rPr>
            </w:pPr>
          </w:p>
        </w:tc>
        <w:tc>
          <w:tcPr>
            <w:tcW w:w="2629" w:type="dxa"/>
            <w:tcBorders>
              <w:top w:val="single" w:sz="8" w:space="0" w:color="auto"/>
              <w:left w:val="single" w:sz="8" w:space="0" w:color="auto"/>
              <w:bottom w:val="single" w:sz="8" w:space="0" w:color="auto"/>
              <w:right w:val="single" w:sz="8" w:space="0" w:color="auto"/>
            </w:tcBorders>
          </w:tcPr>
          <w:p w14:paraId="00DD5275" w14:textId="62D5548C" w:rsidR="007A4C1C" w:rsidRPr="003557BA" w:rsidRDefault="007A4C1C" w:rsidP="007A4C1C">
            <w:pPr>
              <w:jc w:val="both"/>
              <w:rPr>
                <w:rFonts w:ascii="Times New Roman" w:eastAsia="Times New Roman" w:hAnsi="Times New Roman" w:cs="Times New Roman"/>
                <w:i/>
                <w:iCs/>
                <w:highlight w:val="yellow"/>
              </w:rPr>
            </w:pPr>
            <w:r>
              <w:rPr>
                <w:sz w:val="20"/>
              </w:rPr>
              <w:t>Įgyvendintų privalomų matomumo ir informavimo priemonių apie ES fondų investicijų veiklas fiksuotoji suma, pirmojo rinkinio FS be PVM</w:t>
            </w:r>
          </w:p>
        </w:tc>
      </w:tr>
      <w:tr w:rsidR="007A4C1C" w:rsidRPr="008B168C" w14:paraId="24E6540F" w14:textId="77777777" w:rsidTr="008B2842">
        <w:trPr>
          <w:cantSplit/>
          <w:trHeight w:val="750"/>
        </w:trPr>
        <w:tc>
          <w:tcPr>
            <w:tcW w:w="850" w:type="dxa"/>
            <w:vMerge/>
          </w:tcPr>
          <w:p w14:paraId="302023CF"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5C0A9BCE" w14:textId="2D1961EB" w:rsidR="007A4C1C" w:rsidRPr="003557BA" w:rsidRDefault="007A4C1C" w:rsidP="007A4C1C">
            <w:pPr>
              <w:jc w:val="both"/>
              <w:rPr>
                <w:highlight w:val="yellow"/>
              </w:rPr>
            </w:pPr>
            <w:r>
              <w:rPr>
                <w:sz w:val="20"/>
              </w:rPr>
              <w:t>FS-01-04</w:t>
            </w:r>
          </w:p>
        </w:tc>
        <w:tc>
          <w:tcPr>
            <w:tcW w:w="2319" w:type="dxa"/>
            <w:tcBorders>
              <w:top w:val="single" w:sz="8" w:space="0" w:color="auto"/>
              <w:left w:val="single" w:sz="8" w:space="0" w:color="auto"/>
              <w:bottom w:val="single" w:sz="8" w:space="0" w:color="auto"/>
              <w:right w:val="single" w:sz="8" w:space="0" w:color="auto"/>
            </w:tcBorders>
          </w:tcPr>
          <w:p w14:paraId="1E082559" w14:textId="41CE2CCB" w:rsidR="007A4C1C" w:rsidRPr="003557BA" w:rsidRDefault="007A4C1C" w:rsidP="007A4C1C">
            <w:pPr>
              <w:jc w:val="both"/>
              <w:rPr>
                <w:highlight w:val="yellow"/>
              </w:rPr>
            </w:pPr>
            <w:r>
              <w:rPr>
                <w:sz w:val="20"/>
              </w:rPr>
              <w:t>01</w:t>
            </w:r>
          </w:p>
        </w:tc>
        <w:tc>
          <w:tcPr>
            <w:tcW w:w="2126" w:type="dxa"/>
            <w:gridSpan w:val="2"/>
            <w:tcBorders>
              <w:top w:val="single" w:sz="8" w:space="0" w:color="auto"/>
              <w:left w:val="single" w:sz="8" w:space="0" w:color="auto"/>
              <w:bottom w:val="single" w:sz="8" w:space="0" w:color="auto"/>
              <w:right w:val="single" w:sz="8" w:space="0" w:color="auto"/>
            </w:tcBorders>
          </w:tcPr>
          <w:p w14:paraId="07CC196A" w14:textId="1D9938F9" w:rsidR="007A4C1C" w:rsidRPr="003557BA" w:rsidRDefault="007A4C1C" w:rsidP="007A4C1C">
            <w:pPr>
              <w:jc w:val="both"/>
              <w:rPr>
                <w:highlight w:val="yellow"/>
              </w:rPr>
            </w:pPr>
            <w:r>
              <w:rPr>
                <w:sz w:val="20"/>
                <w:lang w:eastAsia="lt-LT"/>
              </w:rPr>
              <w:t>Įgyvendintų privalomų matomumo ir informavimo priemonių apie ES fondų investicijų veiklas fiksuotoji suma, pirmojo rinkinio FS su PVM (FS-01-04)</w:t>
            </w:r>
          </w:p>
        </w:tc>
        <w:tc>
          <w:tcPr>
            <w:tcW w:w="2629" w:type="dxa"/>
            <w:tcBorders>
              <w:top w:val="single" w:sz="8" w:space="0" w:color="auto"/>
              <w:left w:val="single" w:sz="8" w:space="0" w:color="auto"/>
              <w:bottom w:val="single" w:sz="8" w:space="0" w:color="auto"/>
              <w:right w:val="single" w:sz="8" w:space="0" w:color="auto"/>
            </w:tcBorders>
          </w:tcPr>
          <w:p w14:paraId="3BF79A46" w14:textId="1A2B580A" w:rsidR="007A4C1C" w:rsidRPr="003557BA" w:rsidRDefault="007A4C1C" w:rsidP="007A4C1C">
            <w:pPr>
              <w:jc w:val="both"/>
              <w:rPr>
                <w:highlight w:val="yellow"/>
              </w:rPr>
            </w:pPr>
            <w:r>
              <w:rPr>
                <w:sz w:val="20"/>
              </w:rPr>
              <w:t>Įgyvendintų privalomų matomumo ir informavimo priemonių apie ES fondų investicijų veiklas fiksuotoji suma, pirmojo rinkinio FS su PVM</w:t>
            </w:r>
          </w:p>
        </w:tc>
      </w:tr>
      <w:tr w:rsidR="007A4C1C" w:rsidRPr="008B168C" w14:paraId="2A603619" w14:textId="77777777" w:rsidTr="008B2842">
        <w:trPr>
          <w:cantSplit/>
          <w:trHeight w:val="750"/>
        </w:trPr>
        <w:tc>
          <w:tcPr>
            <w:tcW w:w="850" w:type="dxa"/>
            <w:vMerge/>
          </w:tcPr>
          <w:p w14:paraId="33339B1E"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5DD2954E" w14:textId="0BDD3839" w:rsidR="007A4C1C" w:rsidRPr="003557BA" w:rsidRDefault="007A4C1C" w:rsidP="007A4C1C">
            <w:pPr>
              <w:jc w:val="both"/>
              <w:rPr>
                <w:highlight w:val="yellow"/>
              </w:rPr>
            </w:pPr>
            <w:r>
              <w:rPr>
                <w:sz w:val="20"/>
              </w:rPr>
              <w:t>FN-01</w:t>
            </w:r>
          </w:p>
        </w:tc>
        <w:tc>
          <w:tcPr>
            <w:tcW w:w="2319" w:type="dxa"/>
            <w:tcBorders>
              <w:top w:val="single" w:sz="8" w:space="0" w:color="auto"/>
              <w:left w:val="single" w:sz="8" w:space="0" w:color="auto"/>
              <w:bottom w:val="single" w:sz="8" w:space="0" w:color="auto"/>
              <w:right w:val="single" w:sz="8" w:space="0" w:color="auto"/>
            </w:tcBorders>
          </w:tcPr>
          <w:p w14:paraId="72B6AF25" w14:textId="40C2AC36" w:rsidR="007A4C1C" w:rsidRPr="003557BA" w:rsidRDefault="007A4C1C" w:rsidP="007A4C1C">
            <w:pPr>
              <w:jc w:val="both"/>
              <w:rPr>
                <w:highlight w:val="yellow"/>
              </w:rPr>
            </w:pPr>
            <w:r>
              <w:rPr>
                <w:sz w:val="20"/>
              </w:rPr>
              <w:t>01</w:t>
            </w:r>
          </w:p>
        </w:tc>
        <w:tc>
          <w:tcPr>
            <w:tcW w:w="2126" w:type="dxa"/>
            <w:gridSpan w:val="2"/>
            <w:tcBorders>
              <w:top w:val="single" w:sz="8" w:space="0" w:color="auto"/>
              <w:left w:val="single" w:sz="8" w:space="0" w:color="auto"/>
              <w:bottom w:val="single" w:sz="8" w:space="0" w:color="auto"/>
              <w:right w:val="single" w:sz="8" w:space="0" w:color="auto"/>
            </w:tcBorders>
          </w:tcPr>
          <w:p w14:paraId="656A082A" w14:textId="075574BA" w:rsidR="007A4C1C" w:rsidRPr="003557BA" w:rsidRDefault="007A4C1C" w:rsidP="007A4C1C">
            <w:pPr>
              <w:jc w:val="both"/>
              <w:rPr>
                <w:highlight w:val="yellow"/>
              </w:rPr>
            </w:pPr>
            <w:r>
              <w:rPr>
                <w:sz w:val="20"/>
                <w:lang w:eastAsia="lt-LT"/>
              </w:rPr>
              <w:t>Fiksuotoji norma netiesioginėms projekto išlaidoms (FN-01)</w:t>
            </w:r>
          </w:p>
        </w:tc>
        <w:tc>
          <w:tcPr>
            <w:tcW w:w="2629" w:type="dxa"/>
            <w:tcBorders>
              <w:top w:val="single" w:sz="8" w:space="0" w:color="auto"/>
              <w:left w:val="single" w:sz="8" w:space="0" w:color="auto"/>
              <w:bottom w:val="single" w:sz="8" w:space="0" w:color="auto"/>
              <w:right w:val="single" w:sz="8" w:space="0" w:color="auto"/>
            </w:tcBorders>
          </w:tcPr>
          <w:p w14:paraId="2FC8187D" w14:textId="746BC6A1" w:rsidR="007A4C1C" w:rsidRPr="003557BA" w:rsidRDefault="007A4C1C" w:rsidP="007A4C1C">
            <w:pPr>
              <w:jc w:val="both"/>
              <w:rPr>
                <w:highlight w:val="yellow"/>
              </w:rPr>
            </w:pPr>
            <w:r>
              <w:rPr>
                <w:sz w:val="20"/>
              </w:rPr>
              <w:t>Netiesioginės projekto išlaidos skaičiuojamos nuo tinkamų finansuoti tiesioginių projekto išlaidų (7 proc.)</w:t>
            </w:r>
          </w:p>
        </w:tc>
      </w:tr>
      <w:tr w:rsidR="007A4C1C" w:rsidRPr="008B168C" w14:paraId="0E790DAA" w14:textId="77777777" w:rsidTr="008B2842">
        <w:trPr>
          <w:cantSplit/>
          <w:trHeight w:val="750"/>
        </w:trPr>
        <w:tc>
          <w:tcPr>
            <w:tcW w:w="850" w:type="dxa"/>
            <w:vMerge w:val="restart"/>
          </w:tcPr>
          <w:p w14:paraId="480829E2"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7C3BA3E8" w14:textId="65AFFE21" w:rsidR="007A4C1C" w:rsidRPr="003557BA" w:rsidRDefault="007A4C1C" w:rsidP="007A4C1C">
            <w:pPr>
              <w:rPr>
                <w:highlight w:val="yellow"/>
              </w:rPr>
            </w:pPr>
            <w:r>
              <w:rPr>
                <w:sz w:val="20"/>
              </w:rPr>
              <w:t>FN-05-01</w:t>
            </w:r>
          </w:p>
        </w:tc>
        <w:tc>
          <w:tcPr>
            <w:tcW w:w="2319" w:type="dxa"/>
            <w:tcBorders>
              <w:top w:val="single" w:sz="8" w:space="0" w:color="auto"/>
              <w:left w:val="single" w:sz="8" w:space="0" w:color="auto"/>
              <w:bottom w:val="single" w:sz="8" w:space="0" w:color="auto"/>
              <w:right w:val="single" w:sz="8" w:space="0" w:color="auto"/>
            </w:tcBorders>
            <w:vAlign w:val="center"/>
          </w:tcPr>
          <w:p w14:paraId="170BEF33" w14:textId="2BB52AB4"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3FE42B01" w14:textId="603418C0" w:rsidR="007A4C1C" w:rsidRPr="003557BA" w:rsidRDefault="007A4C1C" w:rsidP="007A4C1C">
            <w:pPr>
              <w:jc w:val="both"/>
              <w:rPr>
                <w:highlight w:val="yellow"/>
              </w:rPr>
            </w:pPr>
            <w:r>
              <w:rPr>
                <w:sz w:val="20"/>
              </w:rPr>
              <w:t>Fiksuotoji norma, taikoma, kai priklauso 20 d. d. (jeigu dirbama 5 d. d. per savaitę) arba 24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2F529709" w14:textId="49A66407"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332BA80E" w14:textId="77777777" w:rsidTr="008B2842">
        <w:trPr>
          <w:cantSplit/>
          <w:trHeight w:val="750"/>
        </w:trPr>
        <w:tc>
          <w:tcPr>
            <w:tcW w:w="850" w:type="dxa"/>
            <w:vMerge/>
          </w:tcPr>
          <w:p w14:paraId="550DDA9E"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0F88D184" w14:textId="0F583810" w:rsidR="007A4C1C" w:rsidRPr="003557BA" w:rsidRDefault="007A4C1C" w:rsidP="007A4C1C">
            <w:pPr>
              <w:jc w:val="both"/>
              <w:rPr>
                <w:highlight w:val="yellow"/>
              </w:rPr>
            </w:pPr>
            <w:r>
              <w:rPr>
                <w:sz w:val="20"/>
              </w:rPr>
              <w:t>FN-05-02</w:t>
            </w:r>
          </w:p>
        </w:tc>
        <w:tc>
          <w:tcPr>
            <w:tcW w:w="2319" w:type="dxa"/>
            <w:tcBorders>
              <w:top w:val="single" w:sz="8" w:space="0" w:color="auto"/>
              <w:left w:val="single" w:sz="8" w:space="0" w:color="auto"/>
              <w:bottom w:val="single" w:sz="8" w:space="0" w:color="auto"/>
              <w:right w:val="single" w:sz="8" w:space="0" w:color="auto"/>
            </w:tcBorders>
            <w:vAlign w:val="center"/>
          </w:tcPr>
          <w:p w14:paraId="0EDA80EF" w14:textId="466B7748"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6F910B57" w14:textId="23CBEB36" w:rsidR="007A4C1C" w:rsidRPr="003557BA" w:rsidRDefault="007A4C1C" w:rsidP="007A4C1C">
            <w:pPr>
              <w:jc w:val="both"/>
              <w:rPr>
                <w:highlight w:val="yellow"/>
              </w:rPr>
            </w:pPr>
            <w:r>
              <w:rPr>
                <w:sz w:val="20"/>
              </w:rPr>
              <w:t>Fiksuotoji norma, taikoma, kai priklauso nuo 21 iki 25 d. d. (jeigu dirbama 5 d. d. per savaitę) arba nuo 25 iki 30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2A6D037D" w14:textId="610B393A"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37C0D1D9" w14:textId="77777777" w:rsidTr="008B2842">
        <w:trPr>
          <w:cantSplit/>
          <w:trHeight w:val="750"/>
        </w:trPr>
        <w:tc>
          <w:tcPr>
            <w:tcW w:w="850" w:type="dxa"/>
            <w:vMerge/>
          </w:tcPr>
          <w:p w14:paraId="2CDAEC2A"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65A2E13F" w14:textId="069F5245" w:rsidR="007A4C1C" w:rsidRPr="003557BA" w:rsidRDefault="007A4C1C" w:rsidP="007A4C1C">
            <w:pPr>
              <w:jc w:val="both"/>
              <w:rPr>
                <w:highlight w:val="yellow"/>
              </w:rPr>
            </w:pPr>
            <w:r>
              <w:rPr>
                <w:sz w:val="20"/>
              </w:rPr>
              <w:t>FN-05-03</w:t>
            </w:r>
          </w:p>
        </w:tc>
        <w:tc>
          <w:tcPr>
            <w:tcW w:w="2319" w:type="dxa"/>
            <w:tcBorders>
              <w:top w:val="single" w:sz="8" w:space="0" w:color="auto"/>
              <w:left w:val="single" w:sz="8" w:space="0" w:color="auto"/>
              <w:bottom w:val="single" w:sz="8" w:space="0" w:color="auto"/>
              <w:right w:val="single" w:sz="8" w:space="0" w:color="auto"/>
            </w:tcBorders>
            <w:vAlign w:val="center"/>
          </w:tcPr>
          <w:p w14:paraId="34A80D7F" w14:textId="2923DFA2"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bottom"/>
          </w:tcPr>
          <w:p w14:paraId="2E1A9249" w14:textId="60471707" w:rsidR="007A4C1C" w:rsidRPr="003557BA" w:rsidRDefault="007A4C1C" w:rsidP="007A4C1C">
            <w:pPr>
              <w:jc w:val="both"/>
              <w:rPr>
                <w:highlight w:val="yellow"/>
              </w:rPr>
            </w:pPr>
            <w:r>
              <w:rPr>
                <w:sz w:val="20"/>
              </w:rPr>
              <w:t>Fiksuotoji norma, taikoma, kai priklauso nuo 26 iki 30 d. d. (jeigu dirbama 5 d. d. per savaitę) arba nuo 31 iki 36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4C6AC97E" w14:textId="224B44D5"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7FA75B4D" w14:textId="77777777" w:rsidTr="008B2842">
        <w:trPr>
          <w:cantSplit/>
          <w:trHeight w:val="750"/>
        </w:trPr>
        <w:tc>
          <w:tcPr>
            <w:tcW w:w="850" w:type="dxa"/>
            <w:vMerge/>
          </w:tcPr>
          <w:p w14:paraId="7B3F3AF5"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43C5D3FF" w14:textId="3C9C5853" w:rsidR="007A4C1C" w:rsidRPr="003557BA" w:rsidRDefault="007A4C1C" w:rsidP="007A4C1C">
            <w:pPr>
              <w:jc w:val="both"/>
              <w:rPr>
                <w:highlight w:val="yellow"/>
              </w:rPr>
            </w:pPr>
            <w:r>
              <w:rPr>
                <w:sz w:val="20"/>
              </w:rPr>
              <w:t>FN-05-04</w:t>
            </w:r>
          </w:p>
        </w:tc>
        <w:tc>
          <w:tcPr>
            <w:tcW w:w="2319" w:type="dxa"/>
            <w:tcBorders>
              <w:top w:val="single" w:sz="8" w:space="0" w:color="auto"/>
              <w:left w:val="single" w:sz="8" w:space="0" w:color="auto"/>
              <w:bottom w:val="single" w:sz="8" w:space="0" w:color="auto"/>
              <w:right w:val="single" w:sz="8" w:space="0" w:color="auto"/>
            </w:tcBorders>
            <w:vAlign w:val="center"/>
          </w:tcPr>
          <w:p w14:paraId="1762B561" w14:textId="54F543CA"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bottom"/>
          </w:tcPr>
          <w:p w14:paraId="40D5189D" w14:textId="60367BD7" w:rsidR="007A4C1C" w:rsidRPr="003557BA" w:rsidRDefault="007A4C1C" w:rsidP="007A4C1C">
            <w:pPr>
              <w:jc w:val="both"/>
              <w:rPr>
                <w:highlight w:val="yellow"/>
              </w:rPr>
            </w:pPr>
            <w:r>
              <w:rPr>
                <w:sz w:val="20"/>
              </w:rPr>
              <w:t>Fiksuotoji norma, taikoma, kai priklauso nuo 31 iki 36 d. d. (jeigu dirbama 5 d. d. per savaitę) arba nuo 37 iki 42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4A1E18B9" w14:textId="2539D0AE"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7896D54D" w14:textId="77777777" w:rsidTr="008B2842">
        <w:trPr>
          <w:cantSplit/>
          <w:trHeight w:val="750"/>
        </w:trPr>
        <w:tc>
          <w:tcPr>
            <w:tcW w:w="850" w:type="dxa"/>
            <w:vMerge/>
          </w:tcPr>
          <w:p w14:paraId="5266A0F7"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463A17A5" w14:textId="36077A6E" w:rsidR="007A4C1C" w:rsidRPr="003557BA" w:rsidRDefault="007A4C1C" w:rsidP="007A4C1C">
            <w:pPr>
              <w:jc w:val="both"/>
              <w:rPr>
                <w:highlight w:val="yellow"/>
              </w:rPr>
            </w:pPr>
            <w:r>
              <w:rPr>
                <w:sz w:val="20"/>
              </w:rPr>
              <w:t>FN-05-05</w:t>
            </w:r>
          </w:p>
        </w:tc>
        <w:tc>
          <w:tcPr>
            <w:tcW w:w="2319" w:type="dxa"/>
            <w:tcBorders>
              <w:top w:val="single" w:sz="8" w:space="0" w:color="auto"/>
              <w:left w:val="single" w:sz="8" w:space="0" w:color="auto"/>
              <w:bottom w:val="single" w:sz="8" w:space="0" w:color="auto"/>
              <w:right w:val="single" w:sz="8" w:space="0" w:color="auto"/>
            </w:tcBorders>
            <w:vAlign w:val="center"/>
          </w:tcPr>
          <w:p w14:paraId="3DA9EEB5" w14:textId="57F091EB"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bottom"/>
          </w:tcPr>
          <w:p w14:paraId="3B376075" w14:textId="431ADAE8" w:rsidR="007A4C1C" w:rsidRPr="003557BA" w:rsidRDefault="007A4C1C" w:rsidP="007A4C1C">
            <w:pPr>
              <w:jc w:val="both"/>
              <w:rPr>
                <w:highlight w:val="yellow"/>
              </w:rPr>
            </w:pPr>
            <w:r>
              <w:rPr>
                <w:sz w:val="20"/>
              </w:rPr>
              <w:t>Fiksuotoji norma, taikoma, kai priklauso nuo 37 iki 39 d. d. (jeigu dirbama 5 d. d. per savaitę) arba nuo 43 iki 47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567C4603" w14:textId="784CDDC1"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0352A856" w14:textId="77777777" w:rsidTr="008B2842">
        <w:trPr>
          <w:cantSplit/>
          <w:trHeight w:val="750"/>
        </w:trPr>
        <w:tc>
          <w:tcPr>
            <w:tcW w:w="850" w:type="dxa"/>
            <w:vMerge/>
          </w:tcPr>
          <w:p w14:paraId="203AFF11"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1258032C" w14:textId="37E42F66" w:rsidR="007A4C1C" w:rsidRPr="003557BA" w:rsidRDefault="007A4C1C" w:rsidP="007A4C1C">
            <w:pPr>
              <w:rPr>
                <w:highlight w:val="yellow"/>
              </w:rPr>
            </w:pPr>
            <w:r>
              <w:rPr>
                <w:sz w:val="20"/>
              </w:rPr>
              <w:t>FN-05-06</w:t>
            </w:r>
          </w:p>
        </w:tc>
        <w:tc>
          <w:tcPr>
            <w:tcW w:w="2319" w:type="dxa"/>
            <w:tcBorders>
              <w:top w:val="single" w:sz="8" w:space="0" w:color="auto"/>
              <w:left w:val="single" w:sz="8" w:space="0" w:color="auto"/>
              <w:bottom w:val="single" w:sz="8" w:space="0" w:color="auto"/>
              <w:right w:val="single" w:sz="8" w:space="0" w:color="auto"/>
            </w:tcBorders>
            <w:vAlign w:val="center"/>
          </w:tcPr>
          <w:p w14:paraId="557E7A36" w14:textId="47FB2050"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bottom"/>
          </w:tcPr>
          <w:p w14:paraId="7023518A" w14:textId="0813891D" w:rsidR="007A4C1C" w:rsidRPr="003557BA" w:rsidRDefault="007A4C1C" w:rsidP="007A4C1C">
            <w:pPr>
              <w:jc w:val="both"/>
              <w:rPr>
                <w:highlight w:val="yellow"/>
              </w:rPr>
            </w:pPr>
            <w:r>
              <w:rPr>
                <w:sz w:val="20"/>
              </w:rPr>
              <w:t>Fiksuotoji norma, taikoma, kai priklauso 40 d. d. (jeigu dirbama 5 d. d. per savaitę) arba 48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15FC18DE" w14:textId="707FCE29"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19057946" w14:textId="77777777" w:rsidTr="008B2842">
        <w:trPr>
          <w:cantSplit/>
          <w:trHeight w:val="750"/>
        </w:trPr>
        <w:tc>
          <w:tcPr>
            <w:tcW w:w="850" w:type="dxa"/>
            <w:vMerge/>
          </w:tcPr>
          <w:p w14:paraId="22B65990"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48969D50" w14:textId="7214F6AC" w:rsidR="007A4C1C" w:rsidRPr="003557BA" w:rsidRDefault="007A4C1C" w:rsidP="007A4C1C">
            <w:pPr>
              <w:rPr>
                <w:highlight w:val="yellow"/>
              </w:rPr>
            </w:pPr>
            <w:r>
              <w:rPr>
                <w:sz w:val="20"/>
              </w:rPr>
              <w:t>FN-05-07</w:t>
            </w:r>
          </w:p>
        </w:tc>
        <w:tc>
          <w:tcPr>
            <w:tcW w:w="2319" w:type="dxa"/>
            <w:tcBorders>
              <w:top w:val="single" w:sz="8" w:space="0" w:color="auto"/>
              <w:left w:val="single" w:sz="8" w:space="0" w:color="auto"/>
              <w:bottom w:val="single" w:sz="8" w:space="0" w:color="auto"/>
              <w:right w:val="single" w:sz="8" w:space="0" w:color="auto"/>
            </w:tcBorders>
            <w:vAlign w:val="center"/>
          </w:tcPr>
          <w:p w14:paraId="551DE226" w14:textId="29482763"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bottom"/>
          </w:tcPr>
          <w:p w14:paraId="7679AEB5" w14:textId="501BC107" w:rsidR="007A4C1C" w:rsidRPr="003557BA" w:rsidRDefault="007A4C1C" w:rsidP="007A4C1C">
            <w:pPr>
              <w:jc w:val="both"/>
              <w:rPr>
                <w:highlight w:val="yellow"/>
              </w:rPr>
            </w:pPr>
            <w:r>
              <w:rPr>
                <w:sz w:val="20"/>
              </w:rPr>
              <w:t>Fiksuotoji norma, taikoma, kai priklauso nuo 41 d. d. (jeigu dirbama 5 d. d. per savaitę) arba nuo 49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35304CF7" w14:textId="53C90EFF"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79DC8E97" w14:textId="77777777" w:rsidTr="008B2842">
        <w:trPr>
          <w:cantSplit/>
          <w:trHeight w:val="750"/>
        </w:trPr>
        <w:tc>
          <w:tcPr>
            <w:tcW w:w="850" w:type="dxa"/>
            <w:vMerge/>
          </w:tcPr>
          <w:p w14:paraId="4D81E09C"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0A92A168" w14:textId="6351243A" w:rsidR="007A4C1C" w:rsidRPr="003557BA" w:rsidRDefault="007A4C1C" w:rsidP="007A4C1C">
            <w:pPr>
              <w:rPr>
                <w:highlight w:val="yellow"/>
              </w:rPr>
            </w:pPr>
            <w:r>
              <w:rPr>
                <w:sz w:val="20"/>
              </w:rPr>
              <w:t>FN-05-01</w:t>
            </w:r>
          </w:p>
        </w:tc>
        <w:tc>
          <w:tcPr>
            <w:tcW w:w="2319" w:type="dxa"/>
            <w:tcBorders>
              <w:top w:val="single" w:sz="8" w:space="0" w:color="auto"/>
              <w:left w:val="single" w:sz="8" w:space="0" w:color="auto"/>
              <w:bottom w:val="single" w:sz="8" w:space="0" w:color="auto"/>
              <w:right w:val="single" w:sz="8" w:space="0" w:color="auto"/>
            </w:tcBorders>
            <w:vAlign w:val="center"/>
          </w:tcPr>
          <w:p w14:paraId="3646D95D" w14:textId="3AE7ABDF"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570DA2AB" w14:textId="64B96BF1" w:rsidR="007A4C1C" w:rsidRPr="003557BA" w:rsidRDefault="007A4C1C" w:rsidP="007A4C1C">
            <w:pPr>
              <w:jc w:val="both"/>
              <w:rPr>
                <w:highlight w:val="yellow"/>
              </w:rPr>
            </w:pPr>
            <w:r>
              <w:rPr>
                <w:sz w:val="20"/>
              </w:rPr>
              <w:t>Fiksuotoji norma, taikoma, kai priklauso 20 d. d. (jeigu dirbama 5 d. d. per savaitę) arba 24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41266AD0" w14:textId="386EE5E7"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75AC20AA" w14:textId="77777777" w:rsidTr="008B2842">
        <w:trPr>
          <w:cantSplit/>
          <w:trHeight w:val="750"/>
        </w:trPr>
        <w:tc>
          <w:tcPr>
            <w:tcW w:w="850" w:type="dxa"/>
          </w:tcPr>
          <w:p w14:paraId="037F7CDD" w14:textId="77777777" w:rsidR="007A4C1C" w:rsidRDefault="007A4C1C" w:rsidP="007A4C1C">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vAlign w:val="center"/>
          </w:tcPr>
          <w:p w14:paraId="4CE5D42B" w14:textId="1176913C" w:rsidR="007A4C1C" w:rsidRPr="003557BA" w:rsidRDefault="007A4C1C" w:rsidP="007A4C1C">
            <w:pPr>
              <w:rPr>
                <w:highlight w:val="yellow"/>
              </w:rPr>
            </w:pPr>
            <w:r>
              <w:rPr>
                <w:sz w:val="20"/>
              </w:rPr>
              <w:t>FN-05-02</w:t>
            </w:r>
          </w:p>
        </w:tc>
        <w:tc>
          <w:tcPr>
            <w:tcW w:w="2319" w:type="dxa"/>
            <w:tcBorders>
              <w:top w:val="single" w:sz="8" w:space="0" w:color="auto"/>
              <w:left w:val="single" w:sz="8" w:space="0" w:color="auto"/>
              <w:bottom w:val="single" w:sz="8" w:space="0" w:color="auto"/>
              <w:right w:val="single" w:sz="8" w:space="0" w:color="auto"/>
            </w:tcBorders>
            <w:vAlign w:val="center"/>
          </w:tcPr>
          <w:p w14:paraId="28096411" w14:textId="0CAE54C3" w:rsidR="007A4C1C" w:rsidRPr="003557BA" w:rsidRDefault="007A4C1C" w:rsidP="007A4C1C">
            <w:pPr>
              <w:jc w:val="both"/>
              <w:rPr>
                <w:highlight w:val="yellow"/>
              </w:rPr>
            </w:pPr>
            <w:r>
              <w:rPr>
                <w:b/>
                <w:bCs/>
                <w:sz w:val="20"/>
              </w:rPr>
              <w:t>01</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0B50AFFA" w14:textId="16F66587" w:rsidR="007A4C1C" w:rsidRPr="003557BA" w:rsidRDefault="007A4C1C" w:rsidP="007A4C1C">
            <w:pPr>
              <w:jc w:val="both"/>
              <w:rPr>
                <w:highlight w:val="yellow"/>
              </w:rPr>
            </w:pPr>
            <w:r>
              <w:rPr>
                <w:sz w:val="20"/>
              </w:rPr>
              <w:t>Fiksuotoji norma, taikoma, kai priklauso nuo 21 iki 25 d. d. (jeigu dirbama 5 d. d. per savaitę) arba nuo 25 iki 30 d. d. (jeigu dirbama 6 d. d. per savaitę) kasmetinės atostogos</w:t>
            </w:r>
          </w:p>
        </w:tc>
        <w:tc>
          <w:tcPr>
            <w:tcW w:w="2629" w:type="dxa"/>
            <w:tcBorders>
              <w:top w:val="single" w:sz="8" w:space="0" w:color="auto"/>
              <w:left w:val="single" w:sz="8" w:space="0" w:color="auto"/>
              <w:bottom w:val="single" w:sz="8" w:space="0" w:color="auto"/>
              <w:right w:val="single" w:sz="8" w:space="0" w:color="auto"/>
            </w:tcBorders>
          </w:tcPr>
          <w:p w14:paraId="317BCE75" w14:textId="05A1B7B9" w:rsidR="007A4C1C" w:rsidRPr="003557BA" w:rsidRDefault="007A4C1C" w:rsidP="007A4C1C">
            <w:pPr>
              <w:jc w:val="both"/>
              <w:rPr>
                <w:highlight w:val="yellow"/>
              </w:rPr>
            </w:pPr>
            <w:r>
              <w:rPr>
                <w:sz w:val="20"/>
              </w:rPr>
              <w:t>Projektą vykdančio personalo darbo užmokesčio išlaidos už kasmetines atostogas, kurios apskaičiuojamos nuo tinkamų finansuoti faktiškai patirtų vykdančiojo personalo darbo užmokesčio išlaidų.</w:t>
            </w:r>
          </w:p>
        </w:tc>
      </w:tr>
      <w:tr w:rsidR="007A4C1C" w:rsidRPr="008B168C" w14:paraId="63B10B58" w14:textId="77777777" w:rsidTr="67FCC6BA">
        <w:trPr>
          <w:cantSplit/>
          <w:trHeight w:val="300"/>
        </w:trPr>
        <w:tc>
          <w:tcPr>
            <w:tcW w:w="850" w:type="dxa"/>
          </w:tcPr>
          <w:p w14:paraId="4FFD705C" w14:textId="77777777" w:rsidR="007A4C1C" w:rsidRPr="00533406" w:rsidRDefault="007A4C1C" w:rsidP="007A4C1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6"/>
          </w:tcPr>
          <w:p w14:paraId="48CC60F9" w14:textId="77777777" w:rsidR="007A4C1C" w:rsidRPr="00533406" w:rsidRDefault="007A4C1C" w:rsidP="007A4C1C">
            <w:pPr>
              <w:rPr>
                <w:rFonts w:ascii="Times New Roman" w:hAnsi="Times New Roman" w:cs="Times New Roman"/>
                <w:b/>
                <w:bCs/>
              </w:rPr>
            </w:pPr>
            <w:r w:rsidRPr="00533406">
              <w:rPr>
                <w:rFonts w:ascii="Times New Roman" w:hAnsi="Times New Roman" w:cs="Times New Roman"/>
                <w:b/>
                <w:bCs/>
              </w:rPr>
              <w:t>Siekiami stebėsenos rodikliai</w:t>
            </w:r>
          </w:p>
        </w:tc>
      </w:tr>
      <w:tr w:rsidR="007A4C1C" w:rsidRPr="008B168C" w14:paraId="02FD8905" w14:textId="77777777" w:rsidTr="00A760CB">
        <w:trPr>
          <w:cantSplit/>
          <w:trHeight w:val="300"/>
        </w:trPr>
        <w:tc>
          <w:tcPr>
            <w:tcW w:w="10284" w:type="dxa"/>
            <w:gridSpan w:val="7"/>
          </w:tcPr>
          <w:p w14:paraId="1A0D1579" w14:textId="77777777" w:rsidR="007A4C1C" w:rsidRPr="00533406" w:rsidRDefault="007A4C1C" w:rsidP="007A4C1C">
            <w:pPr>
              <w:rPr>
                <w:rFonts w:ascii="Times New Roman" w:hAnsi="Times New Roman" w:cs="Times New Roman"/>
                <w:b/>
                <w:bCs/>
              </w:rPr>
            </w:pPr>
          </w:p>
        </w:tc>
      </w:tr>
      <w:tr w:rsidR="007A4C1C" w:rsidRPr="00F44ADD" w14:paraId="392F7770" w14:textId="77777777" w:rsidTr="67FCC6BA">
        <w:trPr>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7A4C1C" w:rsidRPr="00F44ADD" w14:paraId="131CDD62" w14:textId="77777777" w:rsidTr="004A79FA">
              <w:trPr>
                <w:trHeight w:val="1990"/>
              </w:trPr>
              <w:tc>
                <w:tcPr>
                  <w:tcW w:w="929" w:type="pct"/>
                  <w:shd w:val="clear" w:color="auto" w:fill="auto"/>
                  <w:vAlign w:val="center"/>
                </w:tcPr>
                <w:p w14:paraId="537E31EC" w14:textId="77777777" w:rsidR="007A4C1C" w:rsidRPr="006F71AE" w:rsidRDefault="007A4C1C" w:rsidP="007A4C1C">
                  <w:pPr>
                    <w:jc w:val="center"/>
                    <w:textAlignment w:val="baseline"/>
                    <w:rPr>
                      <w:rFonts w:ascii="Times New Roman" w:hAnsi="Times New Roman" w:cs="Times New Roman"/>
                      <w:b/>
                      <w:highlight w:val="yellow"/>
                      <w:lang w:eastAsia="lt-LT"/>
                    </w:rPr>
                  </w:pPr>
                  <w:r w:rsidRPr="00680CBF">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2B4E11EA" w14:textId="77777777" w:rsidR="007A4C1C" w:rsidRPr="00F44ADD" w:rsidRDefault="007A4C1C" w:rsidP="007A4C1C">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6D120D0E" w14:textId="77777777" w:rsidR="007A4C1C" w:rsidRPr="00F44ADD" w:rsidRDefault="007A4C1C" w:rsidP="007A4C1C">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688BC420" w14:textId="77777777" w:rsidR="007A4C1C" w:rsidRPr="00F44ADD" w:rsidRDefault="007A4C1C" w:rsidP="007A4C1C">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54EFEB25" w14:textId="77777777" w:rsidR="007A4C1C" w:rsidRPr="00F44ADD" w:rsidRDefault="007A4C1C" w:rsidP="007A4C1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A4C1C" w:rsidRPr="00F44ADD" w14:paraId="0F57ABFB" w14:textId="77777777" w:rsidTr="00E14442">
              <w:trPr>
                <w:trHeight w:val="615"/>
              </w:trPr>
              <w:tc>
                <w:tcPr>
                  <w:tcW w:w="929" w:type="pct"/>
                  <w:vMerge w:val="restart"/>
                  <w:shd w:val="clear" w:color="auto" w:fill="auto"/>
                  <w:vAlign w:val="center"/>
                </w:tcPr>
                <w:p w14:paraId="5565C481" w14:textId="77777777" w:rsidR="007A4C1C" w:rsidRPr="00680CBF" w:rsidRDefault="007A4C1C" w:rsidP="007A4C1C">
                  <w:pPr>
                    <w:rPr>
                      <w:rFonts w:ascii="Times New Roman" w:hAnsi="Times New Roman" w:cs="Times New Roman"/>
                      <w:highlight w:val="yellow"/>
                    </w:rPr>
                  </w:pPr>
                  <w:r w:rsidRPr="00680CBF">
                    <w:rPr>
                      <w:rFonts w:ascii="Times New Roman" w:hAnsi="Times New Roman" w:cs="Times New Roman"/>
                    </w:rPr>
                    <w:t>05-001-01-05-07</w:t>
                  </w:r>
                </w:p>
              </w:tc>
              <w:tc>
                <w:tcPr>
                  <w:tcW w:w="1053" w:type="pct"/>
                  <w:vAlign w:val="center"/>
                </w:tcPr>
                <w:p w14:paraId="3C3062C7" w14:textId="77777777" w:rsidR="007A4C1C" w:rsidRPr="00F44ADD" w:rsidRDefault="007A4C1C" w:rsidP="007A4C1C">
                  <w:pPr>
                    <w:keepNext/>
                    <w:jc w:val="center"/>
                    <w:rPr>
                      <w:rFonts w:ascii="Times New Roman" w:hAnsi="Times New Roman" w:cs="Times New Roman"/>
                      <w:b/>
                      <w:i/>
                      <w:iCs/>
                    </w:rPr>
                  </w:pPr>
                  <w:r w:rsidRPr="006E7C87">
                    <w:rPr>
                      <w:szCs w:val="24"/>
                    </w:rPr>
                    <w:t xml:space="preserve">Paskelbti kvietimai teikti pasiūlymus </w:t>
                  </w:r>
                </w:p>
              </w:tc>
              <w:tc>
                <w:tcPr>
                  <w:tcW w:w="842" w:type="pct"/>
                  <w:vAlign w:val="center"/>
                </w:tcPr>
                <w:p w14:paraId="274A44EF" w14:textId="77777777" w:rsidR="007A4C1C" w:rsidRPr="006E7C87" w:rsidRDefault="007A4C1C" w:rsidP="007A4C1C">
                  <w:pPr>
                    <w:jc w:val="center"/>
                    <w:rPr>
                      <w:szCs w:val="24"/>
                    </w:rPr>
                  </w:pPr>
                  <w:r w:rsidRPr="006E7C87">
                    <w:rPr>
                      <w:szCs w:val="24"/>
                    </w:rPr>
                    <w:t>P-05-001-01-05-07-03</w:t>
                  </w:r>
                </w:p>
                <w:p w14:paraId="67435A17" w14:textId="77777777" w:rsidR="007A4C1C" w:rsidRPr="00F44ADD" w:rsidRDefault="007A4C1C" w:rsidP="007A4C1C">
                  <w:pPr>
                    <w:keepNext/>
                    <w:jc w:val="center"/>
                    <w:rPr>
                      <w:rFonts w:ascii="Times New Roman" w:hAnsi="Times New Roman" w:cs="Times New Roman"/>
                      <w:bCs/>
                      <w:i/>
                      <w:iCs/>
                    </w:rPr>
                  </w:pPr>
                  <w:r w:rsidRPr="009146DC">
                    <w:rPr>
                      <w:szCs w:val="24"/>
                    </w:rPr>
                    <w:t>P.S.1.1131.1</w:t>
                  </w:r>
                </w:p>
              </w:tc>
              <w:tc>
                <w:tcPr>
                  <w:tcW w:w="1193" w:type="pct"/>
                  <w:vAlign w:val="center"/>
                </w:tcPr>
                <w:p w14:paraId="1DE41952" w14:textId="77777777" w:rsidR="007A4C1C" w:rsidRPr="00F44ADD" w:rsidRDefault="007A4C1C" w:rsidP="007A4C1C">
                  <w:pPr>
                    <w:keepNext/>
                    <w:jc w:val="center"/>
                    <w:rPr>
                      <w:rFonts w:ascii="Times New Roman" w:hAnsi="Times New Roman" w:cs="Times New Roman"/>
                      <w:bCs/>
                      <w:i/>
                      <w:iCs/>
                    </w:rPr>
                  </w:pPr>
                  <w:r w:rsidRPr="009146DC">
                    <w:rPr>
                      <w:color w:val="000000"/>
                      <w:szCs w:val="24"/>
                      <w:lang w:eastAsia="lt-LT"/>
                    </w:rPr>
                    <w:t>Vienetai</w:t>
                  </w:r>
                </w:p>
              </w:tc>
              <w:tc>
                <w:tcPr>
                  <w:tcW w:w="983" w:type="pct"/>
                  <w:vAlign w:val="center"/>
                </w:tcPr>
                <w:p w14:paraId="52AC2705" w14:textId="77777777" w:rsidR="007A4C1C" w:rsidRPr="00381E4F" w:rsidRDefault="007A4C1C" w:rsidP="007A4C1C">
                  <w:pPr>
                    <w:jc w:val="center"/>
                    <w:rPr>
                      <w:color w:val="000000"/>
                      <w:lang w:eastAsia="lt-LT"/>
                    </w:rPr>
                  </w:pPr>
                  <w:r w:rsidRPr="00DB36EF">
                    <w:rPr>
                      <w:color w:val="000000"/>
                      <w:lang w:eastAsia="lt-LT"/>
                    </w:rPr>
                    <w:t>1</w:t>
                  </w:r>
                </w:p>
                <w:p w14:paraId="3161C88E" w14:textId="77777777" w:rsidR="007A4C1C" w:rsidRPr="00F44ADD" w:rsidRDefault="007A4C1C" w:rsidP="007A4C1C">
                  <w:pPr>
                    <w:keepNext/>
                    <w:jc w:val="center"/>
                    <w:rPr>
                      <w:rFonts w:ascii="Times New Roman" w:hAnsi="Times New Roman" w:cs="Times New Roman"/>
                      <w:bCs/>
                      <w:i/>
                      <w:iCs/>
                    </w:rPr>
                  </w:pPr>
                </w:p>
              </w:tc>
            </w:tr>
            <w:tr w:rsidR="007A4C1C" w:rsidRPr="00F44ADD" w14:paraId="797CA36D" w14:textId="77777777" w:rsidTr="00E14442">
              <w:trPr>
                <w:trHeight w:val="615"/>
              </w:trPr>
              <w:tc>
                <w:tcPr>
                  <w:tcW w:w="929" w:type="pct"/>
                  <w:vMerge/>
                  <w:shd w:val="clear" w:color="auto" w:fill="auto"/>
                  <w:vAlign w:val="center"/>
                </w:tcPr>
                <w:p w14:paraId="316D7F19" w14:textId="77777777" w:rsidR="007A4C1C" w:rsidRPr="00680CBF" w:rsidRDefault="007A4C1C" w:rsidP="007A4C1C">
                  <w:pPr>
                    <w:rPr>
                      <w:rFonts w:ascii="Times New Roman" w:hAnsi="Times New Roman" w:cs="Times New Roman"/>
                    </w:rPr>
                  </w:pPr>
                </w:p>
              </w:tc>
              <w:tc>
                <w:tcPr>
                  <w:tcW w:w="1053" w:type="pct"/>
                  <w:vAlign w:val="center"/>
                </w:tcPr>
                <w:p w14:paraId="50B19D6D" w14:textId="77777777" w:rsidR="007A4C1C" w:rsidRPr="00F44ADD" w:rsidRDefault="007A4C1C" w:rsidP="007A4C1C">
                  <w:pPr>
                    <w:keepNext/>
                    <w:jc w:val="center"/>
                    <w:rPr>
                      <w:rFonts w:ascii="Times New Roman" w:hAnsi="Times New Roman" w:cs="Times New Roman"/>
                      <w:b/>
                      <w:i/>
                      <w:iCs/>
                    </w:rPr>
                  </w:pPr>
                  <w:r w:rsidRPr="006E7C87">
                    <w:rPr>
                      <w:szCs w:val="24"/>
                    </w:rPr>
                    <w:t xml:space="preserve">Investicijas gavusių </w:t>
                  </w:r>
                  <w:proofErr w:type="spellStart"/>
                  <w:r w:rsidRPr="006E7C87">
                    <w:rPr>
                      <w:szCs w:val="24"/>
                    </w:rPr>
                    <w:t>startuolių</w:t>
                  </w:r>
                  <w:proofErr w:type="spellEnd"/>
                  <w:r w:rsidRPr="006E7C87">
                    <w:rPr>
                      <w:szCs w:val="24"/>
                    </w:rPr>
                    <w:t xml:space="preserve"> skaičius</w:t>
                  </w:r>
                </w:p>
              </w:tc>
              <w:tc>
                <w:tcPr>
                  <w:tcW w:w="842" w:type="pct"/>
                  <w:vAlign w:val="center"/>
                </w:tcPr>
                <w:p w14:paraId="48F1330B" w14:textId="77777777" w:rsidR="007A4C1C" w:rsidRPr="006E7C87" w:rsidRDefault="007A4C1C" w:rsidP="007A4C1C">
                  <w:pPr>
                    <w:jc w:val="center"/>
                    <w:rPr>
                      <w:szCs w:val="24"/>
                    </w:rPr>
                  </w:pPr>
                  <w:r w:rsidRPr="006E7C87">
                    <w:rPr>
                      <w:szCs w:val="24"/>
                    </w:rPr>
                    <w:t>P-05-01-01-05-07-04</w:t>
                  </w:r>
                </w:p>
                <w:p w14:paraId="683FFBAB" w14:textId="77777777" w:rsidR="007A4C1C" w:rsidRPr="00F44ADD" w:rsidRDefault="007A4C1C" w:rsidP="007A4C1C">
                  <w:pPr>
                    <w:keepNext/>
                    <w:jc w:val="center"/>
                    <w:rPr>
                      <w:rFonts w:ascii="Times New Roman" w:hAnsi="Times New Roman" w:cs="Times New Roman"/>
                      <w:bCs/>
                      <w:i/>
                      <w:iCs/>
                    </w:rPr>
                  </w:pPr>
                  <w:r w:rsidRPr="009146DC">
                    <w:rPr>
                      <w:szCs w:val="24"/>
                    </w:rPr>
                    <w:t>P.S.1.1131</w:t>
                  </w:r>
                </w:p>
              </w:tc>
              <w:tc>
                <w:tcPr>
                  <w:tcW w:w="1193" w:type="pct"/>
                  <w:vAlign w:val="center"/>
                </w:tcPr>
                <w:p w14:paraId="79A6C4AE" w14:textId="77777777" w:rsidR="007A4C1C" w:rsidRPr="00F44ADD" w:rsidRDefault="007A4C1C" w:rsidP="007A4C1C">
                  <w:pPr>
                    <w:keepNext/>
                    <w:jc w:val="center"/>
                    <w:rPr>
                      <w:rFonts w:ascii="Times New Roman" w:hAnsi="Times New Roman" w:cs="Times New Roman"/>
                      <w:bCs/>
                      <w:i/>
                      <w:iCs/>
                    </w:rPr>
                  </w:pPr>
                  <w:r w:rsidRPr="009146DC">
                    <w:rPr>
                      <w:color w:val="000000"/>
                      <w:szCs w:val="24"/>
                      <w:lang w:eastAsia="lt-LT"/>
                    </w:rPr>
                    <w:t>Vienetai</w:t>
                  </w:r>
                </w:p>
              </w:tc>
              <w:tc>
                <w:tcPr>
                  <w:tcW w:w="983" w:type="pct"/>
                  <w:vAlign w:val="center"/>
                </w:tcPr>
                <w:p w14:paraId="0DD44731" w14:textId="255910DA" w:rsidR="007A4C1C" w:rsidRPr="00381E4F" w:rsidRDefault="004607A3" w:rsidP="007A4C1C">
                  <w:pPr>
                    <w:jc w:val="center"/>
                    <w:rPr>
                      <w:color w:val="000000"/>
                      <w:lang w:eastAsia="lt-LT"/>
                    </w:rPr>
                  </w:pPr>
                  <w:r>
                    <w:rPr>
                      <w:color w:val="000000"/>
                      <w:lang w:eastAsia="lt-LT"/>
                    </w:rPr>
                    <w:t>20</w:t>
                  </w:r>
                </w:p>
                <w:p w14:paraId="23BBDF92" w14:textId="77777777" w:rsidR="007A4C1C" w:rsidRPr="00F44ADD" w:rsidRDefault="007A4C1C" w:rsidP="007A4C1C">
                  <w:pPr>
                    <w:keepNext/>
                    <w:jc w:val="center"/>
                    <w:rPr>
                      <w:rFonts w:ascii="Times New Roman" w:hAnsi="Times New Roman" w:cs="Times New Roman"/>
                      <w:bCs/>
                      <w:i/>
                      <w:iCs/>
                    </w:rPr>
                  </w:pPr>
                </w:p>
              </w:tc>
            </w:tr>
            <w:tr w:rsidR="007A4C1C" w:rsidRPr="00F44ADD" w14:paraId="3787427F" w14:textId="77777777" w:rsidTr="00E14442">
              <w:trPr>
                <w:trHeight w:val="615"/>
              </w:trPr>
              <w:tc>
                <w:tcPr>
                  <w:tcW w:w="929" w:type="pct"/>
                  <w:vMerge/>
                  <w:shd w:val="clear" w:color="auto" w:fill="auto"/>
                  <w:vAlign w:val="center"/>
                </w:tcPr>
                <w:p w14:paraId="3AE8E873" w14:textId="77777777" w:rsidR="007A4C1C" w:rsidRPr="00680CBF" w:rsidRDefault="007A4C1C" w:rsidP="007A4C1C">
                  <w:pPr>
                    <w:rPr>
                      <w:rFonts w:ascii="Times New Roman" w:hAnsi="Times New Roman" w:cs="Times New Roman"/>
                    </w:rPr>
                  </w:pPr>
                </w:p>
              </w:tc>
              <w:tc>
                <w:tcPr>
                  <w:tcW w:w="1053" w:type="pct"/>
                  <w:vAlign w:val="center"/>
                </w:tcPr>
                <w:p w14:paraId="142A5CA5" w14:textId="77777777" w:rsidR="007A4C1C" w:rsidRPr="00F44ADD" w:rsidRDefault="007A4C1C" w:rsidP="007A4C1C">
                  <w:pPr>
                    <w:keepNext/>
                    <w:jc w:val="center"/>
                    <w:rPr>
                      <w:rFonts w:ascii="Times New Roman" w:hAnsi="Times New Roman" w:cs="Times New Roman"/>
                      <w:b/>
                      <w:i/>
                      <w:iCs/>
                    </w:rPr>
                  </w:pPr>
                  <w:r w:rsidRPr="006E7C87">
                    <w:rPr>
                      <w:szCs w:val="24"/>
                    </w:rPr>
                    <w:t>Paramą gavusios įmonės, iš jų: mažos ir labai mažos</w:t>
                  </w:r>
                </w:p>
              </w:tc>
              <w:tc>
                <w:tcPr>
                  <w:tcW w:w="842" w:type="pct"/>
                  <w:vAlign w:val="center"/>
                </w:tcPr>
                <w:p w14:paraId="3830E9C1" w14:textId="77777777" w:rsidR="007A4C1C" w:rsidRPr="006E7C87" w:rsidRDefault="007A4C1C" w:rsidP="007A4C1C">
                  <w:pPr>
                    <w:jc w:val="center"/>
                    <w:rPr>
                      <w:szCs w:val="24"/>
                    </w:rPr>
                  </w:pPr>
                  <w:r w:rsidRPr="006E7C87">
                    <w:rPr>
                      <w:szCs w:val="24"/>
                    </w:rPr>
                    <w:t>R-05-001-01-05-07-17</w:t>
                  </w:r>
                </w:p>
                <w:p w14:paraId="4784535A" w14:textId="77777777" w:rsidR="007A4C1C" w:rsidRPr="00F44ADD" w:rsidRDefault="007A4C1C" w:rsidP="007A4C1C">
                  <w:pPr>
                    <w:keepNext/>
                    <w:jc w:val="center"/>
                    <w:rPr>
                      <w:rFonts w:ascii="Times New Roman" w:hAnsi="Times New Roman" w:cs="Times New Roman"/>
                      <w:bCs/>
                      <w:i/>
                      <w:iCs/>
                    </w:rPr>
                  </w:pPr>
                  <w:r w:rsidRPr="009146DC">
                    <w:rPr>
                      <w:szCs w:val="24"/>
                    </w:rPr>
                    <w:t>R.B.1</w:t>
                  </w:r>
                  <w:r>
                    <w:rPr>
                      <w:szCs w:val="24"/>
                    </w:rPr>
                    <w:t>.2</w:t>
                  </w:r>
                  <w:r w:rsidRPr="009146DC">
                    <w:rPr>
                      <w:szCs w:val="24"/>
                    </w:rPr>
                    <w:t>009.1</w:t>
                  </w:r>
                </w:p>
              </w:tc>
              <w:tc>
                <w:tcPr>
                  <w:tcW w:w="1193" w:type="pct"/>
                  <w:vAlign w:val="center"/>
                </w:tcPr>
                <w:p w14:paraId="3A7E6D0D" w14:textId="77777777" w:rsidR="007A4C1C" w:rsidRPr="00F44ADD" w:rsidRDefault="007A4C1C" w:rsidP="007A4C1C">
                  <w:pPr>
                    <w:keepNext/>
                    <w:jc w:val="center"/>
                    <w:rPr>
                      <w:rFonts w:ascii="Times New Roman" w:hAnsi="Times New Roman" w:cs="Times New Roman"/>
                      <w:bCs/>
                      <w:i/>
                      <w:iCs/>
                    </w:rPr>
                  </w:pPr>
                  <w:r w:rsidRPr="006E7C87">
                    <w:rPr>
                      <w:color w:val="000000"/>
                      <w:szCs w:val="24"/>
                      <w:lang w:eastAsia="lt-LT"/>
                    </w:rPr>
                    <w:t>n/a</w:t>
                  </w:r>
                </w:p>
              </w:tc>
              <w:tc>
                <w:tcPr>
                  <w:tcW w:w="983" w:type="pct"/>
                  <w:vAlign w:val="center"/>
                </w:tcPr>
                <w:p w14:paraId="1F2A5EE5" w14:textId="77777777" w:rsidR="007A4C1C" w:rsidRPr="00F44ADD" w:rsidRDefault="007A4C1C" w:rsidP="007A4C1C">
                  <w:pPr>
                    <w:keepNext/>
                    <w:jc w:val="center"/>
                    <w:rPr>
                      <w:rFonts w:ascii="Times New Roman" w:hAnsi="Times New Roman" w:cs="Times New Roman"/>
                      <w:bCs/>
                      <w:i/>
                      <w:iCs/>
                    </w:rPr>
                  </w:pPr>
                  <w:r w:rsidRPr="006E7C87">
                    <w:rPr>
                      <w:color w:val="000000"/>
                      <w:szCs w:val="24"/>
                      <w:lang w:eastAsia="lt-LT"/>
                    </w:rPr>
                    <w:t>n/a</w:t>
                  </w:r>
                </w:p>
              </w:tc>
            </w:tr>
          </w:tbl>
          <w:p w14:paraId="2D413232" w14:textId="77777777" w:rsidR="007A4C1C" w:rsidRPr="00F44ADD" w:rsidRDefault="007A4C1C" w:rsidP="007A4C1C">
            <w:pPr>
              <w:rPr>
                <w:rFonts w:ascii="Times New Roman" w:hAnsi="Times New Roman" w:cs="Times New Roman"/>
              </w:rPr>
            </w:pPr>
          </w:p>
        </w:tc>
      </w:tr>
      <w:tr w:rsidR="007A4C1C" w:rsidRPr="008B168C" w14:paraId="73766107" w14:textId="77777777" w:rsidTr="67FCC6BA">
        <w:trPr>
          <w:cantSplit/>
          <w:trHeight w:val="300"/>
        </w:trPr>
        <w:tc>
          <w:tcPr>
            <w:tcW w:w="850" w:type="dxa"/>
          </w:tcPr>
          <w:p w14:paraId="6D05E445" w14:textId="77777777" w:rsidR="007A4C1C" w:rsidRPr="00533406" w:rsidRDefault="007A4C1C" w:rsidP="007A4C1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6"/>
          </w:tcPr>
          <w:p w14:paraId="16130A14" w14:textId="77777777" w:rsidR="007A4C1C" w:rsidRPr="00533406" w:rsidRDefault="007A4C1C" w:rsidP="007A4C1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A4C1C" w:rsidRPr="008B168C" w14:paraId="6734744E" w14:textId="77777777" w:rsidTr="67FCC6BA">
        <w:trPr>
          <w:cantSplit/>
          <w:trHeight w:val="300"/>
        </w:trPr>
        <w:tc>
          <w:tcPr>
            <w:tcW w:w="850" w:type="dxa"/>
          </w:tcPr>
          <w:p w14:paraId="1F75397D"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6"/>
            <w:shd w:val="clear" w:color="auto" w:fill="auto"/>
          </w:tcPr>
          <w:p w14:paraId="6F2B3245" w14:textId="77777777" w:rsidR="007A4C1C" w:rsidRPr="009C094C" w:rsidRDefault="007A4C1C" w:rsidP="007A4C1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A4C1C" w:rsidRPr="008B168C" w14:paraId="6ACCEC35" w14:textId="77777777" w:rsidTr="67FCC6BA">
        <w:trPr>
          <w:cantSplit/>
          <w:trHeight w:val="477"/>
        </w:trPr>
        <w:tc>
          <w:tcPr>
            <w:tcW w:w="850" w:type="dxa"/>
          </w:tcPr>
          <w:p w14:paraId="625EBC42" w14:textId="77777777" w:rsidR="007A4C1C" w:rsidRPr="00F62A6E" w:rsidRDefault="007A4C1C" w:rsidP="007A4C1C">
            <w:pPr>
              <w:rPr>
                <w:rFonts w:ascii="Times New Roman" w:hAnsi="Times New Roman" w:cs="Times New Roman"/>
                <w:b/>
              </w:rPr>
            </w:pPr>
          </w:p>
        </w:tc>
        <w:tc>
          <w:tcPr>
            <w:tcW w:w="9434" w:type="dxa"/>
            <w:gridSpan w:val="6"/>
            <w:shd w:val="clear" w:color="auto" w:fill="auto"/>
          </w:tcPr>
          <w:p w14:paraId="0D8C12D0"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2.1. Pagal Aprašą finansuojama veikla – </w:t>
            </w:r>
            <w:proofErr w:type="spellStart"/>
            <w:r w:rsidRPr="005133A0">
              <w:rPr>
                <w:rFonts w:ascii="Times New Roman" w:hAnsi="Times New Roman" w:cs="Times New Roman"/>
                <w:iCs/>
                <w:sz w:val="24"/>
                <w:szCs w:val="24"/>
              </w:rPr>
              <w:t>startuolių</w:t>
            </w:r>
            <w:proofErr w:type="spellEnd"/>
            <w:r w:rsidRPr="005133A0">
              <w:rPr>
                <w:rFonts w:ascii="Times New Roman" w:hAnsi="Times New Roman" w:cs="Times New Roman"/>
                <w:iCs/>
                <w:sz w:val="24"/>
                <w:szCs w:val="24"/>
              </w:rPr>
              <w:t xml:space="preserve"> ekosistemos plėtros skatinimas, pagal veiklą vykdoma </w:t>
            </w:r>
            <w:proofErr w:type="spellStart"/>
            <w:r w:rsidRPr="005133A0">
              <w:rPr>
                <w:rFonts w:ascii="Times New Roman" w:hAnsi="Times New Roman" w:cs="Times New Roman"/>
                <w:iCs/>
                <w:sz w:val="24"/>
                <w:szCs w:val="24"/>
              </w:rPr>
              <w:t>poveiklė</w:t>
            </w:r>
            <w:proofErr w:type="spellEnd"/>
            <w:r w:rsidRPr="005133A0">
              <w:rPr>
                <w:rFonts w:ascii="Times New Roman" w:hAnsi="Times New Roman" w:cs="Times New Roman"/>
                <w:iCs/>
                <w:sz w:val="24"/>
                <w:szCs w:val="24"/>
              </w:rPr>
              <w:t xml:space="preserve"> – </w:t>
            </w:r>
            <w:proofErr w:type="spellStart"/>
            <w:r w:rsidRPr="005133A0">
              <w:rPr>
                <w:rFonts w:ascii="Times New Roman" w:hAnsi="Times New Roman" w:cs="Times New Roman"/>
                <w:iCs/>
                <w:sz w:val="24"/>
                <w:szCs w:val="24"/>
              </w:rPr>
              <w:t>startuolių</w:t>
            </w:r>
            <w:proofErr w:type="spellEnd"/>
            <w:r w:rsidRPr="005133A0">
              <w:rPr>
                <w:rFonts w:ascii="Times New Roman" w:hAnsi="Times New Roman" w:cs="Times New Roman"/>
                <w:iCs/>
                <w:sz w:val="24"/>
                <w:szCs w:val="24"/>
              </w:rPr>
              <w:t xml:space="preserve">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veikla Europos kosmoso agentūros verslo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centre. </w:t>
            </w:r>
          </w:p>
          <w:p w14:paraId="51BA68BD"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2.2. Pagal veiklą remiamas mokslinių tyrimų, eksperimentinės plėtros ir (ar) inovacinės veiklos vykdymas ir skatinama Lietuvos kosmoso sektoriaus plėtra, sukuriant ir stiprinant sėkmingų su kosmosu susijusių </w:t>
            </w:r>
            <w:proofErr w:type="spellStart"/>
            <w:r w:rsidRPr="005133A0">
              <w:rPr>
                <w:rFonts w:ascii="Times New Roman" w:hAnsi="Times New Roman" w:cs="Times New Roman"/>
                <w:iCs/>
                <w:sz w:val="24"/>
                <w:szCs w:val="24"/>
              </w:rPr>
              <w:t>startuolių</w:t>
            </w:r>
            <w:proofErr w:type="spellEnd"/>
            <w:r w:rsidRPr="005133A0">
              <w:rPr>
                <w:rFonts w:ascii="Times New Roman" w:hAnsi="Times New Roman" w:cs="Times New Roman"/>
                <w:iCs/>
                <w:sz w:val="24"/>
                <w:szCs w:val="24"/>
              </w:rPr>
              <w:t xml:space="preserve"> bendruomenę Lietuvoje;</w:t>
            </w:r>
          </w:p>
          <w:p w14:paraId="7750F6D2"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2.3. įgyvendinant projektą projekto vykdytojas turi vykdyti šias veiklas:</w:t>
            </w:r>
          </w:p>
          <w:p w14:paraId="7819C029"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2.3.1. visuomenei ir kosmoso bendruomenei pristatyti Europos kosmoso agentūros Verslo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centrą (toliau – EKA Centras) kaip su kosmoso verslo </w:t>
            </w:r>
            <w:proofErr w:type="spellStart"/>
            <w:r w:rsidRPr="005133A0">
              <w:rPr>
                <w:rFonts w:ascii="Times New Roman" w:hAnsi="Times New Roman" w:cs="Times New Roman"/>
                <w:iCs/>
                <w:sz w:val="24"/>
                <w:szCs w:val="24"/>
              </w:rPr>
              <w:t>inkubavimu</w:t>
            </w:r>
            <w:proofErr w:type="spellEnd"/>
            <w:r w:rsidRPr="005133A0">
              <w:rPr>
                <w:rFonts w:ascii="Times New Roman" w:hAnsi="Times New Roman" w:cs="Times New Roman"/>
                <w:iCs/>
                <w:sz w:val="24"/>
                <w:szCs w:val="24"/>
              </w:rPr>
              <w:t xml:space="preserve"> susijusį centrą Lietuvoje;</w:t>
            </w:r>
          </w:p>
          <w:p w14:paraId="0EEDD810"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2.3.2. skelbti bei įgyvendinti kvietimus, skirtus </w:t>
            </w:r>
            <w:proofErr w:type="spellStart"/>
            <w:r w:rsidRPr="005133A0">
              <w:rPr>
                <w:rFonts w:ascii="Times New Roman" w:hAnsi="Times New Roman" w:cs="Times New Roman"/>
                <w:iCs/>
                <w:sz w:val="24"/>
                <w:szCs w:val="24"/>
              </w:rPr>
              <w:t>startuolių</w:t>
            </w:r>
            <w:proofErr w:type="spellEnd"/>
            <w:r w:rsidRPr="005133A0">
              <w:rPr>
                <w:rFonts w:ascii="Times New Roman" w:hAnsi="Times New Roman" w:cs="Times New Roman"/>
                <w:iCs/>
                <w:sz w:val="24"/>
                <w:szCs w:val="24"/>
              </w:rPr>
              <w:t xml:space="preserve"> atrankai dalyvauti EKA Centro veikloje;</w:t>
            </w:r>
          </w:p>
          <w:p w14:paraId="55869855"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2.3.3. atrinkti projekto partnerius, kurie dalyvaus EKA Centro veikloje, bei pasirašyti su jais sutartį dėl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w:t>
            </w:r>
          </w:p>
          <w:p w14:paraId="278EC966"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2.3.4. suteikti  </w:t>
            </w:r>
            <w:proofErr w:type="spellStart"/>
            <w:r w:rsidRPr="005133A0">
              <w:rPr>
                <w:rFonts w:ascii="Times New Roman" w:hAnsi="Times New Roman" w:cs="Times New Roman"/>
                <w:iCs/>
                <w:sz w:val="24"/>
                <w:szCs w:val="24"/>
              </w:rPr>
              <w:t>startuoliams</w:t>
            </w:r>
            <w:proofErr w:type="spellEnd"/>
            <w:r w:rsidRPr="005133A0">
              <w:rPr>
                <w:rFonts w:ascii="Times New Roman" w:hAnsi="Times New Roman" w:cs="Times New Roman"/>
                <w:iCs/>
                <w:sz w:val="24"/>
                <w:szCs w:val="24"/>
              </w:rPr>
              <w:t xml:space="preserve"> paslaugas, kurios apibrėžtos EKA Centro susitarime su Europos kosmoso agentūra (toliau – EKA);</w:t>
            </w:r>
          </w:p>
          <w:p w14:paraId="2BD123B3"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2.3.5. rūpintis atrinktų </w:t>
            </w:r>
            <w:proofErr w:type="spellStart"/>
            <w:r w:rsidRPr="005133A0">
              <w:rPr>
                <w:rFonts w:ascii="Times New Roman" w:hAnsi="Times New Roman" w:cs="Times New Roman"/>
                <w:iCs/>
                <w:sz w:val="24"/>
                <w:szCs w:val="24"/>
              </w:rPr>
              <w:t>startuolių</w:t>
            </w:r>
            <w:proofErr w:type="spellEnd"/>
            <w:r w:rsidRPr="005133A0">
              <w:rPr>
                <w:rFonts w:ascii="Times New Roman" w:hAnsi="Times New Roman" w:cs="Times New Roman"/>
                <w:iCs/>
                <w:sz w:val="24"/>
                <w:szCs w:val="24"/>
              </w:rPr>
              <w:t xml:space="preserve"> finansavimu, jų veiklos progreso stebėsena bei tęstinumo užtikrinimu.</w:t>
            </w:r>
          </w:p>
          <w:p w14:paraId="1153551C"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2.4. Aprašo 2.3 papunkčiuose nurodytos finansuojamos veiklos turi būti numatytos viename projekte.</w:t>
            </w:r>
          </w:p>
          <w:p w14:paraId="44F4C6CC"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2.5. Administruojančioji institucija – viešoji įstaiga Centrinė projektų valdymo agentūra (toliau – Administruojanti institucija).</w:t>
            </w:r>
          </w:p>
          <w:p w14:paraId="7D7B5FB7"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2.6. Tikslinė projekto grupė – MVĮ, turinčios susitarimą dėl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su EKA Centru.</w:t>
            </w:r>
          </w:p>
          <w:p w14:paraId="0113E6FF"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2.7. Galimi pareiškėjai – Mokslo ir technologijų parkai, turintys susitarimą su EKA dėl verslo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centro veiklos vykdymo (toliau – Pareiškėjas).</w:t>
            </w:r>
          </w:p>
          <w:p w14:paraId="73916D52"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2.8. Projekto partneriai – kosmoso srities </w:t>
            </w:r>
            <w:proofErr w:type="spellStart"/>
            <w:r w:rsidRPr="005133A0">
              <w:rPr>
                <w:rFonts w:ascii="Times New Roman" w:hAnsi="Times New Roman" w:cs="Times New Roman"/>
                <w:iCs/>
                <w:sz w:val="24"/>
                <w:szCs w:val="24"/>
              </w:rPr>
              <w:t>startuoliai</w:t>
            </w:r>
            <w:proofErr w:type="spellEnd"/>
            <w:r w:rsidRPr="005133A0">
              <w:rPr>
                <w:rFonts w:ascii="Times New Roman" w:hAnsi="Times New Roman" w:cs="Times New Roman"/>
                <w:iCs/>
                <w:sz w:val="24"/>
                <w:szCs w:val="24"/>
              </w:rPr>
              <w:t xml:space="preserve">, atrinkti EKA Centro gauti paslaugas EKA Centre bei turi tai patvirtinantį dokumentą – sutartį dėl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w:t>
            </w:r>
            <w:proofErr w:type="spellStart"/>
            <w:r w:rsidRPr="005133A0">
              <w:rPr>
                <w:rFonts w:ascii="Times New Roman" w:hAnsi="Times New Roman" w:cs="Times New Roman"/>
                <w:iCs/>
                <w:sz w:val="24"/>
                <w:szCs w:val="24"/>
              </w:rPr>
              <w:t>Startuolių</w:t>
            </w:r>
            <w:proofErr w:type="spellEnd"/>
            <w:r w:rsidRPr="005133A0">
              <w:rPr>
                <w:rFonts w:ascii="Times New Roman" w:hAnsi="Times New Roman" w:cs="Times New Roman"/>
                <w:iCs/>
                <w:sz w:val="24"/>
                <w:szCs w:val="24"/>
              </w:rPr>
              <w:t xml:space="preserve"> atrankos procesą reglamentuoja ir organizuoja EKA atstovai, kurie patvirtina </w:t>
            </w:r>
            <w:proofErr w:type="spellStart"/>
            <w:r w:rsidRPr="005133A0">
              <w:rPr>
                <w:rFonts w:ascii="Times New Roman" w:hAnsi="Times New Roman" w:cs="Times New Roman"/>
                <w:iCs/>
                <w:sz w:val="24"/>
                <w:szCs w:val="24"/>
              </w:rPr>
              <w:t>startuolių</w:t>
            </w:r>
            <w:proofErr w:type="spellEnd"/>
            <w:r w:rsidRPr="005133A0">
              <w:rPr>
                <w:rFonts w:ascii="Times New Roman" w:hAnsi="Times New Roman" w:cs="Times New Roman"/>
                <w:iCs/>
                <w:sz w:val="24"/>
                <w:szCs w:val="24"/>
              </w:rPr>
              <w:t xml:space="preserve"> veiklos atitikimą kosmoso sričiai. </w:t>
            </w:r>
            <w:proofErr w:type="spellStart"/>
            <w:r w:rsidRPr="005133A0">
              <w:rPr>
                <w:rFonts w:ascii="Times New Roman" w:hAnsi="Times New Roman" w:cs="Times New Roman"/>
                <w:iCs/>
                <w:sz w:val="24"/>
                <w:szCs w:val="24"/>
              </w:rPr>
              <w:t>Startuoliai</w:t>
            </w:r>
            <w:proofErr w:type="spellEnd"/>
            <w:r w:rsidRPr="005133A0">
              <w:rPr>
                <w:rFonts w:ascii="Times New Roman" w:hAnsi="Times New Roman" w:cs="Times New Roman"/>
                <w:iCs/>
                <w:sz w:val="24"/>
                <w:szCs w:val="24"/>
              </w:rPr>
              <w:t xml:space="preserve"> vykdo su kosmoso sektoriumi susijusius inovatyvias veiklas. </w:t>
            </w:r>
          </w:p>
          <w:p w14:paraId="2D1BD4D5"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2.9. Partnerių sąrašas gali būti papildomas projekto įgyvendinimo metu.</w:t>
            </w:r>
          </w:p>
          <w:p w14:paraId="1FC0BFEE"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2.10. Pagal Aprašą projektui įgyvendinti skiriama iki 500 000 Eur (penkių šimtų tūkstančių eurų) EGADP lėšų ir ne daugiau kaip 105 000 Eur (šimtas penki tūkstančiai eurų) Valstybės biudžeto lėšų, skirtų PVM kompensuoti.</w:t>
            </w:r>
          </w:p>
          <w:p w14:paraId="408FCB0D"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2.11. Vienam projekto partneriui tenkanti projekto lėšų suma negali būti didesnė negu 50 000 Eur (penkiasdešimt tūkstančių eurų). Projektai ko-finansuojami iš EGADP ir nuosavų lėšų. Didžiausia galima projektų finansuojamoji dalis sudaro iki 50 proc. iš EGADP lėšų (t. y. iki 25 000 Eur) ir iki 50 proc. lėšų, kurias </w:t>
            </w:r>
            <w:proofErr w:type="spellStart"/>
            <w:r w:rsidRPr="005133A0">
              <w:rPr>
                <w:rFonts w:ascii="Times New Roman" w:hAnsi="Times New Roman" w:cs="Times New Roman"/>
                <w:iCs/>
                <w:sz w:val="24"/>
                <w:szCs w:val="24"/>
              </w:rPr>
              <w:t>startuolis</w:t>
            </w:r>
            <w:proofErr w:type="spellEnd"/>
            <w:r w:rsidRPr="005133A0">
              <w:rPr>
                <w:rFonts w:ascii="Times New Roman" w:hAnsi="Times New Roman" w:cs="Times New Roman"/>
                <w:iCs/>
                <w:sz w:val="24"/>
                <w:szCs w:val="24"/>
              </w:rPr>
              <w:t xml:space="preserve"> gauna iš EKA (t. y. iki 25 000 Eur).</w:t>
            </w:r>
          </w:p>
          <w:p w14:paraId="676D9766"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2.12. Projektas turi atitikti projekto bendruosius atrankos kriterijus, nustatytus PAFT 2 priede.</w:t>
            </w:r>
          </w:p>
          <w:p w14:paraId="7256108C"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2.13. Projekto veiklos turi būti pradėtos įgyvendinti nuo Sutarties dėl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pasirašymo iki 2026 m. I ketvirčio.</w:t>
            </w:r>
          </w:p>
          <w:p w14:paraId="6AC5CBA9"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2.14. Jeigu projektas įgyvendinamas su partneriu, partnerystė projekte turi būti pagrįsta, teikti naudą ir prisidėti prie projekto tikslo įgyvendinimo. Iki PĮP pateikimo arba iki prašymo dėl partnerio įtraukimo pateikimo, jei partnerių sąrašas papildomas projekto įgyvendinimo metu, iki projekto sutarties sudarymo pareiškėjas su partneriu (-</w:t>
            </w:r>
            <w:proofErr w:type="spellStart"/>
            <w:r w:rsidRPr="005133A0">
              <w:rPr>
                <w:rFonts w:ascii="Times New Roman" w:hAnsi="Times New Roman" w:cs="Times New Roman"/>
                <w:iCs/>
                <w:sz w:val="24"/>
                <w:szCs w:val="24"/>
              </w:rPr>
              <w:t>iais</w:t>
            </w:r>
            <w:proofErr w:type="spellEnd"/>
            <w:r w:rsidRPr="005133A0">
              <w:rPr>
                <w:rFonts w:ascii="Times New Roman" w:hAnsi="Times New Roman" w:cs="Times New Roman"/>
                <w:iCs/>
                <w:sz w:val="24"/>
                <w:szCs w:val="24"/>
              </w:rPr>
              <w:t xml:space="preserve">) turi susitarti dėl tarpusavio teisių ir pareigų įgyvendinant projektą ir pateikti administruojančiajai institucijai tai įrodantį dokumentą – sutartį dėl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su vertimu į valstybinę kalbą.</w:t>
            </w:r>
          </w:p>
          <w:p w14:paraId="4122F586"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2.15. Kartu su PĮP administruojančiajai institucijai turi būti pateikti dokumentai:</w:t>
            </w:r>
          </w:p>
          <w:p w14:paraId="7531FB81"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2.15.1. Partnerio deklaracija pagal PĮP 1 priede pateiktą formą (taikoma, jei projektas bus įgyvendinamas su partneriu (-</w:t>
            </w:r>
            <w:proofErr w:type="spellStart"/>
            <w:r w:rsidRPr="005133A0">
              <w:rPr>
                <w:rFonts w:ascii="Times New Roman" w:hAnsi="Times New Roman" w:cs="Times New Roman"/>
                <w:iCs/>
                <w:sz w:val="24"/>
                <w:szCs w:val="24"/>
              </w:rPr>
              <w:t>iais</w:t>
            </w:r>
            <w:proofErr w:type="spellEnd"/>
            <w:r w:rsidRPr="005133A0">
              <w:rPr>
                <w:rFonts w:ascii="Times New Roman" w:hAnsi="Times New Roman" w:cs="Times New Roman"/>
                <w:iCs/>
                <w:sz w:val="24"/>
                <w:szCs w:val="24"/>
              </w:rPr>
              <w:t xml:space="preserve">)). </w:t>
            </w:r>
          </w:p>
          <w:p w14:paraId="198A7E4C"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2.15.2. Informacija apie projekto biudžeto paskirstymą pagal pareiškėjus ir partnerius pagal PĮP 2 priede pateiktą formą (taikoma, jei projektas bus įgyvendinamas su partneriu (-</w:t>
            </w:r>
            <w:proofErr w:type="spellStart"/>
            <w:r w:rsidRPr="005133A0">
              <w:rPr>
                <w:rFonts w:ascii="Times New Roman" w:hAnsi="Times New Roman" w:cs="Times New Roman"/>
                <w:iCs/>
                <w:sz w:val="24"/>
                <w:szCs w:val="24"/>
              </w:rPr>
              <w:t>iais</w:t>
            </w:r>
            <w:proofErr w:type="spellEnd"/>
            <w:r w:rsidRPr="005133A0">
              <w:rPr>
                <w:rFonts w:ascii="Times New Roman" w:hAnsi="Times New Roman" w:cs="Times New Roman"/>
                <w:iCs/>
                <w:sz w:val="24"/>
                <w:szCs w:val="24"/>
              </w:rPr>
              <w:t>)).</w:t>
            </w:r>
          </w:p>
          <w:p w14:paraId="711BFBF4"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lastRenderedPageBreak/>
              <w:t xml:space="preserve">2.15.3. Sutartis dėl </w:t>
            </w:r>
            <w:proofErr w:type="spellStart"/>
            <w:r w:rsidRPr="005133A0">
              <w:rPr>
                <w:rFonts w:ascii="Times New Roman" w:hAnsi="Times New Roman" w:cs="Times New Roman"/>
                <w:iCs/>
                <w:sz w:val="24"/>
                <w:szCs w:val="24"/>
              </w:rPr>
              <w:t>inkubavimo</w:t>
            </w:r>
            <w:proofErr w:type="spellEnd"/>
            <w:r w:rsidRPr="005133A0">
              <w:rPr>
                <w:rFonts w:ascii="Times New Roman" w:hAnsi="Times New Roman" w:cs="Times New Roman"/>
                <w:iCs/>
                <w:sz w:val="24"/>
                <w:szCs w:val="24"/>
              </w:rPr>
              <w:t xml:space="preserve"> kartu su vertimu į Valstybinę kalbą (Administruojanti institucija, įvertinusi šios sutarties sąlygas, laiko šį dokumentą tinkamu ir nereikalauja iš pareiškėjo pateikti kito įrodančio dokumento, kuriuo susitariama dėl tarpusavio teisių ir pareigų įgyvendinant projektą);</w:t>
            </w:r>
          </w:p>
          <w:p w14:paraId="599DB161"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2.15.4. Nuosavo indėlio ir netinkamų finansuoti išlaidų finansavimo šaltinius pagrindžiantys dokumentai. EKA Centro susitarimas su EKA yra laikytinas projekto partnerio nuosavo įnašo išlaidas pagrindžiančiu dokumentu.</w:t>
            </w:r>
          </w:p>
          <w:p w14:paraId="11AACC41"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2.16. Projektų atranka atliekama planavimo būdu.</w:t>
            </w:r>
          </w:p>
          <w:p w14:paraId="606A904F"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2.17. Netinkamos finansuoti išlaidos, kurių nepadengia projektui skiriamo finansavimo lėšos, taip pat tinkamos finansuoti, tačiau kurių nepadengia projektui skiriamo finansavimo lėšos, turi būti finansuojamos projekto vykdytojo ir (ar) projekto partnerių lėšomis. </w:t>
            </w:r>
          </w:p>
          <w:p w14:paraId="732F1777"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2.18. Pagal Aprašą teikiamo finansavimo forma – dotacija. </w:t>
            </w:r>
          </w:p>
          <w:p w14:paraId="204AA5F2" w14:textId="70A4183A" w:rsidR="007A4C1C" w:rsidRPr="00E01765" w:rsidRDefault="005133A0" w:rsidP="005133A0">
            <w:pPr>
              <w:rPr>
                <w:rFonts w:ascii="Times New Roman" w:hAnsi="Times New Roman" w:cs="Times New Roman"/>
                <w:iCs/>
                <w:sz w:val="24"/>
                <w:szCs w:val="24"/>
              </w:rPr>
            </w:pPr>
            <w:r w:rsidRPr="005133A0">
              <w:rPr>
                <w:rFonts w:ascii="Times New Roman" w:hAnsi="Times New Roman" w:cs="Times New Roman"/>
                <w:iCs/>
                <w:sz w:val="24"/>
                <w:szCs w:val="24"/>
              </w:rPr>
              <w:t>2.19. Projektų komunikacijos ir informavimo veiksmai atliekami vadovaujantis Taisyklių VIII skyriaus pirmojo skirsnio nuostatomis.</w:t>
            </w:r>
          </w:p>
        </w:tc>
      </w:tr>
      <w:tr w:rsidR="007A4C1C" w:rsidRPr="008B168C" w14:paraId="645EBFC3" w14:textId="77777777" w:rsidTr="67FCC6BA">
        <w:trPr>
          <w:cantSplit/>
          <w:trHeight w:val="300"/>
        </w:trPr>
        <w:tc>
          <w:tcPr>
            <w:tcW w:w="850" w:type="dxa"/>
            <w:vMerge w:val="restart"/>
          </w:tcPr>
          <w:p w14:paraId="528EAF67"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6"/>
            <w:shd w:val="clear" w:color="auto" w:fill="auto"/>
          </w:tcPr>
          <w:p w14:paraId="46EBEFE3" w14:textId="77777777" w:rsidR="007A4C1C" w:rsidRPr="009C094C" w:rsidRDefault="007A4C1C" w:rsidP="007A4C1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A4C1C" w:rsidRPr="008B168C" w14:paraId="0D89792B" w14:textId="77777777" w:rsidTr="67FCC6BA">
        <w:trPr>
          <w:cantSplit/>
          <w:trHeight w:val="464"/>
        </w:trPr>
        <w:tc>
          <w:tcPr>
            <w:tcW w:w="850" w:type="dxa"/>
            <w:vMerge/>
          </w:tcPr>
          <w:p w14:paraId="21EF960D" w14:textId="77777777" w:rsidR="007A4C1C" w:rsidRPr="00533406" w:rsidRDefault="007A4C1C" w:rsidP="007A4C1C">
            <w:pPr>
              <w:rPr>
                <w:rFonts w:ascii="Times New Roman" w:hAnsi="Times New Roman" w:cs="Times New Roman"/>
              </w:rPr>
            </w:pPr>
          </w:p>
        </w:tc>
        <w:tc>
          <w:tcPr>
            <w:tcW w:w="9434" w:type="dxa"/>
            <w:gridSpan w:val="6"/>
            <w:shd w:val="clear" w:color="auto" w:fill="auto"/>
          </w:tcPr>
          <w:p w14:paraId="52B5C725"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Projekto įgyvendinimo metu neturi būti pažeidžiami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inovatyvumo. </w:t>
            </w:r>
          </w:p>
          <w:p w14:paraId="22A5C869"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Darnaus vystymosi horizontalusis principas suprantamas kaip ekonominio, socialinio ir aplinkos sričių vystymosi balansas. Projektas turi prisidėti prie 2015 m. rugsėjo 25 d. Jungtinių Tautų patvirtintų darnaus vystymosi tikslų: 8 – Deramas darbas ir ekonomikos augimas, 9 – Pramonė, inovacijos ir infrastruktūra, 17 – Stiprinti įgyvendinimo priemones ir atgaivinti pasaulinę darnaus vystymosi partnerystę. Projektu orientuojamasi į didelę pridėtinę vertę kuriantį ekonomikos sektorių, netiesiogiai remiamas labai mažų, mažų ir vidutinių įmonių augimas, gebėjimų ugdymas, galimybė dalyvauti MTEP veiklose, remiamas jaunų žmonių dalyvavimas vystant ekonomikos sektorių. Projektas taip pat prisidės prie strateginių tikslų didinti sektoriaus dalį šalies BVP. Projektas taip pat skatins kurti naujas technologijas, įskaitant ir draugiškas aplinkai. Taip pat siekiant didinti viešojo sektoriaus indėlį skatinant darnų vystymąsi, įgyvendinant projektines veiklas, bus siekiama, kad dalis pirkimų būtų atliekami kaip žalieji viešieji pirkimai. Projektai taip pat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Projekto atitikties reikšmingos žalos nedarymo HP vertinimo reikalavimai pateikiami Aprašo 1 priede.</w:t>
            </w:r>
          </w:p>
          <w:p w14:paraId="4D06222F"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Lygių galimybių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Veiklų įgyvendinimui nebus numatyti jokie ribojimai dėl lyties, rasės, tautybės, pilietybės, kalbos, kilmės, socialinės padėties, tikėjimo, įsitikinimų ar pažiūrų, amžiaus, lytinės orientacijos, negalios, etninės priklausomybės, religijos ar kitų pagrindų.</w:t>
            </w:r>
          </w:p>
          <w:p w14:paraId="7F5A4E32" w14:textId="77777777" w:rsidR="005133A0" w:rsidRPr="005133A0" w:rsidRDefault="005133A0" w:rsidP="005133A0">
            <w:pPr>
              <w:jc w:val="both"/>
              <w:rPr>
                <w:rFonts w:ascii="Times New Roman" w:hAnsi="Times New Roman" w:cs="Times New Roman"/>
                <w:iCs/>
                <w:sz w:val="24"/>
                <w:szCs w:val="24"/>
              </w:rPr>
            </w:pPr>
            <w:r w:rsidRPr="005133A0">
              <w:rPr>
                <w:rFonts w:ascii="Times New Roman" w:hAnsi="Times New Roman" w:cs="Times New Roman"/>
                <w:iCs/>
                <w:sz w:val="24"/>
                <w:szCs w:val="24"/>
              </w:rPr>
              <w:t xml:space="preserve">Inovatyvumo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w:t>
            </w:r>
          </w:p>
          <w:p w14:paraId="67930090" w14:textId="4676CE4C" w:rsidR="007A4C1C" w:rsidRPr="00D9554F" w:rsidRDefault="005133A0" w:rsidP="005133A0">
            <w:pPr>
              <w:jc w:val="both"/>
              <w:rPr>
                <w:rFonts w:ascii="Times New Roman" w:hAnsi="Times New Roman" w:cs="Times New Roman"/>
                <w:iCs/>
              </w:rPr>
            </w:pPr>
            <w:r w:rsidRPr="005133A0">
              <w:rPr>
                <w:rFonts w:ascii="Times New Roman" w:hAnsi="Times New Roman" w:cs="Times New Roman"/>
                <w:iCs/>
                <w:sz w:val="24"/>
                <w:szCs w:val="24"/>
              </w:rPr>
              <w:t xml:space="preserve">Projektas turi tiesiogiai prisidėti prie sisteminės inovacijų ekosistemos problemų, ribojančių inovacijomis grįstos ekonomikos kūrimą ir visuomenės pažangą sprendimo. Pirmiausia projektas prisidės prie </w:t>
            </w:r>
            <w:proofErr w:type="spellStart"/>
            <w:r w:rsidRPr="005133A0">
              <w:rPr>
                <w:rFonts w:ascii="Times New Roman" w:hAnsi="Times New Roman" w:cs="Times New Roman"/>
                <w:iCs/>
                <w:sz w:val="24"/>
                <w:szCs w:val="24"/>
              </w:rPr>
              <w:t>startuolių</w:t>
            </w:r>
            <w:proofErr w:type="spellEnd"/>
            <w:r w:rsidRPr="005133A0">
              <w:rPr>
                <w:rFonts w:ascii="Times New Roman" w:hAnsi="Times New Roman" w:cs="Times New Roman"/>
                <w:iCs/>
                <w:sz w:val="24"/>
                <w:szCs w:val="24"/>
              </w:rPr>
              <w:t>, studentų, jaunų absolventų, fizinių asmenų, ketinančių steigti ir plėtoti verslą įgalinimo. Be to, projektu bus remiamos verslo ir mokslo galimybės dalyvauti MTEP veiklose ir tarptautinė tinklaveika. Projektas taip pat prisidės prie verslo ir mokslo rezultatų sklaidos. Galiausiai projekto veiklų poveikis lemia, kad kuriami ir (ar) diegiami inovatyvūs produktai.</w:t>
            </w:r>
          </w:p>
        </w:tc>
      </w:tr>
      <w:tr w:rsidR="007A4C1C" w:rsidRPr="008B168C" w14:paraId="7AE1E82A" w14:textId="77777777" w:rsidTr="67FCC6BA">
        <w:trPr>
          <w:cantSplit/>
          <w:trHeight w:val="300"/>
        </w:trPr>
        <w:tc>
          <w:tcPr>
            <w:tcW w:w="850" w:type="dxa"/>
            <w:vMerge w:val="restart"/>
          </w:tcPr>
          <w:p w14:paraId="6DFA2CD4"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6"/>
            <w:shd w:val="clear" w:color="auto" w:fill="auto"/>
          </w:tcPr>
          <w:p w14:paraId="3196A26C" w14:textId="77777777" w:rsidR="007A4C1C" w:rsidRPr="009C094C" w:rsidRDefault="007A4C1C" w:rsidP="007A4C1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A4C1C" w:rsidRPr="008B168C" w14:paraId="22F19081" w14:textId="77777777" w:rsidTr="67FCC6BA">
        <w:trPr>
          <w:cantSplit/>
          <w:trHeight w:val="431"/>
        </w:trPr>
        <w:tc>
          <w:tcPr>
            <w:tcW w:w="850" w:type="dxa"/>
            <w:vMerge/>
          </w:tcPr>
          <w:p w14:paraId="479498C8" w14:textId="77777777" w:rsidR="007A4C1C" w:rsidRPr="00533406" w:rsidRDefault="007A4C1C" w:rsidP="007A4C1C">
            <w:pPr>
              <w:rPr>
                <w:rFonts w:ascii="Times New Roman" w:hAnsi="Times New Roman" w:cs="Times New Roman"/>
              </w:rPr>
            </w:pPr>
          </w:p>
        </w:tc>
        <w:tc>
          <w:tcPr>
            <w:tcW w:w="9434" w:type="dxa"/>
            <w:gridSpan w:val="6"/>
            <w:shd w:val="clear" w:color="auto" w:fill="auto"/>
          </w:tcPr>
          <w:p w14:paraId="2AB5FE82" w14:textId="2E97F6B1" w:rsidR="007A4C1C" w:rsidRPr="00D9554F" w:rsidRDefault="007A4C1C" w:rsidP="007A4C1C">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Pagal Aprašą </w:t>
            </w:r>
            <w:r w:rsidR="005133A0">
              <w:rPr>
                <w:rFonts w:ascii="Times New Roman" w:hAnsi="Times New Roman" w:cs="Times New Roman"/>
                <w:iCs/>
                <w:sz w:val="24"/>
                <w:szCs w:val="24"/>
              </w:rPr>
              <w:t>r</w:t>
            </w:r>
            <w:r w:rsidR="005133A0" w:rsidRPr="005133A0">
              <w:rPr>
                <w:rFonts w:ascii="Times New Roman" w:hAnsi="Times New Roman" w:cs="Times New Roman"/>
                <w:iCs/>
                <w:sz w:val="24"/>
                <w:szCs w:val="24"/>
              </w:rPr>
              <w:t>eikalavimai įgyvendinus projektų veiklas numatyti Projektų administravimo ir finansavimo taisyklių IV skyriaus dešimtajame skirsnyje.</w:t>
            </w:r>
          </w:p>
        </w:tc>
      </w:tr>
      <w:tr w:rsidR="007A4C1C" w:rsidRPr="008B168C" w14:paraId="10055E58" w14:textId="77777777" w:rsidTr="67FCC6BA">
        <w:trPr>
          <w:cantSplit/>
          <w:trHeight w:val="300"/>
        </w:trPr>
        <w:tc>
          <w:tcPr>
            <w:tcW w:w="850" w:type="dxa"/>
            <w:vMerge w:val="restart"/>
          </w:tcPr>
          <w:p w14:paraId="28415F16"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6"/>
            <w:shd w:val="clear" w:color="auto" w:fill="auto"/>
          </w:tcPr>
          <w:p w14:paraId="6EE987A3" w14:textId="77777777" w:rsidR="007A4C1C" w:rsidRPr="009C094C" w:rsidRDefault="007A4C1C" w:rsidP="007A4C1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A4C1C" w:rsidRPr="008B168C" w14:paraId="23169105" w14:textId="77777777" w:rsidTr="67FCC6BA">
        <w:trPr>
          <w:cantSplit/>
          <w:trHeight w:val="725"/>
        </w:trPr>
        <w:tc>
          <w:tcPr>
            <w:tcW w:w="850" w:type="dxa"/>
            <w:vMerge/>
          </w:tcPr>
          <w:p w14:paraId="39011FA0" w14:textId="77777777" w:rsidR="007A4C1C" w:rsidRPr="00533406" w:rsidRDefault="007A4C1C" w:rsidP="007A4C1C">
            <w:pPr>
              <w:rPr>
                <w:rFonts w:ascii="Times New Roman" w:hAnsi="Times New Roman" w:cs="Times New Roman"/>
              </w:rPr>
            </w:pPr>
          </w:p>
        </w:tc>
        <w:tc>
          <w:tcPr>
            <w:tcW w:w="9434" w:type="dxa"/>
            <w:gridSpan w:val="6"/>
            <w:shd w:val="clear" w:color="auto" w:fill="auto"/>
          </w:tcPr>
          <w:p w14:paraId="7B2705CD" w14:textId="0F32BAC9" w:rsidR="007A4C1C" w:rsidRPr="00713F2A" w:rsidRDefault="007A4C1C" w:rsidP="007A4C1C">
            <w:pPr>
              <w:rPr>
                <w:rFonts w:ascii="Times New Roman" w:hAnsi="Times New Roman" w:cs="Times New Roman"/>
                <w:iCs/>
              </w:rPr>
            </w:pPr>
            <w:r w:rsidRPr="00713F2A">
              <w:rPr>
                <w:rFonts w:ascii="Times New Roman" w:hAnsi="Times New Roman" w:cs="Times New Roman"/>
                <w:iCs/>
              </w:rPr>
              <w:t xml:space="preserve">Projektas turi būti įgyvendintas iki 2026 m. </w:t>
            </w:r>
            <w:r w:rsidR="00277B4A">
              <w:rPr>
                <w:rFonts w:ascii="Times New Roman" w:hAnsi="Times New Roman" w:cs="Times New Roman"/>
                <w:iCs/>
              </w:rPr>
              <w:t>I ketvirčio.</w:t>
            </w:r>
            <w:r w:rsidRPr="00713F2A">
              <w:rPr>
                <w:rFonts w:ascii="Times New Roman" w:hAnsi="Times New Roman" w:cs="Times New Roman"/>
                <w:iCs/>
              </w:rPr>
              <w:t xml:space="preserve"> </w:t>
            </w:r>
          </w:p>
        </w:tc>
      </w:tr>
      <w:tr w:rsidR="007A4C1C" w:rsidRPr="008B168C" w14:paraId="684131BD" w14:textId="77777777" w:rsidTr="67FCC6BA">
        <w:trPr>
          <w:cantSplit/>
          <w:trHeight w:val="327"/>
        </w:trPr>
        <w:tc>
          <w:tcPr>
            <w:tcW w:w="850" w:type="dxa"/>
            <w:shd w:val="clear" w:color="auto" w:fill="auto"/>
          </w:tcPr>
          <w:p w14:paraId="33C636EC"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6"/>
            <w:shd w:val="clear" w:color="auto" w:fill="auto"/>
          </w:tcPr>
          <w:p w14:paraId="5635C7DC" w14:textId="77777777" w:rsidR="007A4C1C" w:rsidRPr="00533406" w:rsidRDefault="007A4C1C" w:rsidP="007A4C1C">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A4C1C" w:rsidRPr="008B168C" w14:paraId="4501CA1A" w14:textId="77777777" w:rsidTr="67FCC6BA">
        <w:trPr>
          <w:cantSplit/>
          <w:trHeight w:val="529"/>
        </w:trPr>
        <w:tc>
          <w:tcPr>
            <w:tcW w:w="850" w:type="dxa"/>
            <w:shd w:val="clear" w:color="auto" w:fill="auto"/>
          </w:tcPr>
          <w:p w14:paraId="281E124D" w14:textId="77777777" w:rsidR="007A4C1C" w:rsidRPr="00F62A6E" w:rsidRDefault="007A4C1C" w:rsidP="007A4C1C">
            <w:pPr>
              <w:rPr>
                <w:rFonts w:ascii="Times New Roman" w:hAnsi="Times New Roman" w:cs="Times New Roman"/>
                <w:b/>
              </w:rPr>
            </w:pPr>
          </w:p>
        </w:tc>
        <w:tc>
          <w:tcPr>
            <w:tcW w:w="9434" w:type="dxa"/>
            <w:gridSpan w:val="6"/>
            <w:shd w:val="clear" w:color="auto" w:fill="auto"/>
          </w:tcPr>
          <w:p w14:paraId="7ABEF336"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8.1. Pagal Aprašą valstybės pagalba, kaip ji apibrėžta Sutarties dėl Europos Sąjungos veikimo (OL 2010 C 83, p. 47) 107 straipsnyje ir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pagalba, kuri atitinka 2013 m. gruodžio 18 d. Komisijos reglamento (ES) Nr. 1407/2013 dėl Sutarties dėl Europos Sąjungos veikimo 107 ir 108 straipsnių taikymo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pagalbai (OL 2013 L 352, p. 1) nuostatas, Pareiškėjui neteikiama.</w:t>
            </w:r>
          </w:p>
          <w:p w14:paraId="0A855C6D"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8.2. Vykdant projekto veiklas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pagalba teikiama projekto partneriams. Tokia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pagalba atitinka teikiama vadovaujantis Reglamentu (ES) Nr. 1407/2013. PFSA nustatomos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pagalbos teikimo sąlygos, kurios atitinka Reglamento (ES) Nr. 1407/2013 nuostatas ir yra suderinamos su vidaus rinka. Pareiškėjas patikrina projekto partnerio gavėjo teisę gauti bendrą vienai įmonei suteikiamą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pagalbą. Projektą įgyvendinanti institucija turi patikrinti visas su Pareiškėju susijusias įmones dėl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pagalbos, nurodytas pateiktoje „Vienos įmonės“ deklaracijoje, taip pat Suteiktos valstybės pagalbos ir nereikšmingos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pagalbos registre, kurio nuostatai patvirtinti Lietuvos Respublikos Vyriausybės 2005 m. sausio 19 d. nutarimu Nr. 35 „Dėl Suteiktos valstybės pagalbos ir nereikšmingos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pagalbos registro nuostatų patvirtinimo“ (toliau – Registras), patikrinti, ar teikiama pagalba neviršys leidžiamo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pagalbos dydžio, kaip nustatyta Reglamento (ES) Nr. 1407/2013 3 straipsnyje. Priėmus sprendimą finansuoti projektą, projektą Pareiškėjas per 5 darbo dienas registruoja suteiktos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pagalbos sumą Registre.</w:t>
            </w:r>
          </w:p>
          <w:p w14:paraId="3937742D"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8.3. Pagal PFSA teikiama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pagalba gali būti teikiama ne ilgiau kaip iki Reglamento (ES) Nr. 1407/2013 galiojimo laikotarpio pabaigos.</w:t>
            </w:r>
          </w:p>
          <w:p w14:paraId="1F70AD21"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8.4. Bendra vienam naudos gavėjui ir su juo susijusiems naudos gavėjams teikiama valstybės pagalbos pagal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reglamentą suma negali viršyti 200 000 Eur (dviejų šimtų tūkstančių eurų). Šis reikalavimas taikomas nepriklausomai nuo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pagalbos formos arba siekiamų tikslų ir neatsižvelgiant į tai, ar valstybės narės skirta pagalba yra visa arba iš dalies finansuojama Europos Sąjungos kilmės ištekliais. </w:t>
            </w:r>
          </w:p>
          <w:p w14:paraId="40AE891B"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8.5. Jei partneris  yra įmonė, viena įmonė apima visas įmones, kaip nurodyta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reglamento 2 straipsnio 2 dalyje.  </w:t>
            </w:r>
          </w:p>
          <w:p w14:paraId="02CE9A8B"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8.6. Naudos gavėjui keliami šie reikalavimai:</w:t>
            </w:r>
          </w:p>
          <w:p w14:paraId="4B0B6FC8"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8.6.1. finansavimo skyrimo momentu yra Lietuvos Respublikoje registruota įmonė, atitinkanti </w:t>
            </w:r>
            <w:proofErr w:type="spellStart"/>
            <w:r w:rsidRPr="00277B4A">
              <w:rPr>
                <w:rFonts w:ascii="Times New Roman" w:hAnsi="Times New Roman" w:cs="Times New Roman"/>
                <w:iCs/>
                <w:sz w:val="24"/>
                <w:szCs w:val="24"/>
              </w:rPr>
              <w:t>startuolių</w:t>
            </w:r>
            <w:proofErr w:type="spellEnd"/>
            <w:r w:rsidRPr="00277B4A">
              <w:rPr>
                <w:rFonts w:ascii="Times New Roman" w:hAnsi="Times New Roman" w:cs="Times New Roman"/>
                <w:iCs/>
                <w:sz w:val="24"/>
                <w:szCs w:val="24"/>
              </w:rPr>
              <w:t xml:space="preserve"> apibrėžimą taip kaip jis pateiktas Smulkiojo ir vidutinio verslo plėtros įstatyme;   </w:t>
            </w:r>
          </w:p>
          <w:p w14:paraId="10CC28B9"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8.6.2. turi teisę gauti de </w:t>
            </w:r>
            <w:proofErr w:type="spellStart"/>
            <w:r w:rsidRPr="00277B4A">
              <w:rPr>
                <w:rFonts w:ascii="Times New Roman" w:hAnsi="Times New Roman" w:cs="Times New Roman"/>
                <w:iCs/>
                <w:sz w:val="24"/>
                <w:szCs w:val="24"/>
              </w:rPr>
              <w:t>minimis</w:t>
            </w:r>
            <w:proofErr w:type="spellEnd"/>
            <w:r w:rsidRPr="00277B4A">
              <w:rPr>
                <w:rFonts w:ascii="Times New Roman" w:hAnsi="Times New Roman" w:cs="Times New Roman"/>
                <w:iCs/>
                <w:sz w:val="24"/>
                <w:szCs w:val="24"/>
              </w:rPr>
              <w:t xml:space="preserve"> pagalbą.</w:t>
            </w:r>
          </w:p>
          <w:p w14:paraId="0342FC41" w14:textId="3681C04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8.7.</w:t>
            </w:r>
            <w:r>
              <w:rPr>
                <w:rFonts w:ascii="Times New Roman" w:hAnsi="Times New Roman" w:cs="Times New Roman"/>
                <w:iCs/>
                <w:sz w:val="24"/>
                <w:szCs w:val="24"/>
              </w:rPr>
              <w:t xml:space="preserve"> </w:t>
            </w:r>
            <w:r w:rsidRPr="00277B4A">
              <w:rPr>
                <w:rFonts w:ascii="Times New Roman" w:hAnsi="Times New Roman" w:cs="Times New Roman"/>
                <w:iCs/>
                <w:sz w:val="24"/>
                <w:szCs w:val="24"/>
              </w:rPr>
              <w:t xml:space="preserve">Pagal veiklą  partneriu  negali būti subjektas, kuris atitinka nors vieną šių sąlygų: </w:t>
            </w:r>
          </w:p>
          <w:p w14:paraId="3BD4022F"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8.7.1. kuriam taikomas neįvykdytas vykdomasis raštas išieškoti lėšas po ankstesnio Europos Komisijos sprendimo, kuriuo pagalba pripažinta neteisėta ir nesuderinama su vidaus rinka; </w:t>
            </w:r>
          </w:p>
          <w:p w14:paraId="4F64A43C"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8.7.2.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 </w:t>
            </w:r>
          </w:p>
          <w:p w14:paraId="62FD7680" w14:textId="77777777" w:rsidR="00277B4A" w:rsidRPr="00277B4A" w:rsidRDefault="00277B4A" w:rsidP="00277B4A">
            <w:pPr>
              <w:jc w:val="both"/>
              <w:rPr>
                <w:rFonts w:ascii="Times New Roman" w:hAnsi="Times New Roman" w:cs="Times New Roman"/>
                <w:iCs/>
                <w:sz w:val="24"/>
                <w:szCs w:val="24"/>
              </w:rPr>
            </w:pPr>
            <w:r w:rsidRPr="00277B4A">
              <w:rPr>
                <w:rFonts w:ascii="Times New Roman" w:hAnsi="Times New Roman" w:cs="Times New Roman"/>
                <w:iCs/>
                <w:sz w:val="24"/>
                <w:szCs w:val="24"/>
              </w:rPr>
              <w:t xml:space="preserve">8.7.3. kurį kontroliuojantys asmenys yra fiziniai asmenys, nuolat gyvenantys Rusijos Federacijoje, Baltarusijos Respublikoje arba turintys šių valstybių pilietybę, taip pat fiziniai asmenys, nuolat gyvenantys Ukrainos teritorijos dalyse – aneksuotoje Krymo ir kitose Ukrainos Vyriausybės nekontroliuojamose teritorijose, Moldovos Respublikos Vyriausybės nekontroliuojamoje </w:t>
            </w:r>
            <w:proofErr w:type="spellStart"/>
            <w:r w:rsidRPr="00277B4A">
              <w:rPr>
                <w:rFonts w:ascii="Times New Roman" w:hAnsi="Times New Roman" w:cs="Times New Roman"/>
                <w:iCs/>
                <w:sz w:val="24"/>
                <w:szCs w:val="24"/>
              </w:rPr>
              <w:t>Padniestrės</w:t>
            </w:r>
            <w:proofErr w:type="spellEnd"/>
            <w:r w:rsidRPr="00277B4A">
              <w:rPr>
                <w:rFonts w:ascii="Times New Roman" w:hAnsi="Times New Roman" w:cs="Times New Roman"/>
                <w:iCs/>
                <w:sz w:val="24"/>
                <w:szCs w:val="24"/>
              </w:rPr>
              <w:t xml:space="preserve"> teritorijoje, </w:t>
            </w:r>
            <w:proofErr w:type="spellStart"/>
            <w:r w:rsidRPr="00277B4A">
              <w:rPr>
                <w:rFonts w:ascii="Times New Roman" w:hAnsi="Times New Roman" w:cs="Times New Roman"/>
                <w:iCs/>
                <w:sz w:val="24"/>
                <w:szCs w:val="24"/>
              </w:rPr>
              <w:t>Sakartvelo</w:t>
            </w:r>
            <w:proofErr w:type="spellEnd"/>
            <w:r w:rsidRPr="00277B4A">
              <w:rPr>
                <w:rFonts w:ascii="Times New Roman" w:hAnsi="Times New Roman" w:cs="Times New Roman"/>
                <w:iCs/>
                <w:sz w:val="24"/>
                <w:szCs w:val="24"/>
              </w:rPr>
              <w:t xml:space="preserve"> Vyriausybės nekontroliuojamoje Abchazijos ir Pietų Osetijos teritorijose, arba turintys šių teritorijų pilietybę; </w:t>
            </w:r>
          </w:p>
          <w:p w14:paraId="21F8131B" w14:textId="30B7EB23" w:rsidR="007A4C1C" w:rsidRPr="009C094C" w:rsidRDefault="00277B4A" w:rsidP="00277B4A">
            <w:pPr>
              <w:jc w:val="both"/>
              <w:rPr>
                <w:rFonts w:ascii="Times New Roman" w:hAnsi="Times New Roman" w:cs="Times New Roman"/>
                <w:i/>
              </w:rPr>
            </w:pPr>
            <w:r w:rsidRPr="00277B4A">
              <w:rPr>
                <w:rFonts w:ascii="Times New Roman" w:hAnsi="Times New Roman" w:cs="Times New Roman"/>
                <w:iCs/>
                <w:sz w:val="24"/>
                <w:szCs w:val="24"/>
              </w:rPr>
              <w:t xml:space="preserve">8.7.4. nesugrąžinęs anksčiau gautos valstybės pagalbos, kurią valstybė iš savo išteklių teikia tam tikriems ūkio subjektams arba tam tikroms prekėms gaminti ar paslaugoms teikti, suteikdama išskirtinę ekonominę naudą, kuri neatsirastų rinkos sąlygomis ir kuri iškraipo konkurenciją bei veikia prekybą tarp Europos Sąjungos valstybių narių, Europos Komisijos sprendimu pripažintos </w:t>
            </w:r>
            <w:r w:rsidRPr="00277B4A">
              <w:rPr>
                <w:rFonts w:ascii="Times New Roman" w:hAnsi="Times New Roman" w:cs="Times New Roman"/>
                <w:iCs/>
                <w:sz w:val="24"/>
                <w:szCs w:val="24"/>
              </w:rPr>
              <w:lastRenderedPageBreak/>
              <w:t>neteisėta ir nesuderinama su vidaus rinka, kaip tai numatyta 2015 m. liepos 13 d. Tarybos reglamente (ES) 2015/1589, nustatančiame išsamias Sutarties dėl Europos Sąjungos veikimo 108 straipsnio taikymo taisykles.</w:t>
            </w:r>
          </w:p>
        </w:tc>
      </w:tr>
      <w:tr w:rsidR="007A4C1C" w:rsidRPr="008B168C" w14:paraId="1BC74407" w14:textId="77777777" w:rsidTr="67FCC6BA">
        <w:trPr>
          <w:cantSplit/>
          <w:trHeight w:val="423"/>
        </w:trPr>
        <w:tc>
          <w:tcPr>
            <w:tcW w:w="850" w:type="dxa"/>
            <w:shd w:val="clear" w:color="auto" w:fill="auto"/>
          </w:tcPr>
          <w:p w14:paraId="70B3125F"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34" w:type="dxa"/>
            <w:gridSpan w:val="6"/>
            <w:shd w:val="clear" w:color="auto" w:fill="auto"/>
          </w:tcPr>
          <w:p w14:paraId="20D4B8EE" w14:textId="77777777" w:rsidR="007A4C1C" w:rsidRPr="009C094C" w:rsidRDefault="007A4C1C" w:rsidP="007A4C1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A4C1C" w14:paraId="240FAF69" w14:textId="77777777" w:rsidTr="67FCC6BA">
        <w:trPr>
          <w:cantSplit/>
          <w:trHeight w:val="811"/>
        </w:trPr>
        <w:tc>
          <w:tcPr>
            <w:tcW w:w="850" w:type="dxa"/>
          </w:tcPr>
          <w:p w14:paraId="4689718C" w14:textId="77777777" w:rsidR="007A4C1C" w:rsidRPr="00F62A6E" w:rsidRDefault="007A4C1C" w:rsidP="007A4C1C">
            <w:pPr>
              <w:rPr>
                <w:rFonts w:ascii="Times New Roman" w:hAnsi="Times New Roman" w:cs="Times New Roman"/>
                <w:b/>
              </w:rPr>
            </w:pPr>
          </w:p>
        </w:tc>
        <w:tc>
          <w:tcPr>
            <w:tcW w:w="9434" w:type="dxa"/>
            <w:gridSpan w:val="6"/>
            <w:shd w:val="clear" w:color="auto" w:fill="auto"/>
          </w:tcPr>
          <w:p w14:paraId="21D5D9C2" w14:textId="77777777" w:rsidR="007A4C1C" w:rsidRPr="00713F2A" w:rsidRDefault="007A4C1C" w:rsidP="007A4C1C">
            <w:pPr>
              <w:spacing w:after="160" w:line="259" w:lineRule="auto"/>
              <w:rPr>
                <w:iCs/>
                <w:sz w:val="24"/>
                <w:szCs w:val="24"/>
              </w:rPr>
            </w:pPr>
            <w:r w:rsidRPr="00713F2A">
              <w:rPr>
                <w:rFonts w:ascii="Times New Roman" w:eastAsia="Times New Roman" w:hAnsi="Times New Roman" w:cs="Times New Roman"/>
                <w:iCs/>
                <w:sz w:val="24"/>
                <w:szCs w:val="24"/>
              </w:rPr>
              <w:t xml:space="preserve">Projektų bendrieji atrankos kriterijai nurodyti </w:t>
            </w:r>
            <w:r w:rsidRPr="00713F2A">
              <w:rPr>
                <w:rFonts w:ascii="Times New Roman" w:eastAsia="Times New Roman" w:hAnsi="Times New Roman" w:cs="Times New Roman"/>
                <w:iCs/>
                <w:color w:val="000000" w:themeColor="text1"/>
                <w:sz w:val="24"/>
                <w:szCs w:val="24"/>
              </w:rPr>
              <w:t xml:space="preserve">Projektų administravimo ir finansavimo taisyklių 2 priede.   </w:t>
            </w:r>
            <w:hyperlink r:id="rId12" w:history="1">
              <w:r w:rsidRPr="00713F2A">
                <w:rPr>
                  <w:rStyle w:val="Hyperlink"/>
                  <w:rFonts w:ascii="Times New Roman" w:hAnsi="Times New Roman" w:cs="Times New Roman"/>
                  <w:iCs/>
                  <w:sz w:val="24"/>
                  <w:szCs w:val="24"/>
                </w:rPr>
                <w:t>https://2021.esinvesticijos.lt/dokumentai/projektu-bendruju-atrankos-kriteriju-sarasas-ir-ju-vertinimo-metodika-3</w:t>
              </w:r>
            </w:hyperlink>
          </w:p>
        </w:tc>
      </w:tr>
      <w:tr w:rsidR="007A4C1C" w:rsidRPr="008B168C" w14:paraId="670769B8" w14:textId="77777777" w:rsidTr="67FCC6BA">
        <w:trPr>
          <w:cantSplit/>
          <w:trHeight w:val="423"/>
        </w:trPr>
        <w:tc>
          <w:tcPr>
            <w:tcW w:w="850" w:type="dxa"/>
            <w:vMerge w:val="restart"/>
          </w:tcPr>
          <w:p w14:paraId="08C91103"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t>2.16.7</w:t>
            </w:r>
          </w:p>
        </w:tc>
        <w:tc>
          <w:tcPr>
            <w:tcW w:w="9434" w:type="dxa"/>
            <w:gridSpan w:val="6"/>
            <w:shd w:val="clear" w:color="auto" w:fill="auto"/>
          </w:tcPr>
          <w:p w14:paraId="249E469B" w14:textId="77777777" w:rsidR="007A4C1C" w:rsidRPr="009C094C" w:rsidRDefault="007A4C1C" w:rsidP="007A4C1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A4C1C" w14:paraId="1124543E" w14:textId="77777777" w:rsidTr="67FCC6BA">
        <w:trPr>
          <w:cantSplit/>
          <w:trHeight w:val="423"/>
        </w:trPr>
        <w:tc>
          <w:tcPr>
            <w:tcW w:w="850" w:type="dxa"/>
            <w:vMerge/>
          </w:tcPr>
          <w:p w14:paraId="226FA7A4" w14:textId="77777777" w:rsidR="007A4C1C" w:rsidRDefault="007A4C1C" w:rsidP="007A4C1C">
            <w:pPr>
              <w:rPr>
                <w:rFonts w:ascii="Times New Roman" w:hAnsi="Times New Roman" w:cs="Times New Roman"/>
              </w:rPr>
            </w:pPr>
          </w:p>
        </w:tc>
        <w:tc>
          <w:tcPr>
            <w:tcW w:w="9434" w:type="dxa"/>
            <w:gridSpan w:val="6"/>
            <w:shd w:val="clear" w:color="auto" w:fill="auto"/>
          </w:tcPr>
          <w:p w14:paraId="307EF25B" w14:textId="77777777" w:rsidR="007A4C1C" w:rsidRPr="00713F2A" w:rsidRDefault="007A4C1C" w:rsidP="007A4C1C">
            <w:pPr>
              <w:rPr>
                <w:rFonts w:ascii="Times New Roman" w:hAnsi="Times New Roman" w:cs="Times New Roman"/>
              </w:rPr>
            </w:pPr>
            <w:r>
              <w:rPr>
                <w:rFonts w:ascii="Times New Roman" w:hAnsi="Times New Roman" w:cs="Times New Roman"/>
              </w:rPr>
              <w:t>Netaikoma</w:t>
            </w:r>
            <w:r w:rsidRPr="00713F2A">
              <w:rPr>
                <w:rFonts w:ascii="Times New Roman" w:hAnsi="Times New Roman" w:cs="Times New Roman"/>
              </w:rPr>
              <w:t xml:space="preserve"> </w:t>
            </w:r>
          </w:p>
        </w:tc>
      </w:tr>
      <w:tr w:rsidR="007A4C1C" w14:paraId="7E9EEB9A" w14:textId="77777777" w:rsidTr="67FCC6BA">
        <w:trPr>
          <w:cantSplit/>
          <w:trHeight w:val="423"/>
        </w:trPr>
        <w:tc>
          <w:tcPr>
            <w:tcW w:w="850" w:type="dxa"/>
            <w:vMerge w:val="restart"/>
          </w:tcPr>
          <w:p w14:paraId="39C0976E"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t>2.16.8</w:t>
            </w:r>
          </w:p>
        </w:tc>
        <w:tc>
          <w:tcPr>
            <w:tcW w:w="9434" w:type="dxa"/>
            <w:gridSpan w:val="6"/>
            <w:shd w:val="clear" w:color="auto" w:fill="auto"/>
          </w:tcPr>
          <w:p w14:paraId="2C7E26B0" w14:textId="77777777" w:rsidR="007A4C1C" w:rsidRPr="009C094C" w:rsidRDefault="007A4C1C" w:rsidP="007A4C1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A4C1C" w14:paraId="7250CDFC" w14:textId="77777777" w:rsidTr="67FCC6BA">
        <w:trPr>
          <w:cantSplit/>
          <w:trHeight w:val="423"/>
        </w:trPr>
        <w:tc>
          <w:tcPr>
            <w:tcW w:w="850" w:type="dxa"/>
            <w:vMerge/>
          </w:tcPr>
          <w:p w14:paraId="31C15F98" w14:textId="77777777" w:rsidR="007A4C1C" w:rsidRDefault="007A4C1C" w:rsidP="007A4C1C">
            <w:pPr>
              <w:rPr>
                <w:rFonts w:ascii="Times New Roman" w:hAnsi="Times New Roman" w:cs="Times New Roman"/>
              </w:rPr>
            </w:pPr>
          </w:p>
        </w:tc>
        <w:tc>
          <w:tcPr>
            <w:tcW w:w="9434" w:type="dxa"/>
            <w:gridSpan w:val="6"/>
            <w:shd w:val="clear" w:color="auto" w:fill="auto"/>
          </w:tcPr>
          <w:p w14:paraId="627D0C61" w14:textId="77777777" w:rsidR="007A4C1C" w:rsidRPr="00713F2A" w:rsidRDefault="007A4C1C" w:rsidP="007A4C1C">
            <w:pPr>
              <w:rPr>
                <w:rFonts w:ascii="Times New Roman" w:hAnsi="Times New Roman" w:cs="Times New Roman"/>
                <w:b/>
                <w:bCs/>
              </w:rPr>
            </w:pPr>
            <w:r w:rsidRPr="00713F2A">
              <w:rPr>
                <w:rFonts w:ascii="Times New Roman" w:hAnsi="Times New Roman" w:cs="Times New Roman"/>
              </w:rPr>
              <w:t>Netaikoma</w:t>
            </w:r>
          </w:p>
        </w:tc>
      </w:tr>
      <w:tr w:rsidR="007A4C1C" w:rsidRPr="008B168C" w14:paraId="24D9CF37" w14:textId="77777777" w:rsidTr="67FCC6BA">
        <w:trPr>
          <w:cantSplit/>
          <w:trHeight w:val="423"/>
        </w:trPr>
        <w:tc>
          <w:tcPr>
            <w:tcW w:w="850" w:type="dxa"/>
          </w:tcPr>
          <w:p w14:paraId="20FB3A34" w14:textId="77777777" w:rsidR="007A4C1C" w:rsidRPr="0090338F" w:rsidRDefault="007A4C1C" w:rsidP="007A4C1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6"/>
          </w:tcPr>
          <w:p w14:paraId="60F4A7E4" w14:textId="77777777" w:rsidR="007A4C1C" w:rsidRPr="00816450" w:rsidRDefault="007A4C1C" w:rsidP="007A4C1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A4C1C" w:rsidRPr="008B168C" w14:paraId="051CB4A8" w14:textId="77777777" w:rsidTr="67FCC6BA">
        <w:trPr>
          <w:cantSplit/>
          <w:trHeight w:val="300"/>
        </w:trPr>
        <w:tc>
          <w:tcPr>
            <w:tcW w:w="850" w:type="dxa"/>
          </w:tcPr>
          <w:p w14:paraId="52EF2E59"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t>2.17.1.</w:t>
            </w:r>
          </w:p>
        </w:tc>
        <w:tc>
          <w:tcPr>
            <w:tcW w:w="1984" w:type="dxa"/>
          </w:tcPr>
          <w:p w14:paraId="3CD1DD1B" w14:textId="77777777" w:rsidR="007A4C1C" w:rsidRPr="00216BC8" w:rsidRDefault="007A4C1C" w:rsidP="007A4C1C">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44329979" w14:textId="77777777" w:rsidR="00930567" w:rsidRPr="00930567" w:rsidRDefault="00930567" w:rsidP="00930567">
            <w:pPr>
              <w:jc w:val="both"/>
              <w:rPr>
                <w:rFonts w:ascii="Times New Roman" w:hAnsi="Times New Roman" w:cs="Times New Roman"/>
                <w:iCs/>
              </w:rPr>
            </w:pPr>
            <w:r w:rsidRPr="00930567">
              <w:rPr>
                <w:rFonts w:ascii="Times New Roman" w:hAnsi="Times New Roman" w:cs="Times New Roman"/>
                <w:iCs/>
              </w:rPr>
              <w:t>Parengtas projekto įgyvendinimo planas (su visais privalomais priedais) pasirašomas kvalifikuotu elektroniniu parašu ir teikiamas el. paštu info@cpva.lt</w:t>
            </w:r>
          </w:p>
          <w:p w14:paraId="5A1C274E" w14:textId="64368CE6" w:rsidR="007A4C1C" w:rsidRPr="00713F2A" w:rsidRDefault="00930567" w:rsidP="00930567">
            <w:pPr>
              <w:jc w:val="both"/>
              <w:rPr>
                <w:rFonts w:ascii="Times New Roman" w:hAnsi="Times New Roman" w:cs="Times New Roman"/>
                <w:iCs/>
              </w:rPr>
            </w:pPr>
            <w:r w:rsidRPr="00930567">
              <w:rPr>
                <w:rFonts w:ascii="Times New Roman" w:hAnsi="Times New Roman" w:cs="Times New Roman"/>
                <w:iCs/>
              </w:rPr>
              <w:t>Įsteigus Europos Sąjungos investicijų administravimo informacinę sistemą (INVESTIS) parengtas PĮP (su visais privalomais priedais) turės būti teikiamas tik per INVESTIS duomenų mainų svetainę.</w:t>
            </w:r>
          </w:p>
        </w:tc>
      </w:tr>
      <w:tr w:rsidR="007A4C1C" w:rsidRPr="008B168C" w14:paraId="20EE3933" w14:textId="77777777" w:rsidTr="00930567">
        <w:trPr>
          <w:cantSplit/>
          <w:trHeight w:val="4720"/>
        </w:trPr>
        <w:tc>
          <w:tcPr>
            <w:tcW w:w="850" w:type="dxa"/>
          </w:tcPr>
          <w:p w14:paraId="394B31ED" w14:textId="77777777" w:rsidR="007A4C1C" w:rsidRPr="00B026DA" w:rsidRDefault="007A4C1C" w:rsidP="007A4C1C">
            <w:pPr>
              <w:rPr>
                <w:rFonts w:ascii="Times New Roman" w:hAnsi="Times New Roman" w:cs="Times New Roman"/>
                <w:b/>
              </w:rPr>
            </w:pPr>
            <w:r w:rsidRPr="00B026DA">
              <w:rPr>
                <w:rFonts w:ascii="Times New Roman" w:hAnsi="Times New Roman" w:cs="Times New Roman"/>
                <w:b/>
              </w:rPr>
              <w:t xml:space="preserve">2.17.2. </w:t>
            </w:r>
          </w:p>
        </w:tc>
        <w:tc>
          <w:tcPr>
            <w:tcW w:w="1984" w:type="dxa"/>
          </w:tcPr>
          <w:p w14:paraId="14C720F9" w14:textId="77777777" w:rsidR="007A4C1C" w:rsidRPr="00B026DA" w:rsidRDefault="007A4C1C" w:rsidP="007A4C1C">
            <w:pPr>
              <w:rPr>
                <w:rFonts w:ascii="Times New Roman" w:hAnsi="Times New Roman" w:cs="Times New Roman"/>
                <w:b/>
                <w:bCs/>
              </w:rPr>
            </w:pPr>
            <w:r w:rsidRPr="00B026DA" w:rsidDel="79353E97">
              <w:rPr>
                <w:rFonts w:ascii="Times New Roman" w:hAnsi="Times New Roman" w:cs="Times New Roman"/>
                <w:b/>
                <w:bCs/>
              </w:rPr>
              <w:t>Kartu su PĮP turi būti pateikta:</w:t>
            </w:r>
          </w:p>
        </w:tc>
        <w:tc>
          <w:tcPr>
            <w:tcW w:w="7436" w:type="dxa"/>
            <w:gridSpan w:val="5"/>
          </w:tcPr>
          <w:p w14:paraId="3648BC10" w14:textId="77777777" w:rsidR="007A4C1C" w:rsidRPr="009C094C" w:rsidRDefault="007A4C1C" w:rsidP="007A4C1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1F636FDB" w14:textId="391E30DB" w:rsidR="007A4C1C" w:rsidRPr="00B57DA7" w:rsidRDefault="00D138CE" w:rsidP="007A4C1C">
            <w:pPr>
              <w:rPr>
                <w:rFonts w:ascii="Times New Roman" w:hAnsi="Times New Roman" w:cs="Times New Roman"/>
              </w:rPr>
            </w:pPr>
            <w:sdt>
              <w:sdtPr>
                <w:rPr>
                  <w:rFonts w:ascii="Times New Roman" w:hAnsi="Times New Roman" w:cs="Times New Roman"/>
                </w:rPr>
                <w:id w:val="-1283724716"/>
                <w:placeholder>
                  <w:docPart w:val="73E5103412634D36B26654A22E5A75B7"/>
                </w:placeholder>
                <w14:checkbox>
                  <w14:checked w14:val="1"/>
                  <w14:checkedState w14:val="2612" w14:font="MS Gothic"/>
                  <w14:uncheckedState w14:val="2610" w14:font="MS Gothic"/>
                </w14:checkbox>
              </w:sdtPr>
              <w:sdtEndPr/>
              <w:sdtContent>
                <w:r w:rsidR="00B026DA">
                  <w:rPr>
                    <w:rFonts w:ascii="MS Gothic" w:eastAsia="MS Gothic" w:hAnsi="MS Gothic" w:cs="Times New Roman" w:hint="eastAsia"/>
                  </w:rPr>
                  <w:t>☒</w:t>
                </w:r>
              </w:sdtContent>
            </w:sdt>
            <w:r w:rsidR="007A4C1C" w:rsidRPr="00B57DA7">
              <w:rPr>
                <w:rFonts w:ascii="Times New Roman" w:hAnsi="Times New Roman" w:cs="Times New Roman"/>
              </w:rPr>
              <w:t xml:space="preserve"> Partnerio deklaracija</w:t>
            </w:r>
            <w:r w:rsidR="007A4C1C" w:rsidRPr="61F0C4A1">
              <w:rPr>
                <w:rFonts w:ascii="Times New Roman" w:hAnsi="Times New Roman" w:cs="Times New Roman"/>
              </w:rPr>
              <w:t xml:space="preserve"> (jei projektas  įgyvendinamas su partneriu (-</w:t>
            </w:r>
            <w:proofErr w:type="spellStart"/>
            <w:r w:rsidR="007A4C1C" w:rsidRPr="61F0C4A1">
              <w:rPr>
                <w:rFonts w:ascii="Times New Roman" w:hAnsi="Times New Roman" w:cs="Times New Roman"/>
              </w:rPr>
              <w:t>iais</w:t>
            </w:r>
            <w:proofErr w:type="spellEnd"/>
            <w:r w:rsidR="007A4C1C" w:rsidRPr="61F0C4A1">
              <w:rPr>
                <w:rFonts w:ascii="Times New Roman" w:hAnsi="Times New Roman" w:cs="Times New Roman"/>
              </w:rPr>
              <w:t>)</w:t>
            </w:r>
          </w:p>
          <w:p w14:paraId="44C6E752" w14:textId="77777777" w:rsidR="007A4C1C" w:rsidRPr="00B57DA7" w:rsidRDefault="00D138CE" w:rsidP="007A4C1C">
            <w:pPr>
              <w:rPr>
                <w:rFonts w:ascii="Times New Roman" w:hAnsi="Times New Roman" w:cs="Times New Roman"/>
              </w:rPr>
            </w:pPr>
            <w:hyperlink r:id="rId13" w:history="1">
              <w:r w:rsidR="007A4C1C" w:rsidRPr="00F112F2">
                <w:rPr>
                  <w:rStyle w:val="Hyperlink"/>
                  <w:rFonts w:ascii="Times New Roman" w:hAnsi="Times New Roman" w:cs="Times New Roman"/>
                </w:rPr>
                <w:t>https://2021.esinvesticijos.lt/dokumentai/partnerio-deklaracija</w:t>
              </w:r>
            </w:hyperlink>
            <w:r w:rsidR="007A4C1C">
              <w:rPr>
                <w:rFonts w:ascii="Times New Roman" w:hAnsi="Times New Roman" w:cs="Times New Roman"/>
              </w:rPr>
              <w:t xml:space="preserve"> </w:t>
            </w:r>
          </w:p>
          <w:p w14:paraId="1DA50890" w14:textId="724EC500" w:rsidR="007A4C1C" w:rsidRDefault="00D138CE" w:rsidP="007A4C1C">
            <w:pPr>
              <w:rPr>
                <w:rFonts w:ascii="Times New Roman" w:hAnsi="Times New Roman" w:cs="Times New Roman"/>
              </w:rPr>
            </w:pPr>
            <w:sdt>
              <w:sdtPr>
                <w:rPr>
                  <w:rFonts w:ascii="Times New Roman" w:hAnsi="Times New Roman" w:cs="Times New Roman"/>
                </w:rPr>
                <w:id w:val="1514339151"/>
                <w:placeholder>
                  <w:docPart w:val="73E5103412634D36B26654A22E5A75B7"/>
                </w:placeholder>
                <w14:checkbox>
                  <w14:checked w14:val="1"/>
                  <w14:checkedState w14:val="2612" w14:font="MS Gothic"/>
                  <w14:uncheckedState w14:val="2610" w14:font="MS Gothic"/>
                </w14:checkbox>
              </w:sdtPr>
              <w:sdtEndPr/>
              <w:sdtContent>
                <w:r w:rsidR="00B026DA">
                  <w:rPr>
                    <w:rFonts w:ascii="MS Gothic" w:eastAsia="MS Gothic" w:hAnsi="MS Gothic" w:cs="Times New Roman" w:hint="eastAsia"/>
                  </w:rPr>
                  <w:t>☒</w:t>
                </w:r>
              </w:sdtContent>
            </w:sdt>
            <w:r w:rsidR="007A4C1C" w:rsidRPr="00B57DA7">
              <w:rPr>
                <w:rFonts w:ascii="Times New Roman" w:hAnsi="Times New Roman" w:cs="Times New Roman"/>
              </w:rPr>
              <w:t xml:space="preserve"> Informacija apie projekto biudžeto paskirstymą pagal pareiškėjus ir partnerius </w:t>
            </w:r>
            <w:r w:rsidR="007A4C1C" w:rsidRPr="61F0C4A1">
              <w:rPr>
                <w:rFonts w:ascii="Times New Roman" w:hAnsi="Times New Roman" w:cs="Times New Roman"/>
              </w:rPr>
              <w:t>(jei projektas  įgyvendinamas</w:t>
            </w:r>
          </w:p>
          <w:p w14:paraId="5F4632A2" w14:textId="77777777" w:rsidR="007A4C1C" w:rsidRPr="00B57DA7" w:rsidRDefault="007A4C1C" w:rsidP="007A4C1C">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4"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2A58011A" w14:textId="77777777" w:rsidR="00B026DA" w:rsidRDefault="00D138CE" w:rsidP="007A4C1C">
            <w:pPr>
              <w:rPr>
                <w:rFonts w:ascii="Times New Roman" w:hAnsi="Times New Roman" w:cs="Times New Roman"/>
              </w:rPr>
            </w:pPr>
            <w:sdt>
              <w:sdtPr>
                <w:rPr>
                  <w:rFonts w:ascii="Times New Roman" w:hAnsi="Times New Roman" w:cs="Times New Roman"/>
                </w:rPr>
                <w:id w:val="1078791020"/>
                <w:placeholder>
                  <w:docPart w:val="73E5103412634D36B26654A22E5A75B7"/>
                </w:placeholder>
                <w14:checkbox>
                  <w14:checked w14:val="1"/>
                  <w14:checkedState w14:val="2612" w14:font="MS Gothic"/>
                  <w14:uncheckedState w14:val="2610" w14:font="MS Gothic"/>
                </w14:checkbox>
              </w:sdtPr>
              <w:sdtEndPr/>
              <w:sdtContent>
                <w:r w:rsidR="00B026DA">
                  <w:rPr>
                    <w:rFonts w:ascii="MS Gothic" w:eastAsia="MS Gothic" w:hAnsi="MS Gothic" w:cs="Times New Roman" w:hint="eastAsia"/>
                  </w:rPr>
                  <w:t>☒</w:t>
                </w:r>
              </w:sdtContent>
            </w:sdt>
            <w:r w:rsidR="007A4C1C">
              <w:rPr>
                <w:rFonts w:ascii="Times New Roman" w:hAnsi="Times New Roman" w:cs="Times New Roman"/>
              </w:rPr>
              <w:t xml:space="preserve"> </w:t>
            </w:r>
            <w:r w:rsidR="007A4C1C" w:rsidRPr="7BC78F99">
              <w:rPr>
                <w:rFonts w:ascii="Times New Roman" w:hAnsi="Times New Roman" w:cs="Times New Roman"/>
              </w:rPr>
              <w:t xml:space="preserve">Kiti priedai: </w:t>
            </w:r>
          </w:p>
          <w:p w14:paraId="6CB5D98D" w14:textId="77777777" w:rsidR="007A4C1C" w:rsidRDefault="00B026DA" w:rsidP="00B026DA">
            <w:pPr>
              <w:pStyle w:val="ListParagraph"/>
              <w:numPr>
                <w:ilvl w:val="0"/>
                <w:numId w:val="31"/>
              </w:numPr>
              <w:jc w:val="both"/>
              <w:rPr>
                <w:rFonts w:ascii="Times New Roman" w:hAnsi="Times New Roman" w:cs="Times New Roman"/>
              </w:rPr>
            </w:pPr>
            <w:r w:rsidRPr="00B026DA">
              <w:rPr>
                <w:rFonts w:ascii="Times New Roman" w:hAnsi="Times New Roman" w:cs="Times New Roman"/>
              </w:rPr>
              <w:t xml:space="preserve">Sutartis dėl </w:t>
            </w:r>
            <w:proofErr w:type="spellStart"/>
            <w:r w:rsidRPr="00B026DA">
              <w:rPr>
                <w:rFonts w:ascii="Times New Roman" w:hAnsi="Times New Roman" w:cs="Times New Roman"/>
              </w:rPr>
              <w:t>inkubavimo</w:t>
            </w:r>
            <w:proofErr w:type="spellEnd"/>
            <w:r w:rsidRPr="00B026DA">
              <w:rPr>
                <w:rFonts w:ascii="Times New Roman" w:hAnsi="Times New Roman" w:cs="Times New Roman"/>
              </w:rPr>
              <w:t xml:space="preserve"> kartu su vertimu į Valstybinę kalbą (Administruojanti institucija, įvertinusi šios sutarties sąlygas, laiko šį dokumentą tinkamu ir nereikalauja iš pareiškėjo pateikti kito įrodančio dokumento, kuriuo susitariama dėl tarpusavio teisių ir pareigų įgyvendinant projektą);</w:t>
            </w:r>
          </w:p>
          <w:p w14:paraId="6FFB90C8" w14:textId="25E724D6" w:rsidR="00B026DA" w:rsidRPr="00B026DA" w:rsidRDefault="00B026DA" w:rsidP="00B026DA">
            <w:pPr>
              <w:pStyle w:val="ListParagraph"/>
              <w:numPr>
                <w:ilvl w:val="0"/>
                <w:numId w:val="31"/>
              </w:numPr>
              <w:jc w:val="both"/>
              <w:rPr>
                <w:rFonts w:ascii="Times New Roman" w:hAnsi="Times New Roman" w:cs="Times New Roman"/>
              </w:rPr>
            </w:pPr>
            <w:r w:rsidRPr="00B026DA">
              <w:rPr>
                <w:rFonts w:ascii="Times New Roman" w:hAnsi="Times New Roman" w:cs="Times New Roman"/>
              </w:rPr>
              <w:t>Nuosavo indėlio ir netinkamų finansuoti išlaidų finansavimo šaltinius pagrindžiantys dokumentai. EKA Centro susitarimas su EKA yra laikytinas projekto partnerio nuosavo įnašo išlaidas pagrindžiančiu dokumentu.</w:t>
            </w:r>
          </w:p>
        </w:tc>
      </w:tr>
      <w:tr w:rsidR="007A4C1C" w:rsidRPr="008B168C" w14:paraId="0750DBC1" w14:textId="77777777" w:rsidTr="67FCC6BA">
        <w:trPr>
          <w:cantSplit/>
          <w:trHeight w:val="300"/>
        </w:trPr>
        <w:tc>
          <w:tcPr>
            <w:tcW w:w="850" w:type="dxa"/>
          </w:tcPr>
          <w:p w14:paraId="6E152CC5" w14:textId="77777777" w:rsidR="007A4C1C" w:rsidRPr="00F62A6E" w:rsidRDefault="007A4C1C" w:rsidP="007A4C1C">
            <w:pPr>
              <w:rPr>
                <w:rFonts w:ascii="Times New Roman" w:hAnsi="Times New Roman" w:cs="Times New Roman"/>
                <w:b/>
              </w:rPr>
            </w:pPr>
            <w:r w:rsidRPr="00F62A6E">
              <w:rPr>
                <w:rFonts w:ascii="Times New Roman" w:hAnsi="Times New Roman" w:cs="Times New Roman"/>
                <w:b/>
              </w:rPr>
              <w:t>2.17.3</w:t>
            </w:r>
          </w:p>
        </w:tc>
        <w:tc>
          <w:tcPr>
            <w:tcW w:w="1984" w:type="dxa"/>
          </w:tcPr>
          <w:p w14:paraId="3D637A34" w14:textId="77777777" w:rsidR="007A4C1C" w:rsidRPr="00FC5CD8" w:rsidRDefault="007A4C1C" w:rsidP="007A4C1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2C53E174" w14:textId="77777777" w:rsidR="007A4C1C" w:rsidRPr="00B57DA7" w:rsidRDefault="00D138CE" w:rsidP="007A4C1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A4C1C">
                  <w:rPr>
                    <w:rFonts w:ascii="MS Gothic" w:eastAsia="MS Gothic" w:hAnsi="MS Gothic" w:cs="Times New Roman" w:hint="eastAsia"/>
                  </w:rPr>
                  <w:t>☐</w:t>
                </w:r>
              </w:sdtContent>
            </w:sdt>
            <w:r w:rsidR="007A4C1C" w:rsidRPr="00B57DA7">
              <w:rPr>
                <w:rFonts w:ascii="Times New Roman" w:hAnsi="Times New Roman" w:cs="Times New Roman"/>
              </w:rPr>
              <w:t xml:space="preserve"> </w:t>
            </w:r>
            <w:r w:rsidR="007A4C1C">
              <w:rPr>
                <w:rFonts w:ascii="Times New Roman" w:hAnsi="Times New Roman" w:cs="Times New Roman"/>
              </w:rPr>
              <w:t>Taip</w:t>
            </w:r>
          </w:p>
          <w:p w14:paraId="28FCDA56" w14:textId="77777777" w:rsidR="007A4C1C" w:rsidRPr="008B168C" w:rsidRDefault="00D138CE" w:rsidP="007A4C1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A4C1C">
                  <w:rPr>
                    <w:rFonts w:ascii="MS Gothic" w:eastAsia="MS Gothic" w:hAnsi="MS Gothic" w:cs="Times New Roman" w:hint="eastAsia"/>
                  </w:rPr>
                  <w:t>☒</w:t>
                </w:r>
              </w:sdtContent>
            </w:sdt>
            <w:r w:rsidR="007A4C1C" w:rsidRPr="00B57DA7">
              <w:rPr>
                <w:rFonts w:ascii="Times New Roman" w:hAnsi="Times New Roman" w:cs="Times New Roman"/>
              </w:rPr>
              <w:t xml:space="preserve"> </w:t>
            </w:r>
            <w:r w:rsidR="007A4C1C">
              <w:rPr>
                <w:rFonts w:ascii="Times New Roman" w:hAnsi="Times New Roman" w:cs="Times New Roman"/>
              </w:rPr>
              <w:t>Ne</w:t>
            </w:r>
          </w:p>
        </w:tc>
      </w:tr>
      <w:tr w:rsidR="007A4C1C" w:rsidRPr="008B168C" w14:paraId="609FE4CA" w14:textId="77777777" w:rsidTr="67FCC6BA">
        <w:trPr>
          <w:cantSplit/>
          <w:trHeight w:val="300"/>
        </w:trPr>
        <w:tc>
          <w:tcPr>
            <w:tcW w:w="850" w:type="dxa"/>
          </w:tcPr>
          <w:p w14:paraId="440B2BAB" w14:textId="77777777" w:rsidR="007A4C1C" w:rsidRPr="00F62A6E" w:rsidRDefault="007A4C1C" w:rsidP="007A4C1C">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7B970D91" w14:textId="77777777" w:rsidR="007A4C1C" w:rsidRPr="00FC5CD8" w:rsidRDefault="007A4C1C" w:rsidP="007A4C1C">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6CF07AB2" w14:textId="77777777" w:rsidR="007A4C1C" w:rsidRPr="00713F2A" w:rsidRDefault="007A4C1C" w:rsidP="007A4C1C">
            <w:pPr>
              <w:jc w:val="both"/>
              <w:rPr>
                <w:rFonts w:ascii="Times New Roman" w:hAnsi="Times New Roman" w:cs="Times New Roman"/>
                <w:sz w:val="24"/>
                <w:szCs w:val="24"/>
              </w:rPr>
            </w:pPr>
            <w:r w:rsidRPr="00713F2A">
              <w:rPr>
                <w:rFonts w:ascii="Times New Roman" w:eastAsiaTheme="minorEastAsia" w:hAnsi="Times New Roman" w:cs="Times New Roman"/>
                <w:noProof/>
                <w:color w:val="414141"/>
                <w:sz w:val="24"/>
                <w:szCs w:val="24"/>
                <w:lang w:val="en-US" w:eastAsia="lt-LT"/>
              </w:rPr>
              <w:t xml:space="preserve">Centrinės projektų valdymo agentūros Struktūrinių ir investicijų fondų programos Kultūros projektų skyriaus projektų vadovė Tatjana Zabolotnaja, tel. 8 690 73595, el. p. </w:t>
            </w:r>
            <w:hyperlink r:id="rId15" w:history="1">
              <w:r w:rsidRPr="00713F2A">
                <w:rPr>
                  <w:rStyle w:val="Hyperlink"/>
                  <w:rFonts w:ascii="Times New Roman" w:eastAsiaTheme="minorEastAsia" w:hAnsi="Times New Roman" w:cs="Times New Roman"/>
                  <w:noProof/>
                  <w:sz w:val="24"/>
                  <w:szCs w:val="24"/>
                  <w:lang w:eastAsia="lt-LT"/>
                </w:rPr>
                <w:t>t.zabolotnaja</w:t>
              </w:r>
              <w:r w:rsidRPr="00713F2A">
                <w:rPr>
                  <w:rStyle w:val="Hyperlink"/>
                  <w:rFonts w:ascii="Times New Roman" w:eastAsiaTheme="minorEastAsia" w:hAnsi="Times New Roman" w:cs="Times New Roman"/>
                  <w:noProof/>
                  <w:sz w:val="24"/>
                  <w:szCs w:val="24"/>
                  <w:lang w:val="en-US" w:eastAsia="lt-LT"/>
                </w:rPr>
                <w:t>@cpva.lt</w:t>
              </w:r>
            </w:hyperlink>
          </w:p>
        </w:tc>
      </w:tr>
      <w:tr w:rsidR="007A4C1C" w:rsidRPr="008B168C" w14:paraId="61B4A83C" w14:textId="77777777" w:rsidTr="67FCC6BA">
        <w:trPr>
          <w:cantSplit/>
          <w:trHeight w:val="300"/>
        </w:trPr>
        <w:tc>
          <w:tcPr>
            <w:tcW w:w="850" w:type="dxa"/>
          </w:tcPr>
          <w:p w14:paraId="71190966" w14:textId="77777777" w:rsidR="007A4C1C" w:rsidRPr="00F62A6E" w:rsidRDefault="007A4C1C" w:rsidP="007A4C1C">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688A7D19" w14:textId="77777777" w:rsidR="007A4C1C" w:rsidRPr="00FC5CD8" w:rsidRDefault="007A4C1C" w:rsidP="007A4C1C">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23EE096A" w14:textId="77777777" w:rsidR="007A4C1C" w:rsidRPr="005A0152" w:rsidRDefault="007A4C1C" w:rsidP="007A4C1C">
            <w:pPr>
              <w:jc w:val="both"/>
              <w:rPr>
                <w:rFonts w:ascii="Times New Roman" w:hAnsi="Times New Roman" w:cs="Times New Roman"/>
              </w:rPr>
            </w:pPr>
            <w:r w:rsidRPr="00404DEC">
              <w:rPr>
                <w:rFonts w:ascii="Times New Roman" w:hAnsi="Times New Roman" w:cs="Times New Roman"/>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hyperlink r:id="rId16" w:history="1">
              <w:r w:rsidRPr="005A0152">
                <w:rPr>
                  <w:rStyle w:val="Hyperlink"/>
                  <w:rFonts w:ascii="Times New Roman" w:hAnsi="Times New Roman" w:cs="Times New Roman"/>
                </w:rPr>
                <w:t>https://www.e-tar.lt/portal/lt/legalAct/14e33320f1ed11ec8fa7d02a65c371ad</w:t>
              </w:r>
            </w:hyperlink>
            <w:r w:rsidRPr="005A0152">
              <w:rPr>
                <w:rFonts w:ascii="Times New Roman" w:hAnsi="Times New Roman" w:cs="Times New Roman"/>
              </w:rPr>
              <w:t>;</w:t>
            </w:r>
          </w:p>
          <w:p w14:paraId="7DEBFF78" w14:textId="6B705071" w:rsidR="007A4C1C" w:rsidRPr="005A0152" w:rsidRDefault="007A4C1C" w:rsidP="005A0152">
            <w:pPr>
              <w:spacing w:after="160" w:line="259" w:lineRule="auto"/>
            </w:pPr>
            <w:r w:rsidRPr="005A0152">
              <w:rPr>
                <w:rFonts w:ascii="Times New Roman" w:hAnsi="Times New Roman" w:cs="Times New Roman"/>
              </w:rPr>
              <w:t>Pažangos priemonės Nr. 05-001-01-05-07 „Sukurti nuoseklią inovacinės veiklos skatinimo sistemą“ 3.</w:t>
            </w:r>
            <w:r w:rsidR="007955CF" w:rsidRPr="005A0152">
              <w:rPr>
                <w:rFonts w:ascii="Times New Roman" w:hAnsi="Times New Roman" w:cs="Times New Roman"/>
              </w:rPr>
              <w:t>3</w:t>
            </w:r>
            <w:r w:rsidRPr="005A0152">
              <w:rPr>
                <w:rFonts w:ascii="Times New Roman" w:hAnsi="Times New Roman" w:cs="Times New Roman"/>
              </w:rPr>
              <w:t xml:space="preserve"> poveiklės „</w:t>
            </w:r>
            <w:r w:rsidR="007955CF" w:rsidRPr="005A0152">
              <w:rPr>
                <w:rFonts w:ascii="Times New Roman" w:hAnsi="Times New Roman" w:cs="Times New Roman"/>
              </w:rPr>
              <w:t xml:space="preserve">Vykdyti </w:t>
            </w:r>
            <w:proofErr w:type="spellStart"/>
            <w:r w:rsidR="007955CF" w:rsidRPr="005A0152">
              <w:rPr>
                <w:rFonts w:ascii="Times New Roman" w:hAnsi="Times New Roman" w:cs="Times New Roman"/>
              </w:rPr>
              <w:t>startuolių</w:t>
            </w:r>
            <w:proofErr w:type="spellEnd"/>
            <w:r w:rsidR="007955CF" w:rsidRPr="005A0152">
              <w:rPr>
                <w:rFonts w:ascii="Times New Roman" w:hAnsi="Times New Roman" w:cs="Times New Roman"/>
              </w:rPr>
              <w:t xml:space="preserve"> </w:t>
            </w:r>
            <w:proofErr w:type="spellStart"/>
            <w:r w:rsidR="007955CF" w:rsidRPr="005A0152">
              <w:rPr>
                <w:rFonts w:ascii="Times New Roman" w:hAnsi="Times New Roman" w:cs="Times New Roman"/>
              </w:rPr>
              <w:t>inkubavimo</w:t>
            </w:r>
            <w:proofErr w:type="spellEnd"/>
            <w:r w:rsidR="007955CF" w:rsidRPr="005A0152">
              <w:rPr>
                <w:rFonts w:ascii="Times New Roman" w:hAnsi="Times New Roman" w:cs="Times New Roman"/>
              </w:rPr>
              <w:t xml:space="preserve"> veiklas Europos kosmoso agentūros verslo </w:t>
            </w:r>
            <w:proofErr w:type="spellStart"/>
            <w:r w:rsidR="007955CF" w:rsidRPr="005A0152">
              <w:rPr>
                <w:rFonts w:ascii="Times New Roman" w:hAnsi="Times New Roman" w:cs="Times New Roman"/>
              </w:rPr>
              <w:t>inkubavimo</w:t>
            </w:r>
            <w:proofErr w:type="spellEnd"/>
            <w:r w:rsidR="007955CF" w:rsidRPr="005A0152">
              <w:rPr>
                <w:rFonts w:ascii="Times New Roman" w:hAnsi="Times New Roman" w:cs="Times New Roman"/>
              </w:rPr>
              <w:t xml:space="preserve"> centre</w:t>
            </w:r>
            <w:r w:rsidRPr="005A0152">
              <w:rPr>
                <w:rFonts w:ascii="Times New Roman" w:hAnsi="Times New Roman" w:cs="Times New Roman"/>
              </w:rPr>
              <w:t xml:space="preserve">“ projektų finansavimo sąlygų aprašas </w:t>
            </w:r>
            <w:hyperlink r:id="rId17" w:history="1">
              <w:r w:rsidR="005A0152" w:rsidRPr="005A0152">
                <w:rPr>
                  <w:rStyle w:val="Hyperlink"/>
                </w:rPr>
                <w:t>https://www.e-tar.lt/portal/lt/legalAct/0d5836804d8811ee81b8b446907f594f</w:t>
              </w:r>
            </w:hyperlink>
          </w:p>
        </w:tc>
      </w:tr>
      <w:tr w:rsidR="007A4C1C" w:rsidRPr="008B168C" w14:paraId="59CE8D71" w14:textId="77777777" w:rsidTr="67FCC6BA">
        <w:trPr>
          <w:cantSplit/>
          <w:trHeight w:val="300"/>
        </w:trPr>
        <w:tc>
          <w:tcPr>
            <w:tcW w:w="850" w:type="dxa"/>
          </w:tcPr>
          <w:p w14:paraId="6AA6F98F" w14:textId="77777777" w:rsidR="007A4C1C" w:rsidRPr="00FC5CD8" w:rsidRDefault="007A4C1C" w:rsidP="007A4C1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22C0D524" w14:textId="77777777" w:rsidR="007A4C1C" w:rsidRPr="00FC5CD8" w:rsidRDefault="007A4C1C" w:rsidP="007A4C1C">
            <w:pPr>
              <w:rPr>
                <w:rFonts w:ascii="Times New Roman" w:hAnsi="Times New Roman" w:cs="Times New Roman"/>
                <w:b/>
                <w:bCs/>
              </w:rPr>
            </w:pPr>
            <w:r w:rsidRPr="00FC5CD8">
              <w:rPr>
                <w:rFonts w:ascii="Times New Roman" w:hAnsi="Times New Roman" w:cs="Times New Roman"/>
                <w:b/>
                <w:bCs/>
              </w:rPr>
              <w:t>Kita informacija</w:t>
            </w:r>
          </w:p>
          <w:p w14:paraId="5ABD9906" w14:textId="77777777" w:rsidR="007A4C1C" w:rsidRPr="00FC5CD8" w:rsidRDefault="007A4C1C" w:rsidP="007A4C1C">
            <w:pPr>
              <w:rPr>
                <w:rFonts w:ascii="Times New Roman" w:hAnsi="Times New Roman" w:cs="Times New Roman"/>
                <w:b/>
                <w:bCs/>
              </w:rPr>
            </w:pPr>
          </w:p>
        </w:tc>
        <w:tc>
          <w:tcPr>
            <w:tcW w:w="7436" w:type="dxa"/>
            <w:gridSpan w:val="5"/>
          </w:tcPr>
          <w:p w14:paraId="36A457F1" w14:textId="77777777" w:rsidR="007A4C1C" w:rsidRPr="00344EBE" w:rsidRDefault="007A4C1C" w:rsidP="007A4C1C">
            <w:pPr>
              <w:jc w:val="both"/>
              <w:rPr>
                <w:rFonts w:ascii="Times New Roman" w:hAnsi="Times New Roman" w:cs="Times New Roman"/>
              </w:rPr>
            </w:pPr>
            <w:r>
              <w:rPr>
                <w:rFonts w:ascii="Times New Roman" w:hAnsi="Times New Roman" w:cs="Times New Roman"/>
              </w:rPr>
              <w:t>-</w:t>
            </w:r>
          </w:p>
        </w:tc>
      </w:tr>
      <w:tr w:rsidR="007A4C1C" w:rsidRPr="008B168C" w14:paraId="6EB5ABD4" w14:textId="77777777" w:rsidTr="67FCC6BA">
        <w:trPr>
          <w:cantSplit/>
          <w:trHeight w:val="300"/>
        </w:trPr>
        <w:tc>
          <w:tcPr>
            <w:tcW w:w="850" w:type="dxa"/>
          </w:tcPr>
          <w:p w14:paraId="64152089" w14:textId="77777777" w:rsidR="007A4C1C" w:rsidRPr="00FC5CD8" w:rsidRDefault="007A4C1C" w:rsidP="007A4C1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198E049C" w14:textId="77777777" w:rsidR="007A4C1C" w:rsidRPr="00906A12" w:rsidRDefault="007A4C1C" w:rsidP="007A4C1C">
            <w:pPr>
              <w:rPr>
                <w:rFonts w:ascii="Times New Roman" w:hAnsi="Times New Roman" w:cs="Times New Roman"/>
                <w:b/>
                <w:bCs/>
                <w:lang w:val="en-US"/>
              </w:rPr>
            </w:pPr>
            <w:r w:rsidRPr="78905E6F">
              <w:rPr>
                <w:rFonts w:ascii="Times New Roman" w:hAnsi="Times New Roman" w:cs="Times New Roman"/>
                <w:b/>
                <w:bCs/>
              </w:rPr>
              <w:t>Priedai</w:t>
            </w:r>
          </w:p>
        </w:tc>
        <w:tc>
          <w:tcPr>
            <w:tcW w:w="7436" w:type="dxa"/>
            <w:gridSpan w:val="5"/>
          </w:tcPr>
          <w:p w14:paraId="78538A2B" w14:textId="77777777" w:rsidR="007A4C1C" w:rsidRPr="00017678" w:rsidRDefault="007A4C1C" w:rsidP="007A4C1C">
            <w:pPr>
              <w:jc w:val="both"/>
              <w:rPr>
                <w:rFonts w:ascii="Times New Roman" w:hAnsi="Times New Roman" w:cs="Times New Roman"/>
              </w:rPr>
            </w:pPr>
            <w:r>
              <w:rPr>
                <w:rFonts w:ascii="Times New Roman" w:hAnsi="Times New Roman" w:cs="Times New Roman"/>
              </w:rPr>
              <w:t>Projekto įgyvendinimo plano forma</w:t>
            </w:r>
            <w:r w:rsidRPr="009C094C">
              <w:rPr>
                <w:rFonts w:ascii="Times New Roman" w:hAnsi="Times New Roman" w:cs="Times New Roman"/>
                <w:i/>
                <w:iCs/>
              </w:rPr>
              <w:t xml:space="preserve"> </w:t>
            </w:r>
            <w:hyperlink r:id="rId18" w:history="1">
              <w:r w:rsidRPr="00017678">
                <w:rPr>
                  <w:rStyle w:val="Hyperlink"/>
                  <w:rFonts w:ascii="Times New Roman" w:hAnsi="Times New Roman" w:cs="Times New Roman"/>
                </w:rPr>
                <w:t>https://2021.esinvesticijos.lt/dokumentai/projekto-igyvendinimo-plano-forma</w:t>
              </w:r>
            </w:hyperlink>
            <w:r w:rsidRPr="00017678">
              <w:rPr>
                <w:rFonts w:ascii="Times New Roman" w:hAnsi="Times New Roman" w:cs="Times New Roman"/>
              </w:rPr>
              <w:t>.</w:t>
            </w:r>
          </w:p>
          <w:p w14:paraId="37E887FC" w14:textId="77777777" w:rsidR="007A4C1C" w:rsidRPr="009C094C" w:rsidRDefault="007A4C1C" w:rsidP="007A4C1C">
            <w:pPr>
              <w:jc w:val="both"/>
              <w:rPr>
                <w:rFonts w:ascii="Times New Roman" w:hAnsi="Times New Roman" w:cs="Times New Roman"/>
                <w:i/>
                <w:iCs/>
              </w:rPr>
            </w:pPr>
          </w:p>
        </w:tc>
      </w:tr>
    </w:tbl>
    <w:p w14:paraId="4A8DE9B0"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19"/>
      <w:footerReference w:type="default" r:id="rId2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86B9" w14:textId="77777777" w:rsidR="008B2842" w:rsidRDefault="008B2842" w:rsidP="00213DCB">
      <w:pPr>
        <w:spacing w:after="0" w:line="240" w:lineRule="auto"/>
      </w:pPr>
      <w:r>
        <w:separator/>
      </w:r>
    </w:p>
  </w:endnote>
  <w:endnote w:type="continuationSeparator" w:id="0">
    <w:p w14:paraId="52A9BBD9" w14:textId="77777777" w:rsidR="008B2842" w:rsidRDefault="008B2842" w:rsidP="00213DCB">
      <w:pPr>
        <w:spacing w:after="0" w:line="240" w:lineRule="auto"/>
      </w:pPr>
      <w:r>
        <w:continuationSeparator/>
      </w:r>
    </w:p>
  </w:endnote>
  <w:endnote w:type="continuationNotice" w:id="1">
    <w:p w14:paraId="706D2239" w14:textId="77777777" w:rsidR="008B2842" w:rsidRDefault="008B2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8B2842" w14:paraId="4032DDF8" w14:textId="77777777" w:rsidTr="009C094C">
      <w:trPr>
        <w:trHeight w:val="300"/>
      </w:trPr>
      <w:tc>
        <w:tcPr>
          <w:tcW w:w="3305" w:type="dxa"/>
        </w:tcPr>
        <w:p w14:paraId="17E71498" w14:textId="77777777" w:rsidR="008B2842" w:rsidRDefault="008B2842" w:rsidP="009C094C">
          <w:pPr>
            <w:pStyle w:val="Header"/>
            <w:ind w:left="-115"/>
          </w:pPr>
        </w:p>
      </w:tc>
      <w:tc>
        <w:tcPr>
          <w:tcW w:w="3305" w:type="dxa"/>
        </w:tcPr>
        <w:p w14:paraId="170DCCDC" w14:textId="77777777" w:rsidR="008B2842" w:rsidRDefault="008B2842" w:rsidP="009C094C">
          <w:pPr>
            <w:pStyle w:val="Header"/>
            <w:jc w:val="center"/>
          </w:pPr>
        </w:p>
      </w:tc>
      <w:tc>
        <w:tcPr>
          <w:tcW w:w="3305" w:type="dxa"/>
        </w:tcPr>
        <w:p w14:paraId="0778CBE6" w14:textId="77777777" w:rsidR="008B2842" w:rsidRDefault="008B2842" w:rsidP="009C094C">
          <w:pPr>
            <w:pStyle w:val="Header"/>
            <w:ind w:right="-115"/>
            <w:jc w:val="right"/>
          </w:pPr>
        </w:p>
      </w:tc>
    </w:tr>
  </w:tbl>
  <w:p w14:paraId="7A7A3B65" w14:textId="77777777" w:rsidR="008B2842" w:rsidRDefault="008B2842"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33AE" w14:textId="77777777" w:rsidR="008B2842" w:rsidRDefault="008B2842" w:rsidP="00213DCB">
      <w:pPr>
        <w:spacing w:after="0" w:line="240" w:lineRule="auto"/>
      </w:pPr>
      <w:r>
        <w:separator/>
      </w:r>
    </w:p>
  </w:footnote>
  <w:footnote w:type="continuationSeparator" w:id="0">
    <w:p w14:paraId="3CF488EE" w14:textId="77777777" w:rsidR="008B2842" w:rsidRDefault="008B2842" w:rsidP="00213DCB">
      <w:pPr>
        <w:spacing w:after="0" w:line="240" w:lineRule="auto"/>
      </w:pPr>
      <w:r>
        <w:continuationSeparator/>
      </w:r>
    </w:p>
  </w:footnote>
  <w:footnote w:type="continuationNotice" w:id="1">
    <w:p w14:paraId="095E52AD" w14:textId="77777777" w:rsidR="008B2842" w:rsidRDefault="008B2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FF70" w14:textId="77777777" w:rsidR="008B2842" w:rsidRPr="003737FE" w:rsidRDefault="008B2842"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3662DB"/>
    <w:multiLevelType w:val="hybridMultilevel"/>
    <w:tmpl w:val="F4367554"/>
    <w:lvl w:ilvl="0" w:tplc="04270001">
      <w:start w:val="1"/>
      <w:numFmt w:val="bullet"/>
      <w:lvlText w:val=""/>
      <w:lvlJc w:val="left"/>
      <w:pPr>
        <w:ind w:left="720" w:hanging="360"/>
      </w:pPr>
      <w:rPr>
        <w:rFonts w:ascii="Symbol" w:hAnsi="Symbol" w:hint="default"/>
      </w:rPr>
    </w:lvl>
    <w:lvl w:ilvl="1" w:tplc="AE8A626C">
      <w:start w:val="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59726F"/>
    <w:multiLevelType w:val="hybridMultilevel"/>
    <w:tmpl w:val="D4E05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5A51596"/>
    <w:multiLevelType w:val="hybridMultilevel"/>
    <w:tmpl w:val="B5109A50"/>
    <w:lvl w:ilvl="0" w:tplc="C02497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CA423E"/>
    <w:multiLevelType w:val="hybridMultilevel"/>
    <w:tmpl w:val="0A0CC0F8"/>
    <w:lvl w:ilvl="0" w:tplc="FFFFFFFF">
      <w:start w:val="2"/>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E83354B"/>
    <w:multiLevelType w:val="hybridMultilevel"/>
    <w:tmpl w:val="4120C780"/>
    <w:lvl w:ilvl="0" w:tplc="427C06C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202541">
    <w:abstractNumId w:val="9"/>
  </w:num>
  <w:num w:numId="2" w16cid:durableId="2110466700">
    <w:abstractNumId w:val="13"/>
  </w:num>
  <w:num w:numId="3" w16cid:durableId="1864319944">
    <w:abstractNumId w:val="1"/>
  </w:num>
  <w:num w:numId="4" w16cid:durableId="485980576">
    <w:abstractNumId w:val="0"/>
  </w:num>
  <w:num w:numId="5" w16cid:durableId="1246693686">
    <w:abstractNumId w:val="10"/>
  </w:num>
  <w:num w:numId="6" w16cid:durableId="1313220671">
    <w:abstractNumId w:val="18"/>
  </w:num>
  <w:num w:numId="7" w16cid:durableId="1648435374">
    <w:abstractNumId w:val="6"/>
  </w:num>
  <w:num w:numId="8" w16cid:durableId="1536238086">
    <w:abstractNumId w:val="3"/>
  </w:num>
  <w:num w:numId="9" w16cid:durableId="1254822464">
    <w:abstractNumId w:val="5"/>
  </w:num>
  <w:num w:numId="10" w16cid:durableId="1681422648">
    <w:abstractNumId w:val="21"/>
  </w:num>
  <w:num w:numId="11" w16cid:durableId="709502670">
    <w:abstractNumId w:val="11"/>
  </w:num>
  <w:num w:numId="12" w16cid:durableId="365132843">
    <w:abstractNumId w:val="14"/>
  </w:num>
  <w:num w:numId="13" w16cid:durableId="244611131">
    <w:abstractNumId w:val="21"/>
    <w:lvlOverride w:ilvl="0"/>
    <w:lvlOverride w:ilvl="1">
      <w:startOverride w:val="2"/>
    </w:lvlOverride>
    <w:lvlOverride w:ilvl="2"/>
    <w:lvlOverride w:ilvl="3"/>
    <w:lvlOverride w:ilvl="4"/>
    <w:lvlOverride w:ilvl="5"/>
    <w:lvlOverride w:ilvl="6"/>
    <w:lvlOverride w:ilvl="7"/>
    <w:lvlOverride w:ilvl="8"/>
  </w:num>
  <w:num w:numId="14" w16cid:durableId="58285541">
    <w:abstractNumId w:val="17"/>
  </w:num>
  <w:num w:numId="15" w16cid:durableId="1558931301">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379407405">
    <w:abstractNumId w:val="21"/>
  </w:num>
  <w:num w:numId="17" w16cid:durableId="2102099741">
    <w:abstractNumId w:val="21"/>
  </w:num>
  <w:num w:numId="18" w16cid:durableId="1561094625">
    <w:abstractNumId w:val="21"/>
  </w:num>
  <w:num w:numId="19" w16cid:durableId="1002315777">
    <w:abstractNumId w:val="21"/>
  </w:num>
  <w:num w:numId="20" w16cid:durableId="880365333">
    <w:abstractNumId w:val="21"/>
  </w:num>
  <w:num w:numId="21" w16cid:durableId="1651517341">
    <w:abstractNumId w:val="21"/>
  </w:num>
  <w:num w:numId="22" w16cid:durableId="1337344979">
    <w:abstractNumId w:val="16"/>
  </w:num>
  <w:num w:numId="23" w16cid:durableId="456291973">
    <w:abstractNumId w:val="2"/>
  </w:num>
  <w:num w:numId="24" w16cid:durableId="220560689">
    <w:abstractNumId w:val="8"/>
  </w:num>
  <w:num w:numId="25" w16cid:durableId="1093162263">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44174379">
    <w:abstractNumId w:val="20"/>
  </w:num>
  <w:num w:numId="27" w16cid:durableId="459804959">
    <w:abstractNumId w:val="4"/>
  </w:num>
  <w:num w:numId="28" w16cid:durableId="481239137">
    <w:abstractNumId w:val="19"/>
  </w:num>
  <w:num w:numId="29" w16cid:durableId="523709587">
    <w:abstractNumId w:val="22"/>
  </w:num>
  <w:num w:numId="30" w16cid:durableId="855464484">
    <w:abstractNumId w:val="12"/>
  </w:num>
  <w:num w:numId="31" w16cid:durableId="1543010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17678"/>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200"/>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72C4"/>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6355"/>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77B4A"/>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57BA"/>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077D"/>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0B1"/>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4DEC"/>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488"/>
    <w:rsid w:val="00425B02"/>
    <w:rsid w:val="004272F3"/>
    <w:rsid w:val="00427626"/>
    <w:rsid w:val="00431468"/>
    <w:rsid w:val="004328E4"/>
    <w:rsid w:val="00432999"/>
    <w:rsid w:val="00434A7A"/>
    <w:rsid w:val="004351B2"/>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7A3"/>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183"/>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3A0"/>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37902"/>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152"/>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D7A67"/>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0CBF"/>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3536"/>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3F2A"/>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8C6"/>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55CF"/>
    <w:rsid w:val="007977F8"/>
    <w:rsid w:val="00797F0D"/>
    <w:rsid w:val="007A0B56"/>
    <w:rsid w:val="007A0F6D"/>
    <w:rsid w:val="007A1B56"/>
    <w:rsid w:val="007A1BEF"/>
    <w:rsid w:val="007A26CE"/>
    <w:rsid w:val="007A39F1"/>
    <w:rsid w:val="007A3E9C"/>
    <w:rsid w:val="007A4C1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6D4F"/>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4AC4"/>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2842"/>
    <w:rsid w:val="008B4078"/>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6A12"/>
    <w:rsid w:val="00913C77"/>
    <w:rsid w:val="00917BB4"/>
    <w:rsid w:val="0092049F"/>
    <w:rsid w:val="009245DD"/>
    <w:rsid w:val="009246B3"/>
    <w:rsid w:val="00924BE3"/>
    <w:rsid w:val="00926953"/>
    <w:rsid w:val="0092774B"/>
    <w:rsid w:val="0092791F"/>
    <w:rsid w:val="00930567"/>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2DC"/>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4AAD"/>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26DA"/>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6A8"/>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297"/>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2C8B"/>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1FD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8CE"/>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554F"/>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1765"/>
    <w:rsid w:val="00E029DB"/>
    <w:rsid w:val="00E02D5F"/>
    <w:rsid w:val="00E033C9"/>
    <w:rsid w:val="00E03C98"/>
    <w:rsid w:val="00E05953"/>
    <w:rsid w:val="00E06AE6"/>
    <w:rsid w:val="00E0725F"/>
    <w:rsid w:val="00E13639"/>
    <w:rsid w:val="00E13F8A"/>
    <w:rsid w:val="00E14442"/>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365F3"/>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4B9"/>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6044"/>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329"/>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C6A79"/>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4351B2"/>
    <w:rPr>
      <w:color w:val="605E5C"/>
      <w:shd w:val="clear" w:color="auto" w:fill="E1DFDD"/>
    </w:rPr>
  </w:style>
  <w:style w:type="table" w:customStyle="1" w:styleId="TableGrid3">
    <w:name w:val="Table Grid3"/>
    <w:basedOn w:val="TableNormal"/>
    <w:next w:val="TableGrid"/>
    <w:uiPriority w:val="59"/>
    <w:rsid w:val="00A84AAD"/>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6C3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artnerio-deklaracija" TargetMode="External"/><Relationship Id="rId18"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www.e-tar.lt/portal/lt/legalAct/0d5836804d8811ee81b8b446907f594f" TargetMode="External"/><Relationship Id="rId2" Type="http://schemas.openxmlformats.org/officeDocument/2006/relationships/customXml" Target="../customXml/item2.xml"/><Relationship Id="rId16" Type="http://schemas.openxmlformats.org/officeDocument/2006/relationships/hyperlink" Target="https://www.e-tar.lt/portal/lt/legalAct/14e33320f1ed11ec8fa7d02a65c371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d5836804d8811ee81b8b446907f594f" TargetMode="External"/><Relationship Id="rId5" Type="http://schemas.openxmlformats.org/officeDocument/2006/relationships/numbering" Target="numbering.xml"/><Relationship Id="rId15" Type="http://schemas.openxmlformats.org/officeDocument/2006/relationships/hyperlink" Target="mailto:t.zabolotnaja@cpv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8D84C8D19BE340A588B1668705FE05B3"/>
        <w:category>
          <w:name w:val="General"/>
          <w:gallery w:val="placeholder"/>
        </w:category>
        <w:types>
          <w:type w:val="bbPlcHdr"/>
        </w:types>
        <w:behaviors>
          <w:behavior w:val="content"/>
        </w:behaviors>
        <w:guid w:val="{F1BA36DD-8CB2-4D64-87D7-AC89D46BDBC7}"/>
      </w:docPartPr>
      <w:docPartBody>
        <w:p w:rsidR="00F1419F" w:rsidRDefault="00F1419F"/>
      </w:docPartBody>
    </w:docPart>
    <w:docPart>
      <w:docPartPr>
        <w:name w:val="6672FD4E5CE34DB19A759EE91FDD2720"/>
        <w:category>
          <w:name w:val="General"/>
          <w:gallery w:val="placeholder"/>
        </w:category>
        <w:types>
          <w:type w:val="bbPlcHdr"/>
        </w:types>
        <w:behaviors>
          <w:behavior w:val="content"/>
        </w:behaviors>
        <w:guid w:val="{FD0C4DB6-348D-4AD7-8A62-D9A3AD1576E0}"/>
      </w:docPartPr>
      <w:docPartBody>
        <w:p w:rsidR="00F1419F" w:rsidRDefault="00F1419F"/>
      </w:docPartBody>
    </w:docPart>
    <w:docPart>
      <w:docPartPr>
        <w:name w:val="73E5103412634D36B26654A22E5A75B7"/>
        <w:category>
          <w:name w:val="General"/>
          <w:gallery w:val="placeholder"/>
        </w:category>
        <w:types>
          <w:type w:val="bbPlcHdr"/>
        </w:types>
        <w:behaviors>
          <w:behavior w:val="content"/>
        </w:behaviors>
        <w:guid w:val="{7AE80A2C-141D-4416-9E62-BAC2C5171CE1}"/>
      </w:docPartPr>
      <w:docPartBody>
        <w:p w:rsidR="00791ADF" w:rsidRDefault="00791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B5A7D"/>
    <w:rsid w:val="003D1812"/>
    <w:rsid w:val="004A4126"/>
    <w:rsid w:val="00631305"/>
    <w:rsid w:val="00666228"/>
    <w:rsid w:val="006E2987"/>
    <w:rsid w:val="007511AF"/>
    <w:rsid w:val="00791ADF"/>
    <w:rsid w:val="007A1E62"/>
    <w:rsid w:val="007D36F7"/>
    <w:rsid w:val="00803552"/>
    <w:rsid w:val="00804DF7"/>
    <w:rsid w:val="00857481"/>
    <w:rsid w:val="009C460C"/>
    <w:rsid w:val="009E11A0"/>
    <w:rsid w:val="00A544F6"/>
    <w:rsid w:val="00A72AAB"/>
    <w:rsid w:val="00AE6CFE"/>
    <w:rsid w:val="00B243FD"/>
    <w:rsid w:val="00B42D75"/>
    <w:rsid w:val="00B44282"/>
    <w:rsid w:val="00B562FB"/>
    <w:rsid w:val="00BA339F"/>
    <w:rsid w:val="00BB07D1"/>
    <w:rsid w:val="00BC4EE4"/>
    <w:rsid w:val="00BD7F14"/>
    <w:rsid w:val="00BE473F"/>
    <w:rsid w:val="00C65B3F"/>
    <w:rsid w:val="00C67DC9"/>
    <w:rsid w:val="00D874F0"/>
    <w:rsid w:val="00DD4385"/>
    <w:rsid w:val="00DF0263"/>
    <w:rsid w:val="00E444B8"/>
    <w:rsid w:val="00E471FA"/>
    <w:rsid w:val="00EA043D"/>
    <w:rsid w:val="00F1419F"/>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Tatjana Zabolotnaja</DisplayName>
        <AccountId>1218</AccountId>
        <AccountType/>
      </UserInfo>
      <UserInfo>
        <DisplayName>Eugenija Babič</DisplayName>
        <AccountId>161</AccountId>
        <AccountType/>
      </UserInfo>
    </DmsPermissionsUsers>
    <DmsPermissionsConfid xmlns="f5ebda27-b626-448f-a7d1-d1cf5ad133fa">true</DmsPermissionsConfid>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5D88DC5A-5844-4F6A-BE64-0985580FAD4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A98528CC-A7CA-452B-A1EE-DA1DB321E7CE}"/>
</file>

<file path=docProps/app.xml><?xml version="1.0" encoding="utf-8"?>
<Properties xmlns="http://schemas.openxmlformats.org/officeDocument/2006/extended-properties" xmlns:vt="http://schemas.openxmlformats.org/officeDocument/2006/docPropsVTypes">
  <Template>Normal</Template>
  <TotalTime>187</TotalTime>
  <Pages>17</Pages>
  <Words>24903</Words>
  <Characters>14195</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Kvietimas teikti PĮP Kosmoso startuoliai</vt:lpstr>
    </vt:vector>
  </TitlesOfParts>
  <Company>HP Inc.</Company>
  <LinksUpToDate>false</LinksUpToDate>
  <CharactersWithSpaces>39020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Kosmoso startuoliai</dc:title>
  <dc:subject/>
  <dc:creator>Zita  Markevičienė</dc:creator>
  <cp:keywords/>
  <dc:description/>
  <cp:lastModifiedBy>Tatjana Zabolotnaja</cp:lastModifiedBy>
  <cp:revision>32</cp:revision>
  <dcterms:created xsi:type="dcterms:W3CDTF">2023-07-24T11:28:00Z</dcterms:created>
  <dcterms:modified xsi:type="dcterms:W3CDTF">2023-09-18T07:12:00Z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1218;#Tatjana Zabolotnaja;#161;#Eugenija Babič</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