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F28FA" w14:textId="63665F1C" w:rsidR="0028173B" w:rsidRDefault="00E95473" w:rsidP="0062446D">
      <w:pPr>
        <w:jc w:val="center"/>
        <w:rPr>
          <w:rFonts w:eastAsia="Calibri"/>
          <w:b/>
          <w:sz w:val="28"/>
          <w:szCs w:val="28"/>
        </w:rPr>
      </w:pPr>
      <w:r w:rsidRPr="005E635B">
        <w:rPr>
          <w:b/>
          <w:color w:val="000000"/>
          <w:szCs w:val="24"/>
        </w:rPr>
        <w:t xml:space="preserve">2021–2027 METŲ </w:t>
      </w:r>
      <w:proofErr w:type="gramStart"/>
      <w:r w:rsidRPr="005E635B">
        <w:rPr>
          <w:b/>
          <w:color w:val="000000"/>
          <w:szCs w:val="24"/>
        </w:rPr>
        <w:t>EUROPOS SĄJUNGOS</w:t>
      </w:r>
      <w:proofErr w:type="gramEnd"/>
      <w:r w:rsidRPr="005E635B">
        <w:rPr>
          <w:b/>
          <w:color w:val="000000"/>
          <w:szCs w:val="24"/>
        </w:rPr>
        <w:t xml:space="preserve"> FONDŲ INVESTICIJŲ</w:t>
      </w:r>
      <w:r w:rsidR="0028173B">
        <w:rPr>
          <w:b/>
          <w:color w:val="000000"/>
          <w:szCs w:val="24"/>
        </w:rPr>
        <w:t xml:space="preserve"> PROGRAMOS</w:t>
      </w:r>
    </w:p>
    <w:p w14:paraId="34126937" w14:textId="011005C9" w:rsidR="0062446D" w:rsidRDefault="00E95473" w:rsidP="0062446D">
      <w:pPr>
        <w:jc w:val="center"/>
      </w:pPr>
      <w:r>
        <w:rPr>
          <w:rFonts w:eastAsia="Calibri"/>
          <w:b/>
          <w:sz w:val="28"/>
          <w:szCs w:val="28"/>
        </w:rPr>
        <w:t>PAKEITIMO</w:t>
      </w:r>
      <w:r w:rsidRPr="00693737">
        <w:rPr>
          <w:rFonts w:eastAsia="Calibri"/>
          <w:b/>
          <w:sz w:val="28"/>
          <w:szCs w:val="28"/>
        </w:rPr>
        <w:t xml:space="preserve"> PAGRINDIMAS</w:t>
      </w:r>
    </w:p>
    <w:p w14:paraId="415B3C4C" w14:textId="77777777" w:rsidR="0062446D" w:rsidRDefault="0062446D" w:rsidP="0062446D"/>
    <w:p w14:paraId="6424F6DD" w14:textId="77777777" w:rsidR="0062446D" w:rsidRPr="000B73D7" w:rsidRDefault="0062446D" w:rsidP="0062446D">
      <w:pPr>
        <w:widowControl w:val="0"/>
        <w:jc w:val="both"/>
        <w:textAlignment w:val="baseline"/>
        <w:rPr>
          <w:b/>
          <w:szCs w:val="24"/>
        </w:rPr>
      </w:pPr>
      <w:r w:rsidRPr="000B73D7">
        <w:rPr>
          <w:b/>
          <w:szCs w:val="24"/>
        </w:rPr>
        <w:t>TEISINIS PAGRINDAS</w:t>
      </w:r>
    </w:p>
    <w:p w14:paraId="791F7285" w14:textId="31273F9B" w:rsidR="0062446D" w:rsidRPr="000B73D7" w:rsidRDefault="00E95473" w:rsidP="007571D5">
      <w:pPr>
        <w:ind w:firstLine="601"/>
        <w:jc w:val="both"/>
        <w:rPr>
          <w:szCs w:val="24"/>
        </w:rPr>
      </w:pPr>
      <w:r w:rsidRPr="00E95473">
        <w:rPr>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w:t>
      </w:r>
      <w:r>
        <w:rPr>
          <w:szCs w:val="24"/>
        </w:rPr>
        <w:t>nės paramos priemonės taisyklių</w:t>
      </w:r>
      <w:r w:rsidR="0028173B">
        <w:rPr>
          <w:szCs w:val="24"/>
        </w:rPr>
        <w:t xml:space="preserve"> 24 straipsnis</w:t>
      </w:r>
      <w:r w:rsidR="0062446D" w:rsidRPr="000B73D7">
        <w:rPr>
          <w:szCs w:val="24"/>
        </w:rPr>
        <w:t>.</w:t>
      </w:r>
    </w:p>
    <w:p w14:paraId="46794A48" w14:textId="77777777" w:rsidR="0062446D" w:rsidRDefault="0062446D" w:rsidP="0062446D"/>
    <w:p w14:paraId="362390A3" w14:textId="77777777" w:rsidR="0062446D" w:rsidRPr="000B73D7" w:rsidRDefault="0062446D" w:rsidP="0062446D">
      <w:pPr>
        <w:widowControl w:val="0"/>
        <w:textAlignment w:val="baseline"/>
        <w:rPr>
          <w:szCs w:val="24"/>
        </w:rPr>
      </w:pPr>
      <w:r w:rsidRPr="000B73D7">
        <w:rPr>
          <w:b/>
          <w:szCs w:val="24"/>
        </w:rPr>
        <w:t>PAKEITIMO PAGRINDIMAS</w:t>
      </w:r>
      <w:r w:rsidRPr="000B73D7">
        <w:rPr>
          <w:szCs w:val="24"/>
        </w:rPr>
        <w:t>:</w:t>
      </w:r>
    </w:p>
    <w:p w14:paraId="0D7086F3" w14:textId="77777777" w:rsidR="0062446D" w:rsidRPr="000B73D7" w:rsidRDefault="0062446D" w:rsidP="0062446D">
      <w:pPr>
        <w:widowControl w:val="0"/>
        <w:textAlignment w:val="baseline"/>
        <w:rPr>
          <w:szCs w:val="24"/>
        </w:rPr>
      </w:pPr>
    </w:p>
    <w:p w14:paraId="30F5C190" w14:textId="77777777" w:rsidR="0062446D" w:rsidRPr="000B73D7" w:rsidRDefault="0062446D" w:rsidP="0062446D">
      <w:pPr>
        <w:widowControl w:val="0"/>
        <w:tabs>
          <w:tab w:val="left" w:pos="567"/>
        </w:tabs>
        <w:jc w:val="both"/>
        <w:textAlignment w:val="baseline"/>
        <w:rPr>
          <w:b/>
          <w:szCs w:val="24"/>
        </w:rPr>
      </w:pPr>
      <w:r w:rsidRPr="000B73D7">
        <w:rPr>
          <w:b/>
          <w:szCs w:val="24"/>
        </w:rPr>
        <w:t xml:space="preserve">1. Siūlomo pakeitimo priežastys ir svarba </w:t>
      </w:r>
    </w:p>
    <w:p w14:paraId="7634F663" w14:textId="0F376341" w:rsidR="00892E01" w:rsidRPr="00E85B1D" w:rsidRDefault="00E85B1D" w:rsidP="00E85B1D">
      <w:pPr>
        <w:spacing w:before="120" w:after="120"/>
        <w:jc w:val="both"/>
        <w:rPr>
          <w:rFonts w:eastAsia="Calibri"/>
          <w:i/>
          <w:szCs w:val="24"/>
        </w:rPr>
      </w:pPr>
      <w:r w:rsidRPr="00E85B1D">
        <w:rPr>
          <w:rFonts w:eastAsia="Calibri"/>
          <w:i/>
          <w:szCs w:val="24"/>
        </w:rPr>
        <w:t xml:space="preserve">1. </w:t>
      </w:r>
      <w:r w:rsidR="007825F7">
        <w:rPr>
          <w:rFonts w:eastAsia="Calibri"/>
          <w:i/>
          <w:szCs w:val="24"/>
        </w:rPr>
        <w:t xml:space="preserve">Investicijų programos </w:t>
      </w:r>
      <w:r w:rsidR="00BA4BCD">
        <w:rPr>
          <w:rFonts w:eastAsia="Calibri"/>
          <w:i/>
          <w:szCs w:val="24"/>
        </w:rPr>
        <w:t>4 prioritet</w:t>
      </w:r>
      <w:r w:rsidR="007825F7">
        <w:rPr>
          <w:rFonts w:eastAsia="Calibri"/>
          <w:i/>
          <w:szCs w:val="24"/>
        </w:rPr>
        <w:t>as. T</w:t>
      </w:r>
      <w:r w:rsidR="00BA4BCD">
        <w:rPr>
          <w:rFonts w:eastAsia="Calibri"/>
          <w:i/>
          <w:szCs w:val="24"/>
        </w:rPr>
        <w:t xml:space="preserve">ikslinių grupių turinčių negalią </w:t>
      </w:r>
      <w:r w:rsidR="007825F7">
        <w:rPr>
          <w:rFonts w:eastAsia="Calibri"/>
          <w:i/>
          <w:szCs w:val="24"/>
        </w:rPr>
        <w:t>neapribojimas pagal atskirą negalią.</w:t>
      </w:r>
    </w:p>
    <w:p w14:paraId="2C0A8611" w14:textId="77777777" w:rsidR="0028173B" w:rsidRPr="0028173B" w:rsidRDefault="0028173B" w:rsidP="0028173B">
      <w:pPr>
        <w:widowControl w:val="0"/>
        <w:tabs>
          <w:tab w:val="left" w:pos="567"/>
        </w:tabs>
        <w:jc w:val="both"/>
        <w:textAlignment w:val="baseline"/>
        <w:rPr>
          <w:iCs/>
        </w:rPr>
      </w:pPr>
      <w:r w:rsidRPr="0028173B">
        <w:rPr>
          <w:iCs/>
        </w:rPr>
        <w:t xml:space="preserve">Siūlomu pakeitimu siekiama atsisakyti negalios pobūdžio detalizavimo ir taip išvengti skirtingą negalią turinčių asmenų diskriminacijos. Be to, nacionaliniuose teisės aktuose įtvirtintas negalią turinčių asmenų, kurie turi teisę į būsto pritaikymą, sąrašas yra kintantis, todėl yra poreikis Investicijų programoje neapriboti neįgaliųjų tikslinės grupės pagal atskirą negalią. </w:t>
      </w:r>
    </w:p>
    <w:p w14:paraId="2AC613B7" w14:textId="77777777" w:rsidR="0028173B" w:rsidRPr="0028173B" w:rsidRDefault="0028173B" w:rsidP="0028173B">
      <w:pPr>
        <w:widowControl w:val="0"/>
        <w:tabs>
          <w:tab w:val="left" w:pos="567"/>
        </w:tabs>
        <w:jc w:val="both"/>
        <w:textAlignment w:val="baseline"/>
        <w:rPr>
          <w:iCs/>
        </w:rPr>
      </w:pPr>
      <w:r w:rsidRPr="0028173B">
        <w:rPr>
          <w:szCs w:val="24"/>
        </w:rPr>
        <w:t>Toks pakeitimas leistų savivaldybėse, kuriose nėra poreikio (arba poreikis itin mažas) aprūpinti socialiniu būstu</w:t>
      </w:r>
      <w:r w:rsidRPr="0028173B">
        <w:t xml:space="preserve"> </w:t>
      </w:r>
      <w:r w:rsidRPr="0028173B">
        <w:rPr>
          <w:szCs w:val="24"/>
        </w:rPr>
        <w:t>judėjimo ir (ar) psichikos ir (ar) proto negalią turinčių asmenų, būstu aprūpinti, pvz., regėjimo negalią turinčius asmenis, kuriems taip pat gali būti nuomojamas pritaikytas būstas. Pagal š. m. birželio mėnesį atliktos savivaldybių apklausos rezultatus (apklausoje dalyvavo 44 iš 60 savivaldybių), regos negalią turintys asmenys sudaro 5,5</w:t>
      </w:r>
      <w:r w:rsidRPr="0028173B">
        <w:rPr>
          <w:iCs/>
          <w:szCs w:val="24"/>
        </w:rPr>
        <w:t> </w:t>
      </w:r>
      <w:r w:rsidRPr="0028173B">
        <w:rPr>
          <w:szCs w:val="24"/>
        </w:rPr>
        <w:t>proc. nuo bendro judėjimo ir (ar) psichikos ir (ar) proto negalią turinčių asmenų skaičiaus.</w:t>
      </w:r>
    </w:p>
    <w:p w14:paraId="29C724D4" w14:textId="503E1251" w:rsidR="0062446D" w:rsidRDefault="0028173B" w:rsidP="00892E01">
      <w:pPr>
        <w:widowControl w:val="0"/>
        <w:jc w:val="both"/>
        <w:textAlignment w:val="baseline"/>
        <w:rPr>
          <w:b/>
          <w:szCs w:val="24"/>
        </w:rPr>
      </w:pPr>
      <w:r>
        <w:rPr>
          <w:rFonts w:eastAsia="Calibri"/>
          <w:b/>
          <w:bCs/>
          <w:iCs/>
          <w:szCs w:val="24"/>
        </w:rPr>
        <w:t>S</w:t>
      </w:r>
      <w:r w:rsidRPr="00E85B1D">
        <w:rPr>
          <w:rFonts w:eastAsia="Calibri"/>
          <w:b/>
          <w:bCs/>
          <w:iCs/>
          <w:szCs w:val="24"/>
        </w:rPr>
        <w:t xml:space="preserve">iūloma </w:t>
      </w:r>
      <w:r>
        <w:rPr>
          <w:rFonts w:eastAsia="Calibri"/>
          <w:b/>
          <w:bCs/>
          <w:iCs/>
          <w:szCs w:val="24"/>
        </w:rPr>
        <w:t xml:space="preserve">patikslinti </w:t>
      </w:r>
      <w:r w:rsidR="00E45D13">
        <w:rPr>
          <w:rFonts w:eastAsia="Calibri"/>
          <w:b/>
          <w:bCs/>
          <w:iCs/>
          <w:szCs w:val="24"/>
        </w:rPr>
        <w:t xml:space="preserve">Investicijų programos </w:t>
      </w:r>
      <w:r>
        <w:rPr>
          <w:rFonts w:eastAsia="Calibri"/>
          <w:b/>
          <w:bCs/>
          <w:iCs/>
          <w:szCs w:val="24"/>
        </w:rPr>
        <w:t xml:space="preserve">4 prioriteto </w:t>
      </w:r>
      <w:r w:rsidR="0014046F" w:rsidRPr="0014046F">
        <w:rPr>
          <w:rFonts w:eastAsia="Calibri"/>
          <w:b/>
          <w:bCs/>
          <w:i/>
          <w:iCs/>
          <w:szCs w:val="24"/>
        </w:rPr>
        <w:t>„Socialiai atsakingesnė Lietuva“</w:t>
      </w:r>
      <w:r w:rsidR="0014046F">
        <w:rPr>
          <w:rFonts w:eastAsia="Calibri"/>
          <w:b/>
          <w:bCs/>
          <w:i/>
          <w:iCs/>
          <w:szCs w:val="24"/>
        </w:rPr>
        <w:t xml:space="preserve"> </w:t>
      </w:r>
      <w:r>
        <w:rPr>
          <w:rFonts w:eastAsia="Calibri"/>
          <w:b/>
          <w:bCs/>
          <w:iCs/>
          <w:szCs w:val="24"/>
        </w:rPr>
        <w:t xml:space="preserve">4.9 </w:t>
      </w:r>
      <w:r w:rsidR="00E45D13">
        <w:rPr>
          <w:rFonts w:eastAsia="Calibri"/>
          <w:b/>
          <w:bCs/>
          <w:iCs/>
          <w:szCs w:val="24"/>
        </w:rPr>
        <w:t xml:space="preserve">konkretaus </w:t>
      </w:r>
      <w:r>
        <w:rPr>
          <w:rFonts w:eastAsia="Calibri"/>
          <w:b/>
          <w:bCs/>
          <w:iCs/>
          <w:szCs w:val="24"/>
        </w:rPr>
        <w:t xml:space="preserve">uždavinio </w:t>
      </w:r>
      <w:r w:rsidR="0014046F" w:rsidRPr="0014046F">
        <w:rPr>
          <w:rFonts w:eastAsia="Calibri"/>
          <w:b/>
          <w:bCs/>
          <w:i/>
          <w:iCs/>
          <w:szCs w:val="24"/>
        </w:rPr>
        <w:t xml:space="preserve">„Skatinti </w:t>
      </w:r>
      <w:proofErr w:type="spellStart"/>
      <w:r w:rsidR="0014046F" w:rsidRPr="0014046F">
        <w:rPr>
          <w:rFonts w:eastAsia="Calibri"/>
          <w:b/>
          <w:bCs/>
          <w:i/>
          <w:iCs/>
          <w:szCs w:val="24"/>
        </w:rPr>
        <w:t>marginalizuotų</w:t>
      </w:r>
      <w:proofErr w:type="spellEnd"/>
      <w:r w:rsidR="0014046F" w:rsidRPr="0014046F">
        <w:rPr>
          <w:rFonts w:eastAsia="Calibri"/>
          <w:b/>
          <w:bCs/>
          <w:i/>
          <w:iCs/>
          <w:szCs w:val="24"/>
        </w:rPr>
        <w:t xml:space="preserve"> bendruomenių, mažas pajamas gaunančių namų ūkių ir nepalankioje padėtyje esančių grupių, įskaitant specialiųjų poreikių turinčius asmenis, socialinę ir ekonominę </w:t>
      </w:r>
      <w:proofErr w:type="spellStart"/>
      <w:r w:rsidR="0014046F" w:rsidRPr="0014046F">
        <w:rPr>
          <w:rFonts w:eastAsia="Calibri"/>
          <w:b/>
          <w:bCs/>
          <w:i/>
          <w:iCs/>
          <w:szCs w:val="24"/>
        </w:rPr>
        <w:t>įtrauktį</w:t>
      </w:r>
      <w:proofErr w:type="spellEnd"/>
      <w:r w:rsidR="0014046F" w:rsidRPr="0014046F">
        <w:rPr>
          <w:rFonts w:eastAsia="Calibri"/>
          <w:b/>
          <w:bCs/>
          <w:i/>
          <w:iCs/>
          <w:szCs w:val="24"/>
        </w:rPr>
        <w:t xml:space="preserve"> vykdant integruotus veiksmus, be kita ko, teikti aprūpinimą būstu ir socialines paslaugas </w:t>
      </w:r>
      <w:proofErr w:type="gramStart"/>
      <w:r w:rsidR="0014046F" w:rsidRPr="0014046F">
        <w:rPr>
          <w:rFonts w:eastAsia="Calibri"/>
          <w:b/>
          <w:bCs/>
          <w:i/>
          <w:iCs/>
          <w:szCs w:val="24"/>
        </w:rPr>
        <w:t>(</w:t>
      </w:r>
      <w:proofErr w:type="gramEnd"/>
      <w:r w:rsidR="0014046F" w:rsidRPr="0014046F">
        <w:rPr>
          <w:rFonts w:eastAsia="Calibri"/>
          <w:b/>
          <w:bCs/>
          <w:i/>
          <w:iCs/>
          <w:szCs w:val="24"/>
        </w:rPr>
        <w:t>ERPF)“</w:t>
      </w:r>
      <w:r w:rsidR="0014046F">
        <w:rPr>
          <w:rFonts w:eastAsia="Calibri"/>
          <w:b/>
          <w:bCs/>
          <w:i/>
          <w:iCs/>
          <w:szCs w:val="24"/>
        </w:rPr>
        <w:t xml:space="preserve"> </w:t>
      </w:r>
      <w:r>
        <w:rPr>
          <w:rFonts w:eastAsia="Calibri"/>
          <w:b/>
          <w:bCs/>
          <w:iCs/>
          <w:szCs w:val="24"/>
        </w:rPr>
        <w:t>veiklos aprašymą.</w:t>
      </w:r>
    </w:p>
    <w:p w14:paraId="0EA583FB" w14:textId="5AE75EDF" w:rsidR="0028173B" w:rsidRDefault="0028173B" w:rsidP="00E85B1D">
      <w:pPr>
        <w:spacing w:before="120" w:after="120"/>
        <w:jc w:val="both"/>
        <w:rPr>
          <w:rFonts w:eastAsia="Calibri"/>
          <w:i/>
          <w:szCs w:val="24"/>
        </w:rPr>
      </w:pPr>
      <w:r>
        <w:rPr>
          <w:rFonts w:eastAsia="Calibri"/>
          <w:i/>
          <w:szCs w:val="24"/>
        </w:rPr>
        <w:t>2.</w:t>
      </w:r>
      <w:r w:rsidR="007825F7">
        <w:rPr>
          <w:rFonts w:eastAsia="Calibri"/>
          <w:i/>
          <w:szCs w:val="24"/>
        </w:rPr>
        <w:t xml:space="preserve"> Investicijų programos</w:t>
      </w:r>
      <w:r>
        <w:rPr>
          <w:rFonts w:eastAsia="Calibri"/>
          <w:i/>
          <w:szCs w:val="24"/>
        </w:rPr>
        <w:t xml:space="preserve"> </w:t>
      </w:r>
      <w:r w:rsidR="00BA4BCD">
        <w:rPr>
          <w:rFonts w:eastAsia="Calibri"/>
          <w:i/>
          <w:szCs w:val="24"/>
        </w:rPr>
        <w:t>5</w:t>
      </w:r>
      <w:r w:rsidR="007825F7">
        <w:rPr>
          <w:rFonts w:eastAsia="Calibri"/>
          <w:i/>
          <w:szCs w:val="24"/>
        </w:rPr>
        <w:t xml:space="preserve"> prioritetas.</w:t>
      </w:r>
      <w:r w:rsidR="00BA4BCD">
        <w:rPr>
          <w:rFonts w:eastAsia="Calibri"/>
          <w:i/>
          <w:szCs w:val="24"/>
        </w:rPr>
        <w:t xml:space="preserve"> </w:t>
      </w:r>
      <w:r w:rsidR="007825F7">
        <w:rPr>
          <w:rFonts w:eastAsia="Calibri"/>
          <w:i/>
          <w:szCs w:val="24"/>
        </w:rPr>
        <w:t>Pakrančių turizmo veiklos įtraukimas.</w:t>
      </w:r>
    </w:p>
    <w:p w14:paraId="4A5F7B5D" w14:textId="36A5CABF" w:rsidR="0028173B" w:rsidRPr="0028173B" w:rsidRDefault="0028173B" w:rsidP="0028173B">
      <w:pPr>
        <w:spacing w:before="120" w:after="120"/>
        <w:jc w:val="both"/>
        <w:rPr>
          <w:rFonts w:eastAsia="Calibri"/>
          <w:szCs w:val="24"/>
        </w:rPr>
      </w:pPr>
      <w:r w:rsidRPr="0028173B">
        <w:rPr>
          <w:rFonts w:eastAsia="Calibri"/>
          <w:szCs w:val="24"/>
        </w:rPr>
        <w:t xml:space="preserve">Investicijų programos rengimo metu, dėl duomenų trūkumo, nebuvo galima tiksliai įvertinti geopolitinės situacijos ir praėjusios COVID-19 poveikio sukeltų struktūrinių pokyčių skirtingose teritorijose. Taip pat buvo turima ribota informacija apie vietos poreikius, kurie šiuo metu yra identifikuojami rengiamose funkcinių zonų (toliau </w:t>
      </w:r>
      <w:r>
        <w:rPr>
          <w:rFonts w:eastAsia="Calibri"/>
          <w:szCs w:val="24"/>
        </w:rPr>
        <w:t>–</w:t>
      </w:r>
      <w:r w:rsidRPr="0028173B">
        <w:rPr>
          <w:rFonts w:eastAsia="Calibri"/>
          <w:szCs w:val="24"/>
        </w:rPr>
        <w:t xml:space="preserve"> FZ) strategijose. Dėl šios priežasties, Investicijų </w:t>
      </w:r>
      <w:r w:rsidR="007825F7">
        <w:rPr>
          <w:rFonts w:eastAsia="Calibri"/>
          <w:szCs w:val="24"/>
        </w:rPr>
        <w:t xml:space="preserve">programos </w:t>
      </w:r>
      <w:r w:rsidR="0014046F">
        <w:rPr>
          <w:rFonts w:eastAsia="Calibri"/>
          <w:szCs w:val="24"/>
        </w:rPr>
        <w:t xml:space="preserve">5 prioriteto </w:t>
      </w:r>
      <w:r w:rsidR="0014046F" w:rsidRPr="0014046F">
        <w:rPr>
          <w:rFonts w:eastAsia="Calibri"/>
          <w:i/>
          <w:szCs w:val="24"/>
        </w:rPr>
        <w:t xml:space="preserve">„Piliečiams artimesnė Lietuva“ </w:t>
      </w:r>
      <w:r w:rsidRPr="0028173B">
        <w:rPr>
          <w:rFonts w:eastAsia="Calibri"/>
          <w:szCs w:val="24"/>
        </w:rPr>
        <w:t xml:space="preserve">5.2 </w:t>
      </w:r>
      <w:r w:rsidR="007825F7">
        <w:rPr>
          <w:rFonts w:eastAsia="Calibri"/>
          <w:szCs w:val="24"/>
        </w:rPr>
        <w:t>konkretaus uždavinyje</w:t>
      </w:r>
      <w:r w:rsidRPr="0028173B">
        <w:rPr>
          <w:rFonts w:eastAsia="Calibri"/>
          <w:szCs w:val="24"/>
        </w:rPr>
        <w:t xml:space="preserve"> </w:t>
      </w:r>
      <w:r w:rsidR="009F12D8">
        <w:rPr>
          <w:rFonts w:eastAsia="Calibri"/>
          <w:szCs w:val="24"/>
        </w:rPr>
        <w:t>„</w:t>
      </w:r>
      <w:r w:rsidR="0014046F" w:rsidRPr="0014046F">
        <w:rPr>
          <w:rFonts w:eastAsia="Calibri"/>
          <w:i/>
          <w:szCs w:val="24"/>
        </w:rPr>
        <w:t>Skatinti integruotą ir įtraukią socialinę, ekonominę ir aplinkosaugos plėtrą vietos lygmeniu, puoselėti kultūrą, gamtos paveldą, darnų turizmą ir saugumą kitose nei miestų teritorijose“</w:t>
      </w:r>
      <w:r w:rsidR="0014046F">
        <w:rPr>
          <w:rFonts w:eastAsia="Calibri"/>
          <w:i/>
          <w:szCs w:val="24"/>
        </w:rPr>
        <w:t xml:space="preserve"> </w:t>
      </w:r>
      <w:r w:rsidRPr="0028173B">
        <w:rPr>
          <w:rFonts w:eastAsia="Calibri"/>
          <w:szCs w:val="24"/>
        </w:rPr>
        <w:t>numatyti</w:t>
      </w:r>
      <w:r w:rsidR="00E9649F">
        <w:rPr>
          <w:rFonts w:eastAsia="Calibri"/>
          <w:szCs w:val="24"/>
        </w:rPr>
        <w:t xml:space="preserve"> remti FZ strategijose numatytos investicijos</w:t>
      </w:r>
      <w:r w:rsidRPr="0028173B">
        <w:rPr>
          <w:rFonts w:eastAsia="Calibri"/>
          <w:szCs w:val="24"/>
        </w:rPr>
        <w:t xml:space="preserve"> nevisiškai atspindi pakrančių regionams </w:t>
      </w:r>
      <w:proofErr w:type="gramStart"/>
      <w:r w:rsidRPr="0028173B">
        <w:rPr>
          <w:rFonts w:eastAsia="Calibri"/>
          <w:szCs w:val="24"/>
        </w:rPr>
        <w:t>(</w:t>
      </w:r>
      <w:proofErr w:type="gramEnd"/>
      <w:r w:rsidRPr="0028173B">
        <w:rPr>
          <w:rFonts w:eastAsia="Calibri"/>
          <w:szCs w:val="24"/>
        </w:rPr>
        <w:t xml:space="preserve">Lietuvos atveju </w:t>
      </w:r>
      <w:r>
        <w:rPr>
          <w:rFonts w:eastAsia="Calibri"/>
          <w:szCs w:val="24"/>
        </w:rPr>
        <w:t>–</w:t>
      </w:r>
      <w:r w:rsidRPr="0028173B">
        <w:rPr>
          <w:rFonts w:eastAsia="Calibri"/>
          <w:szCs w:val="24"/>
        </w:rPr>
        <w:t xml:space="preserve"> Klaipėdos regionui) kylančius naujus iššūkius, siekiant darnios pakrančių plėtros. </w:t>
      </w:r>
    </w:p>
    <w:p w14:paraId="4C0C7BFF" w14:textId="2364A906" w:rsidR="0028173B" w:rsidRPr="0028173B" w:rsidRDefault="0028173B" w:rsidP="0028173B">
      <w:pPr>
        <w:spacing w:before="120" w:after="120"/>
        <w:jc w:val="both"/>
        <w:rPr>
          <w:rFonts w:eastAsia="Calibri"/>
          <w:szCs w:val="24"/>
        </w:rPr>
      </w:pPr>
      <w:r w:rsidRPr="0028173B">
        <w:rPr>
          <w:rFonts w:eastAsia="Calibri"/>
          <w:szCs w:val="24"/>
        </w:rPr>
        <w:t>Penktasis politikos tikslas „Piliečiams artimesnė Europa“ akcentuoja tvarią ir integruotą visų rūšių vietovių plėtrą ir vietos iniciatyvas, o šiam tikslui skirtas Investicijų programos 5.2</w:t>
      </w:r>
      <w:r w:rsidR="0014046F">
        <w:rPr>
          <w:rFonts w:eastAsia="Calibri"/>
          <w:szCs w:val="24"/>
        </w:rPr>
        <w:t xml:space="preserve"> konkretus</w:t>
      </w:r>
      <w:r w:rsidRPr="0028173B">
        <w:rPr>
          <w:rFonts w:eastAsia="Calibri"/>
          <w:szCs w:val="24"/>
        </w:rPr>
        <w:t xml:space="preserve"> uždavinys apima ir darnaus turizmo sritį, tačiau numatytos veiklos apsiriboja tik viešąja turizmo infrastruktūra, skirta lankyti gamtos objektus (gamtiniam turizmui), arba kultūros objektus (kultūriniam turizmui). Todėl remiamos veiklos neapima atitinkamos viešosios turizmo infrastruktūros, skirtos pakrančių turizmui, kurio specifika paremta veikla ir paslaugomis, </w:t>
      </w:r>
      <w:r w:rsidRPr="0028173B">
        <w:rPr>
          <w:rFonts w:eastAsia="Calibri"/>
          <w:szCs w:val="24"/>
        </w:rPr>
        <w:lastRenderedPageBreak/>
        <w:t>vykdomomis sausumos ir jūros sandūroje</w:t>
      </w:r>
      <w:r w:rsidRPr="0028173B">
        <w:rPr>
          <w:rFonts w:eastAsia="Calibri"/>
          <w:szCs w:val="24"/>
          <w:vertAlign w:val="superscript"/>
        </w:rPr>
        <w:footnoteReference w:id="1"/>
      </w:r>
      <w:r w:rsidRPr="0028173B">
        <w:rPr>
          <w:rFonts w:eastAsia="Calibri"/>
          <w:szCs w:val="24"/>
        </w:rPr>
        <w:t xml:space="preserve"> ir paprastai nesiejamomis su atskiru gamtos objektu (išskyrus pačią jūrą) ar kultūros objektu. </w:t>
      </w:r>
    </w:p>
    <w:p w14:paraId="15FDBDFB" w14:textId="77777777" w:rsidR="0028173B" w:rsidRPr="0028173B" w:rsidRDefault="0028173B" w:rsidP="0028173B">
      <w:pPr>
        <w:spacing w:before="120" w:after="120"/>
        <w:jc w:val="both"/>
        <w:rPr>
          <w:rFonts w:eastAsia="Calibri"/>
          <w:szCs w:val="24"/>
        </w:rPr>
      </w:pPr>
      <w:r w:rsidRPr="0028173B">
        <w:rPr>
          <w:rFonts w:eastAsia="Calibri"/>
          <w:szCs w:val="24"/>
        </w:rPr>
        <w:t xml:space="preserve">Pastebėtina, kad pakrančių turizmas 2023 m. ES „Mėlynosios ekonomikos“ ataskaitoje išskiriamas kaip sukuriantis didžiausią darbo vietų ir sukuriamos pridėtinės vertės dalį visoje „Mėlynojoje ekonomikoje“ (atitinkamai 51 ir 26 proc.). Baltijos jūros regione šis sektorius įvardijamas kaip augantis. </w:t>
      </w:r>
    </w:p>
    <w:p w14:paraId="426DFF94" w14:textId="76FD49DB" w:rsidR="0028173B" w:rsidRPr="0028173B" w:rsidRDefault="0028173B" w:rsidP="0028173B">
      <w:pPr>
        <w:spacing w:before="120" w:after="120"/>
        <w:jc w:val="both"/>
        <w:rPr>
          <w:rFonts w:eastAsia="Calibri"/>
          <w:szCs w:val="24"/>
        </w:rPr>
      </w:pPr>
      <w:r w:rsidRPr="0028173B">
        <w:rPr>
          <w:rFonts w:eastAsia="Calibri"/>
          <w:szCs w:val="24"/>
        </w:rPr>
        <w:t xml:space="preserve">Tačiau Lietuvai bendrai ir konkrečiai Baltijos jūros pakrantėje esančiam Klaipėdos regionui kyla vis didesnių iššūkių užtikrinat „Mėlynosios ekonomikos“ augimą. Turizmo sektorius neatsistatė po COVID-19 pandemijos, ES turistų srautų kritimas Lietuvoje (2022 m. lyginant su 2019 m.) – buvo vienas didžiausių ES (po Latvijos ir Slovakijos), o Klaipėdos regione šis kritimas buvo didžiausias iš visų (NUTS 3) Lietuvos regionų (ES šalių turistų skaičius apgyvendinimo įstaigose krito beveik dvigubai). Iš esmės nebelikus turistų iš </w:t>
      </w:r>
      <w:proofErr w:type="spellStart"/>
      <w:r w:rsidR="009F12D8">
        <w:rPr>
          <w:rFonts w:eastAsia="Calibri"/>
          <w:szCs w:val="24"/>
        </w:rPr>
        <w:t>rusijos</w:t>
      </w:r>
      <w:proofErr w:type="spellEnd"/>
      <w:r w:rsidRPr="0028173B">
        <w:rPr>
          <w:rFonts w:eastAsia="Calibri"/>
          <w:szCs w:val="24"/>
        </w:rPr>
        <w:t xml:space="preserve"> ir Baltarusijos (iki pandemijos jų dalis sudarė apie 6 proc.), ir nepritraukiant turistų iš ES šalių, Klaipėdos regione dominuoja vietiniai turistai, o užsienio turistų dalis siekia tik 13 proc. (palyginimui Lietuvos vidurkis – 30 proc. Sostinės regiono – 55 proc.). Tai rodo, kad Klaipėdos regionas iš esmės neišnaudoja Baltijos jūros baseino turizmo rinkos galimybių.</w:t>
      </w:r>
    </w:p>
    <w:p w14:paraId="10F2AFDA" w14:textId="28E35C3F" w:rsidR="0028173B" w:rsidRPr="0028173B" w:rsidRDefault="0028173B" w:rsidP="0028173B">
      <w:pPr>
        <w:spacing w:before="120" w:after="120"/>
        <w:jc w:val="both"/>
        <w:rPr>
          <w:rFonts w:eastAsia="Calibri"/>
          <w:szCs w:val="24"/>
        </w:rPr>
      </w:pPr>
      <w:r w:rsidRPr="0028173B">
        <w:rPr>
          <w:rFonts w:eastAsia="Calibri"/>
          <w:szCs w:val="24"/>
        </w:rPr>
        <w:t xml:space="preserve">Po 2020 m. įvykių Baltarusijoje apribota, o dėl karo Ukrainoje pastaruosius dvejus metus iš esmės nebevykdoma jokia logistinė veikla </w:t>
      </w:r>
      <w:proofErr w:type="spellStart"/>
      <w:r w:rsidR="009F12D8">
        <w:rPr>
          <w:rFonts w:eastAsia="Calibri"/>
          <w:szCs w:val="24"/>
        </w:rPr>
        <w:t>r</w:t>
      </w:r>
      <w:r w:rsidRPr="0028173B">
        <w:rPr>
          <w:rFonts w:eastAsia="Calibri"/>
          <w:szCs w:val="24"/>
        </w:rPr>
        <w:t>usijos</w:t>
      </w:r>
      <w:proofErr w:type="spellEnd"/>
      <w:r w:rsidRPr="0028173B">
        <w:rPr>
          <w:rFonts w:eastAsia="Calibri"/>
          <w:szCs w:val="24"/>
        </w:rPr>
        <w:t xml:space="preserve"> ir Baltarusijos kryptimis lemia tai, kad Klaipėdos regionas praranda ir turėtą jūrinių krovinių gabenimo potencialą. Susiduriama ir su kitais struktūriniais iššūkiais – mažėjančiu darbo jėgos potencialu, mažiau išvystytais žinioms imliems ekonomikos sektoriais. Todėl Klaipėdos regiono darbo rinkos atsigavimas po pandemijos (2020</w:t>
      </w:r>
      <w:proofErr w:type="gramStart"/>
      <w:r w:rsidRPr="0028173B">
        <w:rPr>
          <w:rFonts w:eastAsia="Calibri"/>
          <w:szCs w:val="24"/>
        </w:rPr>
        <w:t>-</w:t>
      </w:r>
      <w:proofErr w:type="gramEnd"/>
      <w:r w:rsidRPr="0028173B">
        <w:rPr>
          <w:rFonts w:eastAsia="Calibri"/>
          <w:szCs w:val="24"/>
        </w:rPr>
        <w:t>2022 m.) buvo lėtesnis, nei vidutiniškai Lietuvoje (užimtumo augimas – 1,7 p., šalies vidurkis – 2,2 p.), o vieno darbuotojo sukuriama pridėtinė vertė 2020 m. pirmą kartą tapo žemesnė už šalies vidurkį, o 2021 m. skirtumai dar išaugo (Klaipėdos regiono rodiklis siekė 95 proc. šalies vidurkio).</w:t>
      </w:r>
    </w:p>
    <w:p w14:paraId="495104ED" w14:textId="3C3A5D39" w:rsidR="0028173B" w:rsidRPr="0028173B" w:rsidRDefault="0028173B" w:rsidP="0028173B">
      <w:pPr>
        <w:spacing w:before="120" w:after="120"/>
        <w:jc w:val="both"/>
        <w:rPr>
          <w:rFonts w:eastAsia="Calibri"/>
          <w:szCs w:val="24"/>
        </w:rPr>
      </w:pPr>
      <w:r w:rsidRPr="0028173B">
        <w:rPr>
          <w:rFonts w:eastAsia="Calibri"/>
          <w:szCs w:val="24"/>
        </w:rPr>
        <w:t xml:space="preserve">Jūrų ir pakrančių turizmas (ir bendrai – jūrinė ekonomika) Lietuvoje labai nukentėjo nuo pandemijos ir karo Ukrainoje pasekmių, ir tai buvo vienos iš esminių priežasčių lemiančių, didėjantį Klaipėdos regiono atsilikimą nuo kitų didžiųjų miestų regionų. Todėl gerokai sumažėjo turizmo sektoriaus pajėgumas investuoti į atsparesnių ir tvaresnių paslaugų plėtrą. Siekiant užtikrinti pakrančių bendruomenių socialinį atsparumą, skatinti darbo vietų kūrimą ir atverti ekonomines galimybes, reikalingos investicijos pakrančių turizmo potencialo atkūrimui ir stiprinimui. </w:t>
      </w:r>
      <w:r w:rsidR="00134E6C">
        <w:rPr>
          <w:rFonts w:eastAsia="Calibri"/>
          <w:szCs w:val="24"/>
        </w:rPr>
        <w:t>Patikslinus</w:t>
      </w:r>
      <w:r w:rsidRPr="0028173B">
        <w:rPr>
          <w:rFonts w:eastAsia="Calibri"/>
          <w:szCs w:val="24"/>
        </w:rPr>
        <w:t xml:space="preserve"> Investicijų programos 5-ojo prioriteto</w:t>
      </w:r>
      <w:r w:rsidR="00134E6C">
        <w:rPr>
          <w:rFonts w:eastAsia="Calibri"/>
          <w:szCs w:val="24"/>
        </w:rPr>
        <w:t xml:space="preserve"> veiklas, bus </w:t>
      </w:r>
      <w:r w:rsidRPr="0028173B">
        <w:rPr>
          <w:rFonts w:eastAsia="Calibri"/>
          <w:szCs w:val="24"/>
        </w:rPr>
        <w:t>parengt</w:t>
      </w:r>
      <w:r w:rsidR="00134E6C">
        <w:rPr>
          <w:rFonts w:eastAsia="Calibri"/>
          <w:szCs w:val="24"/>
        </w:rPr>
        <w:t>a</w:t>
      </w:r>
      <w:r w:rsidRPr="0028173B">
        <w:rPr>
          <w:rFonts w:eastAsia="Calibri"/>
          <w:szCs w:val="24"/>
        </w:rPr>
        <w:t xml:space="preserve"> ir įgyvendint</w:t>
      </w:r>
      <w:r w:rsidR="00134E6C">
        <w:rPr>
          <w:rFonts w:eastAsia="Calibri"/>
          <w:szCs w:val="24"/>
        </w:rPr>
        <w:t>a</w:t>
      </w:r>
      <w:r w:rsidRPr="0028173B">
        <w:rPr>
          <w:rFonts w:eastAsia="Calibri"/>
          <w:szCs w:val="24"/>
        </w:rPr>
        <w:t xml:space="preserve"> FZ strategij</w:t>
      </w:r>
      <w:r w:rsidR="00134E6C">
        <w:rPr>
          <w:rFonts w:eastAsia="Calibri"/>
          <w:szCs w:val="24"/>
        </w:rPr>
        <w:t>a</w:t>
      </w:r>
      <w:r w:rsidRPr="0028173B">
        <w:rPr>
          <w:rFonts w:eastAsia="Calibri"/>
          <w:szCs w:val="24"/>
        </w:rPr>
        <w:t>, nes pakrantės zona nėra saistoma administracinėmis ribomis, ją lemia natūrali pakrančių sistema ir vietovės, kuriose žmogaus veikla, esami funkciniai ryšiai susiję su pakrančių išteklių naudojimu (t.</w:t>
      </w:r>
      <w:r w:rsidR="00134E6C">
        <w:rPr>
          <w:rFonts w:eastAsia="Calibri"/>
          <w:szCs w:val="24"/>
        </w:rPr>
        <w:t xml:space="preserve"> </w:t>
      </w:r>
      <w:r w:rsidRPr="0028173B">
        <w:rPr>
          <w:rFonts w:eastAsia="Calibri"/>
          <w:szCs w:val="24"/>
        </w:rPr>
        <w:t xml:space="preserve">y. atitinka funkcinės zonos kriterijus). </w:t>
      </w:r>
    </w:p>
    <w:p w14:paraId="4436E3EB" w14:textId="600B7A90" w:rsidR="0028173B" w:rsidRPr="0028173B" w:rsidRDefault="0028173B" w:rsidP="0028173B">
      <w:pPr>
        <w:spacing w:before="120" w:after="120"/>
        <w:jc w:val="both"/>
        <w:rPr>
          <w:rFonts w:eastAsia="Calibri"/>
          <w:szCs w:val="24"/>
        </w:rPr>
      </w:pPr>
      <w:r w:rsidRPr="0028173B">
        <w:rPr>
          <w:rFonts w:eastAsia="Calibri"/>
          <w:szCs w:val="24"/>
        </w:rPr>
        <w:t>Atliekant Lietuvos teritorijos bendrojo plano teritorinio potencialo analizę, Klaipėdos regione esanti Klaipėda, Neringa ir Palanga priskirtos didžiausią turistinį ir rekreacinį potencialą turinčioms vietovėms vietinio ir tarptautinio turizmo požiūriu. Jos pasižymi didžiausia lankytinų objektų sankaupa bei įvertintos kaip kompleksiniai turizmo paslaugų centrai. Prie didelio rekreacinio potencialo teritorijų priskirtos Klaipėdos ir Šilutės rajonų savivaldybės su minėtomis vietovėmis yra susijusios funkciniais ryšiais.</w:t>
      </w:r>
    </w:p>
    <w:p w14:paraId="08D296D3" w14:textId="77777777" w:rsidR="0028173B" w:rsidRDefault="0028173B" w:rsidP="0028173B">
      <w:pPr>
        <w:spacing w:before="120" w:after="120"/>
        <w:jc w:val="both"/>
        <w:rPr>
          <w:rFonts w:eastAsia="Calibri"/>
          <w:szCs w:val="24"/>
        </w:rPr>
      </w:pPr>
      <w:r w:rsidRPr="0028173B">
        <w:rPr>
          <w:rFonts w:eastAsia="Calibri"/>
          <w:szCs w:val="24"/>
        </w:rPr>
        <w:t xml:space="preserve">Klaipėdos regiono savivaldybės yra vienos iš aktyviausiai bendradarbiaujančių turizmo srityje (sukurtas Pamario turizmo klasteris, įvairių formų turizmo organizacijų susivienijimai ir įsteigta asociacija „Klaipėdos regionas“, kuri iš esmės yra pirmoji regioninė turistinės vietovės valdymo organizacija (DMO) Lietuvoje), ir tai sudaro prielaidas formuoti FZ, kurioje vykdoma bendra veikla leis išnaudoti pakrančių turizmo potencialą. Darnus jūrinis ir pakrančių turizmas taip pat yra viena </w:t>
      </w:r>
      <w:r w:rsidRPr="0028173B">
        <w:rPr>
          <w:rFonts w:eastAsia="Calibri"/>
          <w:szCs w:val="24"/>
        </w:rPr>
        <w:lastRenderedPageBreak/>
        <w:t>iš Klaipėdos regiono specializacijos sričių, nustatytų savivaldybių bendrai su partneriais parengtoje ir patvirtintoje Klaipėdos regiono specializacijos iki 2030 m. strategijoje.</w:t>
      </w:r>
    </w:p>
    <w:p w14:paraId="26701D41" w14:textId="24F1F5FD" w:rsidR="00E45D13" w:rsidRPr="0028173B" w:rsidRDefault="00E45D13" w:rsidP="0028173B">
      <w:pPr>
        <w:spacing w:before="120" w:after="120"/>
        <w:jc w:val="both"/>
        <w:rPr>
          <w:rFonts w:eastAsia="Calibri"/>
          <w:szCs w:val="24"/>
        </w:rPr>
      </w:pPr>
      <w:r>
        <w:rPr>
          <w:rFonts w:eastAsia="Calibri"/>
          <w:b/>
          <w:bCs/>
          <w:iCs/>
          <w:szCs w:val="24"/>
        </w:rPr>
        <w:t>S</w:t>
      </w:r>
      <w:r w:rsidRPr="00E85B1D">
        <w:rPr>
          <w:rFonts w:eastAsia="Calibri"/>
          <w:b/>
          <w:bCs/>
          <w:iCs/>
          <w:szCs w:val="24"/>
        </w:rPr>
        <w:t xml:space="preserve">iūloma </w:t>
      </w:r>
      <w:r>
        <w:rPr>
          <w:rFonts w:eastAsia="Calibri"/>
          <w:b/>
          <w:bCs/>
          <w:iCs/>
          <w:szCs w:val="24"/>
        </w:rPr>
        <w:t xml:space="preserve">patikslinti Investicijų programos </w:t>
      </w:r>
      <w:r w:rsidR="000F25EF" w:rsidRPr="000F25EF">
        <w:rPr>
          <w:rFonts w:eastAsia="Calibri"/>
          <w:b/>
          <w:bCs/>
          <w:iCs/>
          <w:szCs w:val="24"/>
        </w:rPr>
        <w:t xml:space="preserve">5 prioriteto </w:t>
      </w:r>
      <w:r w:rsidR="000F25EF" w:rsidRPr="000F25EF">
        <w:rPr>
          <w:rFonts w:eastAsia="Calibri"/>
          <w:b/>
          <w:bCs/>
          <w:i/>
          <w:iCs/>
          <w:szCs w:val="24"/>
        </w:rPr>
        <w:t xml:space="preserve">„Piliečiams artimesnė Lietuva“ </w:t>
      </w:r>
      <w:r w:rsidR="000F25EF" w:rsidRPr="000F25EF">
        <w:rPr>
          <w:rFonts w:eastAsia="Calibri"/>
          <w:b/>
          <w:bCs/>
          <w:iCs/>
          <w:szCs w:val="24"/>
        </w:rPr>
        <w:t>5.2 konkretaus uždavin</w:t>
      </w:r>
      <w:r w:rsidR="000F25EF">
        <w:rPr>
          <w:rFonts w:eastAsia="Calibri"/>
          <w:b/>
          <w:bCs/>
          <w:iCs/>
          <w:szCs w:val="24"/>
        </w:rPr>
        <w:t>io</w:t>
      </w:r>
      <w:r w:rsidR="000F25EF" w:rsidRPr="000F25EF">
        <w:rPr>
          <w:rFonts w:eastAsia="Calibri"/>
          <w:b/>
          <w:bCs/>
          <w:iCs/>
          <w:szCs w:val="24"/>
        </w:rPr>
        <w:t xml:space="preserve"> </w:t>
      </w:r>
      <w:r w:rsidR="000F25EF" w:rsidRPr="000F25EF">
        <w:rPr>
          <w:rFonts w:eastAsia="Calibri"/>
          <w:b/>
          <w:bCs/>
          <w:i/>
          <w:iCs/>
          <w:szCs w:val="24"/>
        </w:rPr>
        <w:t xml:space="preserve">Skatinti integruotą ir įtraukią socialinę, ekonominę ir aplinkosaugos plėtrą vietos lygmeniu, puoselėti kultūrą, gamtos paveldą, darnų turizmą ir saugumą kitose nei miestų teritorijose“ </w:t>
      </w:r>
      <w:r>
        <w:rPr>
          <w:rFonts w:eastAsia="Calibri"/>
          <w:b/>
          <w:bCs/>
          <w:iCs/>
          <w:szCs w:val="24"/>
        </w:rPr>
        <w:t>veiklos aprašymą.</w:t>
      </w:r>
    </w:p>
    <w:p w14:paraId="45526C84" w14:textId="6063D368" w:rsidR="00BA4BCD" w:rsidRDefault="00BA4BCD" w:rsidP="00E85B1D">
      <w:pPr>
        <w:spacing w:before="120" w:after="120"/>
        <w:jc w:val="both"/>
        <w:rPr>
          <w:rFonts w:eastAsia="Calibri"/>
          <w:i/>
          <w:szCs w:val="24"/>
        </w:rPr>
      </w:pPr>
      <w:r>
        <w:rPr>
          <w:rFonts w:eastAsia="Calibri"/>
          <w:i/>
          <w:szCs w:val="24"/>
        </w:rPr>
        <w:t>3</w:t>
      </w:r>
      <w:r w:rsidR="00E85B1D" w:rsidRPr="00E85B1D">
        <w:rPr>
          <w:rFonts w:eastAsia="Calibri"/>
          <w:i/>
          <w:szCs w:val="24"/>
        </w:rPr>
        <w:t xml:space="preserve">. </w:t>
      </w:r>
      <w:r w:rsidR="007825F7">
        <w:rPr>
          <w:rFonts w:eastAsia="Calibri"/>
          <w:i/>
          <w:szCs w:val="24"/>
        </w:rPr>
        <w:t xml:space="preserve">Investicijų programos </w:t>
      </w:r>
      <w:r>
        <w:rPr>
          <w:rFonts w:eastAsia="Calibri"/>
          <w:i/>
          <w:szCs w:val="24"/>
        </w:rPr>
        <w:t>9 priori</w:t>
      </w:r>
      <w:r w:rsidR="007825F7">
        <w:rPr>
          <w:rFonts w:eastAsia="Calibri"/>
          <w:i/>
          <w:szCs w:val="24"/>
        </w:rPr>
        <w:t xml:space="preserve">tetas. </w:t>
      </w:r>
      <w:r w:rsidR="006D1D52">
        <w:rPr>
          <w:rFonts w:eastAsia="Calibri"/>
          <w:i/>
          <w:iCs/>
          <w:szCs w:val="24"/>
        </w:rPr>
        <w:t>Investicijų nukreipimas platesnei</w:t>
      </w:r>
      <w:r w:rsidR="00A77B68" w:rsidRPr="00A77B68">
        <w:rPr>
          <w:iCs/>
          <w:szCs w:val="24"/>
        </w:rPr>
        <w:t xml:space="preserve"> </w:t>
      </w:r>
      <w:r w:rsidR="00A77B68" w:rsidRPr="00A77B68">
        <w:rPr>
          <w:rFonts w:eastAsia="Calibri"/>
          <w:i/>
          <w:iCs/>
          <w:szCs w:val="24"/>
        </w:rPr>
        <w:t>labiausiai dėl perėjimo prie klimatui neutralios ekonomikos</w:t>
      </w:r>
      <w:r w:rsidR="006D1D52">
        <w:rPr>
          <w:rFonts w:eastAsia="Calibri"/>
          <w:i/>
          <w:iCs/>
          <w:szCs w:val="24"/>
        </w:rPr>
        <w:t xml:space="preserve"> paveiktai teritorijai</w:t>
      </w:r>
    </w:p>
    <w:p w14:paraId="1D97248B" w14:textId="68B80F3E" w:rsidR="00E45D13" w:rsidRPr="00E45D13" w:rsidRDefault="00E45D13" w:rsidP="00E45D13">
      <w:pPr>
        <w:widowControl w:val="0"/>
        <w:jc w:val="both"/>
        <w:textAlignment w:val="baseline"/>
        <w:rPr>
          <w:iCs/>
          <w:szCs w:val="24"/>
        </w:rPr>
      </w:pPr>
      <w:r w:rsidRPr="00E45D13">
        <w:rPr>
          <w:iCs/>
        </w:rPr>
        <w:t xml:space="preserve">Siūlomu pakeitimu siekiama pakeisti Investicijų programos 9 </w:t>
      </w:r>
      <w:r w:rsidR="000F25EF">
        <w:rPr>
          <w:iCs/>
        </w:rPr>
        <w:t xml:space="preserve">prioriteto </w:t>
      </w:r>
      <w:r w:rsidRPr="000F25EF">
        <w:rPr>
          <w:i/>
          <w:iCs/>
        </w:rPr>
        <w:t>„Teisingos pertvarkos fondas“</w:t>
      </w:r>
      <w:r w:rsidRPr="00E45D13">
        <w:rPr>
          <w:iCs/>
        </w:rPr>
        <w:t xml:space="preserve"> </w:t>
      </w:r>
      <w:r w:rsidR="000F25EF">
        <w:rPr>
          <w:iCs/>
        </w:rPr>
        <w:t xml:space="preserve">9.1 </w:t>
      </w:r>
      <w:r w:rsidRPr="00E45D13">
        <w:rPr>
          <w:iCs/>
        </w:rPr>
        <w:t>konkretaus uždavinio „</w:t>
      </w:r>
      <w:r w:rsidRPr="000F25EF">
        <w:rPr>
          <w:i/>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r w:rsidRPr="00E45D13">
        <w:rPr>
          <w:szCs w:val="24"/>
        </w:rPr>
        <w:t>“</w:t>
      </w:r>
      <w:r w:rsidRPr="00E45D13">
        <w:rPr>
          <w:iCs/>
        </w:rPr>
        <w:t xml:space="preserve"> </w:t>
      </w:r>
      <w:r w:rsidRPr="00E45D13">
        <w:rPr>
          <w:szCs w:val="24"/>
        </w:rPr>
        <w:t>veiklai „</w:t>
      </w:r>
      <w:r w:rsidRPr="000F25EF">
        <w:rPr>
          <w:i/>
          <w:szCs w:val="24"/>
          <w:lang w:eastAsia="lt-LT"/>
        </w:rPr>
        <w:t>Alternatyvaus kuro diegimas pramonės įmonėse Kauno, Šiaulių ir Telšių regionuose</w:t>
      </w:r>
      <w:r w:rsidRPr="00E45D13">
        <w:rPr>
          <w:szCs w:val="24"/>
          <w:lang w:eastAsia="lt-LT"/>
        </w:rPr>
        <w:t>“</w:t>
      </w:r>
      <w:r w:rsidRPr="00E45D13">
        <w:rPr>
          <w:iCs/>
          <w:szCs w:val="24"/>
        </w:rPr>
        <w:t xml:space="preserve"> skirtas lėšas jas sumažinant 30,6 mln. </w:t>
      </w:r>
      <w:proofErr w:type="spellStart"/>
      <w:r w:rsidRPr="00E45D13">
        <w:rPr>
          <w:iCs/>
          <w:szCs w:val="24"/>
        </w:rPr>
        <w:t>Eur</w:t>
      </w:r>
      <w:proofErr w:type="spellEnd"/>
      <w:r w:rsidRPr="00E45D13">
        <w:rPr>
          <w:iCs/>
          <w:szCs w:val="24"/>
        </w:rPr>
        <w:t xml:space="preserve"> ir šią sumą skiriant veiklai „</w:t>
      </w:r>
      <w:r w:rsidRPr="000F25EF">
        <w:rPr>
          <w:i/>
          <w:iCs/>
        </w:rPr>
        <w:t>Užsienio ir vietos investuotojų su dideliu darbo vietų kūrimo potencialu pritraukimas</w:t>
      </w:r>
      <w:r w:rsidRPr="00E45D13">
        <w:rPr>
          <w:bCs/>
          <w:szCs w:val="24"/>
        </w:rPr>
        <w:t>“</w:t>
      </w:r>
      <w:r w:rsidRPr="00E45D13">
        <w:rPr>
          <w:iCs/>
          <w:szCs w:val="24"/>
        </w:rPr>
        <w:t>. Šis keitimas leistų sudaryti geresnes sąlygas</w:t>
      </w:r>
      <w:r w:rsidRPr="00E45D13">
        <w:rPr>
          <w:bCs/>
          <w:szCs w:val="24"/>
        </w:rPr>
        <w:t xml:space="preserve"> alternatyvių tvarių darbo vietų kūrimui labiausiai dėl perėjimo prie klimatui neutralios ekonomikos paveiktuose regionuose, kas sudarytų sąlygas </w:t>
      </w:r>
      <w:r w:rsidRPr="00E45D13">
        <w:rPr>
          <w:szCs w:val="24"/>
        </w:rPr>
        <w:t>Kauno, Šiaulių ir Telšių regionams užtikrinti jų ekonomikos konkurencingumo palaikymą ir augimą bei mažinti priklausomybę nuo vieno didelio darbdavio Kauno, Šiaulių ir Telšių regionuose. Remiantis ekspertų pateiktais duomenimis, AB „Achema“ trąšų gamybos įmonėje tiesiogiai dirba 0,5 proc. regioninės darbo jėgos, o netiesiogiai gamykla susijusi su 1,2 proc. darbo vietų regione – tai yra reikšminga dalis, kuri sudaro 3 100 darbo vietų; AB „Akmenės cementas“ gamybos įmonėje dirba 0,4 proc. visos Šiaulių regiono darbo jėgos, o netiesiogiai gamykla susijusi su 1 proc. – iš viso 1 100 darbo vietų regione; AB „</w:t>
      </w:r>
      <w:proofErr w:type="spellStart"/>
      <w:r w:rsidRPr="00E45D13">
        <w:rPr>
          <w:szCs w:val="24"/>
        </w:rPr>
        <w:t>Orlen</w:t>
      </w:r>
      <w:proofErr w:type="spellEnd"/>
      <w:r w:rsidRPr="00E45D13">
        <w:rPr>
          <w:szCs w:val="24"/>
        </w:rPr>
        <w:t xml:space="preserve"> Lietuva“ tiesiogiai dirba maždaug 1 325 žmonės, t. y. 2 proc. regiono darbo jėgos, o netiesiogiai gamykla susijusi su 11,2 proc. darbo vietų regione, tai sudaro 8 700 darbo vietų. Atlikus siūlomą keitimą </w:t>
      </w:r>
      <w:r w:rsidRPr="00E45D13">
        <w:rPr>
          <w:iCs/>
        </w:rPr>
        <w:t xml:space="preserve">Teisingos pertvarkos fondo (toliau – </w:t>
      </w:r>
      <w:r w:rsidRPr="00E45D13">
        <w:rPr>
          <w:szCs w:val="24"/>
        </w:rPr>
        <w:t>TPF) lėšos turėtų didesnę įtaką regionuose sukuriamos bendros pridėtinės vertės augimui</w:t>
      </w:r>
      <w:r w:rsidRPr="00E45D13">
        <w:rPr>
          <w:bCs/>
          <w:szCs w:val="24"/>
        </w:rPr>
        <w:t xml:space="preserve"> lyginant su </w:t>
      </w:r>
      <w:r w:rsidRPr="00E45D13">
        <w:rPr>
          <w:szCs w:val="24"/>
        </w:rPr>
        <w:t>veikla „</w:t>
      </w:r>
      <w:r w:rsidRPr="000F25EF">
        <w:rPr>
          <w:i/>
          <w:szCs w:val="24"/>
          <w:lang w:eastAsia="lt-LT"/>
        </w:rPr>
        <w:t>Alternatyvaus kuro diegimas pramonės įmonėse Kauno, Šiaulių ir Telšių regionuose</w:t>
      </w:r>
      <w:r w:rsidRPr="00E45D13">
        <w:rPr>
          <w:szCs w:val="24"/>
          <w:lang w:eastAsia="lt-LT"/>
        </w:rPr>
        <w:t>“</w:t>
      </w:r>
      <w:r w:rsidRPr="00E45D13">
        <w:rPr>
          <w:bCs/>
          <w:szCs w:val="24"/>
        </w:rPr>
        <w:t xml:space="preserve">. Todėl </w:t>
      </w:r>
      <w:r w:rsidRPr="00E45D13">
        <w:rPr>
          <w:iCs/>
          <w:szCs w:val="24"/>
        </w:rPr>
        <w:t>siek</w:t>
      </w:r>
      <w:r w:rsidRPr="00E45D13">
        <w:rPr>
          <w:iCs/>
        </w:rPr>
        <w:t xml:space="preserve">iant sėkmingo Teritorinio teisingos pertvarkos plano (toliau – TTPP) įgyvendinimo bei įvertinus tai, kad geriausiai TPF tikslai būtų pasiekti didinant labiausiai veikiamų regionų atsparumą, kuriant naujas darbo vietas ir tokiu būdu mažinant regionų ekonominę priklausomybę nuo vieno didelio darbdavio, taip pat siekiama išplėsti TPF tvarių darbo vietų kūrimo investicijų krypties užsienio ir vietos investuotojų su dideliu darbo vietų kūrimo potencialu pritraukimo veiklą, investicijas nukreipiant ne tik į labiausiai pertvarkos paveiktas Akmenės raj., Jonavos raj., Mažeikių raj. savivaldybes, bet ir Kauno, Šiaulių ir Telšių apskritis, </w:t>
      </w:r>
      <w:r w:rsidRPr="00E45D13">
        <w:rPr>
          <w:iCs/>
          <w:szCs w:val="24"/>
        </w:rPr>
        <w:t xml:space="preserve">nes šiose </w:t>
      </w:r>
      <w:r w:rsidRPr="00E45D13">
        <w:rPr>
          <w:szCs w:val="24"/>
        </w:rPr>
        <w:t>apskr. veikiančiose AB „Achema“, AB „Akmenės cementas“, AB „</w:t>
      </w:r>
      <w:proofErr w:type="spellStart"/>
      <w:r w:rsidRPr="00E45D13">
        <w:rPr>
          <w:szCs w:val="24"/>
        </w:rPr>
        <w:t>Orlen</w:t>
      </w:r>
      <w:proofErr w:type="spellEnd"/>
      <w:r w:rsidRPr="00E45D13">
        <w:rPr>
          <w:szCs w:val="24"/>
        </w:rPr>
        <w:t xml:space="preserve"> Lietuva“</w:t>
      </w:r>
      <w:r w:rsidR="00E72403">
        <w:rPr>
          <w:szCs w:val="24"/>
        </w:rPr>
        <w:t xml:space="preserve"> </w:t>
      </w:r>
      <w:r w:rsidRPr="00E45D13">
        <w:rPr>
          <w:szCs w:val="24"/>
        </w:rPr>
        <w:t>tiesiogiai dirba apie 0,4</w:t>
      </w:r>
      <w:r w:rsidR="00E72403">
        <w:rPr>
          <w:szCs w:val="24"/>
        </w:rPr>
        <w:t>–</w:t>
      </w:r>
      <w:r w:rsidRPr="00E45D13">
        <w:rPr>
          <w:szCs w:val="24"/>
        </w:rPr>
        <w:t>2%, o netiesiogiai apie 1</w:t>
      </w:r>
      <w:r w:rsidR="00E72403">
        <w:rPr>
          <w:szCs w:val="24"/>
        </w:rPr>
        <w:t>–</w:t>
      </w:r>
      <w:r w:rsidRPr="00E45D13">
        <w:rPr>
          <w:szCs w:val="24"/>
        </w:rPr>
        <w:t>11,2% regioninės darbo jėgos</w:t>
      </w:r>
      <w:r w:rsidRPr="00E45D13">
        <w:rPr>
          <w:iCs/>
          <w:szCs w:val="24"/>
        </w:rPr>
        <w:t>.</w:t>
      </w:r>
    </w:p>
    <w:p w14:paraId="2A10D568" w14:textId="4EC3ED59" w:rsidR="00BA4BCD" w:rsidRPr="000F25EF" w:rsidRDefault="00E45D13" w:rsidP="00E85B1D">
      <w:pPr>
        <w:spacing w:before="120" w:after="120"/>
        <w:jc w:val="both"/>
        <w:rPr>
          <w:rFonts w:eastAsia="Calibri"/>
          <w:szCs w:val="24"/>
        </w:rPr>
      </w:pPr>
      <w:r w:rsidRPr="000F25EF">
        <w:rPr>
          <w:rFonts w:eastAsia="Calibri"/>
          <w:b/>
          <w:bCs/>
          <w:iCs/>
          <w:szCs w:val="24"/>
        </w:rPr>
        <w:t xml:space="preserve">Siūloma patikslinti Investicijų programos </w:t>
      </w:r>
      <w:r w:rsidR="000F25EF" w:rsidRPr="000F25EF">
        <w:rPr>
          <w:rFonts w:eastAsia="Calibri"/>
          <w:b/>
          <w:bCs/>
          <w:iCs/>
          <w:szCs w:val="24"/>
        </w:rPr>
        <w:t xml:space="preserve">9 prioriteto </w:t>
      </w:r>
      <w:r w:rsidR="000F25EF" w:rsidRPr="000F25EF">
        <w:rPr>
          <w:rFonts w:eastAsia="Calibri"/>
          <w:b/>
          <w:bCs/>
          <w:i/>
          <w:iCs/>
          <w:szCs w:val="24"/>
        </w:rPr>
        <w:t xml:space="preserve">„Teisingos pertvarkos fondas“ </w:t>
      </w:r>
      <w:r w:rsidR="000F25EF" w:rsidRPr="000F25EF">
        <w:rPr>
          <w:rFonts w:eastAsia="Calibri"/>
          <w:b/>
          <w:bCs/>
          <w:iCs/>
          <w:szCs w:val="24"/>
        </w:rPr>
        <w:t xml:space="preserve">9.1 konkretaus uždavinio </w:t>
      </w:r>
      <w:r w:rsidR="000F25EF" w:rsidRPr="000F25EF">
        <w:rPr>
          <w:rFonts w:eastAsia="Calibri"/>
          <w:b/>
          <w:bCs/>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r w:rsidR="000F25EF">
        <w:rPr>
          <w:rFonts w:eastAsia="Calibri"/>
          <w:b/>
          <w:bCs/>
          <w:i/>
          <w:iCs/>
          <w:szCs w:val="24"/>
        </w:rPr>
        <w:t xml:space="preserve"> </w:t>
      </w:r>
      <w:r w:rsidRPr="000F25EF">
        <w:rPr>
          <w:rFonts w:eastAsia="Calibri"/>
          <w:b/>
          <w:bCs/>
          <w:iCs/>
          <w:szCs w:val="24"/>
        </w:rPr>
        <w:t>veiklos aprašymą</w:t>
      </w:r>
      <w:r w:rsidR="0075124E" w:rsidRPr="000F25EF">
        <w:rPr>
          <w:rFonts w:eastAsia="Calibri"/>
          <w:b/>
          <w:bCs/>
          <w:iCs/>
          <w:szCs w:val="24"/>
        </w:rPr>
        <w:t xml:space="preserve"> ir</w:t>
      </w:r>
      <w:r w:rsidRPr="000F25EF">
        <w:rPr>
          <w:rFonts w:eastAsia="Calibri"/>
          <w:b/>
          <w:bCs/>
          <w:iCs/>
          <w:szCs w:val="24"/>
        </w:rPr>
        <w:t xml:space="preserve"> patikslinti rodiklių pasiekimo reikšmes</w:t>
      </w:r>
      <w:r w:rsidR="0075124E" w:rsidRPr="000F25EF">
        <w:rPr>
          <w:rFonts w:eastAsia="Calibri"/>
          <w:b/>
          <w:bCs/>
          <w:iCs/>
          <w:szCs w:val="24"/>
        </w:rPr>
        <w:t>.</w:t>
      </w:r>
      <w:r w:rsidRPr="000F25EF">
        <w:rPr>
          <w:rFonts w:eastAsia="Calibri"/>
          <w:b/>
          <w:bCs/>
          <w:iCs/>
          <w:szCs w:val="24"/>
        </w:rPr>
        <w:t xml:space="preserve"> </w:t>
      </w:r>
      <w:r w:rsidR="0075124E" w:rsidRPr="000F25EF">
        <w:rPr>
          <w:rFonts w:eastAsia="Calibri"/>
          <w:b/>
          <w:bCs/>
          <w:iCs/>
          <w:szCs w:val="24"/>
        </w:rPr>
        <w:t>Taip pat</w:t>
      </w:r>
      <w:r w:rsidRPr="000F25EF">
        <w:rPr>
          <w:rFonts w:eastAsia="Calibri"/>
          <w:b/>
          <w:bCs/>
          <w:iCs/>
          <w:szCs w:val="24"/>
        </w:rPr>
        <w:t xml:space="preserve"> ištaisyti techninę klaidą </w:t>
      </w:r>
      <w:r w:rsidR="0075124E" w:rsidRPr="000F25EF">
        <w:rPr>
          <w:rFonts w:eastAsia="Calibri"/>
          <w:b/>
          <w:bCs/>
          <w:iCs/>
          <w:szCs w:val="24"/>
        </w:rPr>
        <w:t>nurodant naują išlaidų pasiskirstymo</w:t>
      </w:r>
      <w:r w:rsidRPr="000F25EF">
        <w:rPr>
          <w:rFonts w:eastAsia="Calibri"/>
          <w:b/>
          <w:bCs/>
          <w:iCs/>
          <w:szCs w:val="24"/>
        </w:rPr>
        <w:t xml:space="preserve"> </w:t>
      </w:r>
      <w:r w:rsidR="0075124E" w:rsidRPr="000F25EF">
        <w:rPr>
          <w:rFonts w:eastAsia="Calibri"/>
          <w:b/>
          <w:bCs/>
          <w:iCs/>
          <w:szCs w:val="24"/>
        </w:rPr>
        <w:t>intervencinių priemonių sritį.</w:t>
      </w:r>
    </w:p>
    <w:p w14:paraId="5F75B6E0" w14:textId="2DCDC0A4" w:rsidR="00E85B1D" w:rsidRPr="00E85B1D" w:rsidRDefault="00E9649F" w:rsidP="00E85B1D">
      <w:pPr>
        <w:spacing w:before="120" w:after="120"/>
        <w:jc w:val="both"/>
        <w:rPr>
          <w:rFonts w:eastAsia="Calibri"/>
          <w:i/>
          <w:szCs w:val="24"/>
        </w:rPr>
      </w:pPr>
      <w:r>
        <w:rPr>
          <w:rFonts w:eastAsia="Calibri"/>
          <w:i/>
          <w:szCs w:val="24"/>
        </w:rPr>
        <w:t xml:space="preserve">4. </w:t>
      </w:r>
      <w:r w:rsidR="004207B6">
        <w:rPr>
          <w:rFonts w:eastAsia="Calibri"/>
          <w:i/>
          <w:szCs w:val="24"/>
        </w:rPr>
        <w:t>S</w:t>
      </w:r>
      <w:r w:rsidR="004207B6" w:rsidRPr="004207B6">
        <w:rPr>
          <w:rFonts w:eastAsia="Calibri"/>
          <w:i/>
          <w:szCs w:val="24"/>
        </w:rPr>
        <w:t>upaprastintai apmokam</w:t>
      </w:r>
      <w:r w:rsidR="00541B1D">
        <w:rPr>
          <w:rFonts w:eastAsia="Calibri"/>
          <w:i/>
          <w:szCs w:val="24"/>
        </w:rPr>
        <w:t>os išlaidos</w:t>
      </w:r>
    </w:p>
    <w:p w14:paraId="76235C12" w14:textId="15F58C57" w:rsidR="004207B6" w:rsidRDefault="00945A0F" w:rsidP="004207B6">
      <w:pPr>
        <w:widowControl w:val="0"/>
        <w:ind w:firstLine="601"/>
        <w:jc w:val="both"/>
        <w:textAlignment w:val="baseline"/>
        <w:rPr>
          <w:szCs w:val="24"/>
        </w:rPr>
      </w:pPr>
      <w:r w:rsidRPr="00945A0F">
        <w:rPr>
          <w:szCs w:val="24"/>
        </w:rPr>
        <w:t xml:space="preserve">Atsižvelgiant į tai, kad tinkamai pritaikytas supaprastintas išlaidų apmokėjimo būdas reikšmingai mažina Europos Sąjungos investicijų fondų lėšų administravimo naštą ne tik visiems </w:t>
      </w:r>
      <w:r w:rsidRPr="00945A0F">
        <w:rPr>
          <w:szCs w:val="24"/>
        </w:rPr>
        <w:lastRenderedPageBreak/>
        <w:t xml:space="preserve">valdymo ir kontrolės sistemos dalyviams bei projektų vykdytojams, bet </w:t>
      </w:r>
      <w:proofErr w:type="gramStart"/>
      <w:r w:rsidRPr="00945A0F">
        <w:rPr>
          <w:szCs w:val="24"/>
        </w:rPr>
        <w:t>tuo pačiu</w:t>
      </w:r>
      <w:proofErr w:type="gramEnd"/>
      <w:r w:rsidRPr="00945A0F">
        <w:rPr>
          <w:szCs w:val="24"/>
        </w:rPr>
        <w:t xml:space="preserve"> ir Europos Komisijai, kuri pati skatina valstybes nares kuo plačiau ir intensyviau taikyti įvairius supaprastintus išlaidų apmokėjimo būdus, </w:t>
      </w:r>
      <w:r w:rsidR="004207B6" w:rsidRPr="004207B6">
        <w:rPr>
          <w:szCs w:val="24"/>
        </w:rPr>
        <w:t xml:space="preserve">su šiuo </w:t>
      </w:r>
      <w:r w:rsidR="00541B1D">
        <w:rPr>
          <w:szCs w:val="24"/>
        </w:rPr>
        <w:t>P</w:t>
      </w:r>
      <w:r w:rsidR="004207B6" w:rsidRPr="004207B6">
        <w:rPr>
          <w:szCs w:val="24"/>
        </w:rPr>
        <w:t xml:space="preserve">rogramos keitimu </w:t>
      </w:r>
      <w:r w:rsidR="004207B6" w:rsidRPr="002C30A4">
        <w:rPr>
          <w:b/>
          <w:szCs w:val="24"/>
        </w:rPr>
        <w:t>siūloma</w:t>
      </w:r>
      <w:r w:rsidR="00E64A33" w:rsidRPr="002C30A4">
        <w:rPr>
          <w:b/>
          <w:szCs w:val="24"/>
        </w:rPr>
        <w:t xml:space="preserve"> tvirtint</w:t>
      </w:r>
      <w:r w:rsidR="004207B6" w:rsidRPr="002C30A4">
        <w:rPr>
          <w:b/>
          <w:szCs w:val="24"/>
        </w:rPr>
        <w:t xml:space="preserve">i </w:t>
      </w:r>
      <w:r w:rsidR="004207B6" w:rsidRPr="004207B6">
        <w:rPr>
          <w:szCs w:val="24"/>
        </w:rPr>
        <w:t>ši</w:t>
      </w:r>
      <w:r w:rsidR="004207B6">
        <w:rPr>
          <w:szCs w:val="24"/>
        </w:rPr>
        <w:t>uos</w:t>
      </w:r>
      <w:r w:rsidR="004207B6" w:rsidRPr="004207B6">
        <w:rPr>
          <w:szCs w:val="24"/>
        </w:rPr>
        <w:t>, su supaprastintai apmokamomis išlaidomis susi</w:t>
      </w:r>
      <w:r w:rsidR="004207B6">
        <w:rPr>
          <w:szCs w:val="24"/>
        </w:rPr>
        <w:t>jusius</w:t>
      </w:r>
      <w:r w:rsidR="004207B6" w:rsidRPr="004207B6">
        <w:rPr>
          <w:szCs w:val="24"/>
        </w:rPr>
        <w:t>, pried</w:t>
      </w:r>
      <w:r w:rsidR="004207B6">
        <w:rPr>
          <w:szCs w:val="24"/>
        </w:rPr>
        <w:t>us</w:t>
      </w:r>
      <w:r w:rsidR="004207B6" w:rsidRPr="004207B6">
        <w:rPr>
          <w:szCs w:val="24"/>
        </w:rPr>
        <w:t>:</w:t>
      </w:r>
    </w:p>
    <w:p w14:paraId="7A297653" w14:textId="77777777" w:rsidR="004F2783" w:rsidRPr="004F2783" w:rsidRDefault="004F2783" w:rsidP="004F2783">
      <w:pPr>
        <w:widowControl w:val="0"/>
        <w:numPr>
          <w:ilvl w:val="0"/>
          <w:numId w:val="6"/>
        </w:numPr>
        <w:jc w:val="both"/>
        <w:textAlignment w:val="baseline"/>
        <w:rPr>
          <w:szCs w:val="24"/>
        </w:rPr>
      </w:pPr>
      <w:r w:rsidRPr="004F2783">
        <w:rPr>
          <w:szCs w:val="24"/>
        </w:rPr>
        <w:t>Aplinkosaugos vadybos sistemos diegimo ir sertifikavimo fiksuotasis vieneto įkainis;</w:t>
      </w:r>
    </w:p>
    <w:p w14:paraId="23AD4704" w14:textId="77777777" w:rsidR="004F2783" w:rsidRPr="004F2783" w:rsidRDefault="004F2783" w:rsidP="004F2783">
      <w:pPr>
        <w:widowControl w:val="0"/>
        <w:numPr>
          <w:ilvl w:val="0"/>
          <w:numId w:val="6"/>
        </w:numPr>
        <w:jc w:val="both"/>
        <w:textAlignment w:val="baseline"/>
        <w:rPr>
          <w:szCs w:val="24"/>
        </w:rPr>
      </w:pPr>
      <w:r w:rsidRPr="004F2783">
        <w:rPr>
          <w:szCs w:val="24"/>
        </w:rPr>
        <w:t xml:space="preserve">Ekologinio projektavimo fiksuotasis vieneto įkainis; </w:t>
      </w:r>
    </w:p>
    <w:p w14:paraId="498A177B" w14:textId="77777777" w:rsidR="004F2783" w:rsidRPr="004F2783" w:rsidRDefault="004F2783" w:rsidP="004F2783">
      <w:pPr>
        <w:widowControl w:val="0"/>
        <w:numPr>
          <w:ilvl w:val="0"/>
          <w:numId w:val="6"/>
        </w:numPr>
        <w:jc w:val="both"/>
        <w:textAlignment w:val="baseline"/>
        <w:rPr>
          <w:szCs w:val="24"/>
        </w:rPr>
      </w:pPr>
      <w:r w:rsidRPr="004F2783">
        <w:rPr>
          <w:szCs w:val="24"/>
        </w:rPr>
        <w:t xml:space="preserve">Elektros energijos kaupimo įrenginių įsigijimo ir įrengimo išlaidų fiksuotieji vieneto įkainiai; </w:t>
      </w:r>
    </w:p>
    <w:p w14:paraId="51B397E8" w14:textId="77777777" w:rsidR="004F2783" w:rsidRPr="004F2783" w:rsidRDefault="004F2783" w:rsidP="004F2783">
      <w:pPr>
        <w:widowControl w:val="0"/>
        <w:numPr>
          <w:ilvl w:val="0"/>
          <w:numId w:val="6"/>
        </w:numPr>
        <w:jc w:val="both"/>
        <w:textAlignment w:val="baseline"/>
        <w:rPr>
          <w:szCs w:val="24"/>
        </w:rPr>
      </w:pPr>
      <w:r w:rsidRPr="004F2783">
        <w:rPr>
          <w:szCs w:val="24"/>
        </w:rPr>
        <w:t xml:space="preserve">Gamybos technologijų audito fiksuotasis vieneto įkainis; </w:t>
      </w:r>
    </w:p>
    <w:p w14:paraId="71D79165" w14:textId="77777777" w:rsidR="004F2783" w:rsidRPr="004F2783" w:rsidRDefault="004F2783" w:rsidP="004F2783">
      <w:pPr>
        <w:widowControl w:val="0"/>
        <w:numPr>
          <w:ilvl w:val="0"/>
          <w:numId w:val="6"/>
        </w:numPr>
        <w:jc w:val="both"/>
        <w:textAlignment w:val="baseline"/>
        <w:rPr>
          <w:szCs w:val="24"/>
        </w:rPr>
      </w:pPr>
      <w:r w:rsidRPr="004F2783">
        <w:rPr>
          <w:szCs w:val="24"/>
        </w:rPr>
        <w:t xml:space="preserve">Investicijų projekto parengimo fiksuotasis vieneto įkainis; </w:t>
      </w:r>
    </w:p>
    <w:p w14:paraId="75F1C207" w14:textId="77777777" w:rsidR="004F2783" w:rsidRPr="004F2783" w:rsidRDefault="004F2783" w:rsidP="004F2783">
      <w:pPr>
        <w:widowControl w:val="0"/>
        <w:numPr>
          <w:ilvl w:val="0"/>
          <w:numId w:val="6"/>
        </w:numPr>
        <w:jc w:val="both"/>
        <w:textAlignment w:val="baseline"/>
        <w:rPr>
          <w:szCs w:val="24"/>
        </w:rPr>
      </w:pPr>
      <w:r w:rsidRPr="004F2783">
        <w:rPr>
          <w:szCs w:val="24"/>
        </w:rPr>
        <w:t xml:space="preserve">Įvadinių šilumos apskaitos prietaisų su nuotolinio duomenų nuskaitymo funkcija fiksuotasis vieneto įkainis; </w:t>
      </w:r>
    </w:p>
    <w:p w14:paraId="56AD8DF0" w14:textId="77777777" w:rsidR="004F2783" w:rsidRPr="004F2783" w:rsidRDefault="004F2783" w:rsidP="004F2783">
      <w:pPr>
        <w:widowControl w:val="0"/>
        <w:numPr>
          <w:ilvl w:val="0"/>
          <w:numId w:val="6"/>
        </w:numPr>
        <w:jc w:val="both"/>
        <w:textAlignment w:val="baseline"/>
        <w:rPr>
          <w:szCs w:val="24"/>
        </w:rPr>
      </w:pPr>
      <w:r w:rsidRPr="004F2783">
        <w:rPr>
          <w:szCs w:val="24"/>
        </w:rPr>
        <w:t xml:space="preserve">Darbuotojų, dirbančių su mažiau galimybių turinčiais ir neaktyviais NEET jaunais žmonėmis, darbo užmokesčio fiksuotieji vieneto įkainiai; </w:t>
      </w:r>
    </w:p>
    <w:p w14:paraId="5B2B12B8" w14:textId="77777777" w:rsidR="004F2783" w:rsidRPr="004F2783" w:rsidRDefault="004F2783" w:rsidP="004F2783">
      <w:pPr>
        <w:widowControl w:val="0"/>
        <w:numPr>
          <w:ilvl w:val="0"/>
          <w:numId w:val="6"/>
        </w:numPr>
        <w:jc w:val="both"/>
        <w:textAlignment w:val="baseline"/>
        <w:rPr>
          <w:szCs w:val="24"/>
        </w:rPr>
      </w:pPr>
      <w:r w:rsidRPr="004F2783">
        <w:rPr>
          <w:szCs w:val="24"/>
        </w:rPr>
        <w:t xml:space="preserve">Karšto vandens skaitiklių įrengimo fiksuotasis vieneto įkainis; </w:t>
      </w:r>
    </w:p>
    <w:p w14:paraId="1E79F137" w14:textId="77777777" w:rsidR="004F2783" w:rsidRPr="004F2783" w:rsidRDefault="004F2783" w:rsidP="004F2783">
      <w:pPr>
        <w:widowControl w:val="0"/>
        <w:numPr>
          <w:ilvl w:val="0"/>
          <w:numId w:val="6"/>
        </w:numPr>
        <w:jc w:val="both"/>
        <w:textAlignment w:val="baseline"/>
        <w:rPr>
          <w:szCs w:val="24"/>
        </w:rPr>
      </w:pPr>
      <w:r w:rsidRPr="004F2783">
        <w:rPr>
          <w:szCs w:val="24"/>
        </w:rPr>
        <w:t xml:space="preserve">Kelionių išlaidų Lietuvoje fiksuotasis vieneto įkainis; </w:t>
      </w:r>
    </w:p>
    <w:p w14:paraId="472792B0" w14:textId="77777777" w:rsidR="004F2783" w:rsidRPr="004F2783" w:rsidRDefault="004F2783" w:rsidP="004F2783">
      <w:pPr>
        <w:widowControl w:val="0"/>
        <w:numPr>
          <w:ilvl w:val="0"/>
          <w:numId w:val="6"/>
        </w:numPr>
        <w:jc w:val="both"/>
        <w:textAlignment w:val="baseline"/>
        <w:rPr>
          <w:szCs w:val="24"/>
        </w:rPr>
      </w:pPr>
      <w:r w:rsidRPr="004F2783">
        <w:rPr>
          <w:szCs w:val="24"/>
        </w:rPr>
        <w:t xml:space="preserve">Projektą vykdančio personalo savanoriško darbo įnašo fiksuotasis vieneto įkainis; </w:t>
      </w:r>
    </w:p>
    <w:p w14:paraId="54333D42" w14:textId="77777777" w:rsidR="004F2783" w:rsidRPr="004F2783" w:rsidRDefault="004F2783" w:rsidP="004F2783">
      <w:pPr>
        <w:widowControl w:val="0"/>
        <w:numPr>
          <w:ilvl w:val="0"/>
          <w:numId w:val="6"/>
        </w:numPr>
        <w:jc w:val="both"/>
        <w:textAlignment w:val="baseline"/>
        <w:rPr>
          <w:szCs w:val="24"/>
        </w:rPr>
      </w:pPr>
      <w:r w:rsidRPr="004F2783">
        <w:rPr>
          <w:szCs w:val="24"/>
        </w:rPr>
        <w:t>Vėjo elektrinių namų ūkiuose įrengimo išlaidų fiksuotasis vieneto įkainis;</w:t>
      </w:r>
    </w:p>
    <w:p w14:paraId="4CC1E637" w14:textId="77777777" w:rsidR="004F2783" w:rsidRPr="004F2783" w:rsidRDefault="004F2783" w:rsidP="004F2783">
      <w:pPr>
        <w:widowControl w:val="0"/>
        <w:numPr>
          <w:ilvl w:val="0"/>
          <w:numId w:val="6"/>
        </w:numPr>
        <w:jc w:val="both"/>
        <w:textAlignment w:val="baseline"/>
        <w:rPr>
          <w:szCs w:val="24"/>
        </w:rPr>
      </w:pPr>
      <w:r w:rsidRPr="004F2783">
        <w:rPr>
          <w:szCs w:val="24"/>
        </w:rPr>
        <w:t>Viešųjų elektromobilių įkrovimo stotelių su prieiga (-</w:t>
      </w:r>
      <w:proofErr w:type="spellStart"/>
      <w:r w:rsidRPr="004F2783">
        <w:rPr>
          <w:szCs w:val="24"/>
        </w:rPr>
        <w:t>omis</w:t>
      </w:r>
      <w:proofErr w:type="spellEnd"/>
      <w:r w:rsidRPr="004F2783">
        <w:rPr>
          <w:szCs w:val="24"/>
        </w:rPr>
        <w:t>) įrengimo fiksuotieji vieneto įkainiai.</w:t>
      </w:r>
    </w:p>
    <w:p w14:paraId="45A9B2A2" w14:textId="77777777" w:rsidR="004F2783" w:rsidRPr="004F2783" w:rsidRDefault="004F2783" w:rsidP="004F2783">
      <w:pPr>
        <w:widowControl w:val="0"/>
        <w:numPr>
          <w:ilvl w:val="0"/>
          <w:numId w:val="6"/>
        </w:numPr>
        <w:jc w:val="both"/>
        <w:textAlignment w:val="baseline"/>
        <w:rPr>
          <w:szCs w:val="24"/>
        </w:rPr>
      </w:pPr>
      <w:r w:rsidRPr="004F2783">
        <w:rPr>
          <w:szCs w:val="24"/>
        </w:rPr>
        <w:t>Darbuotojo komandiruotės į Europos Sąjungos valstybę(-</w:t>
      </w:r>
      <w:proofErr w:type="spellStart"/>
      <w:r w:rsidRPr="004F2783">
        <w:rPr>
          <w:szCs w:val="24"/>
        </w:rPr>
        <w:t>es</w:t>
      </w:r>
      <w:proofErr w:type="spellEnd"/>
      <w:r w:rsidRPr="004F2783">
        <w:rPr>
          <w:szCs w:val="24"/>
        </w:rPr>
        <w:t>) išlaidų fiksuotieji vieneto įkainiai;</w:t>
      </w:r>
    </w:p>
    <w:p w14:paraId="1A36C4D9" w14:textId="77777777" w:rsidR="004F2783" w:rsidRPr="004F2783" w:rsidRDefault="004F2783" w:rsidP="004F2783">
      <w:pPr>
        <w:widowControl w:val="0"/>
        <w:numPr>
          <w:ilvl w:val="0"/>
          <w:numId w:val="6"/>
        </w:numPr>
        <w:jc w:val="both"/>
        <w:textAlignment w:val="baseline"/>
        <w:rPr>
          <w:szCs w:val="24"/>
        </w:rPr>
      </w:pPr>
      <w:r w:rsidRPr="004F2783">
        <w:rPr>
          <w:szCs w:val="24"/>
        </w:rPr>
        <w:t>Kelionių į užsienį išlaidų fiksuotieji vieneto įkainiai;</w:t>
      </w:r>
    </w:p>
    <w:p w14:paraId="422A840F" w14:textId="77777777" w:rsidR="004F2783" w:rsidRPr="004F2783" w:rsidRDefault="004F2783" w:rsidP="004F2783">
      <w:pPr>
        <w:widowControl w:val="0"/>
        <w:numPr>
          <w:ilvl w:val="0"/>
          <w:numId w:val="6"/>
        </w:numPr>
        <w:jc w:val="both"/>
        <w:textAlignment w:val="baseline"/>
        <w:rPr>
          <w:szCs w:val="24"/>
        </w:rPr>
      </w:pPr>
      <w:r w:rsidRPr="004F2783">
        <w:rPr>
          <w:szCs w:val="24"/>
        </w:rPr>
        <w:t>Kompleksinių paslaugų šeimai fiksuotieji vieneto įkainiai;</w:t>
      </w:r>
    </w:p>
    <w:p w14:paraId="74191B5F" w14:textId="77777777" w:rsidR="004F2783" w:rsidRPr="004F2783" w:rsidRDefault="004F2783" w:rsidP="004F2783">
      <w:pPr>
        <w:widowControl w:val="0"/>
        <w:numPr>
          <w:ilvl w:val="0"/>
          <w:numId w:val="6"/>
        </w:numPr>
        <w:jc w:val="both"/>
        <w:textAlignment w:val="baseline"/>
        <w:rPr>
          <w:szCs w:val="24"/>
        </w:rPr>
      </w:pPr>
      <w:r w:rsidRPr="004F2783">
        <w:rPr>
          <w:szCs w:val="24"/>
        </w:rPr>
        <w:t>Socialinę riziką patiriančioje šeimoje gyvenančių vaikų, kurie ugdomi pagal ikimokyklinio ar priešmokyklinio ugdymo programas, ugdymo krepšelio išlaidų fiksuotieji vieneto įkainiai;</w:t>
      </w:r>
    </w:p>
    <w:p w14:paraId="01021BAF" w14:textId="3EEEABF4" w:rsidR="002C30A4" w:rsidRPr="004F2783" w:rsidRDefault="004F2783" w:rsidP="004F2783">
      <w:pPr>
        <w:widowControl w:val="0"/>
        <w:numPr>
          <w:ilvl w:val="0"/>
          <w:numId w:val="6"/>
        </w:numPr>
        <w:jc w:val="both"/>
        <w:textAlignment w:val="baseline"/>
        <w:rPr>
          <w:szCs w:val="24"/>
        </w:rPr>
      </w:pPr>
      <w:r w:rsidRPr="004F2783">
        <w:rPr>
          <w:szCs w:val="24"/>
        </w:rPr>
        <w:t>Bendrųjų įgūdžių mokymo valandos fiksuotasis vieneto įkainis.</w:t>
      </w:r>
    </w:p>
    <w:p w14:paraId="1A2DAA52" w14:textId="2A785A22" w:rsidR="002C30A4" w:rsidRPr="002C30A4" w:rsidRDefault="002C30A4" w:rsidP="002C30A4">
      <w:pPr>
        <w:widowControl w:val="0"/>
        <w:spacing w:before="120"/>
        <w:jc w:val="both"/>
        <w:textAlignment w:val="baseline"/>
        <w:rPr>
          <w:bCs/>
          <w:color w:val="000000"/>
          <w:szCs w:val="24"/>
        </w:rPr>
      </w:pPr>
      <w:r>
        <w:rPr>
          <w:color w:val="000000"/>
          <w:szCs w:val="24"/>
        </w:rPr>
        <w:t>Papildomai</w:t>
      </w:r>
      <w:r w:rsidRPr="002C30A4">
        <w:rPr>
          <w:color w:val="000000"/>
          <w:szCs w:val="24"/>
        </w:rPr>
        <w:t xml:space="preserve"> </w:t>
      </w:r>
      <w:r w:rsidRPr="002C30A4">
        <w:rPr>
          <w:bCs/>
          <w:color w:val="000000"/>
          <w:szCs w:val="24"/>
        </w:rPr>
        <w:t>atsižvelgiant į ministerijų poreikius</w:t>
      </w:r>
      <w:r>
        <w:rPr>
          <w:bCs/>
          <w:color w:val="000000"/>
          <w:szCs w:val="24"/>
        </w:rPr>
        <w:t xml:space="preserve"> </w:t>
      </w:r>
      <w:r w:rsidRPr="002C30A4">
        <w:rPr>
          <w:b/>
          <w:bCs/>
          <w:color w:val="000000"/>
          <w:szCs w:val="24"/>
        </w:rPr>
        <w:t>siūloma pritarti</w:t>
      </w:r>
      <w:r>
        <w:rPr>
          <w:bCs/>
          <w:color w:val="000000"/>
          <w:szCs w:val="24"/>
        </w:rPr>
        <w:t xml:space="preserve"> </w:t>
      </w:r>
      <w:r>
        <w:rPr>
          <w:b/>
          <w:bCs/>
          <w:color w:val="000000"/>
          <w:szCs w:val="24"/>
          <w:u w:val="single"/>
        </w:rPr>
        <w:t>papildytiems</w:t>
      </w:r>
      <w:r w:rsidRPr="002C30A4">
        <w:rPr>
          <w:b/>
          <w:bCs/>
          <w:color w:val="000000"/>
          <w:szCs w:val="24"/>
          <w:u w:val="single"/>
        </w:rPr>
        <w:t xml:space="preserve"> naujomis veiklomis </w:t>
      </w:r>
      <w:r>
        <w:rPr>
          <w:b/>
          <w:bCs/>
          <w:color w:val="000000"/>
          <w:szCs w:val="24"/>
          <w:u w:val="single"/>
        </w:rPr>
        <w:t>ir</w:t>
      </w:r>
      <w:r w:rsidRPr="002C30A4">
        <w:rPr>
          <w:b/>
          <w:bCs/>
          <w:color w:val="000000"/>
          <w:szCs w:val="24"/>
          <w:u w:val="single"/>
        </w:rPr>
        <w:t xml:space="preserve"> </w:t>
      </w:r>
      <w:r>
        <w:rPr>
          <w:b/>
          <w:bCs/>
          <w:color w:val="000000"/>
          <w:szCs w:val="24"/>
          <w:u w:val="single"/>
        </w:rPr>
        <w:t xml:space="preserve">patikslintiems </w:t>
      </w:r>
      <w:r w:rsidRPr="004207B6">
        <w:rPr>
          <w:szCs w:val="24"/>
        </w:rPr>
        <w:t>supaprastintai apmokamomis išlaidomis susi</w:t>
      </w:r>
      <w:r>
        <w:rPr>
          <w:szCs w:val="24"/>
        </w:rPr>
        <w:t>jusiems</w:t>
      </w:r>
      <w:r w:rsidRPr="004207B6">
        <w:rPr>
          <w:szCs w:val="24"/>
        </w:rPr>
        <w:t>, pried</w:t>
      </w:r>
      <w:r>
        <w:rPr>
          <w:szCs w:val="24"/>
        </w:rPr>
        <w:t>ams</w:t>
      </w:r>
      <w:r w:rsidRPr="002C30A4">
        <w:rPr>
          <w:bCs/>
          <w:color w:val="000000"/>
          <w:szCs w:val="24"/>
        </w:rPr>
        <w:t>:</w:t>
      </w:r>
    </w:p>
    <w:p w14:paraId="1F3ABCDF" w14:textId="77777777" w:rsidR="004F2783" w:rsidRDefault="004F2783" w:rsidP="004F2783">
      <w:pPr>
        <w:pStyle w:val="Sraopastraipa"/>
        <w:widowControl w:val="0"/>
        <w:numPr>
          <w:ilvl w:val="0"/>
          <w:numId w:val="11"/>
        </w:numPr>
        <w:tabs>
          <w:tab w:val="left" w:pos="709"/>
        </w:tabs>
        <w:jc w:val="both"/>
        <w:textAlignment w:val="baseline"/>
        <w:rPr>
          <w:color w:val="000000"/>
          <w:szCs w:val="24"/>
        </w:rPr>
      </w:pPr>
      <w:r w:rsidRPr="004F2783">
        <w:rPr>
          <w:color w:val="000000"/>
          <w:szCs w:val="24"/>
        </w:rPr>
        <w:t>Psichologo (psichoterapeuto) / socialinio darbuotojo / individualios priežiūros personalo (užimtumo specialisto) darbo užmokesčio fiksuotieji vieneto įkainiai;</w:t>
      </w:r>
    </w:p>
    <w:p w14:paraId="610E0126" w14:textId="77777777" w:rsidR="004F2783" w:rsidRDefault="004F2783" w:rsidP="004F2783">
      <w:pPr>
        <w:pStyle w:val="Sraopastraipa"/>
        <w:widowControl w:val="0"/>
        <w:numPr>
          <w:ilvl w:val="0"/>
          <w:numId w:val="11"/>
        </w:numPr>
        <w:tabs>
          <w:tab w:val="left" w:pos="709"/>
        </w:tabs>
        <w:jc w:val="both"/>
        <w:textAlignment w:val="baseline"/>
        <w:rPr>
          <w:color w:val="000000"/>
          <w:szCs w:val="24"/>
        </w:rPr>
      </w:pPr>
      <w:r w:rsidRPr="004F2783">
        <w:rPr>
          <w:color w:val="000000"/>
          <w:szCs w:val="24"/>
        </w:rPr>
        <w:t>Projektų dalyvių (bedarbių) dalyvavusių stažuotėje mėnesio išlaidų fiksuotieji vieneto įkainiai;</w:t>
      </w:r>
    </w:p>
    <w:p w14:paraId="2B172743" w14:textId="77777777" w:rsidR="004F2783" w:rsidRDefault="004F2783" w:rsidP="004F2783">
      <w:pPr>
        <w:pStyle w:val="Sraopastraipa"/>
        <w:widowControl w:val="0"/>
        <w:numPr>
          <w:ilvl w:val="0"/>
          <w:numId w:val="11"/>
        </w:numPr>
        <w:tabs>
          <w:tab w:val="left" w:pos="709"/>
        </w:tabs>
        <w:jc w:val="both"/>
        <w:textAlignment w:val="baseline"/>
        <w:rPr>
          <w:color w:val="000000"/>
          <w:szCs w:val="24"/>
        </w:rPr>
      </w:pPr>
      <w:r w:rsidRPr="004F2783">
        <w:rPr>
          <w:color w:val="000000"/>
          <w:szCs w:val="24"/>
        </w:rPr>
        <w:t>Privačių juridinių asmenų projektą vykdančio personalo darbo užmokesčio fiksuotieji vieneto įkainiai;</w:t>
      </w:r>
    </w:p>
    <w:p w14:paraId="314B9BB7" w14:textId="3249FEFF" w:rsidR="002C30A4" w:rsidRPr="004F2783" w:rsidRDefault="004F2783" w:rsidP="004F2783">
      <w:pPr>
        <w:pStyle w:val="Sraopastraipa"/>
        <w:widowControl w:val="0"/>
        <w:numPr>
          <w:ilvl w:val="0"/>
          <w:numId w:val="11"/>
        </w:numPr>
        <w:tabs>
          <w:tab w:val="left" w:pos="709"/>
        </w:tabs>
        <w:jc w:val="both"/>
        <w:textAlignment w:val="baseline"/>
        <w:rPr>
          <w:color w:val="000000"/>
          <w:szCs w:val="24"/>
        </w:rPr>
      </w:pPr>
      <w:bookmarkStart w:id="0" w:name="_GoBack"/>
      <w:bookmarkEnd w:id="0"/>
      <w:r w:rsidRPr="004F2783">
        <w:rPr>
          <w:color w:val="000000"/>
          <w:szCs w:val="24"/>
        </w:rPr>
        <w:t>Privačių juridinių asmenų ir viešojo valdymo institucijų projektų dalyvių darbo užmokesčio fiksuotieji vieneto įkainiai.</w:t>
      </w:r>
    </w:p>
    <w:p w14:paraId="5C46B17E" w14:textId="0BEF2FA5" w:rsidR="00E85B1D" w:rsidRPr="004207B6" w:rsidRDefault="00E85B1D" w:rsidP="00892E01">
      <w:pPr>
        <w:widowControl w:val="0"/>
        <w:jc w:val="both"/>
        <w:textAlignment w:val="baseline"/>
        <w:rPr>
          <w:szCs w:val="24"/>
        </w:rPr>
      </w:pPr>
    </w:p>
    <w:p w14:paraId="57DCA4B1" w14:textId="6DE28608" w:rsidR="0062446D" w:rsidRPr="00001FCB" w:rsidRDefault="0062446D" w:rsidP="0062446D">
      <w:pPr>
        <w:widowControl w:val="0"/>
        <w:jc w:val="both"/>
        <w:textAlignment w:val="baseline"/>
        <w:rPr>
          <w:b/>
          <w:szCs w:val="24"/>
        </w:rPr>
      </w:pPr>
      <w:r w:rsidRPr="00001FCB">
        <w:rPr>
          <w:b/>
          <w:szCs w:val="24"/>
        </w:rPr>
        <w:t xml:space="preserve">2. </w:t>
      </w:r>
      <w:r w:rsidR="00001FCB" w:rsidRPr="00001FCB">
        <w:rPr>
          <w:b/>
          <w:szCs w:val="24"/>
        </w:rPr>
        <w:t>Siūlomo pakeitimo indėlis siekiant Europos Sąjungos tikslų.</w:t>
      </w:r>
    </w:p>
    <w:p w14:paraId="46A705AC" w14:textId="77777777" w:rsidR="0062446D" w:rsidRPr="00D5355C" w:rsidRDefault="0062446D" w:rsidP="0062446D">
      <w:pPr>
        <w:widowControl w:val="0"/>
        <w:jc w:val="both"/>
        <w:textAlignment w:val="baseline"/>
        <w:rPr>
          <w:szCs w:val="24"/>
        </w:rPr>
      </w:pPr>
    </w:p>
    <w:p w14:paraId="25853AAE" w14:textId="2252E6C3" w:rsidR="006E0C2C" w:rsidRDefault="006E0C2C" w:rsidP="00901DAA">
      <w:pPr>
        <w:widowControl w:val="0"/>
        <w:jc w:val="both"/>
        <w:textAlignment w:val="baseline"/>
        <w:rPr>
          <w:iCs/>
          <w:szCs w:val="24"/>
        </w:rPr>
      </w:pPr>
      <w:r>
        <w:rPr>
          <w:iCs/>
          <w:szCs w:val="24"/>
        </w:rPr>
        <w:t xml:space="preserve">Siūlomas 4 prioriteto pakeitimas prisidės prie </w:t>
      </w:r>
      <w:r w:rsidRPr="006E0C2C">
        <w:rPr>
          <w:bCs/>
          <w:iCs/>
          <w:szCs w:val="24"/>
        </w:rPr>
        <w:t>Europos Sąjungos pagrindinių teisių chartijo</w:t>
      </w:r>
      <w:r>
        <w:rPr>
          <w:bCs/>
          <w:iCs/>
          <w:szCs w:val="24"/>
        </w:rPr>
        <w:t>s</w:t>
      </w:r>
      <w:r>
        <w:rPr>
          <w:b/>
          <w:bCs/>
          <w:iCs/>
          <w:szCs w:val="24"/>
        </w:rPr>
        <w:t xml:space="preserve"> </w:t>
      </w:r>
      <w:r>
        <w:rPr>
          <w:bCs/>
          <w:iCs/>
          <w:szCs w:val="24"/>
        </w:rPr>
        <w:t xml:space="preserve">Neįgaliųjų teisių strategijoje </w:t>
      </w:r>
      <w:r w:rsidRPr="006E0C2C">
        <w:rPr>
          <w:bCs/>
          <w:iCs/>
          <w:szCs w:val="24"/>
        </w:rPr>
        <w:t>numa</w:t>
      </w:r>
      <w:r>
        <w:rPr>
          <w:bCs/>
          <w:iCs/>
          <w:szCs w:val="24"/>
        </w:rPr>
        <w:t>tyto siekio susijusio su neįgaliųjų teise</w:t>
      </w:r>
      <w:r w:rsidRPr="006E0C2C">
        <w:rPr>
          <w:bCs/>
          <w:iCs/>
          <w:szCs w:val="24"/>
        </w:rPr>
        <w:t xml:space="preserve"> gyventi savarankiškai ir pasirinkti, kur ir su kuo jie nori gyventi. </w:t>
      </w:r>
    </w:p>
    <w:p w14:paraId="4C553E6F" w14:textId="032C161C" w:rsidR="00901DAA" w:rsidRPr="00901DAA" w:rsidRDefault="00901DAA" w:rsidP="00901DAA">
      <w:pPr>
        <w:widowControl w:val="0"/>
        <w:jc w:val="both"/>
        <w:textAlignment w:val="baseline"/>
        <w:rPr>
          <w:iCs/>
          <w:szCs w:val="24"/>
        </w:rPr>
      </w:pPr>
      <w:r w:rsidRPr="00901DAA">
        <w:rPr>
          <w:iCs/>
          <w:szCs w:val="24"/>
        </w:rPr>
        <w:t xml:space="preserve">Siūlomas </w:t>
      </w:r>
      <w:r>
        <w:rPr>
          <w:iCs/>
          <w:szCs w:val="24"/>
        </w:rPr>
        <w:t xml:space="preserve">5 prioriteto </w:t>
      </w:r>
      <w:r w:rsidRPr="00901DAA">
        <w:rPr>
          <w:iCs/>
          <w:szCs w:val="24"/>
        </w:rPr>
        <w:t xml:space="preserve">pakeitimas tiesiogiai įgyvendina EK komunikate „Naujas požiūris į tvarią ES mėlynąją ekonomiką ES mėlynosios ekonomikos transformavimas siekiant tvarios ateities“ keliamą tikslą ES lėšomis skatinti ir remti jūrų ir </w:t>
      </w:r>
      <w:r w:rsidRPr="00E45D13">
        <w:rPr>
          <w:iCs/>
          <w:szCs w:val="24"/>
        </w:rPr>
        <w:t>pakrančių</w:t>
      </w:r>
      <w:r w:rsidRPr="00901DAA">
        <w:rPr>
          <w:b/>
          <w:iCs/>
          <w:szCs w:val="24"/>
        </w:rPr>
        <w:t xml:space="preserve"> </w:t>
      </w:r>
      <w:r w:rsidRPr="00901DAA">
        <w:rPr>
          <w:iCs/>
          <w:szCs w:val="24"/>
        </w:rPr>
        <w:t>ekologinio turizmo plėtrą. Komunikate nurodoma, kad ES paramos paskirtis bus atskleisti žemyno jūrinio paveldo įvairovę, išmaniai valdyti turistų srautus, įvairinti pasiūlą ir plėsti nesezoninį turizmą.</w:t>
      </w:r>
    </w:p>
    <w:p w14:paraId="6135EC8C" w14:textId="7D490E13" w:rsidR="00901DAA" w:rsidRDefault="00901DAA" w:rsidP="00901DAA">
      <w:pPr>
        <w:widowControl w:val="0"/>
        <w:jc w:val="both"/>
        <w:textAlignment w:val="baseline"/>
        <w:rPr>
          <w:iCs/>
          <w:szCs w:val="24"/>
        </w:rPr>
      </w:pPr>
      <w:r w:rsidRPr="00901DAA">
        <w:rPr>
          <w:iCs/>
          <w:szCs w:val="24"/>
        </w:rPr>
        <w:t xml:space="preserve">Siūlomas pakeitimas tiesiogiai įgyvendina Baltijos jūros strategijos veiksmų sritį „Turizmo </w:t>
      </w:r>
      <w:r w:rsidRPr="00901DAA">
        <w:rPr>
          <w:iCs/>
          <w:szCs w:val="24"/>
        </w:rPr>
        <w:lastRenderedPageBreak/>
        <w:t xml:space="preserve">infrastruktūros gerinimas, atsižvelgiant į klimato apsaugą ir tvarų </w:t>
      </w:r>
      <w:proofErr w:type="spellStart"/>
      <w:r w:rsidRPr="00901DAA">
        <w:rPr>
          <w:iCs/>
          <w:szCs w:val="24"/>
        </w:rPr>
        <w:t>judumą</w:t>
      </w:r>
      <w:proofErr w:type="spellEnd"/>
      <w:r w:rsidRPr="00901DAA">
        <w:rPr>
          <w:iCs/>
          <w:szCs w:val="24"/>
        </w:rPr>
        <w:t>, prieinamumą ir susisiekimą ekologišku būdu“.</w:t>
      </w:r>
    </w:p>
    <w:p w14:paraId="38619B8E" w14:textId="65D21831" w:rsidR="0062446D" w:rsidRDefault="00D62722" w:rsidP="0062446D">
      <w:pPr>
        <w:widowControl w:val="0"/>
        <w:jc w:val="both"/>
        <w:textAlignment w:val="baseline"/>
        <w:rPr>
          <w:iCs/>
          <w:szCs w:val="24"/>
        </w:rPr>
      </w:pPr>
      <w:r>
        <w:rPr>
          <w:iCs/>
          <w:szCs w:val="24"/>
        </w:rPr>
        <w:t>9 prioriteto p</w:t>
      </w:r>
      <w:r w:rsidRPr="00D62722">
        <w:rPr>
          <w:iCs/>
          <w:szCs w:val="24"/>
        </w:rPr>
        <w:t xml:space="preserve">akeitimas tiesiogiai prisidės prie vieno iš svarbiausių Europos Sąjungos tikslų – </w:t>
      </w:r>
      <w:r w:rsidRPr="00D62722">
        <w:rPr>
          <w:szCs w:val="24"/>
        </w:rPr>
        <w:t>perėjimo prie neutralaus poveikio klimatui ir žiedinės ekonomikos, taip pat sudarys sąlygas geresniam TPF tikslo – „</w:t>
      </w:r>
      <w:r w:rsidRPr="00D62722">
        <w:rPr>
          <w:iCs/>
          <w:szCs w:val="24"/>
        </w:rPr>
        <w:t xml:space="preserve">remti teritorijų, kurios susiduria su rimtais socialiniais ir ekonominiais iššūkiais, kylančiais dėl perėjimo prie klimatui neutralios Europos Sąjungos </w:t>
      </w:r>
      <w:proofErr w:type="gramStart"/>
      <w:r w:rsidRPr="00D62722">
        <w:rPr>
          <w:iCs/>
          <w:szCs w:val="24"/>
        </w:rPr>
        <w:t>(</w:t>
      </w:r>
      <w:proofErr w:type="gramEnd"/>
      <w:r w:rsidRPr="00D62722">
        <w:rPr>
          <w:iCs/>
          <w:szCs w:val="24"/>
        </w:rPr>
        <w:t xml:space="preserve">ES), gyventojus, ekonomiką ir aplinką“, </w:t>
      </w:r>
      <w:r w:rsidRPr="00D62722">
        <w:rPr>
          <w:szCs w:val="24"/>
        </w:rPr>
        <w:t>–</w:t>
      </w:r>
      <w:r w:rsidRPr="00D62722">
        <w:rPr>
          <w:iCs/>
          <w:szCs w:val="24"/>
        </w:rPr>
        <w:t xml:space="preserve"> pasiekimui</w:t>
      </w:r>
    </w:p>
    <w:p w14:paraId="7E9B0249" w14:textId="77777777" w:rsidR="00D62722" w:rsidRPr="00D5355C" w:rsidRDefault="00D62722" w:rsidP="0062446D">
      <w:pPr>
        <w:widowControl w:val="0"/>
        <w:jc w:val="both"/>
        <w:textAlignment w:val="baseline"/>
        <w:rPr>
          <w:szCs w:val="24"/>
        </w:rPr>
      </w:pPr>
    </w:p>
    <w:p w14:paraId="13996FC1" w14:textId="1951C44E" w:rsidR="0062446D" w:rsidRPr="00D5355C" w:rsidRDefault="0062446D" w:rsidP="0062446D">
      <w:pPr>
        <w:widowControl w:val="0"/>
        <w:tabs>
          <w:tab w:val="left" w:pos="567"/>
        </w:tabs>
        <w:jc w:val="both"/>
        <w:textAlignment w:val="baseline"/>
        <w:rPr>
          <w:b/>
          <w:szCs w:val="24"/>
        </w:rPr>
      </w:pPr>
      <w:r w:rsidRPr="00D5355C">
        <w:rPr>
          <w:b/>
          <w:szCs w:val="24"/>
        </w:rPr>
        <w:t>3</w:t>
      </w:r>
      <w:r w:rsidRPr="00001FCB">
        <w:rPr>
          <w:b/>
          <w:szCs w:val="24"/>
        </w:rPr>
        <w:t xml:space="preserve">. </w:t>
      </w:r>
      <w:r w:rsidR="00001FCB" w:rsidRPr="00001FCB">
        <w:rPr>
          <w:b/>
          <w:szCs w:val="24"/>
        </w:rPr>
        <w:t>Siūlomo pakeitimo indėlis siekiant numatytų Partnerystės sutarties ir Investicijų programos tikslų ir prioritetų</w:t>
      </w:r>
      <w:r w:rsidRPr="00D5355C">
        <w:rPr>
          <w:b/>
          <w:szCs w:val="24"/>
        </w:rPr>
        <w:t>.</w:t>
      </w:r>
    </w:p>
    <w:p w14:paraId="321FD530" w14:textId="77777777" w:rsidR="006E0C2C" w:rsidRDefault="006E0C2C" w:rsidP="0062446D">
      <w:pPr>
        <w:widowControl w:val="0"/>
        <w:tabs>
          <w:tab w:val="left" w:pos="567"/>
        </w:tabs>
        <w:jc w:val="both"/>
        <w:textAlignment w:val="baseline"/>
        <w:rPr>
          <w:szCs w:val="24"/>
        </w:rPr>
      </w:pPr>
    </w:p>
    <w:p w14:paraId="2D3B58FD" w14:textId="4D7549EB" w:rsidR="006E0C2C" w:rsidRDefault="00D96F0F" w:rsidP="00D62722">
      <w:pPr>
        <w:widowControl w:val="0"/>
        <w:tabs>
          <w:tab w:val="left" w:pos="567"/>
        </w:tabs>
        <w:jc w:val="both"/>
        <w:textAlignment w:val="baseline"/>
        <w:rPr>
          <w:iCs/>
        </w:rPr>
      </w:pPr>
      <w:r>
        <w:rPr>
          <w:szCs w:val="24"/>
        </w:rPr>
        <w:t>4 p</w:t>
      </w:r>
      <w:r w:rsidR="006E0C2C">
        <w:rPr>
          <w:szCs w:val="24"/>
        </w:rPr>
        <w:t xml:space="preserve">rioriteto </w:t>
      </w:r>
      <w:r>
        <w:rPr>
          <w:szCs w:val="24"/>
        </w:rPr>
        <w:t>4.9</w:t>
      </w:r>
      <w:r w:rsidR="000F25EF">
        <w:rPr>
          <w:szCs w:val="24"/>
        </w:rPr>
        <w:t xml:space="preserve"> </w:t>
      </w:r>
      <w:r>
        <w:rPr>
          <w:szCs w:val="24"/>
        </w:rPr>
        <w:t xml:space="preserve">konkretaus uždavinio </w:t>
      </w:r>
      <w:r w:rsidR="006E0C2C">
        <w:rPr>
          <w:szCs w:val="24"/>
        </w:rPr>
        <w:t>keitimai prisidės prie Partnerystės sutartyje ir Investicijų programoje numatyto siekio mažinti socialinę atskirtį, įgyvendinant</w:t>
      </w:r>
      <w:r w:rsidR="006E0C2C" w:rsidRPr="006E0C2C">
        <w:rPr>
          <w:szCs w:val="24"/>
        </w:rPr>
        <w:t xml:space="preserve"> integruot</w:t>
      </w:r>
      <w:r w:rsidR="006E0C2C">
        <w:rPr>
          <w:szCs w:val="24"/>
        </w:rPr>
        <w:t>a</w:t>
      </w:r>
      <w:r w:rsidR="006E0C2C" w:rsidRPr="006E0C2C">
        <w:rPr>
          <w:szCs w:val="24"/>
        </w:rPr>
        <w:t>s veikl</w:t>
      </w:r>
      <w:r w:rsidR="006E0C2C">
        <w:rPr>
          <w:szCs w:val="24"/>
        </w:rPr>
        <w:t>a</w:t>
      </w:r>
      <w:r w:rsidR="006E0C2C" w:rsidRPr="006E0C2C">
        <w:rPr>
          <w:szCs w:val="24"/>
        </w:rPr>
        <w:t>s, skirt</w:t>
      </w:r>
      <w:r w:rsidR="006E0C2C">
        <w:rPr>
          <w:szCs w:val="24"/>
        </w:rPr>
        <w:t>a</w:t>
      </w:r>
      <w:r w:rsidR="006E0C2C" w:rsidRPr="006E0C2C">
        <w:rPr>
          <w:szCs w:val="24"/>
        </w:rPr>
        <w:t xml:space="preserve">s socialinei ir ekonominei </w:t>
      </w:r>
      <w:proofErr w:type="spellStart"/>
      <w:r w:rsidR="006E0C2C" w:rsidRPr="006E0C2C">
        <w:rPr>
          <w:szCs w:val="24"/>
        </w:rPr>
        <w:t>marginalizuotų</w:t>
      </w:r>
      <w:proofErr w:type="spellEnd"/>
      <w:r w:rsidR="006E0C2C" w:rsidRPr="006E0C2C">
        <w:rPr>
          <w:szCs w:val="24"/>
        </w:rPr>
        <w:t xml:space="preserve"> bendruomenių, migrantų ir nepalankias sąlygas turinčių grupių integracijai, socialinio būsto prieinamumui gerinti</w:t>
      </w:r>
      <w:r w:rsidR="006E0C2C">
        <w:rPr>
          <w:szCs w:val="24"/>
        </w:rPr>
        <w:t>.</w:t>
      </w:r>
    </w:p>
    <w:p w14:paraId="684872BE" w14:textId="63941728" w:rsidR="00901DAA" w:rsidRDefault="00901DAA" w:rsidP="00D62722">
      <w:pPr>
        <w:widowControl w:val="0"/>
        <w:tabs>
          <w:tab w:val="left" w:pos="567"/>
        </w:tabs>
        <w:jc w:val="both"/>
        <w:textAlignment w:val="baseline"/>
        <w:rPr>
          <w:iCs/>
        </w:rPr>
      </w:pPr>
      <w:r w:rsidRPr="00901DAA">
        <w:rPr>
          <w:iCs/>
        </w:rPr>
        <w:t xml:space="preserve">Siūlomas </w:t>
      </w:r>
      <w:r>
        <w:rPr>
          <w:iCs/>
        </w:rPr>
        <w:t xml:space="preserve">5 prioriteto 5.2 konkretaus uždavinio </w:t>
      </w:r>
      <w:r w:rsidRPr="00901DAA">
        <w:rPr>
          <w:iCs/>
        </w:rPr>
        <w:t xml:space="preserve">veiklų praplėtimas pakrantės turizmo elementu, padės Investicijų programos 5.2 uždavinio veiklų grupę „Palankių sąlygų privačioms investicijoms pritraukti ir darbo vietoms kurti sudarymas, </w:t>
      </w:r>
      <w:r w:rsidRPr="00901DAA">
        <w:rPr>
          <w:b/>
          <w:iCs/>
        </w:rPr>
        <w:t>panaudojant specifinius, konkretiems regionams būdingus išteklius</w:t>
      </w:r>
      <w:r w:rsidRPr="00901DAA">
        <w:rPr>
          <w:iCs/>
        </w:rPr>
        <w:t>“ tiksliau nukreipti į pakrantės regionui būdingų išteklių išnaudojimą.</w:t>
      </w:r>
    </w:p>
    <w:p w14:paraId="23279271" w14:textId="1889E3DD" w:rsidR="0062446D" w:rsidRPr="00D5355C" w:rsidRDefault="00D62722" w:rsidP="00D62722">
      <w:pPr>
        <w:widowControl w:val="0"/>
        <w:tabs>
          <w:tab w:val="left" w:pos="567"/>
        </w:tabs>
        <w:jc w:val="both"/>
        <w:textAlignment w:val="baseline"/>
        <w:rPr>
          <w:szCs w:val="24"/>
        </w:rPr>
      </w:pPr>
      <w:r w:rsidRPr="00653399">
        <w:rPr>
          <w:iCs/>
        </w:rPr>
        <w:t>TPF prioritetu siekiama Partneryst</w:t>
      </w:r>
      <w:r w:rsidRPr="00B95578">
        <w:rPr>
          <w:iCs/>
        </w:rPr>
        <w:t>ės sutartyje nustatyto</w:t>
      </w:r>
      <w:r w:rsidRPr="00B95578">
        <w:t xml:space="preserve"> TPF tikslo: švelninti neigiamą su klimato kaita susijusios pertvarkos poveikį, suteikiant paramą labiausiai paveiktiems regionams ir darbuotojams, skatinant subalansuotą socialinę ir ekonominę pertvarką. </w:t>
      </w:r>
      <w:r>
        <w:t xml:space="preserve">Siūlomomis perskirstyti </w:t>
      </w:r>
      <w:r w:rsidRPr="00B95578">
        <w:t>TPF investicijo</w:t>
      </w:r>
      <w:r>
        <w:t>mi</w:t>
      </w:r>
      <w:r w:rsidRPr="00B95578">
        <w:t xml:space="preserve">s, kuriomis </w:t>
      </w:r>
      <w:proofErr w:type="gramStart"/>
      <w:r w:rsidRPr="00B95578">
        <w:t>100%</w:t>
      </w:r>
      <w:proofErr w:type="gramEnd"/>
      <w:r w:rsidRPr="00B95578">
        <w:t xml:space="preserve"> bus siekiama klimato srities tikslų, </w:t>
      </w:r>
      <w:r>
        <w:t xml:space="preserve">bus </w:t>
      </w:r>
      <w:r w:rsidRPr="00B95578">
        <w:t>prisid</w:t>
      </w:r>
      <w:r>
        <w:t>edama</w:t>
      </w:r>
      <w:r w:rsidRPr="00B95578">
        <w:t xml:space="preserve"> prie 2021–2030 m. NEKSP tikslų pasiekimo, kuriuose numatytas siekis iki 2050 m. pereiti prie neutralaus poveikio klimatui ekonomikos Lietuvoje ir išmetamų ŠESD kiekius nuo 2020 m. iki 2030 m. sumažinti 24% bei pasiekti 12 MtCO</w:t>
      </w:r>
      <w:r w:rsidRPr="00653399">
        <w:rPr>
          <w:vertAlign w:val="subscript"/>
        </w:rPr>
        <w:t>2</w:t>
      </w:r>
      <w:r w:rsidRPr="00B95578">
        <w:t>e lygį</w:t>
      </w:r>
    </w:p>
    <w:p w14:paraId="4029C3E8" w14:textId="77777777" w:rsidR="0062446D" w:rsidRPr="00D5355C" w:rsidRDefault="0062446D" w:rsidP="0062446D">
      <w:pPr>
        <w:widowControl w:val="0"/>
        <w:tabs>
          <w:tab w:val="left" w:pos="567"/>
        </w:tabs>
        <w:jc w:val="both"/>
        <w:textAlignment w:val="baseline"/>
        <w:rPr>
          <w:szCs w:val="24"/>
        </w:rPr>
      </w:pPr>
    </w:p>
    <w:p w14:paraId="1D4D6EC1" w14:textId="1730E2D0" w:rsidR="0062446D" w:rsidRPr="00D5355C" w:rsidRDefault="0062446D" w:rsidP="0062446D">
      <w:pPr>
        <w:widowControl w:val="0"/>
        <w:jc w:val="both"/>
        <w:textAlignment w:val="baseline"/>
        <w:rPr>
          <w:b/>
          <w:szCs w:val="24"/>
        </w:rPr>
      </w:pPr>
      <w:r w:rsidRPr="00D5355C">
        <w:rPr>
          <w:b/>
          <w:szCs w:val="24"/>
        </w:rPr>
        <w:t xml:space="preserve">4. </w:t>
      </w:r>
      <w:r w:rsidR="00001FCB" w:rsidRPr="00001FCB">
        <w:rPr>
          <w:b/>
          <w:szCs w:val="24"/>
        </w:rPr>
        <w:t>Siūlomo pakeitimo įtaka Investicijų programos stebėsenos rodikliams, jų pasiekimui</w:t>
      </w:r>
      <w:r w:rsidR="00001FCB" w:rsidRPr="00001FCB">
        <w:rPr>
          <w:b/>
          <w:i/>
          <w:szCs w:val="24"/>
        </w:rPr>
        <w:t>.</w:t>
      </w:r>
    </w:p>
    <w:p w14:paraId="3E9EA2ED" w14:textId="77777777" w:rsidR="0062446D" w:rsidRDefault="0062446D" w:rsidP="0062446D">
      <w:pPr>
        <w:jc w:val="both"/>
        <w:textAlignment w:val="baseline"/>
        <w:rPr>
          <w:iCs/>
        </w:rPr>
      </w:pPr>
    </w:p>
    <w:p w14:paraId="66624664" w14:textId="0F588647" w:rsidR="005D76D8" w:rsidRDefault="005D76D8" w:rsidP="00D62722">
      <w:pPr>
        <w:widowControl w:val="0"/>
        <w:tabs>
          <w:tab w:val="left" w:pos="567"/>
        </w:tabs>
        <w:jc w:val="both"/>
        <w:textAlignment w:val="baseline"/>
        <w:rPr>
          <w:iCs/>
        </w:rPr>
      </w:pPr>
      <w:r w:rsidRPr="005D76D8">
        <w:rPr>
          <w:iCs/>
        </w:rPr>
        <w:t>Siūlom</w:t>
      </w:r>
      <w:r>
        <w:rPr>
          <w:iCs/>
        </w:rPr>
        <w:t>i 4 ir 5 prioriteto pakeitimai</w:t>
      </w:r>
      <w:r w:rsidRPr="005D76D8">
        <w:rPr>
          <w:iCs/>
        </w:rPr>
        <w:t xml:space="preserve"> įtakos Investicijų programos stebėsenos rodikliams neturės. Investicijų programos rodikliai ir jų siektinų reikšmių apskaičiavimui taikytos prielaidos išlieka tos pačios.</w:t>
      </w:r>
    </w:p>
    <w:p w14:paraId="348A8CC3" w14:textId="03CC93DB" w:rsidR="00D96F0F" w:rsidRDefault="00D96F0F" w:rsidP="00D62722">
      <w:pPr>
        <w:widowControl w:val="0"/>
        <w:tabs>
          <w:tab w:val="left" w:pos="567"/>
        </w:tabs>
        <w:jc w:val="both"/>
        <w:textAlignment w:val="baseline"/>
        <w:rPr>
          <w:iCs/>
        </w:rPr>
      </w:pPr>
      <w:r w:rsidRPr="00D96F0F">
        <w:rPr>
          <w:iCs/>
        </w:rPr>
        <w:t xml:space="preserve">Perskirstant </w:t>
      </w:r>
      <w:r>
        <w:rPr>
          <w:iCs/>
        </w:rPr>
        <w:t>9 prioriteto</w:t>
      </w:r>
      <w:r w:rsidRPr="00D96F0F">
        <w:rPr>
          <w:iCs/>
        </w:rPr>
        <w:t xml:space="preserve"> </w:t>
      </w:r>
      <w:r>
        <w:rPr>
          <w:iCs/>
        </w:rPr>
        <w:t xml:space="preserve">TPF </w:t>
      </w:r>
      <w:r w:rsidRPr="00D96F0F">
        <w:rPr>
          <w:iCs/>
        </w:rPr>
        <w:t>investicijas tarp veiklų „</w:t>
      </w:r>
      <w:r w:rsidRPr="000F25EF">
        <w:rPr>
          <w:i/>
          <w:iCs/>
        </w:rPr>
        <w:t>Alternatyvaus kuro diegimas pramonės įmonėse Kauno, Šiaulių ir Telšių regionuose</w:t>
      </w:r>
      <w:r w:rsidRPr="00D96F0F">
        <w:rPr>
          <w:iCs/>
        </w:rPr>
        <w:t>“ ir „</w:t>
      </w:r>
      <w:r w:rsidRPr="000F25EF">
        <w:rPr>
          <w:i/>
          <w:iCs/>
        </w:rPr>
        <w:t>Užsienio ir vietos investuotojų su dideliu darbo vietų kūrimo potencialu pritraukimas</w:t>
      </w:r>
      <w:r w:rsidRPr="00D96F0F">
        <w:rPr>
          <w:iCs/>
        </w:rPr>
        <w:t>“, pastarąją išplečiant į regionus, taip pat siekiant suvienodinti rodikliams apskaičiuoti taikomą metodologiją, siūloma patikslinti stebėsenos rodiklių siektinas reikšmes.</w:t>
      </w:r>
    </w:p>
    <w:p w14:paraId="41EECD46" w14:textId="1B34FFC6" w:rsidR="00D96F0F" w:rsidRDefault="00D96F0F" w:rsidP="00D62722">
      <w:pPr>
        <w:widowControl w:val="0"/>
        <w:tabs>
          <w:tab w:val="left" w:pos="567"/>
        </w:tabs>
        <w:jc w:val="both"/>
        <w:textAlignment w:val="baseline"/>
        <w:rPr>
          <w:b/>
          <w:iCs/>
          <w:sz w:val="22"/>
          <w:szCs w:val="22"/>
        </w:rPr>
      </w:pPr>
      <w:r w:rsidRPr="00D96F0F">
        <w:rPr>
          <w:b/>
          <w:iCs/>
          <w:sz w:val="22"/>
          <w:szCs w:val="22"/>
        </w:rPr>
        <w:t>9.1 konkretau</w:t>
      </w:r>
      <w:r w:rsidR="00CE32E5">
        <w:rPr>
          <w:b/>
          <w:iCs/>
          <w:sz w:val="22"/>
          <w:szCs w:val="22"/>
        </w:rPr>
        <w:t>s uždavinio veiklas atspindinčių</w:t>
      </w:r>
      <w:r w:rsidRPr="00D96F0F">
        <w:rPr>
          <w:b/>
          <w:iCs/>
          <w:sz w:val="22"/>
          <w:szCs w:val="22"/>
        </w:rPr>
        <w:t xml:space="preserve"> produkto </w:t>
      </w:r>
      <w:r w:rsidR="00CE32E5">
        <w:rPr>
          <w:b/>
          <w:iCs/>
          <w:sz w:val="22"/>
          <w:szCs w:val="22"/>
        </w:rPr>
        <w:t>rodiklių pakeitimai</w:t>
      </w:r>
      <w:r>
        <w:rPr>
          <w:b/>
          <w:iCs/>
          <w:sz w:val="22"/>
          <w:szCs w:val="22"/>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6"/>
        <w:gridCol w:w="913"/>
        <w:gridCol w:w="842"/>
        <w:gridCol w:w="979"/>
        <w:gridCol w:w="1257"/>
        <w:gridCol w:w="1813"/>
        <w:gridCol w:w="989"/>
        <w:gridCol w:w="981"/>
        <w:gridCol w:w="954"/>
      </w:tblGrid>
      <w:tr w:rsidR="00CE32E5" w:rsidRPr="00CE32E5" w14:paraId="1C97FCFB" w14:textId="77777777" w:rsidTr="00C75743">
        <w:trPr>
          <w:trHeight w:val="521"/>
        </w:trPr>
        <w:tc>
          <w:tcPr>
            <w:tcW w:w="57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0A1F13" w14:textId="77777777" w:rsidR="00CE32E5" w:rsidRPr="00CE32E5" w:rsidRDefault="00CE32E5" w:rsidP="00CE32E5">
            <w:pPr>
              <w:spacing w:line="276" w:lineRule="auto"/>
              <w:jc w:val="center"/>
              <w:rPr>
                <w:rFonts w:eastAsiaTheme="minorHAnsi"/>
                <w:b/>
                <w:noProof/>
                <w:sz w:val="16"/>
                <w:szCs w:val="16"/>
              </w:rPr>
            </w:pPr>
            <w:r w:rsidRPr="00CE32E5">
              <w:rPr>
                <w:rFonts w:eastAsiaTheme="minorHAnsi"/>
                <w:b/>
                <w:noProof/>
                <w:sz w:val="16"/>
                <w:szCs w:val="16"/>
              </w:rPr>
              <w:t>Prioritetas</w:t>
            </w:r>
          </w:p>
        </w:tc>
        <w:tc>
          <w:tcPr>
            <w:tcW w:w="4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56FB4A" w14:textId="77777777" w:rsidR="00CE32E5" w:rsidRPr="00CE32E5" w:rsidRDefault="00CE32E5" w:rsidP="00CE32E5">
            <w:pPr>
              <w:spacing w:line="276" w:lineRule="auto"/>
              <w:jc w:val="center"/>
              <w:rPr>
                <w:rFonts w:eastAsiaTheme="minorHAnsi"/>
                <w:b/>
                <w:noProof/>
                <w:sz w:val="16"/>
                <w:szCs w:val="16"/>
              </w:rPr>
            </w:pPr>
            <w:r w:rsidRPr="00CE32E5">
              <w:rPr>
                <w:rFonts w:eastAsiaTheme="minorHAnsi"/>
                <w:b/>
                <w:noProof/>
                <w:sz w:val="16"/>
                <w:szCs w:val="16"/>
              </w:rPr>
              <w:t>Konkretus uždavinys</w:t>
            </w:r>
          </w:p>
        </w:tc>
        <w:tc>
          <w:tcPr>
            <w:tcW w:w="42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F30220" w14:textId="77777777" w:rsidR="00CE32E5" w:rsidRPr="00CE32E5" w:rsidRDefault="00CE32E5" w:rsidP="00CE32E5">
            <w:pPr>
              <w:spacing w:line="276" w:lineRule="auto"/>
              <w:jc w:val="center"/>
              <w:rPr>
                <w:rFonts w:eastAsiaTheme="minorHAnsi"/>
                <w:b/>
                <w:noProof/>
                <w:sz w:val="16"/>
                <w:szCs w:val="16"/>
              </w:rPr>
            </w:pPr>
            <w:r w:rsidRPr="00CE32E5">
              <w:rPr>
                <w:rFonts w:eastAsiaTheme="minorHAnsi"/>
                <w:b/>
                <w:noProof/>
                <w:sz w:val="16"/>
                <w:szCs w:val="16"/>
              </w:rPr>
              <w:t>Fondas</w:t>
            </w:r>
          </w:p>
        </w:tc>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A560F7" w14:textId="77777777" w:rsidR="00CE32E5" w:rsidRPr="00CE32E5" w:rsidRDefault="00CE32E5" w:rsidP="00CE32E5">
            <w:pPr>
              <w:spacing w:line="276" w:lineRule="auto"/>
              <w:jc w:val="center"/>
              <w:rPr>
                <w:rFonts w:eastAsiaTheme="minorHAnsi"/>
                <w:b/>
                <w:noProof/>
                <w:sz w:val="16"/>
                <w:szCs w:val="16"/>
              </w:rPr>
            </w:pPr>
            <w:r w:rsidRPr="00CE32E5">
              <w:rPr>
                <w:rFonts w:eastAsiaTheme="minorHAnsi"/>
                <w:b/>
                <w:noProof/>
                <w:sz w:val="16"/>
                <w:szCs w:val="16"/>
              </w:rPr>
              <w:t>Regiono kategorija</w:t>
            </w:r>
          </w:p>
        </w:tc>
        <w:tc>
          <w:tcPr>
            <w:tcW w:w="63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85A750" w14:textId="77777777" w:rsidR="00CE32E5" w:rsidRPr="00CE32E5" w:rsidRDefault="00CE32E5" w:rsidP="00CE32E5">
            <w:pPr>
              <w:spacing w:line="276" w:lineRule="auto"/>
              <w:jc w:val="center"/>
              <w:rPr>
                <w:rFonts w:eastAsiaTheme="minorHAnsi"/>
                <w:b/>
                <w:noProof/>
                <w:sz w:val="16"/>
                <w:szCs w:val="16"/>
              </w:rPr>
            </w:pPr>
            <w:r w:rsidRPr="00CE32E5">
              <w:rPr>
                <w:rFonts w:eastAsiaTheme="minorHAnsi"/>
                <w:b/>
                <w:noProof/>
                <w:sz w:val="16"/>
                <w:szCs w:val="16"/>
              </w:rPr>
              <w:t>Identifikavimo numeris</w:t>
            </w:r>
          </w:p>
        </w:tc>
        <w:tc>
          <w:tcPr>
            <w:tcW w:w="92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70A220" w14:textId="77777777" w:rsidR="00CE32E5" w:rsidRPr="00CE32E5" w:rsidRDefault="00CE32E5" w:rsidP="00CE32E5">
            <w:pPr>
              <w:spacing w:line="276" w:lineRule="auto"/>
              <w:jc w:val="center"/>
              <w:rPr>
                <w:rFonts w:eastAsiaTheme="minorHAnsi"/>
                <w:b/>
                <w:noProof/>
                <w:sz w:val="16"/>
                <w:szCs w:val="16"/>
              </w:rPr>
            </w:pPr>
            <w:r w:rsidRPr="00CE32E5">
              <w:rPr>
                <w:rFonts w:eastAsiaTheme="minorHAnsi"/>
                <w:b/>
                <w:noProof/>
                <w:sz w:val="16"/>
                <w:szCs w:val="16"/>
              </w:rPr>
              <w:t>Rodiklis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086072" w14:textId="77777777" w:rsidR="00CE32E5" w:rsidRPr="00CE32E5" w:rsidRDefault="00CE32E5" w:rsidP="00CE32E5">
            <w:pPr>
              <w:spacing w:line="276" w:lineRule="auto"/>
              <w:jc w:val="center"/>
              <w:rPr>
                <w:rFonts w:eastAsiaTheme="minorHAnsi"/>
                <w:b/>
                <w:noProof/>
                <w:sz w:val="16"/>
                <w:szCs w:val="16"/>
              </w:rPr>
            </w:pPr>
            <w:r w:rsidRPr="00CE32E5">
              <w:rPr>
                <w:rFonts w:eastAsiaTheme="minorHAnsi"/>
                <w:b/>
                <w:noProof/>
                <w:sz w:val="16"/>
                <w:szCs w:val="16"/>
              </w:rPr>
              <w:t>Matavimo vienetas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68BF72" w14:textId="77777777" w:rsidR="00CE32E5" w:rsidRPr="00CE32E5" w:rsidRDefault="00CE32E5" w:rsidP="00CE32E5">
            <w:pPr>
              <w:spacing w:line="276" w:lineRule="auto"/>
              <w:jc w:val="center"/>
              <w:rPr>
                <w:rFonts w:eastAsiaTheme="minorHAnsi"/>
                <w:b/>
                <w:noProof/>
                <w:sz w:val="16"/>
                <w:szCs w:val="16"/>
              </w:rPr>
            </w:pPr>
            <w:r w:rsidRPr="00CE32E5">
              <w:rPr>
                <w:rFonts w:eastAsiaTheme="minorHAnsi"/>
                <w:b/>
                <w:noProof/>
                <w:sz w:val="16"/>
                <w:szCs w:val="16"/>
              </w:rPr>
              <w:t>Tarpinė reikšmė (2024 m.)</w:t>
            </w:r>
          </w:p>
        </w:tc>
        <w:tc>
          <w:tcPr>
            <w:tcW w:w="48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853D93" w14:textId="77777777" w:rsidR="00CE32E5" w:rsidRPr="00CE32E5" w:rsidRDefault="00CE32E5" w:rsidP="00CE32E5">
            <w:pPr>
              <w:spacing w:line="276" w:lineRule="auto"/>
              <w:jc w:val="center"/>
              <w:rPr>
                <w:rFonts w:eastAsiaTheme="minorHAnsi"/>
                <w:b/>
                <w:noProof/>
                <w:sz w:val="16"/>
                <w:szCs w:val="16"/>
              </w:rPr>
            </w:pPr>
            <w:r w:rsidRPr="00CE32E5">
              <w:rPr>
                <w:rFonts w:eastAsiaTheme="minorHAnsi"/>
                <w:b/>
                <w:noProof/>
                <w:sz w:val="16"/>
                <w:szCs w:val="16"/>
              </w:rPr>
              <w:t>Siektina reikšmė (2029 m.)</w:t>
            </w:r>
          </w:p>
        </w:tc>
      </w:tr>
      <w:tr w:rsidR="00CE32E5" w:rsidRPr="00CE32E5" w14:paraId="65302A18" w14:textId="77777777" w:rsidTr="00C75743">
        <w:trPr>
          <w:trHeight w:val="332"/>
        </w:trPr>
        <w:tc>
          <w:tcPr>
            <w:tcW w:w="571" w:type="pct"/>
            <w:tcBorders>
              <w:top w:val="single" w:sz="12" w:space="0" w:color="auto"/>
            </w:tcBorders>
          </w:tcPr>
          <w:p w14:paraId="0DD0F517" w14:textId="77777777" w:rsidR="00CE32E5" w:rsidRPr="00CE32E5" w:rsidRDefault="00CE32E5" w:rsidP="00CE32E5">
            <w:pPr>
              <w:jc w:val="both"/>
              <w:rPr>
                <w:rFonts w:eastAsiaTheme="minorHAnsi"/>
                <w:noProof/>
                <w:sz w:val="16"/>
                <w:szCs w:val="16"/>
              </w:rPr>
            </w:pPr>
            <w:r w:rsidRPr="00CE32E5">
              <w:rPr>
                <w:rFonts w:eastAsiaTheme="minorHAnsi"/>
                <w:noProof/>
                <w:sz w:val="16"/>
                <w:szCs w:val="16"/>
              </w:rPr>
              <w:t>9. Teisingos pertvarkos fondas</w:t>
            </w:r>
          </w:p>
        </w:tc>
        <w:tc>
          <w:tcPr>
            <w:tcW w:w="463" w:type="pct"/>
            <w:tcBorders>
              <w:top w:val="single" w:sz="12" w:space="0" w:color="auto"/>
            </w:tcBorders>
          </w:tcPr>
          <w:p w14:paraId="245726E8" w14:textId="77777777" w:rsidR="00CE32E5" w:rsidRPr="00CE32E5" w:rsidRDefault="00CE32E5" w:rsidP="00CE32E5">
            <w:pPr>
              <w:jc w:val="both"/>
              <w:rPr>
                <w:rFonts w:eastAsiaTheme="minorHAnsi"/>
                <w:noProof/>
                <w:sz w:val="16"/>
                <w:szCs w:val="16"/>
              </w:rPr>
            </w:pPr>
            <w:r w:rsidRPr="00CE32E5">
              <w:rPr>
                <w:rFonts w:eastAsiaTheme="minorHAnsi"/>
                <w:noProof/>
                <w:sz w:val="16"/>
                <w:szCs w:val="16"/>
              </w:rPr>
              <w:t>9.1.</w:t>
            </w:r>
          </w:p>
        </w:tc>
        <w:tc>
          <w:tcPr>
            <w:tcW w:w="427" w:type="pct"/>
            <w:tcBorders>
              <w:top w:val="single" w:sz="12" w:space="0" w:color="auto"/>
            </w:tcBorders>
          </w:tcPr>
          <w:p w14:paraId="3E7C6AEC" w14:textId="77777777" w:rsidR="00CE32E5" w:rsidRPr="00CE32E5" w:rsidRDefault="00CE32E5" w:rsidP="00CE32E5">
            <w:pPr>
              <w:jc w:val="both"/>
              <w:rPr>
                <w:rFonts w:eastAsiaTheme="minorHAnsi"/>
                <w:noProof/>
                <w:sz w:val="16"/>
                <w:szCs w:val="16"/>
              </w:rPr>
            </w:pPr>
            <w:r w:rsidRPr="00CE32E5">
              <w:rPr>
                <w:rFonts w:eastAsiaTheme="minorHAnsi"/>
                <w:noProof/>
                <w:sz w:val="16"/>
                <w:szCs w:val="16"/>
              </w:rPr>
              <w:t>TPF</w:t>
            </w:r>
          </w:p>
        </w:tc>
        <w:tc>
          <w:tcPr>
            <w:tcW w:w="497" w:type="pct"/>
            <w:tcBorders>
              <w:top w:val="single" w:sz="12" w:space="0" w:color="auto"/>
            </w:tcBorders>
          </w:tcPr>
          <w:p w14:paraId="461EB501" w14:textId="77777777" w:rsidR="00CE32E5" w:rsidRPr="00CE32E5" w:rsidRDefault="00CE32E5" w:rsidP="00CE32E5">
            <w:pPr>
              <w:jc w:val="both"/>
              <w:rPr>
                <w:rFonts w:eastAsiaTheme="minorHAnsi"/>
                <w:noProof/>
                <w:sz w:val="16"/>
                <w:szCs w:val="16"/>
              </w:rPr>
            </w:pPr>
            <w:r w:rsidRPr="00CE32E5">
              <w:rPr>
                <w:rFonts w:eastAsiaTheme="minorHAnsi"/>
                <w:iCs/>
                <w:noProof/>
                <w:sz w:val="16"/>
                <w:szCs w:val="16"/>
              </w:rPr>
              <w:t>VVL regionas</w:t>
            </w:r>
          </w:p>
        </w:tc>
        <w:tc>
          <w:tcPr>
            <w:tcW w:w="638" w:type="pct"/>
            <w:tcBorders>
              <w:top w:val="single" w:sz="12" w:space="0" w:color="auto"/>
              <w:bottom w:val="single" w:sz="4" w:space="0" w:color="auto"/>
            </w:tcBorders>
          </w:tcPr>
          <w:p w14:paraId="2312B5F7" w14:textId="77777777" w:rsidR="00CE32E5" w:rsidRPr="00CE32E5" w:rsidRDefault="00CE32E5" w:rsidP="00CE32E5">
            <w:pPr>
              <w:jc w:val="both"/>
              <w:rPr>
                <w:rFonts w:eastAsia="Calibri"/>
                <w:sz w:val="16"/>
                <w:szCs w:val="16"/>
                <w:highlight w:val="yellow"/>
                <w:lang w:eastAsia="en-GB" w:bidi="lt-LT"/>
              </w:rPr>
            </w:pPr>
            <w:r w:rsidRPr="00CE32E5">
              <w:rPr>
                <w:rFonts w:eastAsiaTheme="minorHAnsi"/>
                <w:sz w:val="16"/>
                <w:szCs w:val="16"/>
              </w:rPr>
              <w:t>RCO 01</w:t>
            </w:r>
          </w:p>
        </w:tc>
        <w:tc>
          <w:tcPr>
            <w:tcW w:w="920" w:type="pct"/>
            <w:tcBorders>
              <w:top w:val="single" w:sz="12" w:space="0" w:color="auto"/>
              <w:bottom w:val="single" w:sz="4" w:space="0" w:color="auto"/>
            </w:tcBorders>
            <w:shd w:val="clear" w:color="auto" w:fill="auto"/>
          </w:tcPr>
          <w:p w14:paraId="1FDB8CF7" w14:textId="77777777" w:rsidR="00CE32E5" w:rsidRPr="00CE32E5" w:rsidRDefault="00CE32E5" w:rsidP="00CE32E5">
            <w:pPr>
              <w:tabs>
                <w:tab w:val="left" w:pos="315"/>
                <w:tab w:val="left" w:pos="457"/>
              </w:tabs>
              <w:contextualSpacing/>
              <w:jc w:val="both"/>
              <w:rPr>
                <w:rFonts w:eastAsia="Calibri"/>
                <w:sz w:val="16"/>
                <w:szCs w:val="16"/>
                <w:highlight w:val="yellow"/>
                <w:lang w:eastAsia="en-GB" w:bidi="lt-LT"/>
              </w:rPr>
            </w:pPr>
            <w:r w:rsidRPr="00CE32E5">
              <w:rPr>
                <w:rFonts w:eastAsiaTheme="minorHAnsi"/>
                <w:sz w:val="16"/>
                <w:szCs w:val="16"/>
              </w:rPr>
              <w:t>Paramą gavusios įmonės (iš kurių: labai mažos, mažosios, vidutinės ir didelės)</w:t>
            </w:r>
          </w:p>
        </w:tc>
        <w:tc>
          <w:tcPr>
            <w:tcW w:w="502" w:type="pct"/>
            <w:tcBorders>
              <w:top w:val="single" w:sz="12" w:space="0" w:color="auto"/>
              <w:bottom w:val="single" w:sz="4" w:space="0" w:color="auto"/>
            </w:tcBorders>
          </w:tcPr>
          <w:p w14:paraId="44BB971A" w14:textId="77777777" w:rsidR="00CE32E5" w:rsidRPr="00CE32E5" w:rsidRDefault="00CE32E5" w:rsidP="00CE32E5">
            <w:pPr>
              <w:jc w:val="both"/>
              <w:rPr>
                <w:rFonts w:eastAsiaTheme="minorHAnsi"/>
                <w:iCs/>
                <w:sz w:val="16"/>
                <w:szCs w:val="16"/>
                <w:highlight w:val="yellow"/>
                <w:lang w:eastAsia="lt-LT"/>
              </w:rPr>
            </w:pPr>
            <w:r w:rsidRPr="00CE32E5">
              <w:rPr>
                <w:rFonts w:eastAsiaTheme="minorHAnsi"/>
                <w:sz w:val="16"/>
                <w:szCs w:val="16"/>
              </w:rPr>
              <w:t>Įmonės</w:t>
            </w:r>
          </w:p>
        </w:tc>
        <w:tc>
          <w:tcPr>
            <w:tcW w:w="498" w:type="pct"/>
            <w:tcBorders>
              <w:top w:val="single" w:sz="12" w:space="0" w:color="auto"/>
              <w:bottom w:val="single" w:sz="4" w:space="0" w:color="auto"/>
            </w:tcBorders>
            <w:shd w:val="clear" w:color="auto" w:fill="auto"/>
          </w:tcPr>
          <w:p w14:paraId="6BA0A333" w14:textId="77777777" w:rsidR="00CE32E5" w:rsidRPr="00CE32E5" w:rsidRDefault="00CE32E5" w:rsidP="00CE32E5">
            <w:pPr>
              <w:jc w:val="center"/>
              <w:rPr>
                <w:rFonts w:eastAsiaTheme="minorHAnsi"/>
                <w:b/>
                <w:bCs/>
                <w:noProof/>
                <w:sz w:val="16"/>
                <w:szCs w:val="16"/>
                <w:u w:val="single"/>
              </w:rPr>
            </w:pPr>
            <w:r w:rsidRPr="00CE32E5">
              <w:rPr>
                <w:rFonts w:eastAsiaTheme="minorHAnsi"/>
                <w:b/>
                <w:bCs/>
                <w:noProof/>
                <w:sz w:val="16"/>
                <w:szCs w:val="16"/>
                <w:u w:val="single"/>
              </w:rPr>
              <w:t>23</w:t>
            </w:r>
          </w:p>
          <w:p w14:paraId="0CA1C4CE" w14:textId="77777777" w:rsidR="00CE32E5" w:rsidRPr="00CE32E5" w:rsidRDefault="00CE32E5" w:rsidP="00CE32E5">
            <w:pPr>
              <w:jc w:val="center"/>
              <w:rPr>
                <w:rFonts w:eastAsiaTheme="minorHAnsi"/>
                <w:bCs/>
                <w:strike/>
                <w:noProof/>
                <w:sz w:val="16"/>
                <w:szCs w:val="16"/>
              </w:rPr>
            </w:pPr>
            <w:r w:rsidRPr="00CE32E5">
              <w:rPr>
                <w:rFonts w:eastAsiaTheme="minorHAnsi"/>
                <w:bCs/>
                <w:strike/>
                <w:noProof/>
                <w:sz w:val="16"/>
                <w:szCs w:val="16"/>
              </w:rPr>
              <w:t>9</w:t>
            </w:r>
          </w:p>
        </w:tc>
        <w:tc>
          <w:tcPr>
            <w:tcW w:w="484" w:type="pct"/>
            <w:tcBorders>
              <w:top w:val="single" w:sz="12" w:space="0" w:color="auto"/>
              <w:bottom w:val="single" w:sz="4" w:space="0" w:color="auto"/>
            </w:tcBorders>
            <w:shd w:val="clear" w:color="auto" w:fill="auto"/>
          </w:tcPr>
          <w:p w14:paraId="3507CE41" w14:textId="77777777" w:rsidR="00CE32E5" w:rsidRPr="00CE32E5" w:rsidRDefault="00CE32E5" w:rsidP="00CE32E5">
            <w:pPr>
              <w:jc w:val="center"/>
              <w:rPr>
                <w:rFonts w:eastAsiaTheme="minorHAnsi"/>
                <w:b/>
                <w:bCs/>
                <w:noProof/>
                <w:sz w:val="16"/>
                <w:szCs w:val="16"/>
                <w:u w:val="single"/>
              </w:rPr>
            </w:pPr>
            <w:r w:rsidRPr="00CE32E5">
              <w:rPr>
                <w:rFonts w:eastAsiaTheme="minorHAnsi"/>
                <w:b/>
                <w:bCs/>
                <w:noProof/>
                <w:sz w:val="16"/>
                <w:szCs w:val="16"/>
                <w:u w:val="single"/>
              </w:rPr>
              <w:t>38</w:t>
            </w:r>
          </w:p>
          <w:p w14:paraId="07806F08" w14:textId="77777777" w:rsidR="00CE32E5" w:rsidRPr="00CE32E5" w:rsidRDefault="00CE32E5" w:rsidP="00CE32E5">
            <w:pPr>
              <w:jc w:val="center"/>
              <w:rPr>
                <w:rFonts w:eastAsiaTheme="minorHAnsi"/>
                <w:bCs/>
                <w:strike/>
                <w:noProof/>
                <w:sz w:val="16"/>
                <w:szCs w:val="16"/>
              </w:rPr>
            </w:pPr>
            <w:r w:rsidRPr="00CE32E5">
              <w:rPr>
                <w:rFonts w:eastAsiaTheme="minorHAnsi"/>
                <w:bCs/>
                <w:strike/>
                <w:noProof/>
                <w:sz w:val="16"/>
                <w:szCs w:val="16"/>
              </w:rPr>
              <w:t>185</w:t>
            </w:r>
          </w:p>
        </w:tc>
      </w:tr>
      <w:tr w:rsidR="00C75743" w:rsidRPr="00CE32E5" w14:paraId="7D0A56DD" w14:textId="77777777" w:rsidTr="00C75743">
        <w:trPr>
          <w:trHeight w:val="282"/>
        </w:trPr>
        <w:tc>
          <w:tcPr>
            <w:tcW w:w="571" w:type="pct"/>
          </w:tcPr>
          <w:p w14:paraId="03CBD0A9" w14:textId="2B921B5C" w:rsidR="00C75743" w:rsidRPr="00CE32E5" w:rsidRDefault="00C75743" w:rsidP="00CE32E5">
            <w:pPr>
              <w:jc w:val="both"/>
              <w:rPr>
                <w:rFonts w:eastAsiaTheme="minorHAnsi"/>
                <w:noProof/>
                <w:sz w:val="16"/>
                <w:szCs w:val="16"/>
                <w:highlight w:val="yellow"/>
              </w:rPr>
            </w:pPr>
            <w:r w:rsidRPr="00CE32E5">
              <w:rPr>
                <w:rFonts w:eastAsiaTheme="minorHAnsi"/>
                <w:noProof/>
                <w:sz w:val="16"/>
                <w:szCs w:val="16"/>
              </w:rPr>
              <w:t>9. Teisingos pertvarkos fondas</w:t>
            </w:r>
          </w:p>
        </w:tc>
        <w:tc>
          <w:tcPr>
            <w:tcW w:w="463" w:type="pct"/>
          </w:tcPr>
          <w:p w14:paraId="3D109320" w14:textId="1F306E71" w:rsidR="00C75743" w:rsidRPr="00CE32E5" w:rsidRDefault="00C75743" w:rsidP="00CE32E5">
            <w:pPr>
              <w:jc w:val="both"/>
              <w:rPr>
                <w:rFonts w:eastAsiaTheme="minorHAnsi"/>
                <w:noProof/>
                <w:sz w:val="16"/>
                <w:szCs w:val="16"/>
                <w:highlight w:val="yellow"/>
              </w:rPr>
            </w:pPr>
            <w:r w:rsidRPr="00CE32E5">
              <w:rPr>
                <w:rFonts w:eastAsiaTheme="minorHAnsi"/>
                <w:noProof/>
                <w:sz w:val="16"/>
                <w:szCs w:val="16"/>
              </w:rPr>
              <w:t>9.1.</w:t>
            </w:r>
          </w:p>
        </w:tc>
        <w:tc>
          <w:tcPr>
            <w:tcW w:w="427" w:type="pct"/>
          </w:tcPr>
          <w:p w14:paraId="3FE90126" w14:textId="2009AC9C" w:rsidR="00C75743" w:rsidRPr="00CE32E5" w:rsidRDefault="00C75743" w:rsidP="00CE32E5">
            <w:pPr>
              <w:jc w:val="both"/>
              <w:rPr>
                <w:rFonts w:eastAsiaTheme="minorHAnsi"/>
                <w:noProof/>
                <w:sz w:val="16"/>
                <w:szCs w:val="16"/>
                <w:highlight w:val="yellow"/>
              </w:rPr>
            </w:pPr>
            <w:r w:rsidRPr="00CE32E5">
              <w:rPr>
                <w:rFonts w:eastAsiaTheme="minorHAnsi"/>
                <w:noProof/>
                <w:sz w:val="16"/>
                <w:szCs w:val="16"/>
              </w:rPr>
              <w:t>TPF</w:t>
            </w:r>
          </w:p>
        </w:tc>
        <w:tc>
          <w:tcPr>
            <w:tcW w:w="497" w:type="pct"/>
          </w:tcPr>
          <w:p w14:paraId="68DDF66E" w14:textId="2E2FA20F" w:rsidR="00C75743" w:rsidRPr="00CE32E5" w:rsidRDefault="00C75743" w:rsidP="00CE32E5">
            <w:pPr>
              <w:jc w:val="both"/>
              <w:rPr>
                <w:rFonts w:eastAsiaTheme="minorHAnsi"/>
                <w:noProof/>
                <w:sz w:val="16"/>
                <w:szCs w:val="16"/>
                <w:highlight w:val="yellow"/>
              </w:rPr>
            </w:pPr>
            <w:r w:rsidRPr="00CE32E5">
              <w:rPr>
                <w:rFonts w:eastAsiaTheme="minorHAnsi"/>
                <w:iCs/>
                <w:noProof/>
                <w:sz w:val="16"/>
                <w:szCs w:val="16"/>
              </w:rPr>
              <w:t>VVL regionas</w:t>
            </w:r>
          </w:p>
        </w:tc>
        <w:tc>
          <w:tcPr>
            <w:tcW w:w="638" w:type="pct"/>
            <w:tcBorders>
              <w:top w:val="single" w:sz="4" w:space="0" w:color="auto"/>
              <w:bottom w:val="single" w:sz="4" w:space="0" w:color="auto"/>
            </w:tcBorders>
          </w:tcPr>
          <w:p w14:paraId="2643BBD2" w14:textId="77777777" w:rsidR="00C75743" w:rsidRPr="00CE32E5" w:rsidRDefault="00C75743" w:rsidP="00CE32E5">
            <w:pPr>
              <w:jc w:val="both"/>
              <w:rPr>
                <w:rFonts w:eastAsia="Calibri"/>
                <w:sz w:val="16"/>
                <w:szCs w:val="16"/>
                <w:highlight w:val="yellow"/>
                <w:lang w:eastAsia="en-GB" w:bidi="lt-LT"/>
              </w:rPr>
            </w:pPr>
            <w:r w:rsidRPr="00CE32E5">
              <w:rPr>
                <w:rFonts w:eastAsiaTheme="minorHAnsi"/>
                <w:sz w:val="16"/>
                <w:szCs w:val="16"/>
              </w:rPr>
              <w:t>RCO 02</w:t>
            </w:r>
          </w:p>
        </w:tc>
        <w:tc>
          <w:tcPr>
            <w:tcW w:w="920" w:type="pct"/>
            <w:tcBorders>
              <w:top w:val="single" w:sz="4" w:space="0" w:color="auto"/>
              <w:bottom w:val="single" w:sz="4" w:space="0" w:color="auto"/>
            </w:tcBorders>
            <w:shd w:val="clear" w:color="auto" w:fill="auto"/>
          </w:tcPr>
          <w:p w14:paraId="0F89234F" w14:textId="77777777" w:rsidR="00C75743" w:rsidRPr="00CE32E5" w:rsidRDefault="00C75743" w:rsidP="00CE32E5">
            <w:pPr>
              <w:autoSpaceDE w:val="0"/>
              <w:autoSpaceDN w:val="0"/>
              <w:adjustRightInd w:val="0"/>
              <w:jc w:val="both"/>
              <w:rPr>
                <w:rFonts w:eastAsia="Calibri"/>
                <w:sz w:val="16"/>
                <w:szCs w:val="16"/>
                <w:highlight w:val="yellow"/>
                <w:lang w:eastAsia="en-GB" w:bidi="lt-LT"/>
              </w:rPr>
            </w:pPr>
            <w:r w:rsidRPr="00CE32E5">
              <w:rPr>
                <w:rFonts w:eastAsiaTheme="minorHAnsi"/>
                <w:sz w:val="16"/>
                <w:szCs w:val="16"/>
              </w:rPr>
              <w:t>Paramą dotacijomis gavusios įmonės</w:t>
            </w:r>
          </w:p>
        </w:tc>
        <w:tc>
          <w:tcPr>
            <w:tcW w:w="502" w:type="pct"/>
            <w:tcBorders>
              <w:top w:val="single" w:sz="4" w:space="0" w:color="auto"/>
              <w:bottom w:val="single" w:sz="4" w:space="0" w:color="auto"/>
            </w:tcBorders>
          </w:tcPr>
          <w:p w14:paraId="1B1C5422" w14:textId="77777777" w:rsidR="00C75743" w:rsidRPr="00CE32E5" w:rsidRDefault="00C75743" w:rsidP="00CE32E5">
            <w:pPr>
              <w:jc w:val="both"/>
              <w:rPr>
                <w:rFonts w:eastAsiaTheme="minorHAnsi"/>
                <w:iCs/>
                <w:sz w:val="16"/>
                <w:szCs w:val="16"/>
                <w:highlight w:val="yellow"/>
                <w:lang w:eastAsia="lt-LT"/>
              </w:rPr>
            </w:pPr>
            <w:r w:rsidRPr="00CE32E5">
              <w:rPr>
                <w:rFonts w:eastAsiaTheme="minorHAnsi"/>
                <w:sz w:val="16"/>
                <w:szCs w:val="16"/>
              </w:rPr>
              <w:t>Įmonės</w:t>
            </w:r>
          </w:p>
        </w:tc>
        <w:tc>
          <w:tcPr>
            <w:tcW w:w="498" w:type="pct"/>
            <w:tcBorders>
              <w:top w:val="single" w:sz="4" w:space="0" w:color="auto"/>
              <w:bottom w:val="single" w:sz="4" w:space="0" w:color="auto"/>
            </w:tcBorders>
            <w:shd w:val="clear" w:color="auto" w:fill="auto"/>
          </w:tcPr>
          <w:p w14:paraId="28D46C4D" w14:textId="77777777" w:rsidR="00C75743" w:rsidRPr="00CE32E5" w:rsidRDefault="00C75743" w:rsidP="00CE32E5">
            <w:pPr>
              <w:jc w:val="center"/>
              <w:rPr>
                <w:rFonts w:eastAsiaTheme="minorHAnsi"/>
                <w:b/>
                <w:bCs/>
                <w:noProof/>
                <w:sz w:val="16"/>
                <w:szCs w:val="16"/>
                <w:u w:val="single"/>
              </w:rPr>
            </w:pPr>
            <w:r w:rsidRPr="00CE32E5">
              <w:rPr>
                <w:rFonts w:eastAsiaTheme="minorHAnsi"/>
                <w:b/>
                <w:bCs/>
                <w:noProof/>
                <w:sz w:val="16"/>
                <w:szCs w:val="16"/>
                <w:u w:val="single"/>
              </w:rPr>
              <w:t>23</w:t>
            </w:r>
          </w:p>
          <w:p w14:paraId="784B988A" w14:textId="77777777" w:rsidR="00C75743" w:rsidRPr="00CE32E5" w:rsidRDefault="00C75743" w:rsidP="00CE32E5">
            <w:pPr>
              <w:jc w:val="center"/>
              <w:rPr>
                <w:rFonts w:eastAsiaTheme="minorHAnsi"/>
                <w:bCs/>
                <w:noProof/>
                <w:sz w:val="16"/>
                <w:szCs w:val="16"/>
              </w:rPr>
            </w:pPr>
            <w:r w:rsidRPr="00CE32E5">
              <w:rPr>
                <w:rFonts w:eastAsiaTheme="minorHAnsi"/>
                <w:bCs/>
                <w:strike/>
                <w:noProof/>
                <w:sz w:val="16"/>
                <w:szCs w:val="16"/>
              </w:rPr>
              <w:t>9</w:t>
            </w:r>
          </w:p>
        </w:tc>
        <w:tc>
          <w:tcPr>
            <w:tcW w:w="484" w:type="pct"/>
            <w:tcBorders>
              <w:top w:val="single" w:sz="4" w:space="0" w:color="auto"/>
              <w:bottom w:val="single" w:sz="4" w:space="0" w:color="auto"/>
            </w:tcBorders>
            <w:shd w:val="clear" w:color="auto" w:fill="auto"/>
          </w:tcPr>
          <w:p w14:paraId="0727ECC8" w14:textId="77777777" w:rsidR="00C75743" w:rsidRPr="00CE32E5" w:rsidRDefault="00C75743" w:rsidP="00CE32E5">
            <w:pPr>
              <w:jc w:val="center"/>
              <w:rPr>
                <w:rFonts w:eastAsiaTheme="minorHAnsi"/>
                <w:b/>
                <w:bCs/>
                <w:noProof/>
                <w:sz w:val="16"/>
                <w:szCs w:val="16"/>
                <w:u w:val="single"/>
              </w:rPr>
            </w:pPr>
            <w:r w:rsidRPr="00CE32E5">
              <w:rPr>
                <w:rFonts w:eastAsiaTheme="minorHAnsi"/>
                <w:b/>
                <w:bCs/>
                <w:noProof/>
                <w:sz w:val="16"/>
                <w:szCs w:val="16"/>
                <w:u w:val="single"/>
              </w:rPr>
              <w:t>38</w:t>
            </w:r>
          </w:p>
          <w:p w14:paraId="21B377DE" w14:textId="77777777" w:rsidR="00C75743" w:rsidRPr="00CE32E5" w:rsidRDefault="00C75743" w:rsidP="00CE32E5">
            <w:pPr>
              <w:jc w:val="center"/>
              <w:rPr>
                <w:rFonts w:eastAsiaTheme="minorHAnsi"/>
                <w:bCs/>
                <w:noProof/>
                <w:sz w:val="16"/>
                <w:szCs w:val="16"/>
              </w:rPr>
            </w:pPr>
            <w:r w:rsidRPr="00CE32E5">
              <w:rPr>
                <w:rFonts w:eastAsiaTheme="minorHAnsi"/>
                <w:bCs/>
                <w:strike/>
                <w:noProof/>
                <w:sz w:val="16"/>
                <w:szCs w:val="16"/>
              </w:rPr>
              <w:t>185</w:t>
            </w:r>
          </w:p>
        </w:tc>
      </w:tr>
      <w:tr w:rsidR="00CE32E5" w:rsidRPr="00CE32E5" w14:paraId="6D78DF1C" w14:textId="77777777" w:rsidTr="00C75743">
        <w:trPr>
          <w:trHeight w:val="282"/>
        </w:trPr>
        <w:tc>
          <w:tcPr>
            <w:tcW w:w="5000" w:type="pct"/>
            <w:gridSpan w:val="9"/>
          </w:tcPr>
          <w:p w14:paraId="57A19909" w14:textId="329253D6" w:rsidR="00C75743" w:rsidRPr="00C75743" w:rsidRDefault="00CE32E5" w:rsidP="00C75743">
            <w:pPr>
              <w:spacing w:before="120" w:after="120"/>
              <w:jc w:val="both"/>
              <w:rPr>
                <w:sz w:val="20"/>
                <w:szCs w:val="16"/>
              </w:rPr>
            </w:pPr>
            <w:r w:rsidRPr="00C75743">
              <w:rPr>
                <w:sz w:val="20"/>
                <w:szCs w:val="16"/>
              </w:rPr>
              <w:t xml:space="preserve">Rodiklių reikšmės keičiamos įvertinus praktinį veiklų įgyvendinimą – taikomą valstybės pagalbos režimą, projektų apimtis, taip pat paskelbtų kvietimų pirminius rezultatus. Ženklus rodiklių mažėjimas susijęs su tuo, kad didelė lėšų dalis (30,6 mln. </w:t>
            </w:r>
            <w:proofErr w:type="spellStart"/>
            <w:r w:rsidRPr="00C75743">
              <w:rPr>
                <w:sz w:val="20"/>
                <w:szCs w:val="16"/>
              </w:rPr>
              <w:t>Eur</w:t>
            </w:r>
            <w:proofErr w:type="spellEnd"/>
            <w:r w:rsidRPr="00C75743">
              <w:rPr>
                <w:sz w:val="20"/>
                <w:szCs w:val="16"/>
              </w:rPr>
              <w:t>) perskirstyta iš veiklos „</w:t>
            </w:r>
            <w:r w:rsidRPr="000F25EF">
              <w:rPr>
                <w:i/>
                <w:sz w:val="20"/>
                <w:szCs w:val="16"/>
              </w:rPr>
              <w:t>Alternatyvaus kuro diegimas pramonės įmonėse Kauno, Šiaulių ir Telšių regionuose</w:t>
            </w:r>
            <w:r w:rsidRPr="00C75743">
              <w:rPr>
                <w:sz w:val="20"/>
                <w:szCs w:val="16"/>
              </w:rPr>
              <w:t>“ į veiklą „</w:t>
            </w:r>
            <w:r w:rsidRPr="000F25EF">
              <w:rPr>
                <w:i/>
                <w:sz w:val="20"/>
                <w:szCs w:val="16"/>
              </w:rPr>
              <w:t>Užsienio ir vietos investuotojų su dideliu darbo vietų kūrimo potencialu pritraukimas</w:t>
            </w:r>
            <w:r w:rsidRPr="00C75743">
              <w:rPr>
                <w:sz w:val="20"/>
                <w:szCs w:val="16"/>
              </w:rPr>
              <w:t xml:space="preserve">“, kurios vieno projekto apimtis yra 15 kartų didesnė (alternatyvaus kuro diegimo atveju projekto apimtis sudaro 0,5 mln. </w:t>
            </w:r>
            <w:proofErr w:type="spellStart"/>
            <w:r w:rsidRPr="00C75743">
              <w:rPr>
                <w:sz w:val="20"/>
                <w:szCs w:val="16"/>
              </w:rPr>
              <w:t>Eur</w:t>
            </w:r>
            <w:proofErr w:type="spellEnd"/>
            <w:r w:rsidRPr="00C75743">
              <w:rPr>
                <w:sz w:val="20"/>
                <w:szCs w:val="16"/>
              </w:rPr>
              <w:t xml:space="preserve">, </w:t>
            </w:r>
            <w:r w:rsidRPr="00C75743">
              <w:rPr>
                <w:sz w:val="20"/>
                <w:szCs w:val="16"/>
              </w:rPr>
              <w:lastRenderedPageBreak/>
              <w:t xml:space="preserve">užsienio ir vietos investuotojų pritraukimo atveju vidutinė projekto vertė – 7,5 mln. </w:t>
            </w:r>
            <w:proofErr w:type="spellStart"/>
            <w:r w:rsidRPr="00C75743">
              <w:rPr>
                <w:sz w:val="20"/>
                <w:szCs w:val="16"/>
              </w:rPr>
              <w:t>Eur</w:t>
            </w:r>
            <w:proofErr w:type="spellEnd"/>
            <w:r w:rsidRPr="00C75743">
              <w:rPr>
                <w:sz w:val="20"/>
                <w:szCs w:val="16"/>
              </w:rPr>
              <w:t>).</w:t>
            </w:r>
          </w:p>
        </w:tc>
      </w:tr>
      <w:tr w:rsidR="00C75743" w:rsidRPr="00CE32E5" w14:paraId="298127CA" w14:textId="77777777" w:rsidTr="00C75743">
        <w:trPr>
          <w:trHeight w:val="213"/>
        </w:trPr>
        <w:tc>
          <w:tcPr>
            <w:tcW w:w="571" w:type="pct"/>
          </w:tcPr>
          <w:p w14:paraId="10B3469D" w14:textId="176172AC" w:rsidR="00C75743" w:rsidRPr="00CE32E5" w:rsidRDefault="00C75743" w:rsidP="00CE32E5">
            <w:pPr>
              <w:jc w:val="both"/>
              <w:rPr>
                <w:rFonts w:eastAsiaTheme="minorHAnsi"/>
                <w:noProof/>
                <w:sz w:val="16"/>
                <w:szCs w:val="16"/>
                <w:highlight w:val="yellow"/>
              </w:rPr>
            </w:pPr>
            <w:r w:rsidRPr="00CE32E5">
              <w:rPr>
                <w:rFonts w:eastAsiaTheme="minorHAnsi"/>
                <w:noProof/>
                <w:sz w:val="16"/>
                <w:szCs w:val="16"/>
              </w:rPr>
              <w:lastRenderedPageBreak/>
              <w:t>9. Teisingos pertvarkos fondas</w:t>
            </w:r>
          </w:p>
        </w:tc>
        <w:tc>
          <w:tcPr>
            <w:tcW w:w="463" w:type="pct"/>
          </w:tcPr>
          <w:p w14:paraId="48A89EEB" w14:textId="1078E4A3" w:rsidR="00C75743" w:rsidRPr="00CE32E5" w:rsidRDefault="00C75743" w:rsidP="00CE32E5">
            <w:pPr>
              <w:jc w:val="both"/>
              <w:rPr>
                <w:rFonts w:eastAsiaTheme="minorHAnsi"/>
                <w:noProof/>
                <w:sz w:val="16"/>
                <w:szCs w:val="16"/>
                <w:highlight w:val="yellow"/>
              </w:rPr>
            </w:pPr>
            <w:r w:rsidRPr="00CE32E5">
              <w:rPr>
                <w:rFonts w:eastAsiaTheme="minorHAnsi"/>
                <w:noProof/>
                <w:sz w:val="16"/>
                <w:szCs w:val="16"/>
              </w:rPr>
              <w:t>9.1.</w:t>
            </w:r>
          </w:p>
        </w:tc>
        <w:tc>
          <w:tcPr>
            <w:tcW w:w="427" w:type="pct"/>
          </w:tcPr>
          <w:p w14:paraId="07E58BD2" w14:textId="08E804E1" w:rsidR="00C75743" w:rsidRPr="00CE32E5" w:rsidRDefault="00C75743" w:rsidP="00CE32E5">
            <w:pPr>
              <w:jc w:val="both"/>
              <w:rPr>
                <w:rFonts w:eastAsiaTheme="minorHAnsi"/>
                <w:noProof/>
                <w:sz w:val="16"/>
                <w:szCs w:val="16"/>
                <w:highlight w:val="yellow"/>
              </w:rPr>
            </w:pPr>
            <w:r w:rsidRPr="00CE32E5">
              <w:rPr>
                <w:rFonts w:eastAsiaTheme="minorHAnsi"/>
                <w:noProof/>
                <w:sz w:val="16"/>
                <w:szCs w:val="16"/>
              </w:rPr>
              <w:t>TPF</w:t>
            </w:r>
          </w:p>
        </w:tc>
        <w:tc>
          <w:tcPr>
            <w:tcW w:w="497" w:type="pct"/>
          </w:tcPr>
          <w:p w14:paraId="0C31A0BA" w14:textId="480FE00A" w:rsidR="00C75743" w:rsidRPr="00CE32E5" w:rsidRDefault="00C75743" w:rsidP="00CE32E5">
            <w:pPr>
              <w:jc w:val="both"/>
              <w:rPr>
                <w:rFonts w:eastAsiaTheme="minorHAnsi"/>
                <w:noProof/>
                <w:sz w:val="16"/>
                <w:szCs w:val="16"/>
                <w:highlight w:val="yellow"/>
              </w:rPr>
            </w:pPr>
            <w:r w:rsidRPr="00CE32E5">
              <w:rPr>
                <w:rFonts w:eastAsiaTheme="minorHAnsi"/>
                <w:iCs/>
                <w:noProof/>
                <w:sz w:val="16"/>
                <w:szCs w:val="16"/>
              </w:rPr>
              <w:t>VVL regionas</w:t>
            </w:r>
          </w:p>
        </w:tc>
        <w:tc>
          <w:tcPr>
            <w:tcW w:w="638" w:type="pct"/>
            <w:tcBorders>
              <w:top w:val="single" w:sz="4" w:space="0" w:color="auto"/>
              <w:bottom w:val="single" w:sz="4" w:space="0" w:color="auto"/>
            </w:tcBorders>
          </w:tcPr>
          <w:p w14:paraId="66EFC434" w14:textId="77777777" w:rsidR="00C75743" w:rsidRPr="00CE32E5" w:rsidRDefault="00C75743" w:rsidP="00CE32E5">
            <w:pPr>
              <w:jc w:val="both"/>
              <w:rPr>
                <w:rFonts w:eastAsiaTheme="minorHAnsi"/>
                <w:sz w:val="16"/>
                <w:szCs w:val="16"/>
              </w:rPr>
            </w:pPr>
            <w:r w:rsidRPr="00CE32E5">
              <w:rPr>
                <w:rFonts w:eastAsiaTheme="minorHAnsi"/>
                <w:sz w:val="16"/>
                <w:szCs w:val="16"/>
              </w:rPr>
              <w:t>Specialusis</w:t>
            </w:r>
          </w:p>
        </w:tc>
        <w:tc>
          <w:tcPr>
            <w:tcW w:w="920" w:type="pct"/>
            <w:tcBorders>
              <w:top w:val="single" w:sz="4" w:space="0" w:color="auto"/>
              <w:bottom w:val="single" w:sz="4" w:space="0" w:color="auto"/>
            </w:tcBorders>
            <w:shd w:val="clear" w:color="auto" w:fill="auto"/>
          </w:tcPr>
          <w:p w14:paraId="1746E76B" w14:textId="77777777" w:rsidR="00C75743" w:rsidRPr="00CE32E5" w:rsidRDefault="00C75743" w:rsidP="00CE32E5">
            <w:pPr>
              <w:autoSpaceDE w:val="0"/>
              <w:autoSpaceDN w:val="0"/>
              <w:adjustRightInd w:val="0"/>
              <w:jc w:val="both"/>
              <w:rPr>
                <w:rFonts w:eastAsiaTheme="minorHAnsi"/>
                <w:sz w:val="16"/>
                <w:szCs w:val="16"/>
              </w:rPr>
            </w:pPr>
            <w:r w:rsidRPr="00CE32E5">
              <w:rPr>
                <w:rFonts w:eastAsiaTheme="minorHAnsi"/>
                <w:sz w:val="16"/>
                <w:szCs w:val="16"/>
              </w:rPr>
              <w:t>Į įgūdžių ugdymą investuojančios įmonės</w:t>
            </w:r>
          </w:p>
        </w:tc>
        <w:tc>
          <w:tcPr>
            <w:tcW w:w="502" w:type="pct"/>
            <w:tcBorders>
              <w:top w:val="single" w:sz="4" w:space="0" w:color="auto"/>
              <w:bottom w:val="single" w:sz="4" w:space="0" w:color="auto"/>
            </w:tcBorders>
          </w:tcPr>
          <w:p w14:paraId="1628B643" w14:textId="77777777" w:rsidR="00C75743" w:rsidRPr="00CE32E5" w:rsidRDefault="00C75743" w:rsidP="00CE32E5">
            <w:pPr>
              <w:jc w:val="both"/>
              <w:rPr>
                <w:rFonts w:eastAsiaTheme="minorHAnsi"/>
                <w:sz w:val="16"/>
                <w:szCs w:val="16"/>
              </w:rPr>
            </w:pPr>
            <w:r w:rsidRPr="00CE32E5">
              <w:rPr>
                <w:rFonts w:eastAsiaTheme="minorHAnsi"/>
                <w:sz w:val="16"/>
                <w:szCs w:val="16"/>
              </w:rPr>
              <w:t>Įmonės</w:t>
            </w:r>
          </w:p>
        </w:tc>
        <w:tc>
          <w:tcPr>
            <w:tcW w:w="498" w:type="pct"/>
            <w:tcBorders>
              <w:top w:val="single" w:sz="4" w:space="0" w:color="auto"/>
              <w:bottom w:val="single" w:sz="4" w:space="0" w:color="auto"/>
            </w:tcBorders>
            <w:shd w:val="clear" w:color="auto" w:fill="auto"/>
          </w:tcPr>
          <w:p w14:paraId="32E4D945" w14:textId="77777777" w:rsidR="00C75743" w:rsidRPr="00CE32E5" w:rsidRDefault="00C75743" w:rsidP="00CE32E5">
            <w:pPr>
              <w:jc w:val="center"/>
              <w:rPr>
                <w:rFonts w:eastAsiaTheme="minorHAnsi"/>
                <w:bCs/>
                <w:noProof/>
                <w:sz w:val="16"/>
                <w:szCs w:val="16"/>
              </w:rPr>
            </w:pPr>
            <w:r w:rsidRPr="00CE32E5">
              <w:rPr>
                <w:rFonts w:eastAsiaTheme="minorHAnsi"/>
                <w:bCs/>
                <w:noProof/>
                <w:sz w:val="16"/>
                <w:szCs w:val="16"/>
              </w:rPr>
              <w:t>0</w:t>
            </w:r>
          </w:p>
        </w:tc>
        <w:tc>
          <w:tcPr>
            <w:tcW w:w="484" w:type="pct"/>
            <w:tcBorders>
              <w:top w:val="single" w:sz="4" w:space="0" w:color="auto"/>
              <w:bottom w:val="single" w:sz="4" w:space="0" w:color="auto"/>
            </w:tcBorders>
            <w:shd w:val="clear" w:color="auto" w:fill="auto"/>
          </w:tcPr>
          <w:p w14:paraId="106FF6FF" w14:textId="77777777" w:rsidR="00C75743" w:rsidRPr="00CE32E5" w:rsidRDefault="00C75743" w:rsidP="00CE32E5">
            <w:pPr>
              <w:jc w:val="center"/>
              <w:rPr>
                <w:rFonts w:eastAsiaTheme="minorHAnsi"/>
                <w:b/>
                <w:bCs/>
                <w:noProof/>
                <w:sz w:val="16"/>
                <w:szCs w:val="16"/>
                <w:u w:val="single"/>
              </w:rPr>
            </w:pPr>
            <w:r w:rsidRPr="00CE32E5">
              <w:rPr>
                <w:rFonts w:eastAsiaTheme="minorHAnsi"/>
                <w:b/>
                <w:bCs/>
                <w:noProof/>
                <w:sz w:val="16"/>
                <w:szCs w:val="16"/>
                <w:u w:val="single"/>
              </w:rPr>
              <w:t>15</w:t>
            </w:r>
          </w:p>
          <w:p w14:paraId="326360B1" w14:textId="77777777" w:rsidR="00C75743" w:rsidRPr="00CE32E5" w:rsidRDefault="00C75743" w:rsidP="00CE32E5">
            <w:pPr>
              <w:jc w:val="center"/>
              <w:rPr>
                <w:rFonts w:eastAsiaTheme="minorHAnsi"/>
                <w:bCs/>
                <w:strike/>
                <w:noProof/>
                <w:sz w:val="16"/>
                <w:szCs w:val="16"/>
              </w:rPr>
            </w:pPr>
            <w:r w:rsidRPr="00CE32E5">
              <w:rPr>
                <w:rFonts w:eastAsiaTheme="minorHAnsi"/>
                <w:bCs/>
                <w:strike/>
                <w:noProof/>
                <w:sz w:val="16"/>
                <w:szCs w:val="16"/>
              </w:rPr>
              <w:t>164</w:t>
            </w:r>
          </w:p>
        </w:tc>
      </w:tr>
      <w:tr w:rsidR="00C75743" w:rsidRPr="00CE32E5" w14:paraId="22FFABEE" w14:textId="77777777" w:rsidTr="00C75743">
        <w:trPr>
          <w:trHeight w:val="213"/>
        </w:trPr>
        <w:tc>
          <w:tcPr>
            <w:tcW w:w="5000" w:type="pct"/>
            <w:gridSpan w:val="9"/>
          </w:tcPr>
          <w:p w14:paraId="31A1B092" w14:textId="00849F55" w:rsidR="00C75743" w:rsidRPr="00C75743" w:rsidRDefault="00C75743" w:rsidP="000F25EF">
            <w:pPr>
              <w:spacing w:before="120" w:after="120"/>
              <w:jc w:val="both"/>
              <w:rPr>
                <w:rFonts w:eastAsiaTheme="minorHAnsi"/>
                <w:b/>
                <w:bCs/>
                <w:noProof/>
                <w:sz w:val="20"/>
                <w:u w:val="single"/>
              </w:rPr>
            </w:pPr>
            <w:r w:rsidRPr="00C75743">
              <w:rPr>
                <w:sz w:val="20"/>
              </w:rPr>
              <w:t>Rodiklio reikšmė keičiama įvertinus veiklos pobūdį – buvo planuota, kad įgyvendinant veiklą „</w:t>
            </w:r>
            <w:r w:rsidRPr="000F25EF">
              <w:rPr>
                <w:i/>
                <w:sz w:val="20"/>
              </w:rPr>
              <w:t>Užsienio ir vietos investuotojų su dideliu darbo vietų kūrimo potencialu pritraukimas</w:t>
            </w:r>
            <w:r w:rsidRPr="00C75743">
              <w:rPr>
                <w:sz w:val="20"/>
              </w:rPr>
              <w:t xml:space="preserve">“ MVĮ galės teikti PĮP tik mokymų veiklai nenumatant investicijų į infrastruktūrą. </w:t>
            </w:r>
            <w:r w:rsidR="000F25EF">
              <w:rPr>
                <w:sz w:val="20"/>
              </w:rPr>
              <w:t>T</w:t>
            </w:r>
            <w:r w:rsidRPr="00C75743">
              <w:rPr>
                <w:sz w:val="20"/>
              </w:rPr>
              <w:t xml:space="preserve">ačiau įvertinus Individualių mokymosi paskyrų sistemą, finansuojamą Ekonomikos gaivinimo ir atsparumo didinimo plano „Naujos kartos Lietuva“ lėšomis, taip pat Investicijų programos 1 prioriteto </w:t>
            </w:r>
            <w:r w:rsidRPr="000F25EF">
              <w:rPr>
                <w:i/>
                <w:sz w:val="20"/>
              </w:rPr>
              <w:t>„Pažangesnė Lietuva“</w:t>
            </w:r>
            <w:r w:rsidRPr="00C75743">
              <w:rPr>
                <w:sz w:val="20"/>
              </w:rPr>
              <w:t xml:space="preserve"> konkretaus uždavinio 1.4. „</w:t>
            </w:r>
            <w:r w:rsidRPr="000F25EF">
              <w:rPr>
                <w:i/>
                <w:sz w:val="20"/>
              </w:rPr>
              <w:t>Ugdyti pažangiai specializacijai, pramonės pertvarkai ir verslumui reikalingus įgūdžius</w:t>
            </w:r>
            <w:r w:rsidRPr="00C75743">
              <w:rPr>
                <w:sz w:val="20"/>
              </w:rPr>
              <w:t>“, 4 prioriteto „</w:t>
            </w:r>
            <w:r w:rsidRPr="000F25EF">
              <w:rPr>
                <w:i/>
                <w:sz w:val="20"/>
              </w:rPr>
              <w:t>Socialiai atsakingesnė Lietuva</w:t>
            </w:r>
            <w:r w:rsidRPr="00C75743">
              <w:rPr>
                <w:sz w:val="20"/>
              </w:rPr>
              <w:t>“ konkretaus uždavinio 4.1. „</w:t>
            </w:r>
            <w:r w:rsidRPr="000F25EF">
              <w:rPr>
                <w:i/>
                <w:sz w:val="20"/>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r w:rsidRPr="00C75743">
              <w:rPr>
                <w:sz w:val="20"/>
              </w:rPr>
              <w:t>“ ir konkretaus uždavinio  4.4. „</w:t>
            </w:r>
            <w:r w:rsidRPr="000F25EF">
              <w:rPr>
                <w:i/>
                <w:sz w:val="20"/>
              </w:rPr>
              <w:t xml:space="preserve">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Pr="000F25EF">
              <w:rPr>
                <w:i/>
                <w:sz w:val="20"/>
              </w:rPr>
              <w:t>judumą</w:t>
            </w:r>
            <w:proofErr w:type="spellEnd"/>
            <w:r w:rsidRPr="00C75743">
              <w:rPr>
                <w:sz w:val="20"/>
              </w:rPr>
              <w:t>“ suplanuotas veiklas, siekiant papildomumo ir suderinamumo tarp šių veiklų skirtingų finansavimo šaltinių, nuspręsta, kad mokymų veikla turėtų būti įgyvendinama kartu su konkrečiomis investicijomis, kurių metu kuriamos tvarios darbo vietos</w:t>
            </w:r>
          </w:p>
        </w:tc>
      </w:tr>
    </w:tbl>
    <w:p w14:paraId="068ED890" w14:textId="77777777" w:rsidR="00CE32E5" w:rsidRDefault="00CE32E5" w:rsidP="00D62722">
      <w:pPr>
        <w:widowControl w:val="0"/>
        <w:tabs>
          <w:tab w:val="left" w:pos="567"/>
        </w:tabs>
        <w:jc w:val="both"/>
        <w:textAlignment w:val="baseline"/>
        <w:rPr>
          <w:b/>
          <w:iCs/>
          <w:sz w:val="22"/>
          <w:szCs w:val="22"/>
        </w:rPr>
      </w:pPr>
    </w:p>
    <w:p w14:paraId="3F8CD0EA" w14:textId="3D605B09" w:rsidR="00D96F0F" w:rsidRPr="00CE32E5" w:rsidRDefault="00CE32E5" w:rsidP="00D62722">
      <w:pPr>
        <w:widowControl w:val="0"/>
        <w:tabs>
          <w:tab w:val="left" w:pos="567"/>
        </w:tabs>
        <w:jc w:val="both"/>
        <w:textAlignment w:val="baseline"/>
        <w:rPr>
          <w:iCs/>
          <w:sz w:val="22"/>
          <w:szCs w:val="22"/>
        </w:rPr>
      </w:pPr>
      <w:r w:rsidRPr="00CE32E5">
        <w:rPr>
          <w:b/>
          <w:bCs/>
          <w:iCs/>
          <w:sz w:val="22"/>
          <w:szCs w:val="22"/>
        </w:rPr>
        <w:t>9.1 konkretau</w:t>
      </w:r>
      <w:r>
        <w:rPr>
          <w:b/>
          <w:bCs/>
          <w:iCs/>
          <w:sz w:val="22"/>
          <w:szCs w:val="22"/>
        </w:rPr>
        <w:t>s uždavinio veiklas atspindinčių rezultato rodiklių pakeitimai:</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75"/>
        <w:gridCol w:w="1984"/>
        <w:gridCol w:w="1135"/>
        <w:gridCol w:w="992"/>
        <w:gridCol w:w="1135"/>
        <w:gridCol w:w="1275"/>
        <w:gridCol w:w="992"/>
      </w:tblGrid>
      <w:tr w:rsidR="00C75743" w:rsidRPr="00C75743" w14:paraId="7F757E0A" w14:textId="77777777" w:rsidTr="00C75743">
        <w:trPr>
          <w:trHeight w:val="578"/>
          <w:tblHeader/>
        </w:trPr>
        <w:tc>
          <w:tcPr>
            <w:tcW w:w="508" w:type="pct"/>
            <w:tcBorders>
              <w:top w:val="single" w:sz="12" w:space="0" w:color="auto"/>
              <w:left w:val="single" w:sz="12" w:space="0" w:color="auto"/>
              <w:bottom w:val="single" w:sz="4" w:space="0" w:color="auto"/>
              <w:right w:val="single" w:sz="12" w:space="0" w:color="auto"/>
            </w:tcBorders>
            <w:shd w:val="clear" w:color="auto" w:fill="DBE5F1"/>
            <w:vAlign w:val="center"/>
          </w:tcPr>
          <w:p w14:paraId="7A3D709A" w14:textId="77777777" w:rsidR="00C75743" w:rsidRPr="00C75743" w:rsidRDefault="00C75743" w:rsidP="00C75743">
            <w:pPr>
              <w:jc w:val="center"/>
              <w:rPr>
                <w:rFonts w:eastAsia="Calibri"/>
                <w:b/>
                <w:noProof/>
                <w:sz w:val="16"/>
                <w:szCs w:val="16"/>
              </w:rPr>
            </w:pPr>
            <w:r w:rsidRPr="00C75743">
              <w:rPr>
                <w:rFonts w:eastAsia="Calibri"/>
                <w:b/>
                <w:noProof/>
                <w:sz w:val="16"/>
                <w:szCs w:val="16"/>
              </w:rPr>
              <w:t>Regiono kategorija</w:t>
            </w:r>
          </w:p>
        </w:tc>
        <w:tc>
          <w:tcPr>
            <w:tcW w:w="652" w:type="pct"/>
            <w:tcBorders>
              <w:top w:val="single" w:sz="12" w:space="0" w:color="auto"/>
              <w:left w:val="single" w:sz="12" w:space="0" w:color="auto"/>
              <w:bottom w:val="single" w:sz="12" w:space="0" w:color="auto"/>
              <w:right w:val="single" w:sz="12" w:space="0" w:color="auto"/>
            </w:tcBorders>
            <w:shd w:val="clear" w:color="auto" w:fill="DBE5F1"/>
            <w:vAlign w:val="center"/>
          </w:tcPr>
          <w:p w14:paraId="2215B683" w14:textId="77777777" w:rsidR="00C75743" w:rsidRPr="00C75743" w:rsidRDefault="00C75743" w:rsidP="00C75743">
            <w:pPr>
              <w:jc w:val="center"/>
              <w:rPr>
                <w:rFonts w:eastAsia="Calibri"/>
                <w:b/>
                <w:noProof/>
                <w:sz w:val="16"/>
                <w:szCs w:val="16"/>
              </w:rPr>
            </w:pPr>
            <w:r w:rsidRPr="00C75743">
              <w:rPr>
                <w:rFonts w:eastAsia="Calibri"/>
                <w:b/>
                <w:noProof/>
                <w:sz w:val="16"/>
                <w:szCs w:val="16"/>
              </w:rPr>
              <w:t>Identifikavimo numeris</w:t>
            </w:r>
          </w:p>
        </w:tc>
        <w:tc>
          <w:tcPr>
            <w:tcW w:w="1014" w:type="pct"/>
            <w:tcBorders>
              <w:top w:val="single" w:sz="12" w:space="0" w:color="auto"/>
              <w:left w:val="single" w:sz="12" w:space="0" w:color="auto"/>
              <w:bottom w:val="single" w:sz="12" w:space="0" w:color="auto"/>
              <w:right w:val="single" w:sz="12" w:space="0" w:color="auto"/>
            </w:tcBorders>
            <w:shd w:val="clear" w:color="auto" w:fill="DBE5F1"/>
            <w:vAlign w:val="center"/>
          </w:tcPr>
          <w:p w14:paraId="36078F17" w14:textId="77777777" w:rsidR="00C75743" w:rsidRPr="00C75743" w:rsidRDefault="00C75743" w:rsidP="00C75743">
            <w:pPr>
              <w:jc w:val="center"/>
              <w:rPr>
                <w:rFonts w:eastAsia="Calibri"/>
                <w:b/>
                <w:noProof/>
                <w:sz w:val="16"/>
                <w:szCs w:val="16"/>
              </w:rPr>
            </w:pPr>
            <w:r w:rsidRPr="00C75743">
              <w:rPr>
                <w:rFonts w:eastAsia="Calibri"/>
                <w:b/>
                <w:noProof/>
                <w:sz w:val="16"/>
                <w:szCs w:val="16"/>
              </w:rPr>
              <w:t>Rodiklis</w:t>
            </w:r>
          </w:p>
        </w:tc>
        <w:tc>
          <w:tcPr>
            <w:tcW w:w="580" w:type="pct"/>
            <w:tcBorders>
              <w:top w:val="single" w:sz="12" w:space="0" w:color="auto"/>
              <w:left w:val="single" w:sz="12" w:space="0" w:color="auto"/>
              <w:bottom w:val="single" w:sz="12" w:space="0" w:color="auto"/>
              <w:right w:val="single" w:sz="12" w:space="0" w:color="auto"/>
            </w:tcBorders>
            <w:shd w:val="clear" w:color="auto" w:fill="DBE5F1"/>
            <w:vAlign w:val="center"/>
          </w:tcPr>
          <w:p w14:paraId="5B09347A" w14:textId="77777777" w:rsidR="00C75743" w:rsidRPr="00C75743" w:rsidRDefault="00C75743" w:rsidP="00C75743">
            <w:pPr>
              <w:jc w:val="center"/>
              <w:rPr>
                <w:rFonts w:eastAsia="Calibri"/>
                <w:b/>
                <w:noProof/>
                <w:sz w:val="16"/>
                <w:szCs w:val="16"/>
              </w:rPr>
            </w:pPr>
            <w:r w:rsidRPr="00C75743">
              <w:rPr>
                <w:rFonts w:eastAsia="Calibri"/>
                <w:b/>
                <w:noProof/>
                <w:sz w:val="16"/>
                <w:szCs w:val="16"/>
              </w:rPr>
              <w:t>Matavimo vienetas</w:t>
            </w:r>
          </w:p>
        </w:tc>
        <w:tc>
          <w:tcPr>
            <w:tcW w:w="507" w:type="pct"/>
            <w:tcBorders>
              <w:top w:val="single" w:sz="12" w:space="0" w:color="auto"/>
              <w:left w:val="single" w:sz="12" w:space="0" w:color="auto"/>
              <w:bottom w:val="single" w:sz="12" w:space="0" w:color="auto"/>
              <w:right w:val="single" w:sz="12" w:space="0" w:color="auto"/>
            </w:tcBorders>
            <w:shd w:val="clear" w:color="auto" w:fill="DBE5F1"/>
            <w:vAlign w:val="center"/>
          </w:tcPr>
          <w:p w14:paraId="0B2F2555" w14:textId="77777777" w:rsidR="00C75743" w:rsidRPr="00C75743" w:rsidRDefault="00C75743" w:rsidP="00C75743">
            <w:pPr>
              <w:jc w:val="center"/>
              <w:rPr>
                <w:rFonts w:eastAsia="Calibri"/>
                <w:b/>
                <w:noProof/>
                <w:sz w:val="16"/>
                <w:szCs w:val="16"/>
              </w:rPr>
            </w:pPr>
            <w:r w:rsidRPr="00C75743">
              <w:rPr>
                <w:rFonts w:eastAsia="Calibri"/>
                <w:b/>
                <w:noProof/>
                <w:sz w:val="16"/>
                <w:szCs w:val="16"/>
              </w:rPr>
              <w:t>Pradinė reikšmė arba pamatinė vertė</w:t>
            </w:r>
          </w:p>
        </w:tc>
        <w:tc>
          <w:tcPr>
            <w:tcW w:w="580" w:type="pct"/>
            <w:tcBorders>
              <w:top w:val="single" w:sz="12" w:space="0" w:color="auto"/>
              <w:left w:val="single" w:sz="12" w:space="0" w:color="auto"/>
              <w:bottom w:val="single" w:sz="12" w:space="0" w:color="auto"/>
              <w:right w:val="single" w:sz="12" w:space="0" w:color="auto"/>
            </w:tcBorders>
            <w:shd w:val="clear" w:color="auto" w:fill="DBE5F1"/>
            <w:vAlign w:val="center"/>
          </w:tcPr>
          <w:p w14:paraId="2AB7EEC5" w14:textId="77777777" w:rsidR="00C75743" w:rsidRPr="00C75743" w:rsidRDefault="00C75743" w:rsidP="00C75743">
            <w:pPr>
              <w:jc w:val="center"/>
              <w:rPr>
                <w:rFonts w:eastAsia="Calibri"/>
                <w:b/>
                <w:noProof/>
                <w:sz w:val="16"/>
                <w:szCs w:val="16"/>
              </w:rPr>
            </w:pPr>
            <w:r w:rsidRPr="00C75743">
              <w:rPr>
                <w:rFonts w:eastAsia="Calibri"/>
                <w:b/>
                <w:noProof/>
                <w:sz w:val="16"/>
                <w:szCs w:val="16"/>
              </w:rPr>
              <w:t>Ataskaitiniai metai</w:t>
            </w:r>
          </w:p>
        </w:tc>
        <w:tc>
          <w:tcPr>
            <w:tcW w:w="652" w:type="pct"/>
            <w:tcBorders>
              <w:top w:val="single" w:sz="12" w:space="0" w:color="auto"/>
              <w:left w:val="single" w:sz="12" w:space="0" w:color="auto"/>
              <w:bottom w:val="single" w:sz="12" w:space="0" w:color="auto"/>
              <w:right w:val="single" w:sz="12" w:space="0" w:color="auto"/>
            </w:tcBorders>
            <w:shd w:val="clear" w:color="auto" w:fill="DBE5F1"/>
            <w:vAlign w:val="center"/>
          </w:tcPr>
          <w:p w14:paraId="6D4FBA94" w14:textId="77777777" w:rsidR="00C75743" w:rsidRPr="00C75743" w:rsidRDefault="00C75743" w:rsidP="00C75743">
            <w:pPr>
              <w:jc w:val="center"/>
              <w:rPr>
                <w:rFonts w:eastAsia="Calibri"/>
                <w:b/>
                <w:noProof/>
                <w:sz w:val="16"/>
                <w:szCs w:val="16"/>
              </w:rPr>
            </w:pPr>
            <w:r w:rsidRPr="00C75743">
              <w:rPr>
                <w:rFonts w:eastAsia="Calibri"/>
                <w:b/>
                <w:noProof/>
                <w:sz w:val="16"/>
                <w:szCs w:val="16"/>
              </w:rPr>
              <w:t>Siektina reikšmė (2029 m.)</w:t>
            </w:r>
          </w:p>
        </w:tc>
        <w:tc>
          <w:tcPr>
            <w:tcW w:w="507" w:type="pct"/>
            <w:tcBorders>
              <w:top w:val="single" w:sz="12" w:space="0" w:color="auto"/>
              <w:left w:val="single" w:sz="12" w:space="0" w:color="auto"/>
              <w:bottom w:val="single" w:sz="12" w:space="0" w:color="auto"/>
              <w:right w:val="single" w:sz="12" w:space="0" w:color="auto"/>
            </w:tcBorders>
            <w:shd w:val="clear" w:color="auto" w:fill="DBE5F1"/>
            <w:vAlign w:val="center"/>
          </w:tcPr>
          <w:p w14:paraId="26B5B6C1" w14:textId="77777777" w:rsidR="00C75743" w:rsidRPr="00C75743" w:rsidRDefault="00C75743" w:rsidP="00C75743">
            <w:pPr>
              <w:jc w:val="center"/>
              <w:rPr>
                <w:rFonts w:eastAsia="Calibri"/>
                <w:b/>
                <w:noProof/>
                <w:sz w:val="16"/>
                <w:szCs w:val="16"/>
              </w:rPr>
            </w:pPr>
            <w:r w:rsidRPr="00C75743">
              <w:rPr>
                <w:rFonts w:eastAsia="Calibri"/>
                <w:b/>
                <w:noProof/>
                <w:sz w:val="16"/>
                <w:szCs w:val="16"/>
              </w:rPr>
              <w:t>Duomenų šaltinis</w:t>
            </w:r>
          </w:p>
        </w:tc>
      </w:tr>
      <w:tr w:rsidR="00C75743" w:rsidRPr="00C75743" w14:paraId="2FC31548" w14:textId="77777777" w:rsidTr="00C75743">
        <w:trPr>
          <w:trHeight w:val="286"/>
        </w:trPr>
        <w:tc>
          <w:tcPr>
            <w:tcW w:w="508" w:type="pct"/>
            <w:tcBorders>
              <w:top w:val="single" w:sz="4" w:space="0" w:color="auto"/>
            </w:tcBorders>
          </w:tcPr>
          <w:p w14:paraId="46B25E5B" w14:textId="77777777" w:rsidR="00C75743" w:rsidRPr="00C75743" w:rsidRDefault="00C75743" w:rsidP="00C75743">
            <w:pPr>
              <w:jc w:val="both"/>
              <w:rPr>
                <w:rFonts w:eastAsia="Calibri"/>
                <w:noProof/>
                <w:sz w:val="16"/>
                <w:szCs w:val="16"/>
              </w:rPr>
            </w:pPr>
            <w:r w:rsidRPr="00C75743">
              <w:rPr>
                <w:rFonts w:eastAsiaTheme="minorHAnsi"/>
                <w:iCs/>
                <w:noProof/>
                <w:sz w:val="16"/>
                <w:szCs w:val="16"/>
              </w:rPr>
              <w:t>VVL regionas</w:t>
            </w:r>
          </w:p>
        </w:tc>
        <w:tc>
          <w:tcPr>
            <w:tcW w:w="652" w:type="pct"/>
            <w:tcBorders>
              <w:top w:val="single" w:sz="12" w:space="0" w:color="auto"/>
              <w:bottom w:val="single" w:sz="4" w:space="0" w:color="auto"/>
            </w:tcBorders>
          </w:tcPr>
          <w:p w14:paraId="43DAAF69" w14:textId="77777777" w:rsidR="00C75743" w:rsidRPr="00C75743" w:rsidRDefault="00C75743" w:rsidP="00C75743">
            <w:pPr>
              <w:jc w:val="both"/>
              <w:rPr>
                <w:rFonts w:eastAsia="Calibri"/>
                <w:sz w:val="16"/>
                <w:szCs w:val="16"/>
                <w:highlight w:val="yellow"/>
                <w:lang w:eastAsia="lt-LT" w:bidi="lt-LT"/>
              </w:rPr>
            </w:pPr>
            <w:r w:rsidRPr="00C75743">
              <w:rPr>
                <w:rFonts w:eastAsiaTheme="minorHAnsi"/>
                <w:sz w:val="16"/>
                <w:szCs w:val="16"/>
              </w:rPr>
              <w:t>RCR 02</w:t>
            </w:r>
          </w:p>
        </w:tc>
        <w:tc>
          <w:tcPr>
            <w:tcW w:w="1014" w:type="pct"/>
            <w:tcBorders>
              <w:top w:val="single" w:sz="12" w:space="0" w:color="auto"/>
              <w:bottom w:val="single" w:sz="4" w:space="0" w:color="auto"/>
            </w:tcBorders>
            <w:shd w:val="clear" w:color="auto" w:fill="auto"/>
          </w:tcPr>
          <w:p w14:paraId="37882DA1" w14:textId="77777777" w:rsidR="00C75743" w:rsidRPr="00C75743" w:rsidRDefault="00C75743" w:rsidP="00C75743">
            <w:pPr>
              <w:jc w:val="both"/>
              <w:rPr>
                <w:rFonts w:eastAsia="Calibri"/>
                <w:sz w:val="16"/>
                <w:szCs w:val="16"/>
                <w:highlight w:val="yellow"/>
                <w:lang w:eastAsia="lt-LT" w:bidi="lt-LT"/>
              </w:rPr>
            </w:pPr>
            <w:r w:rsidRPr="00C75743">
              <w:rPr>
                <w:rFonts w:eastAsiaTheme="minorHAnsi"/>
                <w:sz w:val="16"/>
                <w:szCs w:val="16"/>
              </w:rPr>
              <w:t>Privačiosios investicijos, atitinkančios viešąją paramą (iš kurių: dotacijos, finansinės priemonės)</w:t>
            </w:r>
            <w:hyperlink r:id="rId9" w:anchor="ntr*1-L_2021231LT.01001801-E0002" w:history="1">
              <w:r w:rsidRPr="00C75743">
                <w:rPr>
                  <w:rFonts w:eastAsiaTheme="minorHAnsi"/>
                  <w:sz w:val="16"/>
                  <w:szCs w:val="16"/>
                </w:rPr>
                <w:t> </w:t>
              </w:r>
            </w:hyperlink>
          </w:p>
        </w:tc>
        <w:tc>
          <w:tcPr>
            <w:tcW w:w="580" w:type="pct"/>
            <w:tcBorders>
              <w:top w:val="single" w:sz="12" w:space="0" w:color="auto"/>
              <w:bottom w:val="single" w:sz="4" w:space="0" w:color="auto"/>
            </w:tcBorders>
          </w:tcPr>
          <w:p w14:paraId="7E4B5532" w14:textId="77777777" w:rsidR="00C75743" w:rsidRPr="00C75743" w:rsidRDefault="00C75743" w:rsidP="00C75743">
            <w:pPr>
              <w:jc w:val="both"/>
              <w:rPr>
                <w:rFonts w:eastAsia="Calibri"/>
                <w:noProof/>
                <w:sz w:val="16"/>
                <w:szCs w:val="16"/>
                <w:highlight w:val="yellow"/>
              </w:rPr>
            </w:pPr>
            <w:r w:rsidRPr="00C75743">
              <w:rPr>
                <w:rFonts w:eastAsiaTheme="minorHAnsi"/>
                <w:sz w:val="16"/>
                <w:szCs w:val="16"/>
              </w:rPr>
              <w:t>EUR</w:t>
            </w:r>
          </w:p>
        </w:tc>
        <w:tc>
          <w:tcPr>
            <w:tcW w:w="507" w:type="pct"/>
            <w:tcBorders>
              <w:top w:val="single" w:sz="12" w:space="0" w:color="auto"/>
              <w:bottom w:val="single" w:sz="4" w:space="0" w:color="auto"/>
            </w:tcBorders>
            <w:shd w:val="clear" w:color="auto" w:fill="auto"/>
          </w:tcPr>
          <w:p w14:paraId="2B106BF5" w14:textId="77777777" w:rsidR="00C75743" w:rsidRPr="00C75743" w:rsidRDefault="00C75743" w:rsidP="00C75743">
            <w:pPr>
              <w:jc w:val="center"/>
              <w:rPr>
                <w:rFonts w:eastAsia="Calibri"/>
                <w:iCs/>
                <w:noProof/>
                <w:sz w:val="16"/>
                <w:szCs w:val="16"/>
              </w:rPr>
            </w:pPr>
            <w:r w:rsidRPr="00C75743">
              <w:rPr>
                <w:rFonts w:eastAsia="Calibri"/>
                <w:iCs/>
                <w:noProof/>
                <w:sz w:val="16"/>
                <w:szCs w:val="16"/>
              </w:rPr>
              <w:t>0</w:t>
            </w:r>
          </w:p>
        </w:tc>
        <w:tc>
          <w:tcPr>
            <w:tcW w:w="580" w:type="pct"/>
            <w:tcBorders>
              <w:top w:val="single" w:sz="12" w:space="0" w:color="auto"/>
              <w:bottom w:val="single" w:sz="4" w:space="0" w:color="auto"/>
            </w:tcBorders>
            <w:shd w:val="clear" w:color="auto" w:fill="auto"/>
          </w:tcPr>
          <w:p w14:paraId="300A552B" w14:textId="77777777" w:rsidR="00C75743" w:rsidRPr="00C75743" w:rsidRDefault="00C75743" w:rsidP="00C75743">
            <w:pPr>
              <w:jc w:val="center"/>
              <w:rPr>
                <w:rFonts w:eastAsia="Calibri"/>
                <w:iCs/>
                <w:noProof/>
                <w:sz w:val="16"/>
                <w:szCs w:val="16"/>
              </w:rPr>
            </w:pPr>
            <w:r w:rsidRPr="00C75743">
              <w:rPr>
                <w:rFonts w:eastAsia="Calibri"/>
                <w:iCs/>
                <w:noProof/>
                <w:sz w:val="16"/>
                <w:szCs w:val="16"/>
              </w:rPr>
              <w:t>2021</w:t>
            </w:r>
          </w:p>
        </w:tc>
        <w:tc>
          <w:tcPr>
            <w:tcW w:w="652" w:type="pct"/>
            <w:tcBorders>
              <w:top w:val="single" w:sz="12" w:space="0" w:color="auto"/>
              <w:bottom w:val="single" w:sz="4" w:space="0" w:color="auto"/>
            </w:tcBorders>
            <w:shd w:val="clear" w:color="auto" w:fill="auto"/>
          </w:tcPr>
          <w:p w14:paraId="1772312F" w14:textId="77777777" w:rsidR="00C75743" w:rsidRPr="00C75743" w:rsidRDefault="00C75743" w:rsidP="00C75743">
            <w:pPr>
              <w:jc w:val="center"/>
              <w:rPr>
                <w:rFonts w:eastAsia="Calibri"/>
                <w:b/>
                <w:iCs/>
                <w:noProof/>
                <w:sz w:val="16"/>
                <w:szCs w:val="16"/>
              </w:rPr>
            </w:pPr>
            <w:r w:rsidRPr="00C75743">
              <w:rPr>
                <w:rFonts w:eastAsia="Calibri"/>
                <w:b/>
                <w:iCs/>
                <w:noProof/>
                <w:sz w:val="16"/>
                <w:szCs w:val="16"/>
              </w:rPr>
              <w:t>182.549.645</w:t>
            </w:r>
          </w:p>
          <w:p w14:paraId="12D59465" w14:textId="77777777" w:rsidR="00C75743" w:rsidRPr="00C75743" w:rsidRDefault="00C75743" w:rsidP="00C75743">
            <w:pPr>
              <w:jc w:val="center"/>
              <w:rPr>
                <w:rFonts w:eastAsia="Calibri"/>
                <w:iCs/>
                <w:strike/>
                <w:noProof/>
                <w:sz w:val="16"/>
                <w:szCs w:val="16"/>
              </w:rPr>
            </w:pPr>
            <w:r w:rsidRPr="00C75743">
              <w:rPr>
                <w:rFonts w:eastAsia="Calibri"/>
                <w:iCs/>
                <w:strike/>
                <w:noProof/>
                <w:sz w:val="16"/>
                <w:szCs w:val="16"/>
              </w:rPr>
              <w:t xml:space="preserve">206 575 036 </w:t>
            </w:r>
          </w:p>
        </w:tc>
        <w:tc>
          <w:tcPr>
            <w:tcW w:w="507" w:type="pct"/>
            <w:tcBorders>
              <w:top w:val="single" w:sz="12" w:space="0" w:color="auto"/>
              <w:bottom w:val="single" w:sz="4" w:space="0" w:color="auto"/>
            </w:tcBorders>
            <w:shd w:val="clear" w:color="auto" w:fill="auto"/>
          </w:tcPr>
          <w:p w14:paraId="26AAA2A3" w14:textId="77777777" w:rsidR="00C75743" w:rsidRPr="00C75743" w:rsidRDefault="00C75743" w:rsidP="00C75743">
            <w:pPr>
              <w:jc w:val="both"/>
              <w:rPr>
                <w:rFonts w:eastAsia="Calibri"/>
                <w:iCs/>
                <w:noProof/>
                <w:sz w:val="16"/>
                <w:szCs w:val="16"/>
                <w:highlight w:val="yellow"/>
              </w:rPr>
            </w:pPr>
            <w:r w:rsidRPr="00C75743">
              <w:rPr>
                <w:rFonts w:eastAsiaTheme="minorHAnsi"/>
                <w:sz w:val="16"/>
                <w:szCs w:val="16"/>
              </w:rPr>
              <w:t>Projektų duomenys</w:t>
            </w:r>
          </w:p>
        </w:tc>
      </w:tr>
      <w:tr w:rsidR="00C75743" w:rsidRPr="00C75743" w14:paraId="289B7B2A" w14:textId="77777777" w:rsidTr="00C75743">
        <w:trPr>
          <w:trHeight w:val="286"/>
        </w:trPr>
        <w:tc>
          <w:tcPr>
            <w:tcW w:w="5000" w:type="pct"/>
            <w:gridSpan w:val="8"/>
            <w:tcBorders>
              <w:top w:val="single" w:sz="4" w:space="0" w:color="auto"/>
            </w:tcBorders>
          </w:tcPr>
          <w:p w14:paraId="73AF56A2" w14:textId="3030D3B1" w:rsidR="00C75743" w:rsidRPr="00C75743" w:rsidRDefault="00C75743" w:rsidP="00C75743">
            <w:pPr>
              <w:spacing w:before="120" w:after="120"/>
              <w:jc w:val="both"/>
              <w:rPr>
                <w:rFonts w:eastAsiaTheme="minorHAnsi"/>
                <w:sz w:val="20"/>
              </w:rPr>
            </w:pPr>
            <w:r w:rsidRPr="00C75743">
              <w:rPr>
                <w:sz w:val="20"/>
              </w:rPr>
              <w:t xml:space="preserve">Rodiklių reikšmės keičiamos įvertinus praktinį veiklų įgyvendinimą – taikomą valstybės pagalbos režimą, projektų apimtis, taip pat paskelbtų kvietimų pirminius rezultatus. Ženklus rodiklių mažėjimas susijęs su tuo, kad didelė lėšų dalis (30,6 mln. </w:t>
            </w:r>
            <w:proofErr w:type="spellStart"/>
            <w:r w:rsidRPr="00C75743">
              <w:rPr>
                <w:sz w:val="20"/>
              </w:rPr>
              <w:t>Eur</w:t>
            </w:r>
            <w:proofErr w:type="spellEnd"/>
            <w:r w:rsidRPr="00C75743">
              <w:rPr>
                <w:sz w:val="20"/>
              </w:rPr>
              <w:t>) perskirstyta iš veiklos „</w:t>
            </w:r>
            <w:r w:rsidRPr="000F25EF">
              <w:rPr>
                <w:i/>
                <w:sz w:val="20"/>
              </w:rPr>
              <w:t>Alternatyvaus kuro diegimas pramonės įmonėse Kauno, Šiaulių ir Telšių regionuose</w:t>
            </w:r>
            <w:r w:rsidRPr="00C75743">
              <w:rPr>
                <w:sz w:val="20"/>
              </w:rPr>
              <w:t>“ į veiklą „</w:t>
            </w:r>
            <w:r w:rsidRPr="000F25EF">
              <w:rPr>
                <w:i/>
                <w:sz w:val="20"/>
              </w:rPr>
              <w:t>Užsienio ir vietos investuotojų su dideliu darbo vietų kūrimo potencialu pritraukimas</w:t>
            </w:r>
            <w:r w:rsidRPr="00C75743">
              <w:rPr>
                <w:sz w:val="20"/>
              </w:rPr>
              <w:t xml:space="preserve">“, kurios vieno projekto apimtis yra 15 kartų didesnė (alternatyvaus kuro diegimo atveju projekto apimtis sudaro 0,5 mln. </w:t>
            </w:r>
            <w:proofErr w:type="spellStart"/>
            <w:r w:rsidRPr="00C75743">
              <w:rPr>
                <w:sz w:val="20"/>
              </w:rPr>
              <w:t>Eur</w:t>
            </w:r>
            <w:proofErr w:type="spellEnd"/>
            <w:r w:rsidRPr="00C75743">
              <w:rPr>
                <w:sz w:val="20"/>
              </w:rPr>
              <w:t xml:space="preserve">, užsienio ir vietos investuotojų pritraukimo atveju vidutinė projekto vertė – 7,5 mln. </w:t>
            </w:r>
            <w:proofErr w:type="spellStart"/>
            <w:r w:rsidRPr="00C75743">
              <w:rPr>
                <w:sz w:val="20"/>
              </w:rPr>
              <w:t>Eur</w:t>
            </w:r>
            <w:proofErr w:type="spellEnd"/>
            <w:r w:rsidRPr="00C75743">
              <w:rPr>
                <w:sz w:val="20"/>
              </w:rPr>
              <w:t>).</w:t>
            </w:r>
          </w:p>
        </w:tc>
      </w:tr>
      <w:tr w:rsidR="00C75743" w:rsidRPr="00C75743" w14:paraId="7E2BF5E7" w14:textId="77777777" w:rsidTr="00C75743">
        <w:trPr>
          <w:trHeight w:val="286"/>
        </w:trPr>
        <w:tc>
          <w:tcPr>
            <w:tcW w:w="508" w:type="pct"/>
          </w:tcPr>
          <w:p w14:paraId="46D7784E" w14:textId="04FB4410" w:rsidR="00C75743" w:rsidRPr="00C75743" w:rsidRDefault="00C75743" w:rsidP="00C75743">
            <w:pPr>
              <w:jc w:val="both"/>
              <w:rPr>
                <w:rFonts w:eastAsia="Calibri"/>
                <w:noProof/>
                <w:sz w:val="16"/>
                <w:szCs w:val="16"/>
              </w:rPr>
            </w:pPr>
            <w:r w:rsidRPr="00C75743">
              <w:rPr>
                <w:rFonts w:eastAsia="Calibri"/>
                <w:iCs/>
                <w:noProof/>
                <w:sz w:val="16"/>
                <w:szCs w:val="16"/>
              </w:rPr>
              <w:t>VVL regionas</w:t>
            </w:r>
          </w:p>
        </w:tc>
        <w:tc>
          <w:tcPr>
            <w:tcW w:w="652" w:type="pct"/>
            <w:tcBorders>
              <w:top w:val="single" w:sz="4" w:space="0" w:color="auto"/>
            </w:tcBorders>
          </w:tcPr>
          <w:p w14:paraId="532F1AFB" w14:textId="77777777" w:rsidR="00C75743" w:rsidRPr="00C75743" w:rsidRDefault="00C75743" w:rsidP="00C75743">
            <w:pPr>
              <w:jc w:val="both"/>
              <w:rPr>
                <w:rFonts w:eastAsiaTheme="minorHAnsi"/>
                <w:sz w:val="16"/>
                <w:szCs w:val="16"/>
              </w:rPr>
            </w:pPr>
            <w:r w:rsidRPr="00C75743">
              <w:rPr>
                <w:rFonts w:eastAsiaTheme="minorHAnsi"/>
                <w:sz w:val="16"/>
                <w:szCs w:val="16"/>
              </w:rPr>
              <w:t>Specialusis</w:t>
            </w:r>
          </w:p>
        </w:tc>
        <w:tc>
          <w:tcPr>
            <w:tcW w:w="1014" w:type="pct"/>
            <w:tcBorders>
              <w:top w:val="single" w:sz="4" w:space="0" w:color="auto"/>
            </w:tcBorders>
            <w:shd w:val="clear" w:color="auto" w:fill="auto"/>
          </w:tcPr>
          <w:p w14:paraId="512AF66F" w14:textId="77777777" w:rsidR="00C75743" w:rsidRPr="00C75743" w:rsidRDefault="00C75743" w:rsidP="00C75743">
            <w:pPr>
              <w:jc w:val="both"/>
              <w:rPr>
                <w:rFonts w:eastAsiaTheme="minorHAnsi"/>
                <w:sz w:val="16"/>
                <w:szCs w:val="16"/>
              </w:rPr>
            </w:pPr>
            <w:r w:rsidRPr="00C75743">
              <w:rPr>
                <w:rFonts w:eastAsiaTheme="minorHAnsi"/>
                <w:sz w:val="16"/>
                <w:szCs w:val="16"/>
              </w:rPr>
              <w:t>Įmonių darbuotojai, baigę mokymus, skirtus pramonės pertvarkai reikalingiems įgūdžiams ugdyti (pagal įgūdžio rūšį: techninis, valdymo, ekologijos, kita)</w:t>
            </w:r>
          </w:p>
        </w:tc>
        <w:tc>
          <w:tcPr>
            <w:tcW w:w="580" w:type="pct"/>
            <w:tcBorders>
              <w:top w:val="single" w:sz="4" w:space="0" w:color="auto"/>
            </w:tcBorders>
          </w:tcPr>
          <w:p w14:paraId="783CE5B3" w14:textId="77777777" w:rsidR="00C75743" w:rsidRPr="00C75743" w:rsidRDefault="00C75743" w:rsidP="00C75743">
            <w:pPr>
              <w:jc w:val="both"/>
              <w:rPr>
                <w:rFonts w:eastAsiaTheme="minorHAnsi"/>
                <w:sz w:val="16"/>
                <w:szCs w:val="16"/>
              </w:rPr>
            </w:pPr>
            <w:r w:rsidRPr="00C75743">
              <w:rPr>
                <w:rFonts w:eastAsiaTheme="minorHAnsi"/>
                <w:sz w:val="16"/>
                <w:szCs w:val="16"/>
              </w:rPr>
              <w:t>Darbuotojai</w:t>
            </w:r>
          </w:p>
        </w:tc>
        <w:tc>
          <w:tcPr>
            <w:tcW w:w="507" w:type="pct"/>
            <w:tcBorders>
              <w:top w:val="single" w:sz="4" w:space="0" w:color="auto"/>
            </w:tcBorders>
            <w:shd w:val="clear" w:color="auto" w:fill="auto"/>
          </w:tcPr>
          <w:p w14:paraId="5344FB03" w14:textId="77777777" w:rsidR="00C75743" w:rsidRPr="00C75743" w:rsidRDefault="00C75743" w:rsidP="00C75743">
            <w:pPr>
              <w:jc w:val="center"/>
              <w:rPr>
                <w:rFonts w:eastAsia="Calibri"/>
                <w:b/>
                <w:iCs/>
                <w:noProof/>
                <w:sz w:val="16"/>
                <w:szCs w:val="16"/>
              </w:rPr>
            </w:pPr>
            <w:r w:rsidRPr="00C75743">
              <w:rPr>
                <w:rFonts w:eastAsia="Calibri"/>
                <w:b/>
                <w:iCs/>
                <w:noProof/>
                <w:sz w:val="16"/>
                <w:szCs w:val="16"/>
              </w:rPr>
              <w:t>0</w:t>
            </w:r>
          </w:p>
          <w:p w14:paraId="185E8D04" w14:textId="77777777" w:rsidR="00C75743" w:rsidRPr="00C75743" w:rsidRDefault="00C75743" w:rsidP="00C75743">
            <w:pPr>
              <w:jc w:val="center"/>
              <w:rPr>
                <w:rFonts w:eastAsia="Calibri"/>
                <w:iCs/>
                <w:strike/>
                <w:noProof/>
                <w:sz w:val="16"/>
                <w:szCs w:val="16"/>
              </w:rPr>
            </w:pPr>
            <w:r w:rsidRPr="00C75743">
              <w:rPr>
                <w:rFonts w:eastAsia="Calibri"/>
                <w:iCs/>
                <w:strike/>
                <w:noProof/>
                <w:sz w:val="16"/>
                <w:szCs w:val="16"/>
              </w:rPr>
              <w:t>1 449</w:t>
            </w:r>
          </w:p>
        </w:tc>
        <w:tc>
          <w:tcPr>
            <w:tcW w:w="580" w:type="pct"/>
            <w:tcBorders>
              <w:top w:val="single" w:sz="4" w:space="0" w:color="auto"/>
            </w:tcBorders>
            <w:shd w:val="clear" w:color="auto" w:fill="auto"/>
          </w:tcPr>
          <w:p w14:paraId="7E548DA5" w14:textId="77777777" w:rsidR="00C75743" w:rsidRPr="00C75743" w:rsidRDefault="00C75743" w:rsidP="00C75743">
            <w:pPr>
              <w:jc w:val="center"/>
              <w:rPr>
                <w:rFonts w:eastAsia="Calibri"/>
                <w:iCs/>
                <w:noProof/>
                <w:sz w:val="16"/>
                <w:szCs w:val="16"/>
              </w:rPr>
            </w:pPr>
            <w:r w:rsidRPr="00C75743">
              <w:rPr>
                <w:rFonts w:eastAsia="Calibri"/>
                <w:iCs/>
                <w:noProof/>
                <w:sz w:val="16"/>
                <w:szCs w:val="16"/>
              </w:rPr>
              <w:t>2021</w:t>
            </w:r>
          </w:p>
        </w:tc>
        <w:tc>
          <w:tcPr>
            <w:tcW w:w="652" w:type="pct"/>
            <w:tcBorders>
              <w:top w:val="single" w:sz="4" w:space="0" w:color="auto"/>
            </w:tcBorders>
            <w:shd w:val="clear" w:color="auto" w:fill="auto"/>
          </w:tcPr>
          <w:p w14:paraId="0CCADFD1" w14:textId="77777777" w:rsidR="00C75743" w:rsidRPr="00C75743" w:rsidRDefault="00C75743" w:rsidP="00C75743">
            <w:pPr>
              <w:jc w:val="center"/>
              <w:rPr>
                <w:rFonts w:eastAsia="Calibri"/>
                <w:b/>
                <w:iCs/>
                <w:noProof/>
                <w:sz w:val="16"/>
                <w:szCs w:val="16"/>
              </w:rPr>
            </w:pPr>
            <w:r w:rsidRPr="00C75743">
              <w:rPr>
                <w:rFonts w:eastAsia="Calibri"/>
                <w:b/>
                <w:iCs/>
                <w:noProof/>
                <w:sz w:val="16"/>
                <w:szCs w:val="16"/>
              </w:rPr>
              <w:t>425</w:t>
            </w:r>
          </w:p>
          <w:p w14:paraId="5DF9058E" w14:textId="77777777" w:rsidR="00C75743" w:rsidRPr="00C75743" w:rsidRDefault="00C75743" w:rsidP="00C75743">
            <w:pPr>
              <w:jc w:val="center"/>
              <w:rPr>
                <w:rFonts w:eastAsia="Calibri"/>
                <w:iCs/>
                <w:strike/>
                <w:noProof/>
                <w:sz w:val="16"/>
                <w:szCs w:val="16"/>
              </w:rPr>
            </w:pPr>
            <w:r w:rsidRPr="00C75743">
              <w:rPr>
                <w:rFonts w:eastAsia="Calibri"/>
                <w:iCs/>
                <w:strike/>
                <w:noProof/>
                <w:sz w:val="16"/>
                <w:szCs w:val="16"/>
              </w:rPr>
              <w:t>2 908</w:t>
            </w:r>
          </w:p>
        </w:tc>
        <w:tc>
          <w:tcPr>
            <w:tcW w:w="507" w:type="pct"/>
            <w:tcBorders>
              <w:top w:val="single" w:sz="4" w:space="0" w:color="auto"/>
            </w:tcBorders>
            <w:shd w:val="clear" w:color="auto" w:fill="auto"/>
          </w:tcPr>
          <w:p w14:paraId="3556EE01" w14:textId="77777777" w:rsidR="00C75743" w:rsidRPr="00C75743" w:rsidRDefault="00C75743" w:rsidP="00C75743">
            <w:pPr>
              <w:jc w:val="both"/>
              <w:rPr>
                <w:rFonts w:eastAsia="Calibri"/>
                <w:noProof/>
                <w:sz w:val="16"/>
                <w:szCs w:val="16"/>
                <w:highlight w:val="yellow"/>
              </w:rPr>
            </w:pPr>
            <w:r w:rsidRPr="00C75743">
              <w:rPr>
                <w:rFonts w:eastAsiaTheme="minorHAnsi"/>
                <w:sz w:val="16"/>
                <w:szCs w:val="16"/>
              </w:rPr>
              <w:t>Projektų duomenys</w:t>
            </w:r>
          </w:p>
        </w:tc>
      </w:tr>
      <w:tr w:rsidR="00C75743" w:rsidRPr="00C75743" w14:paraId="083FE39B" w14:textId="77777777" w:rsidTr="00C75743">
        <w:trPr>
          <w:trHeight w:val="286"/>
        </w:trPr>
        <w:tc>
          <w:tcPr>
            <w:tcW w:w="5000" w:type="pct"/>
            <w:gridSpan w:val="8"/>
          </w:tcPr>
          <w:p w14:paraId="08C853B4" w14:textId="2B4E2950" w:rsidR="00C75743" w:rsidRPr="00C75743" w:rsidRDefault="00C75743" w:rsidP="000F25EF">
            <w:pPr>
              <w:spacing w:before="120" w:after="120"/>
              <w:jc w:val="both"/>
              <w:rPr>
                <w:rFonts w:eastAsiaTheme="minorHAnsi"/>
                <w:sz w:val="20"/>
              </w:rPr>
            </w:pPr>
            <w:r w:rsidRPr="00C75743">
              <w:rPr>
                <w:sz w:val="20"/>
              </w:rPr>
              <w:t>Rodiklio reikšmė keičiama įvertinus veiklos pobūdį – buvo planuota, kad įgyvendinant veiklą „</w:t>
            </w:r>
            <w:r w:rsidRPr="000F25EF">
              <w:rPr>
                <w:i/>
                <w:sz w:val="20"/>
              </w:rPr>
              <w:t>Užsienio ir vietos investuotojų su dideliu darbo vietų kūrimo potencialu pritraukimas</w:t>
            </w:r>
            <w:r w:rsidRPr="00C75743">
              <w:rPr>
                <w:sz w:val="20"/>
              </w:rPr>
              <w:t xml:space="preserve">“ MVĮ galės teikti PĮP tik mokymų veiklai nenumatant investicijų į infrastruktūrą. </w:t>
            </w:r>
            <w:r w:rsidR="000F25EF">
              <w:rPr>
                <w:sz w:val="20"/>
              </w:rPr>
              <w:t>T</w:t>
            </w:r>
            <w:r w:rsidRPr="00C75743">
              <w:rPr>
                <w:sz w:val="20"/>
              </w:rPr>
              <w:t>ačiau įvertinus Individualių mokymosi paskyrų sistemą, finansuojamą Ekonomikos gaivinimo ir atsparumo didinimo plano „Naujos kartos Lietuva“ lėšomis, taip pat Investicijų programos 1 prioriteto „</w:t>
            </w:r>
            <w:r w:rsidRPr="004B50F4">
              <w:rPr>
                <w:i/>
                <w:sz w:val="20"/>
              </w:rPr>
              <w:t>Pažangesnė Lietuva</w:t>
            </w:r>
            <w:r w:rsidRPr="00C75743">
              <w:rPr>
                <w:sz w:val="20"/>
              </w:rPr>
              <w:t>“ konkretaus uždavinio 1.4. „</w:t>
            </w:r>
            <w:r w:rsidRPr="004B50F4">
              <w:rPr>
                <w:i/>
                <w:sz w:val="20"/>
              </w:rPr>
              <w:t>Ugdyti pažangiai specializacijai, pramonės pertvarkai ir verslumui reikalingus įgūdžius</w:t>
            </w:r>
            <w:r w:rsidRPr="00C75743">
              <w:rPr>
                <w:sz w:val="20"/>
              </w:rPr>
              <w:t>“, 4 prioriteto „</w:t>
            </w:r>
            <w:r w:rsidRPr="004B50F4">
              <w:rPr>
                <w:i/>
                <w:sz w:val="20"/>
              </w:rPr>
              <w:t>Socialiai atsakingesnė Lietuva</w:t>
            </w:r>
            <w:r w:rsidRPr="00C75743">
              <w:rPr>
                <w:sz w:val="20"/>
              </w:rPr>
              <w:t>“ konkretaus uždavinio 4.1. „</w:t>
            </w:r>
            <w:r w:rsidRPr="004B50F4">
              <w:rPr>
                <w:i/>
                <w:sz w:val="20"/>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r w:rsidRPr="00C75743">
              <w:rPr>
                <w:sz w:val="20"/>
              </w:rPr>
              <w:t>“ ir konkretaus uždavinio  4.4. „</w:t>
            </w:r>
            <w:r w:rsidRPr="004B50F4">
              <w:rPr>
                <w:i/>
                <w:sz w:val="20"/>
              </w:rPr>
              <w:t xml:space="preserve">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Pr="004B50F4">
              <w:rPr>
                <w:i/>
                <w:sz w:val="20"/>
              </w:rPr>
              <w:t>judumą</w:t>
            </w:r>
            <w:proofErr w:type="spellEnd"/>
            <w:r w:rsidRPr="00C75743">
              <w:rPr>
                <w:sz w:val="20"/>
              </w:rPr>
              <w:t>“ suplanuotas veiklas, siekiant papildomumo ir suderinamumo tarp šių veiklų skirtingų finansavimo šaltinių, nuspręsta, kad mokymų veikla turėtų būti įgyvendinama kartu su konkrečiomis investicijomis, kurių metu kuriamos tvarios darbo vietos.</w:t>
            </w:r>
          </w:p>
        </w:tc>
      </w:tr>
      <w:tr w:rsidR="00C75743" w:rsidRPr="00C75743" w14:paraId="487AF83A" w14:textId="77777777" w:rsidTr="00C75743">
        <w:trPr>
          <w:trHeight w:val="286"/>
        </w:trPr>
        <w:tc>
          <w:tcPr>
            <w:tcW w:w="508" w:type="pct"/>
          </w:tcPr>
          <w:p w14:paraId="656B4589" w14:textId="5375E52D" w:rsidR="00C75743" w:rsidRPr="00C75743" w:rsidRDefault="00C75743" w:rsidP="00C75743">
            <w:pPr>
              <w:jc w:val="both"/>
              <w:rPr>
                <w:rFonts w:eastAsia="Calibri"/>
                <w:noProof/>
                <w:sz w:val="16"/>
                <w:szCs w:val="16"/>
              </w:rPr>
            </w:pPr>
            <w:r w:rsidRPr="00C75743">
              <w:rPr>
                <w:rFonts w:eastAsia="Calibri"/>
                <w:iCs/>
                <w:noProof/>
                <w:sz w:val="16"/>
                <w:szCs w:val="16"/>
              </w:rPr>
              <w:t>VVL regionas</w:t>
            </w:r>
          </w:p>
        </w:tc>
        <w:tc>
          <w:tcPr>
            <w:tcW w:w="652" w:type="pct"/>
          </w:tcPr>
          <w:p w14:paraId="5F5792FA" w14:textId="77777777" w:rsidR="00C75743" w:rsidRPr="00C75743" w:rsidRDefault="00C75743" w:rsidP="00C75743">
            <w:pPr>
              <w:jc w:val="both"/>
              <w:rPr>
                <w:rFonts w:eastAsiaTheme="minorHAnsi"/>
                <w:sz w:val="16"/>
                <w:szCs w:val="16"/>
              </w:rPr>
            </w:pPr>
            <w:r w:rsidRPr="00C75743">
              <w:rPr>
                <w:rFonts w:eastAsiaTheme="minorHAnsi"/>
                <w:sz w:val="16"/>
                <w:szCs w:val="16"/>
              </w:rPr>
              <w:t>Specialusis</w:t>
            </w:r>
          </w:p>
        </w:tc>
        <w:tc>
          <w:tcPr>
            <w:tcW w:w="1014" w:type="pct"/>
            <w:shd w:val="clear" w:color="auto" w:fill="auto"/>
          </w:tcPr>
          <w:p w14:paraId="3DAE647A" w14:textId="77777777" w:rsidR="00C75743" w:rsidRPr="00C75743" w:rsidRDefault="00C75743" w:rsidP="00C75743">
            <w:pPr>
              <w:jc w:val="both"/>
              <w:rPr>
                <w:rFonts w:eastAsiaTheme="minorHAnsi"/>
                <w:sz w:val="16"/>
                <w:szCs w:val="16"/>
              </w:rPr>
            </w:pPr>
            <w:r w:rsidRPr="00C75743">
              <w:rPr>
                <w:rFonts w:eastAsiaTheme="minorHAnsi"/>
                <w:sz w:val="16"/>
                <w:szCs w:val="16"/>
              </w:rPr>
              <w:t xml:space="preserve">Paramą gavusiuose subjektuose sukurtos </w:t>
            </w:r>
            <w:r w:rsidRPr="00C75743">
              <w:rPr>
                <w:rFonts w:eastAsiaTheme="minorHAnsi"/>
                <w:sz w:val="16"/>
                <w:szCs w:val="16"/>
              </w:rPr>
              <w:lastRenderedPageBreak/>
              <w:t>tvarios darbo vietos</w:t>
            </w:r>
          </w:p>
        </w:tc>
        <w:tc>
          <w:tcPr>
            <w:tcW w:w="580" w:type="pct"/>
          </w:tcPr>
          <w:p w14:paraId="6651661F" w14:textId="77777777" w:rsidR="00C75743" w:rsidRPr="00C75743" w:rsidRDefault="00C75743" w:rsidP="00C75743">
            <w:pPr>
              <w:jc w:val="both"/>
              <w:rPr>
                <w:rFonts w:eastAsiaTheme="minorHAnsi"/>
                <w:sz w:val="16"/>
                <w:szCs w:val="16"/>
              </w:rPr>
            </w:pPr>
            <w:proofErr w:type="gramStart"/>
            <w:r w:rsidRPr="00C75743">
              <w:rPr>
                <w:rFonts w:eastAsiaTheme="minorHAnsi"/>
                <w:sz w:val="16"/>
                <w:szCs w:val="16"/>
              </w:rPr>
              <w:lastRenderedPageBreak/>
              <w:t>Vienų</w:t>
            </w:r>
            <w:proofErr w:type="gramEnd"/>
            <w:r w:rsidRPr="00C75743">
              <w:rPr>
                <w:rFonts w:eastAsiaTheme="minorHAnsi"/>
                <w:sz w:val="16"/>
                <w:szCs w:val="16"/>
              </w:rPr>
              <w:t xml:space="preserve"> metų etato </w:t>
            </w:r>
            <w:r w:rsidRPr="00C75743">
              <w:rPr>
                <w:rFonts w:eastAsiaTheme="minorHAnsi"/>
                <w:sz w:val="16"/>
                <w:szCs w:val="16"/>
              </w:rPr>
              <w:lastRenderedPageBreak/>
              <w:t>ekvivalentai</w:t>
            </w:r>
          </w:p>
        </w:tc>
        <w:tc>
          <w:tcPr>
            <w:tcW w:w="507" w:type="pct"/>
            <w:shd w:val="clear" w:color="auto" w:fill="auto"/>
          </w:tcPr>
          <w:p w14:paraId="5BC7B03E" w14:textId="77777777" w:rsidR="00C75743" w:rsidRPr="00C75743" w:rsidRDefault="00C75743" w:rsidP="00C75743">
            <w:pPr>
              <w:jc w:val="center"/>
              <w:rPr>
                <w:rFonts w:eastAsia="Calibri"/>
                <w:iCs/>
                <w:noProof/>
                <w:sz w:val="16"/>
                <w:szCs w:val="16"/>
              </w:rPr>
            </w:pPr>
            <w:r w:rsidRPr="00C75743">
              <w:rPr>
                <w:rFonts w:eastAsia="Calibri"/>
                <w:iCs/>
                <w:noProof/>
                <w:sz w:val="16"/>
                <w:szCs w:val="16"/>
              </w:rPr>
              <w:lastRenderedPageBreak/>
              <w:t>0</w:t>
            </w:r>
          </w:p>
        </w:tc>
        <w:tc>
          <w:tcPr>
            <w:tcW w:w="580" w:type="pct"/>
            <w:shd w:val="clear" w:color="auto" w:fill="auto"/>
          </w:tcPr>
          <w:p w14:paraId="16C11377" w14:textId="77777777" w:rsidR="00C75743" w:rsidRPr="00C75743" w:rsidRDefault="00C75743" w:rsidP="00C75743">
            <w:pPr>
              <w:jc w:val="center"/>
              <w:rPr>
                <w:rFonts w:eastAsia="Calibri"/>
                <w:iCs/>
                <w:noProof/>
                <w:sz w:val="16"/>
                <w:szCs w:val="16"/>
              </w:rPr>
            </w:pPr>
            <w:r w:rsidRPr="00C75743">
              <w:rPr>
                <w:rFonts w:eastAsia="Calibri"/>
                <w:iCs/>
                <w:noProof/>
                <w:sz w:val="16"/>
                <w:szCs w:val="16"/>
              </w:rPr>
              <w:t>2021</w:t>
            </w:r>
          </w:p>
        </w:tc>
        <w:tc>
          <w:tcPr>
            <w:tcW w:w="652" w:type="pct"/>
            <w:shd w:val="clear" w:color="auto" w:fill="auto"/>
          </w:tcPr>
          <w:p w14:paraId="08148703" w14:textId="77777777" w:rsidR="00C75743" w:rsidRPr="00C75743" w:rsidRDefault="00C75743" w:rsidP="00C75743">
            <w:pPr>
              <w:jc w:val="center"/>
              <w:rPr>
                <w:rFonts w:eastAsia="Calibri"/>
                <w:b/>
                <w:iCs/>
                <w:noProof/>
                <w:sz w:val="16"/>
                <w:szCs w:val="16"/>
              </w:rPr>
            </w:pPr>
            <w:r w:rsidRPr="00C75743">
              <w:rPr>
                <w:rFonts w:eastAsia="Calibri"/>
                <w:b/>
                <w:iCs/>
                <w:noProof/>
                <w:sz w:val="16"/>
                <w:szCs w:val="16"/>
              </w:rPr>
              <w:t>440</w:t>
            </w:r>
          </w:p>
          <w:p w14:paraId="168C3C35" w14:textId="77777777" w:rsidR="00C75743" w:rsidRPr="00C75743" w:rsidRDefault="00C75743" w:rsidP="00C75743">
            <w:pPr>
              <w:jc w:val="center"/>
              <w:rPr>
                <w:rFonts w:eastAsia="Calibri"/>
                <w:iCs/>
                <w:strike/>
                <w:noProof/>
                <w:sz w:val="16"/>
                <w:szCs w:val="16"/>
              </w:rPr>
            </w:pPr>
            <w:r w:rsidRPr="00C75743">
              <w:rPr>
                <w:rFonts w:eastAsia="Calibri"/>
                <w:iCs/>
                <w:strike/>
                <w:noProof/>
                <w:sz w:val="16"/>
                <w:szCs w:val="16"/>
              </w:rPr>
              <w:t>642</w:t>
            </w:r>
          </w:p>
        </w:tc>
        <w:tc>
          <w:tcPr>
            <w:tcW w:w="507" w:type="pct"/>
            <w:shd w:val="clear" w:color="auto" w:fill="auto"/>
          </w:tcPr>
          <w:p w14:paraId="1CEE86FC" w14:textId="77777777" w:rsidR="00C75743" w:rsidRPr="00C75743" w:rsidRDefault="00C75743" w:rsidP="00C75743">
            <w:pPr>
              <w:jc w:val="both"/>
              <w:rPr>
                <w:rFonts w:eastAsia="Calibri"/>
                <w:noProof/>
                <w:sz w:val="16"/>
                <w:szCs w:val="16"/>
                <w:highlight w:val="yellow"/>
              </w:rPr>
            </w:pPr>
            <w:r w:rsidRPr="00C75743">
              <w:rPr>
                <w:rFonts w:eastAsiaTheme="minorHAnsi"/>
                <w:sz w:val="16"/>
                <w:szCs w:val="16"/>
              </w:rPr>
              <w:t>Projektų duomenys</w:t>
            </w:r>
          </w:p>
        </w:tc>
      </w:tr>
      <w:tr w:rsidR="00C75743" w:rsidRPr="00C75743" w14:paraId="375516DF" w14:textId="77777777" w:rsidTr="00C75743">
        <w:trPr>
          <w:trHeight w:val="286"/>
        </w:trPr>
        <w:tc>
          <w:tcPr>
            <w:tcW w:w="5000" w:type="pct"/>
            <w:gridSpan w:val="8"/>
          </w:tcPr>
          <w:p w14:paraId="1FFFE731" w14:textId="44CE29CE" w:rsidR="00C75743" w:rsidRPr="00C75743" w:rsidRDefault="00C75743" w:rsidP="00C75743">
            <w:pPr>
              <w:spacing w:before="120" w:after="120"/>
              <w:jc w:val="both"/>
              <w:rPr>
                <w:rFonts w:eastAsiaTheme="minorHAnsi"/>
                <w:sz w:val="20"/>
              </w:rPr>
            </w:pPr>
            <w:r w:rsidRPr="00C75743">
              <w:rPr>
                <w:sz w:val="20"/>
              </w:rPr>
              <w:lastRenderedPageBreak/>
              <w:t>Rodiklio reikšmė keičiama siekiant suvienodinti veikloje „</w:t>
            </w:r>
            <w:r w:rsidRPr="004B50F4">
              <w:rPr>
                <w:i/>
                <w:sz w:val="20"/>
              </w:rPr>
              <w:t>Alternatyvaus kuro diegimas pramonės įmonėse Kauno, Šiaulių ir Telšių regionuose</w:t>
            </w:r>
            <w:r w:rsidRPr="00C75743">
              <w:rPr>
                <w:sz w:val="20"/>
              </w:rPr>
              <w:t>“ ir veikloje „</w:t>
            </w:r>
            <w:r w:rsidRPr="004B50F4">
              <w:rPr>
                <w:i/>
                <w:sz w:val="20"/>
              </w:rPr>
              <w:t>Užsienio ir vietos investuotojų su dideliu darbo vietų kūrimo potencialu pritraukimas</w:t>
            </w:r>
            <w:r w:rsidRPr="00C75743">
              <w:rPr>
                <w:sz w:val="20"/>
              </w:rPr>
              <w:t xml:space="preserve">“ taikomą prielaidą dėl investicijų poreikio vienai tvariai darbo vietai sukurti. Rodiklio mažėjimas taip pat susijęs su tuo, kad didelė lėšų dalis (30,6 mln. </w:t>
            </w:r>
            <w:proofErr w:type="spellStart"/>
            <w:r w:rsidRPr="00C75743">
              <w:rPr>
                <w:sz w:val="20"/>
              </w:rPr>
              <w:t>Eur</w:t>
            </w:r>
            <w:proofErr w:type="spellEnd"/>
            <w:r w:rsidRPr="00C75743">
              <w:rPr>
                <w:sz w:val="20"/>
              </w:rPr>
              <w:t>) perskirstyta iš veiklos „</w:t>
            </w:r>
            <w:r w:rsidRPr="004B50F4">
              <w:rPr>
                <w:i/>
                <w:sz w:val="20"/>
              </w:rPr>
              <w:t>Alternatyvaus kuro diegimas pramonės įmonėse Kauno, Šiaulių ir Telšių regionuose</w:t>
            </w:r>
            <w:r w:rsidRPr="00C75743">
              <w:rPr>
                <w:sz w:val="20"/>
              </w:rPr>
              <w:t>“ į veiklą „</w:t>
            </w:r>
            <w:r w:rsidRPr="004B50F4">
              <w:rPr>
                <w:i/>
                <w:sz w:val="20"/>
              </w:rPr>
              <w:t>Užsienio ir vietos investuotojų su dideliu darbo vietų kūrimo potencialu pritraukimas</w:t>
            </w:r>
            <w:r w:rsidRPr="00C75743">
              <w:rPr>
                <w:sz w:val="20"/>
              </w:rPr>
              <w:t xml:space="preserve">“, kurios vieno projekto apimtis yra 15 kartų didesnė </w:t>
            </w:r>
            <w:proofErr w:type="gramStart"/>
            <w:r w:rsidRPr="00C75743">
              <w:rPr>
                <w:sz w:val="20"/>
              </w:rPr>
              <w:t>(</w:t>
            </w:r>
            <w:proofErr w:type="gramEnd"/>
            <w:r w:rsidRPr="00C75743">
              <w:rPr>
                <w:sz w:val="20"/>
              </w:rPr>
              <w:t xml:space="preserve">alternatyvaus kuro diegimo atveju projekto apimtis sudaro 0,5 mln. </w:t>
            </w:r>
            <w:proofErr w:type="spellStart"/>
            <w:r w:rsidRPr="00C75743">
              <w:rPr>
                <w:sz w:val="20"/>
              </w:rPr>
              <w:t>Eur</w:t>
            </w:r>
            <w:proofErr w:type="spellEnd"/>
            <w:r w:rsidRPr="00C75743">
              <w:rPr>
                <w:sz w:val="20"/>
              </w:rPr>
              <w:t xml:space="preserve">, užsienio ir vietos investuotojų pritraukimo atveju vidutinė projekto vertė – 7,5 mln. </w:t>
            </w:r>
            <w:proofErr w:type="spellStart"/>
            <w:r w:rsidRPr="00C75743">
              <w:rPr>
                <w:sz w:val="20"/>
              </w:rPr>
              <w:t>Eur</w:t>
            </w:r>
            <w:proofErr w:type="spellEnd"/>
            <w:r w:rsidRPr="00C75743">
              <w:rPr>
                <w:sz w:val="20"/>
              </w:rPr>
              <w:t>).</w:t>
            </w:r>
          </w:p>
        </w:tc>
      </w:tr>
    </w:tbl>
    <w:p w14:paraId="349146C1" w14:textId="77777777" w:rsidR="00CE32E5" w:rsidRPr="00D5355C" w:rsidRDefault="00CE32E5" w:rsidP="0062446D">
      <w:pPr>
        <w:widowControl w:val="0"/>
        <w:jc w:val="both"/>
        <w:textAlignment w:val="baseline"/>
        <w:rPr>
          <w:szCs w:val="24"/>
        </w:rPr>
      </w:pPr>
    </w:p>
    <w:p w14:paraId="1EA8E3A5" w14:textId="7681C1A7" w:rsidR="0062446D" w:rsidRPr="00D5355C" w:rsidRDefault="0062446D" w:rsidP="0062446D">
      <w:pPr>
        <w:widowControl w:val="0"/>
        <w:jc w:val="both"/>
        <w:textAlignment w:val="baseline"/>
        <w:rPr>
          <w:b/>
          <w:szCs w:val="24"/>
        </w:rPr>
      </w:pPr>
      <w:r w:rsidRPr="00D5355C">
        <w:rPr>
          <w:b/>
          <w:szCs w:val="24"/>
        </w:rPr>
        <w:t xml:space="preserve">5. </w:t>
      </w:r>
      <w:r w:rsidR="00001FCB" w:rsidRPr="00001FCB">
        <w:rPr>
          <w:b/>
          <w:szCs w:val="24"/>
        </w:rPr>
        <w:t>Siūlomo pakeitimo poveikis Investicijų programos finansavimo planui (lėšų paskirstymui pagal Investicijų programos prioritetus), išlaidų pasiskirstymui pagal intervencinių priemonių sritis, finansavimo formas, teritorinį įgyvendinimo mechanizmą ir pagrindinę teritorinę sritį, „Europos socialinio fondo +“, Europos regioninės plėtros fondo, Sanglaudos fondo ir Teisingos pertvarkos fondo lyčių lygybės matmenis, nustatytas Investicijų programoje.</w:t>
      </w:r>
    </w:p>
    <w:p w14:paraId="5031EFA8" w14:textId="77777777" w:rsidR="0062446D" w:rsidRPr="00D5355C" w:rsidRDefault="0062446D" w:rsidP="0062446D">
      <w:pPr>
        <w:widowControl w:val="0"/>
        <w:jc w:val="both"/>
        <w:textAlignment w:val="baseline"/>
        <w:rPr>
          <w:szCs w:val="24"/>
        </w:rPr>
      </w:pPr>
    </w:p>
    <w:p w14:paraId="789A3287" w14:textId="61847BA8" w:rsidR="005D76D8" w:rsidRDefault="005D76D8" w:rsidP="006773D4">
      <w:pPr>
        <w:widowControl w:val="0"/>
        <w:ind w:firstLine="567"/>
        <w:jc w:val="both"/>
        <w:textAlignment w:val="baseline"/>
        <w:rPr>
          <w:szCs w:val="24"/>
        </w:rPr>
      </w:pPr>
      <w:r w:rsidRPr="005D76D8">
        <w:rPr>
          <w:szCs w:val="24"/>
        </w:rPr>
        <w:t>Siūlom</w:t>
      </w:r>
      <w:r>
        <w:rPr>
          <w:szCs w:val="24"/>
        </w:rPr>
        <w:t>i 4 ir 5 prioritetų</w:t>
      </w:r>
      <w:r w:rsidRPr="005D76D8">
        <w:rPr>
          <w:szCs w:val="24"/>
        </w:rPr>
        <w:t xml:space="preserve"> pakeitima</w:t>
      </w:r>
      <w:r>
        <w:rPr>
          <w:szCs w:val="24"/>
        </w:rPr>
        <w:t>i</w:t>
      </w:r>
      <w:r w:rsidRPr="005D76D8">
        <w:rPr>
          <w:szCs w:val="24"/>
        </w:rPr>
        <w:t xml:space="preserve"> įtakos Investicijų programos finansavimo planui neturės, nes patikslint</w:t>
      </w:r>
      <w:r>
        <w:rPr>
          <w:szCs w:val="24"/>
        </w:rPr>
        <w:t>os</w:t>
      </w:r>
      <w:r w:rsidRPr="005D76D8">
        <w:rPr>
          <w:szCs w:val="24"/>
        </w:rPr>
        <w:t xml:space="preserve"> remiam</w:t>
      </w:r>
      <w:r>
        <w:rPr>
          <w:szCs w:val="24"/>
        </w:rPr>
        <w:t>os</w:t>
      </w:r>
      <w:r w:rsidRPr="005D76D8">
        <w:rPr>
          <w:szCs w:val="24"/>
        </w:rPr>
        <w:t xml:space="preserve"> veikl</w:t>
      </w:r>
      <w:r>
        <w:rPr>
          <w:szCs w:val="24"/>
        </w:rPr>
        <w:t>os</w:t>
      </w:r>
      <w:r w:rsidRPr="005D76D8">
        <w:rPr>
          <w:szCs w:val="24"/>
        </w:rPr>
        <w:t xml:space="preserve"> bus įgyvendinam</w:t>
      </w:r>
      <w:r>
        <w:rPr>
          <w:szCs w:val="24"/>
        </w:rPr>
        <w:t>os</w:t>
      </w:r>
      <w:r w:rsidRPr="005D76D8">
        <w:rPr>
          <w:szCs w:val="24"/>
        </w:rPr>
        <w:t xml:space="preserve"> iš Investicijų programos </w:t>
      </w:r>
      <w:r>
        <w:rPr>
          <w:szCs w:val="24"/>
        </w:rPr>
        <w:t xml:space="preserve">atitinkamai 4.9 ir </w:t>
      </w:r>
      <w:r w:rsidRPr="005D76D8">
        <w:rPr>
          <w:szCs w:val="24"/>
        </w:rPr>
        <w:t xml:space="preserve">5.2 </w:t>
      </w:r>
      <w:r>
        <w:rPr>
          <w:szCs w:val="24"/>
        </w:rPr>
        <w:t xml:space="preserve">konkrečių </w:t>
      </w:r>
      <w:r w:rsidRPr="005D76D8">
        <w:rPr>
          <w:szCs w:val="24"/>
        </w:rPr>
        <w:t>uždavini</w:t>
      </w:r>
      <w:r>
        <w:rPr>
          <w:szCs w:val="24"/>
        </w:rPr>
        <w:t>ų</w:t>
      </w:r>
      <w:r w:rsidRPr="005D76D8">
        <w:rPr>
          <w:szCs w:val="24"/>
        </w:rPr>
        <w:t xml:space="preserve"> atitinkamai veiklai anksčiau suplanuotų asignavimų.</w:t>
      </w:r>
    </w:p>
    <w:p w14:paraId="26C3DB25" w14:textId="4E9158A8" w:rsidR="006773D4" w:rsidRPr="00A77B68" w:rsidRDefault="00A77B68" w:rsidP="006773D4">
      <w:pPr>
        <w:widowControl w:val="0"/>
        <w:ind w:firstLine="567"/>
        <w:jc w:val="both"/>
        <w:textAlignment w:val="baseline"/>
        <w:rPr>
          <w:szCs w:val="24"/>
        </w:rPr>
      </w:pPr>
      <w:r>
        <w:rPr>
          <w:szCs w:val="24"/>
        </w:rPr>
        <w:t xml:space="preserve">Atliekamas 9 prioriteto </w:t>
      </w:r>
      <w:r w:rsidRPr="00A77B68">
        <w:rPr>
          <w:szCs w:val="24"/>
        </w:rPr>
        <w:t>išlaidų pasiskirstymo pagal intervencinių priemonių sritis keitimas yra techninio pobūdžio</w:t>
      </w:r>
      <w:r>
        <w:rPr>
          <w:szCs w:val="24"/>
        </w:rPr>
        <w:t>, nes IP 9 prioriteto tvirtinimo metu per klaidą buvo nurodytas ne tas intervencijų srities kodas.</w:t>
      </w:r>
    </w:p>
    <w:p w14:paraId="1882481C" w14:textId="77777777" w:rsidR="0062446D" w:rsidRPr="00A77B68" w:rsidRDefault="0062446D" w:rsidP="0062446D">
      <w:pPr>
        <w:widowControl w:val="0"/>
        <w:jc w:val="both"/>
        <w:textAlignment w:val="baseline"/>
        <w:rPr>
          <w:szCs w:val="24"/>
        </w:rPr>
      </w:pPr>
    </w:p>
    <w:p w14:paraId="59150867" w14:textId="2C80E4F1" w:rsidR="0062446D" w:rsidRPr="00D5355C" w:rsidRDefault="0062446D" w:rsidP="0062446D">
      <w:pPr>
        <w:widowControl w:val="0"/>
        <w:jc w:val="both"/>
        <w:textAlignment w:val="baseline"/>
        <w:rPr>
          <w:b/>
          <w:szCs w:val="24"/>
        </w:rPr>
      </w:pPr>
      <w:r w:rsidRPr="00D5355C">
        <w:rPr>
          <w:b/>
          <w:szCs w:val="24"/>
        </w:rPr>
        <w:t xml:space="preserve">6. </w:t>
      </w:r>
      <w:r w:rsidR="00001FCB" w:rsidRPr="00001FCB">
        <w:rPr>
          <w:b/>
          <w:szCs w:val="24"/>
        </w:rPr>
        <w:t>Siūlomo pakeitimo poveikis Europos Sąjungos struktūrinių fondų lėšų panaudojimui ir Lietuvos Respublikos Vyriausybės tvirtinamo Europos Sąjungos struktūrinių fondų lėšų naudojimo plano vykdymui.</w:t>
      </w:r>
    </w:p>
    <w:p w14:paraId="16F03408" w14:textId="77777777" w:rsidR="0062446D" w:rsidRPr="00D5355C" w:rsidRDefault="0062446D" w:rsidP="0062446D">
      <w:pPr>
        <w:widowControl w:val="0"/>
        <w:jc w:val="both"/>
        <w:textAlignment w:val="baseline"/>
        <w:rPr>
          <w:szCs w:val="24"/>
        </w:rPr>
      </w:pPr>
    </w:p>
    <w:p w14:paraId="1808DDDE" w14:textId="44879FD1" w:rsidR="0062446D" w:rsidRPr="00D5355C" w:rsidRDefault="006773D4" w:rsidP="006773D4">
      <w:pPr>
        <w:ind w:firstLine="567"/>
        <w:jc w:val="both"/>
        <w:rPr>
          <w:szCs w:val="24"/>
        </w:rPr>
      </w:pPr>
      <w:r w:rsidRPr="006773D4">
        <w:rPr>
          <w:szCs w:val="24"/>
        </w:rPr>
        <w:t xml:space="preserve">Siūlomas pakeitimas </w:t>
      </w:r>
      <w:r w:rsidR="00A77B68">
        <w:rPr>
          <w:szCs w:val="24"/>
        </w:rPr>
        <w:t>ne</w:t>
      </w:r>
      <w:r w:rsidRPr="006773D4">
        <w:rPr>
          <w:szCs w:val="24"/>
        </w:rPr>
        <w:t>turės įtakos Europos Sąjungos struktūrinių fondų lėšų panaudojimo ir Europos Sąjungos struktūrinių fondų lėšų naudojimo plano, patvirtinto LRV nutarimu, vykdymui</w:t>
      </w:r>
      <w:r w:rsidR="00A77B68">
        <w:rPr>
          <w:szCs w:val="24"/>
        </w:rPr>
        <w:t>.</w:t>
      </w:r>
    </w:p>
    <w:p w14:paraId="273441A7" w14:textId="77777777" w:rsidR="0062446D" w:rsidRPr="00D5355C" w:rsidRDefault="0062446D" w:rsidP="0062446D">
      <w:pPr>
        <w:widowControl w:val="0"/>
        <w:jc w:val="both"/>
        <w:textAlignment w:val="baseline"/>
        <w:rPr>
          <w:szCs w:val="24"/>
        </w:rPr>
      </w:pPr>
    </w:p>
    <w:p w14:paraId="1AC75965" w14:textId="002C1A32" w:rsidR="0062446D" w:rsidRPr="00D5355C" w:rsidRDefault="0062446D" w:rsidP="0062446D">
      <w:pPr>
        <w:widowControl w:val="0"/>
        <w:jc w:val="both"/>
        <w:textAlignment w:val="baseline"/>
        <w:rPr>
          <w:b/>
          <w:szCs w:val="24"/>
        </w:rPr>
      </w:pPr>
      <w:r w:rsidRPr="00D5355C">
        <w:rPr>
          <w:b/>
          <w:szCs w:val="24"/>
        </w:rPr>
        <w:t xml:space="preserve">7. </w:t>
      </w:r>
      <w:r w:rsidR="00001FCB" w:rsidRPr="00001FCB">
        <w:rPr>
          <w:b/>
          <w:szCs w:val="24"/>
        </w:rPr>
        <w:t>Siūlomo pakeitimo poveikis Europos Sąjungos struktūrinių fondų lėšų, nacionalinių lėšų ir lankstumo sumos paskirstymui Investicijų programos prioritetams įgyvendinti.</w:t>
      </w:r>
    </w:p>
    <w:p w14:paraId="6CBD343B" w14:textId="77777777" w:rsidR="0062446D" w:rsidRPr="00D5355C" w:rsidRDefault="0062446D" w:rsidP="0062446D">
      <w:pPr>
        <w:widowControl w:val="0"/>
        <w:jc w:val="both"/>
        <w:textAlignment w:val="baseline"/>
        <w:rPr>
          <w:szCs w:val="24"/>
        </w:rPr>
      </w:pPr>
    </w:p>
    <w:p w14:paraId="17C5ACA0" w14:textId="77777777" w:rsidR="005D76D8" w:rsidRPr="005D76D8" w:rsidRDefault="005D76D8" w:rsidP="005D76D8">
      <w:pPr>
        <w:ind w:firstLine="567"/>
        <w:jc w:val="both"/>
        <w:rPr>
          <w:szCs w:val="24"/>
        </w:rPr>
      </w:pPr>
      <w:r w:rsidRPr="005D76D8">
        <w:rPr>
          <w:szCs w:val="24"/>
        </w:rPr>
        <w:t>Siūlomas pakeitimas poveikio Europos Sąjungos struktūrinių fondų lėšų, nacionalinių lėšų ir lankstumo sumos paskirstymui Investicijų programos prioritetams neturės.</w:t>
      </w:r>
    </w:p>
    <w:p w14:paraId="0A973D7C" w14:textId="77777777" w:rsidR="0062446D" w:rsidRPr="00D5355C" w:rsidRDefault="0062446D" w:rsidP="0062446D">
      <w:pPr>
        <w:widowControl w:val="0"/>
        <w:jc w:val="both"/>
        <w:textAlignment w:val="baseline"/>
        <w:rPr>
          <w:szCs w:val="24"/>
        </w:rPr>
      </w:pPr>
    </w:p>
    <w:p w14:paraId="671E73D8" w14:textId="1BD6A1A6" w:rsidR="0062446D" w:rsidRPr="00D5355C" w:rsidRDefault="0062446D" w:rsidP="0062446D">
      <w:pPr>
        <w:widowControl w:val="0"/>
        <w:jc w:val="both"/>
        <w:textAlignment w:val="baseline"/>
        <w:rPr>
          <w:szCs w:val="24"/>
        </w:rPr>
      </w:pPr>
      <w:r w:rsidRPr="00D5355C">
        <w:rPr>
          <w:b/>
          <w:szCs w:val="24"/>
        </w:rPr>
        <w:t>8.</w:t>
      </w:r>
      <w:r w:rsidRPr="00D5355C">
        <w:rPr>
          <w:szCs w:val="24"/>
        </w:rPr>
        <w:t xml:space="preserve"> </w:t>
      </w:r>
      <w:r w:rsidR="00001FCB" w:rsidRPr="00001FCB">
        <w:rPr>
          <w:b/>
          <w:szCs w:val="24"/>
        </w:rPr>
        <w:t>Siūlomo pakeitimo poveikio analizė (nurodoma esama situacija, numatomas (-i) pokytis (-</w:t>
      </w:r>
      <w:proofErr w:type="spellStart"/>
      <w:r w:rsidR="00001FCB" w:rsidRPr="00001FCB">
        <w:rPr>
          <w:b/>
          <w:szCs w:val="24"/>
        </w:rPr>
        <w:t>čiai</w:t>
      </w:r>
      <w:proofErr w:type="spellEnd"/>
      <w:r w:rsidR="00001FCB" w:rsidRPr="00001FCB">
        <w:rPr>
          <w:b/>
          <w:szCs w:val="24"/>
        </w:rPr>
        <w:t>) ir tikėtinas jo (jų) poveikis.</w:t>
      </w:r>
    </w:p>
    <w:p w14:paraId="164F0F58" w14:textId="77777777" w:rsidR="0062446D" w:rsidRPr="00D5355C" w:rsidRDefault="0062446D" w:rsidP="0062446D">
      <w:pPr>
        <w:widowControl w:val="0"/>
        <w:jc w:val="both"/>
        <w:textAlignment w:val="baseline"/>
        <w:rPr>
          <w:szCs w:val="24"/>
        </w:rPr>
      </w:pPr>
    </w:p>
    <w:p w14:paraId="720C6FB1" w14:textId="7C955153" w:rsidR="00D11823" w:rsidRDefault="00A77B68" w:rsidP="008102D9">
      <w:pPr>
        <w:ind w:firstLine="567"/>
        <w:jc w:val="both"/>
        <w:rPr>
          <w:szCs w:val="24"/>
        </w:rPr>
      </w:pPr>
      <w:r>
        <w:rPr>
          <w:szCs w:val="24"/>
        </w:rPr>
        <w:t>4 prioriteto s</w:t>
      </w:r>
      <w:r w:rsidR="0028173B" w:rsidRPr="005A6D41">
        <w:rPr>
          <w:szCs w:val="24"/>
        </w:rPr>
        <w:t>iūlomas pakeitimas sudarys sąlygas socialiniu būstu aprūpinti negalią turinčius asmenis jų nediskriminuojant pagal atskirą negalią ir taip sudarys sąlygas labiau atliepti tikslinės grupės poreikius.</w:t>
      </w:r>
    </w:p>
    <w:p w14:paraId="2CF22A31" w14:textId="614957D7" w:rsidR="005D76D8" w:rsidRDefault="005D76D8" w:rsidP="008102D9">
      <w:pPr>
        <w:ind w:firstLine="567"/>
        <w:jc w:val="both"/>
        <w:rPr>
          <w:szCs w:val="24"/>
        </w:rPr>
      </w:pPr>
      <w:r w:rsidRPr="005D76D8">
        <w:rPr>
          <w:szCs w:val="24"/>
        </w:rPr>
        <w:t>Siūlomas pakeitimas padės Investicijų programos 5.2 uždavinio veiklų grupę „Palankių sąlygų privačioms investicijoms pritraukti ir darbo vietoms kurti sudarymas, panaudojant specifinius, konkretiems regionams būdingus išteklius“ geriau pritaikyti pakrantės regionui būdingų išteklių panaudojimui ir spręsti Klaipėdos regionui iškylančias naujas problemas.</w:t>
      </w:r>
    </w:p>
    <w:p w14:paraId="075DEAB2" w14:textId="5BD825CE" w:rsidR="00A77B68" w:rsidRPr="00B17D2A" w:rsidRDefault="00A77B68" w:rsidP="008102D9">
      <w:pPr>
        <w:ind w:firstLine="567"/>
        <w:jc w:val="both"/>
      </w:pPr>
      <w:r>
        <w:rPr>
          <w:iCs/>
          <w:szCs w:val="24"/>
        </w:rPr>
        <w:lastRenderedPageBreak/>
        <w:t xml:space="preserve">Atlikus pakeitimus </w:t>
      </w:r>
      <w:r>
        <w:rPr>
          <w:szCs w:val="24"/>
        </w:rPr>
        <w:t>9 prioritete</w:t>
      </w:r>
      <w:r>
        <w:rPr>
          <w:iCs/>
          <w:szCs w:val="24"/>
        </w:rPr>
        <w:t xml:space="preserve">, bus numatytos investicijos teritorijoms, kurios patirs didžiausią neigiamą poveikį dėl perėjimo prie klimatui neutralios ekonomikos, tokiu būdu sudarant sąlygas darbo vietų išsaugojimui ir alternatyvių tvarių darbo vietų kūrimui ne tik labiausiai dėl perėjimo prie klimatui neutralios ekonomikos paveiktose savivaldybėse, bet ir apskrityse </w:t>
      </w:r>
      <w:proofErr w:type="gramStart"/>
      <w:r>
        <w:rPr>
          <w:iCs/>
          <w:szCs w:val="24"/>
        </w:rPr>
        <w:t>(</w:t>
      </w:r>
      <w:proofErr w:type="gramEnd"/>
      <w:r>
        <w:rPr>
          <w:iCs/>
          <w:szCs w:val="24"/>
        </w:rPr>
        <w:t>Kauno, Šiaulių ir Telšių).</w:t>
      </w:r>
    </w:p>
    <w:sectPr w:rsidR="00A77B68" w:rsidRPr="00B17D2A" w:rsidSect="004C48D5">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F5A0A" w14:textId="77777777" w:rsidR="006B6E76" w:rsidRDefault="006B6E76" w:rsidP="00C6069C">
      <w:r>
        <w:separator/>
      </w:r>
    </w:p>
  </w:endnote>
  <w:endnote w:type="continuationSeparator" w:id="0">
    <w:p w14:paraId="406B3D59" w14:textId="77777777" w:rsidR="006B6E76" w:rsidRDefault="006B6E76" w:rsidP="00C6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60D81" w14:textId="77777777" w:rsidR="006B6E76" w:rsidRDefault="006B6E76" w:rsidP="00C6069C">
      <w:r>
        <w:separator/>
      </w:r>
    </w:p>
  </w:footnote>
  <w:footnote w:type="continuationSeparator" w:id="0">
    <w:p w14:paraId="12A8E6CE" w14:textId="77777777" w:rsidR="006B6E76" w:rsidRDefault="006B6E76" w:rsidP="00C6069C">
      <w:r>
        <w:continuationSeparator/>
      </w:r>
    </w:p>
  </w:footnote>
  <w:footnote w:id="1">
    <w:p w14:paraId="11F0D813" w14:textId="77777777" w:rsidR="0028173B" w:rsidRDefault="0028173B" w:rsidP="0028173B">
      <w:pPr>
        <w:pStyle w:val="Puslapioinaostekstas"/>
      </w:pPr>
      <w:r>
        <w:rPr>
          <w:rStyle w:val="Puslapioinaosnuoroda"/>
        </w:rPr>
        <w:footnoteRef/>
      </w:r>
      <w:r>
        <w:rPr>
          <w:rStyle w:val="Puslapioinaosnuoroda"/>
        </w:rPr>
        <w:footnoteRef/>
      </w:r>
      <w:r>
        <w:t xml:space="preserve"> </w:t>
      </w:r>
      <w:hyperlink r:id="rId1" w:history="1">
        <w:r w:rsidRPr="007C7621">
          <w:rPr>
            <w:rStyle w:val="Hipersaitas"/>
          </w:rPr>
          <w:t>https://maritime-spatial-planning.ec.europa.eu/sector-information/coastal-and-maritime-tourism</w:t>
        </w:r>
      </w:hyperlink>
    </w:p>
    <w:p w14:paraId="5F9E05F3" w14:textId="77777777" w:rsidR="0028173B" w:rsidRDefault="0028173B" w:rsidP="0028173B">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985690"/>
      <w:docPartObj>
        <w:docPartGallery w:val="Page Numbers (Top of Page)"/>
        <w:docPartUnique/>
      </w:docPartObj>
    </w:sdtPr>
    <w:sdtEndPr/>
    <w:sdtContent>
      <w:p w14:paraId="05A823CB" w14:textId="087290E9" w:rsidR="004C48D5" w:rsidRDefault="004C48D5">
        <w:pPr>
          <w:pStyle w:val="Antrats"/>
          <w:jc w:val="center"/>
        </w:pPr>
        <w:r>
          <w:fldChar w:fldCharType="begin"/>
        </w:r>
        <w:r>
          <w:instrText>PAGE   \* MERGEFORMAT</w:instrText>
        </w:r>
        <w:r>
          <w:fldChar w:fldCharType="separate"/>
        </w:r>
        <w:r w:rsidR="004F2783">
          <w:rPr>
            <w:noProof/>
          </w:rPr>
          <w:t>4</w:t>
        </w:r>
        <w:r>
          <w:fldChar w:fldCharType="end"/>
        </w:r>
      </w:p>
    </w:sdtContent>
  </w:sdt>
  <w:p w14:paraId="453B1A9E" w14:textId="77777777" w:rsidR="004C48D5" w:rsidRDefault="004C48D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FB8"/>
    <w:multiLevelType w:val="hybridMultilevel"/>
    <w:tmpl w:val="03147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26902BB"/>
    <w:multiLevelType w:val="hybridMultilevel"/>
    <w:tmpl w:val="207CA9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9061FF9"/>
    <w:multiLevelType w:val="hybridMultilevel"/>
    <w:tmpl w:val="B4FA7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89953DF"/>
    <w:multiLevelType w:val="hybridMultilevel"/>
    <w:tmpl w:val="352C21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54F7439F"/>
    <w:multiLevelType w:val="hybridMultilevel"/>
    <w:tmpl w:val="ED9CF9E0"/>
    <w:lvl w:ilvl="0" w:tplc="0427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5">
    <w:nsid w:val="55F43DF3"/>
    <w:multiLevelType w:val="hybridMultilevel"/>
    <w:tmpl w:val="9E909F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D40191E"/>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B21F8A"/>
    <w:multiLevelType w:val="hybridMultilevel"/>
    <w:tmpl w:val="61EC3426"/>
    <w:lvl w:ilvl="0" w:tplc="09EE4B2A">
      <w:start w:val="1"/>
      <w:numFmt w:val="decimal"/>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5F806F52"/>
    <w:multiLevelType w:val="hybridMultilevel"/>
    <w:tmpl w:val="352C21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7920001A"/>
    <w:multiLevelType w:val="hybridMultilevel"/>
    <w:tmpl w:val="346C86B2"/>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nsid w:val="7CA63F2B"/>
    <w:multiLevelType w:val="hybridMultilevel"/>
    <w:tmpl w:val="E56035C0"/>
    <w:lvl w:ilvl="0" w:tplc="2EEC7C2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6D"/>
    <w:rsid w:val="00001FCB"/>
    <w:rsid w:val="00006092"/>
    <w:rsid w:val="00011A48"/>
    <w:rsid w:val="00013125"/>
    <w:rsid w:val="00013EB6"/>
    <w:rsid w:val="00014445"/>
    <w:rsid w:val="000160BE"/>
    <w:rsid w:val="00037C66"/>
    <w:rsid w:val="0004552D"/>
    <w:rsid w:val="0009328E"/>
    <w:rsid w:val="000A0BA7"/>
    <w:rsid w:val="000A68B5"/>
    <w:rsid w:val="000B3359"/>
    <w:rsid w:val="000C3DFB"/>
    <w:rsid w:val="000C5359"/>
    <w:rsid w:val="000C76A5"/>
    <w:rsid w:val="000E3188"/>
    <w:rsid w:val="000E3CEC"/>
    <w:rsid w:val="000E5A2F"/>
    <w:rsid w:val="000F25EF"/>
    <w:rsid w:val="000F67A0"/>
    <w:rsid w:val="00100FCD"/>
    <w:rsid w:val="00101E56"/>
    <w:rsid w:val="00104B51"/>
    <w:rsid w:val="001077FB"/>
    <w:rsid w:val="001258A6"/>
    <w:rsid w:val="00126A77"/>
    <w:rsid w:val="001275A1"/>
    <w:rsid w:val="001306BE"/>
    <w:rsid w:val="0013471C"/>
    <w:rsid w:val="00134E6C"/>
    <w:rsid w:val="001400DC"/>
    <w:rsid w:val="0014046F"/>
    <w:rsid w:val="00145112"/>
    <w:rsid w:val="0015121B"/>
    <w:rsid w:val="00180BF7"/>
    <w:rsid w:val="00195651"/>
    <w:rsid w:val="001A4538"/>
    <w:rsid w:val="001B2D2B"/>
    <w:rsid w:val="001C1358"/>
    <w:rsid w:val="001C2C9C"/>
    <w:rsid w:val="001C3D27"/>
    <w:rsid w:val="001D2120"/>
    <w:rsid w:val="001E513E"/>
    <w:rsid w:val="001E7B46"/>
    <w:rsid w:val="001E7D71"/>
    <w:rsid w:val="001F01F9"/>
    <w:rsid w:val="001F3A79"/>
    <w:rsid w:val="0020679C"/>
    <w:rsid w:val="002112C0"/>
    <w:rsid w:val="00216061"/>
    <w:rsid w:val="00222D5C"/>
    <w:rsid w:val="002423AC"/>
    <w:rsid w:val="002465BA"/>
    <w:rsid w:val="0024750E"/>
    <w:rsid w:val="00265A35"/>
    <w:rsid w:val="002719D2"/>
    <w:rsid w:val="0028062C"/>
    <w:rsid w:val="0028173B"/>
    <w:rsid w:val="00286823"/>
    <w:rsid w:val="002B311C"/>
    <w:rsid w:val="002C27C4"/>
    <w:rsid w:val="002C30A4"/>
    <w:rsid w:val="002E574E"/>
    <w:rsid w:val="003056E0"/>
    <w:rsid w:val="00307DFE"/>
    <w:rsid w:val="00315562"/>
    <w:rsid w:val="00332F03"/>
    <w:rsid w:val="00353110"/>
    <w:rsid w:val="00355DF3"/>
    <w:rsid w:val="0036511D"/>
    <w:rsid w:val="00366A70"/>
    <w:rsid w:val="00382959"/>
    <w:rsid w:val="00396A72"/>
    <w:rsid w:val="003A17DA"/>
    <w:rsid w:val="003D42BE"/>
    <w:rsid w:val="003E6E9B"/>
    <w:rsid w:val="00411AE3"/>
    <w:rsid w:val="0041769A"/>
    <w:rsid w:val="0042027E"/>
    <w:rsid w:val="0042047C"/>
    <w:rsid w:val="004207B6"/>
    <w:rsid w:val="00435CB4"/>
    <w:rsid w:val="00452393"/>
    <w:rsid w:val="00463461"/>
    <w:rsid w:val="00473691"/>
    <w:rsid w:val="0047772C"/>
    <w:rsid w:val="00480763"/>
    <w:rsid w:val="00480DA8"/>
    <w:rsid w:val="00486367"/>
    <w:rsid w:val="00486916"/>
    <w:rsid w:val="004907E4"/>
    <w:rsid w:val="00495376"/>
    <w:rsid w:val="004A30E1"/>
    <w:rsid w:val="004B50F4"/>
    <w:rsid w:val="004C48D5"/>
    <w:rsid w:val="004C7134"/>
    <w:rsid w:val="004E1B3C"/>
    <w:rsid w:val="004E2341"/>
    <w:rsid w:val="004F23DA"/>
    <w:rsid w:val="004F2783"/>
    <w:rsid w:val="004F2C7A"/>
    <w:rsid w:val="00521613"/>
    <w:rsid w:val="00521F2E"/>
    <w:rsid w:val="00525CA0"/>
    <w:rsid w:val="0052661A"/>
    <w:rsid w:val="00541B1D"/>
    <w:rsid w:val="00541EA3"/>
    <w:rsid w:val="0054550E"/>
    <w:rsid w:val="005A65F0"/>
    <w:rsid w:val="005B01F3"/>
    <w:rsid w:val="005B0239"/>
    <w:rsid w:val="005D1393"/>
    <w:rsid w:val="005D76D8"/>
    <w:rsid w:val="005E114F"/>
    <w:rsid w:val="005E550E"/>
    <w:rsid w:val="005E5877"/>
    <w:rsid w:val="005F00CC"/>
    <w:rsid w:val="005F03DA"/>
    <w:rsid w:val="005F367D"/>
    <w:rsid w:val="005F4806"/>
    <w:rsid w:val="00600D85"/>
    <w:rsid w:val="00610406"/>
    <w:rsid w:val="0062046D"/>
    <w:rsid w:val="0062320D"/>
    <w:rsid w:val="0062446D"/>
    <w:rsid w:val="0063402E"/>
    <w:rsid w:val="00634086"/>
    <w:rsid w:val="006366EC"/>
    <w:rsid w:val="00665A8B"/>
    <w:rsid w:val="00673429"/>
    <w:rsid w:val="006773D4"/>
    <w:rsid w:val="00690114"/>
    <w:rsid w:val="006A0AE6"/>
    <w:rsid w:val="006A1DF5"/>
    <w:rsid w:val="006A4C8C"/>
    <w:rsid w:val="006B6E76"/>
    <w:rsid w:val="006C602C"/>
    <w:rsid w:val="006D1C57"/>
    <w:rsid w:val="006D1D52"/>
    <w:rsid w:val="006E085C"/>
    <w:rsid w:val="006E0C2C"/>
    <w:rsid w:val="006E2D36"/>
    <w:rsid w:val="006E70BE"/>
    <w:rsid w:val="006E712F"/>
    <w:rsid w:val="006F6EB7"/>
    <w:rsid w:val="00700AFD"/>
    <w:rsid w:val="007130D1"/>
    <w:rsid w:val="007139AE"/>
    <w:rsid w:val="00730728"/>
    <w:rsid w:val="0073121E"/>
    <w:rsid w:val="00736E09"/>
    <w:rsid w:val="0075124E"/>
    <w:rsid w:val="00753BE6"/>
    <w:rsid w:val="00754E4A"/>
    <w:rsid w:val="007571D5"/>
    <w:rsid w:val="0075744E"/>
    <w:rsid w:val="00761469"/>
    <w:rsid w:val="007622C5"/>
    <w:rsid w:val="00773D85"/>
    <w:rsid w:val="007825F7"/>
    <w:rsid w:val="0079506D"/>
    <w:rsid w:val="00796E31"/>
    <w:rsid w:val="007A477F"/>
    <w:rsid w:val="007A4CCB"/>
    <w:rsid w:val="007A683F"/>
    <w:rsid w:val="007B24D5"/>
    <w:rsid w:val="007B7462"/>
    <w:rsid w:val="007C0660"/>
    <w:rsid w:val="007D21D7"/>
    <w:rsid w:val="007E777C"/>
    <w:rsid w:val="007F407C"/>
    <w:rsid w:val="008003FE"/>
    <w:rsid w:val="00803A07"/>
    <w:rsid w:val="008102D9"/>
    <w:rsid w:val="00817596"/>
    <w:rsid w:val="008218F0"/>
    <w:rsid w:val="00826866"/>
    <w:rsid w:val="008271BF"/>
    <w:rsid w:val="0083472E"/>
    <w:rsid w:val="00835812"/>
    <w:rsid w:val="00841652"/>
    <w:rsid w:val="00841ED0"/>
    <w:rsid w:val="008445B4"/>
    <w:rsid w:val="008512D2"/>
    <w:rsid w:val="00860B78"/>
    <w:rsid w:val="00872ABA"/>
    <w:rsid w:val="00874981"/>
    <w:rsid w:val="0088559D"/>
    <w:rsid w:val="0089145F"/>
    <w:rsid w:val="00892E01"/>
    <w:rsid w:val="00893A2D"/>
    <w:rsid w:val="008A4B81"/>
    <w:rsid w:val="008B5410"/>
    <w:rsid w:val="008C20AB"/>
    <w:rsid w:val="008D02A7"/>
    <w:rsid w:val="00901DAA"/>
    <w:rsid w:val="00905876"/>
    <w:rsid w:val="0091215F"/>
    <w:rsid w:val="0091634F"/>
    <w:rsid w:val="00920B07"/>
    <w:rsid w:val="00931CC6"/>
    <w:rsid w:val="00935F1F"/>
    <w:rsid w:val="00940E51"/>
    <w:rsid w:val="00945A0F"/>
    <w:rsid w:val="009479A8"/>
    <w:rsid w:val="00967F2B"/>
    <w:rsid w:val="0097095D"/>
    <w:rsid w:val="00977B06"/>
    <w:rsid w:val="009B346E"/>
    <w:rsid w:val="009B40C0"/>
    <w:rsid w:val="009B7807"/>
    <w:rsid w:val="009C1B62"/>
    <w:rsid w:val="009C3147"/>
    <w:rsid w:val="009E31CA"/>
    <w:rsid w:val="009E6677"/>
    <w:rsid w:val="009F0EC0"/>
    <w:rsid w:val="009F12D8"/>
    <w:rsid w:val="009F2C9D"/>
    <w:rsid w:val="00A115DE"/>
    <w:rsid w:val="00A24202"/>
    <w:rsid w:val="00A26A87"/>
    <w:rsid w:val="00A41F8A"/>
    <w:rsid w:val="00A45F4D"/>
    <w:rsid w:val="00A46817"/>
    <w:rsid w:val="00A47161"/>
    <w:rsid w:val="00A55A56"/>
    <w:rsid w:val="00A677A7"/>
    <w:rsid w:val="00A713AB"/>
    <w:rsid w:val="00A75DD0"/>
    <w:rsid w:val="00A7708C"/>
    <w:rsid w:val="00A77B68"/>
    <w:rsid w:val="00A908E0"/>
    <w:rsid w:val="00A96A09"/>
    <w:rsid w:val="00AB6494"/>
    <w:rsid w:val="00AC017A"/>
    <w:rsid w:val="00AD50E8"/>
    <w:rsid w:val="00AD75C5"/>
    <w:rsid w:val="00AE23A0"/>
    <w:rsid w:val="00AE23B5"/>
    <w:rsid w:val="00AE38DB"/>
    <w:rsid w:val="00AF712E"/>
    <w:rsid w:val="00B061A6"/>
    <w:rsid w:val="00B072D7"/>
    <w:rsid w:val="00B07C82"/>
    <w:rsid w:val="00B11A17"/>
    <w:rsid w:val="00B17D2A"/>
    <w:rsid w:val="00B17EA5"/>
    <w:rsid w:val="00B2606E"/>
    <w:rsid w:val="00B31402"/>
    <w:rsid w:val="00B32238"/>
    <w:rsid w:val="00B63F9E"/>
    <w:rsid w:val="00B73696"/>
    <w:rsid w:val="00B830C1"/>
    <w:rsid w:val="00B86048"/>
    <w:rsid w:val="00B87F41"/>
    <w:rsid w:val="00B921D3"/>
    <w:rsid w:val="00B93CA1"/>
    <w:rsid w:val="00BA4974"/>
    <w:rsid w:val="00BA4BCD"/>
    <w:rsid w:val="00BD5CCE"/>
    <w:rsid w:val="00BE50F7"/>
    <w:rsid w:val="00BE587D"/>
    <w:rsid w:val="00BE6FB2"/>
    <w:rsid w:val="00BE7165"/>
    <w:rsid w:val="00C01CCD"/>
    <w:rsid w:val="00C05640"/>
    <w:rsid w:val="00C16D0F"/>
    <w:rsid w:val="00C21707"/>
    <w:rsid w:val="00C23F6B"/>
    <w:rsid w:val="00C50B7C"/>
    <w:rsid w:val="00C55EBD"/>
    <w:rsid w:val="00C57909"/>
    <w:rsid w:val="00C6069C"/>
    <w:rsid w:val="00C62FC2"/>
    <w:rsid w:val="00C7287A"/>
    <w:rsid w:val="00C73F6E"/>
    <w:rsid w:val="00C75743"/>
    <w:rsid w:val="00C8257A"/>
    <w:rsid w:val="00C82DEB"/>
    <w:rsid w:val="00C96040"/>
    <w:rsid w:val="00CB64A3"/>
    <w:rsid w:val="00CC37B2"/>
    <w:rsid w:val="00CC42FA"/>
    <w:rsid w:val="00CC69B7"/>
    <w:rsid w:val="00CD0D7D"/>
    <w:rsid w:val="00CE32E5"/>
    <w:rsid w:val="00CE48B7"/>
    <w:rsid w:val="00CF59A7"/>
    <w:rsid w:val="00D006EB"/>
    <w:rsid w:val="00D11823"/>
    <w:rsid w:val="00D1608C"/>
    <w:rsid w:val="00D20376"/>
    <w:rsid w:val="00D24577"/>
    <w:rsid w:val="00D269FC"/>
    <w:rsid w:val="00D33361"/>
    <w:rsid w:val="00D33779"/>
    <w:rsid w:val="00D46D92"/>
    <w:rsid w:val="00D62722"/>
    <w:rsid w:val="00D65D65"/>
    <w:rsid w:val="00D7059E"/>
    <w:rsid w:val="00D74FA2"/>
    <w:rsid w:val="00D93E9F"/>
    <w:rsid w:val="00D96F0F"/>
    <w:rsid w:val="00DA31B5"/>
    <w:rsid w:val="00DD5243"/>
    <w:rsid w:val="00DE0840"/>
    <w:rsid w:val="00DE6494"/>
    <w:rsid w:val="00E2033A"/>
    <w:rsid w:val="00E357E8"/>
    <w:rsid w:val="00E36375"/>
    <w:rsid w:val="00E4253E"/>
    <w:rsid w:val="00E45D13"/>
    <w:rsid w:val="00E64A33"/>
    <w:rsid w:val="00E66DBE"/>
    <w:rsid w:val="00E72403"/>
    <w:rsid w:val="00E77E3C"/>
    <w:rsid w:val="00E85B1D"/>
    <w:rsid w:val="00E90090"/>
    <w:rsid w:val="00E913F4"/>
    <w:rsid w:val="00E93A00"/>
    <w:rsid w:val="00E95473"/>
    <w:rsid w:val="00E9649F"/>
    <w:rsid w:val="00EA4545"/>
    <w:rsid w:val="00EA5B73"/>
    <w:rsid w:val="00EB4C85"/>
    <w:rsid w:val="00EC0194"/>
    <w:rsid w:val="00EC3F5C"/>
    <w:rsid w:val="00EC51B4"/>
    <w:rsid w:val="00EC5BE8"/>
    <w:rsid w:val="00EE09EA"/>
    <w:rsid w:val="00EE2C53"/>
    <w:rsid w:val="00EE4ACF"/>
    <w:rsid w:val="00EF2665"/>
    <w:rsid w:val="00EF5FF0"/>
    <w:rsid w:val="00F078BB"/>
    <w:rsid w:val="00F2613B"/>
    <w:rsid w:val="00F356F1"/>
    <w:rsid w:val="00F42F4C"/>
    <w:rsid w:val="00F43872"/>
    <w:rsid w:val="00F44A33"/>
    <w:rsid w:val="00F52537"/>
    <w:rsid w:val="00F52D20"/>
    <w:rsid w:val="00F55ED7"/>
    <w:rsid w:val="00F56C1E"/>
    <w:rsid w:val="00F63410"/>
    <w:rsid w:val="00F63C29"/>
    <w:rsid w:val="00F744D9"/>
    <w:rsid w:val="00F77A09"/>
    <w:rsid w:val="00FA723C"/>
    <w:rsid w:val="00FA7718"/>
    <w:rsid w:val="00FB450A"/>
    <w:rsid w:val="00FB7C96"/>
    <w:rsid w:val="00FD479D"/>
    <w:rsid w:val="00FE035E"/>
    <w:rsid w:val="00FE43D6"/>
    <w:rsid w:val="00FE59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446D"/>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6E0C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F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479A8"/>
    <w:pPr>
      <w:ind w:left="720"/>
      <w:contextualSpacing/>
    </w:p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C6069C"/>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C6069C"/>
    <w:rPr>
      <w:rFonts w:ascii="Times New Roman" w:eastAsia="Times New Roman" w:hAnsi="Times New Roman" w:cs="Times New Roman"/>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nhideWhenUsed/>
    <w:qFormat/>
    <w:rsid w:val="00C6069C"/>
    <w:rPr>
      <w:vertAlign w:val="superscript"/>
    </w:rPr>
  </w:style>
  <w:style w:type="character" w:customStyle="1" w:styleId="markedcontent">
    <w:name w:val="markedcontent"/>
    <w:basedOn w:val="Numatytasispastraiposriftas"/>
    <w:rsid w:val="00F744D9"/>
  </w:style>
  <w:style w:type="paragraph" w:styleId="Debesliotekstas">
    <w:name w:val="Balloon Text"/>
    <w:basedOn w:val="prastasis"/>
    <w:link w:val="DebesliotekstasDiagrama"/>
    <w:uiPriority w:val="99"/>
    <w:semiHidden/>
    <w:unhideWhenUsed/>
    <w:rsid w:val="00F55E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55ED7"/>
    <w:rPr>
      <w:rFonts w:ascii="Tahoma" w:eastAsia="Times New Roman" w:hAnsi="Tahoma" w:cs="Tahoma"/>
      <w:sz w:val="16"/>
      <w:szCs w:val="16"/>
    </w:rPr>
  </w:style>
  <w:style w:type="character" w:styleId="Hipersaitas">
    <w:name w:val="Hyperlink"/>
    <w:basedOn w:val="Numatytasispastraiposriftas"/>
    <w:unhideWhenUsed/>
    <w:rsid w:val="00332F03"/>
    <w:rPr>
      <w:color w:val="0000FF" w:themeColor="hyperlink"/>
      <w:u w:val="single"/>
    </w:rPr>
  </w:style>
  <w:style w:type="character" w:styleId="Emfaz">
    <w:name w:val="Emphasis"/>
    <w:basedOn w:val="Numatytasispastraiposriftas"/>
    <w:uiPriority w:val="20"/>
    <w:qFormat/>
    <w:rsid w:val="009C3147"/>
    <w:rPr>
      <w:i/>
      <w:iCs/>
    </w:rPr>
  </w:style>
  <w:style w:type="character" w:styleId="Komentaronuoroda">
    <w:name w:val="annotation reference"/>
    <w:basedOn w:val="Numatytasispastraiposriftas"/>
    <w:semiHidden/>
    <w:unhideWhenUsed/>
    <w:rsid w:val="005F03DA"/>
    <w:rPr>
      <w:sz w:val="16"/>
      <w:szCs w:val="16"/>
    </w:rPr>
  </w:style>
  <w:style w:type="paragraph" w:styleId="Komentarotekstas">
    <w:name w:val="annotation text"/>
    <w:basedOn w:val="prastasis"/>
    <w:link w:val="KomentarotekstasDiagrama"/>
    <w:uiPriority w:val="99"/>
    <w:unhideWhenUsed/>
    <w:rsid w:val="005F03DA"/>
    <w:rPr>
      <w:sz w:val="20"/>
    </w:rPr>
  </w:style>
  <w:style w:type="character" w:customStyle="1" w:styleId="KomentarotekstasDiagrama">
    <w:name w:val="Komentaro tekstas Diagrama"/>
    <w:basedOn w:val="Numatytasispastraiposriftas"/>
    <w:link w:val="Komentarotekstas"/>
    <w:uiPriority w:val="99"/>
    <w:rsid w:val="005F03D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F03DA"/>
    <w:rPr>
      <w:b/>
      <w:bCs/>
    </w:rPr>
  </w:style>
  <w:style w:type="character" w:customStyle="1" w:styleId="KomentarotemaDiagrama">
    <w:name w:val="Komentaro tema Diagrama"/>
    <w:basedOn w:val="KomentarotekstasDiagrama"/>
    <w:link w:val="Komentarotema"/>
    <w:uiPriority w:val="99"/>
    <w:semiHidden/>
    <w:rsid w:val="005F03DA"/>
    <w:rPr>
      <w:rFonts w:ascii="Times New Roman" w:eastAsia="Times New Roman" w:hAnsi="Times New Roman" w:cs="Times New Roman"/>
      <w:b/>
      <w:bCs/>
      <w:sz w:val="20"/>
      <w:szCs w:val="20"/>
    </w:rPr>
  </w:style>
  <w:style w:type="paragraph" w:styleId="Pataisymai">
    <w:name w:val="Revision"/>
    <w:hidden/>
    <w:uiPriority w:val="99"/>
    <w:semiHidden/>
    <w:rsid w:val="00EE09EA"/>
    <w:pPr>
      <w:spacing w:after="0" w:line="240" w:lineRule="auto"/>
    </w:pPr>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F63410"/>
    <w:rPr>
      <w:color w:val="800080" w:themeColor="followedHyperlink"/>
      <w:u w:val="single"/>
    </w:rPr>
  </w:style>
  <w:style w:type="paragraph" w:styleId="Antrats">
    <w:name w:val="header"/>
    <w:basedOn w:val="prastasis"/>
    <w:link w:val="AntratsDiagrama"/>
    <w:uiPriority w:val="99"/>
    <w:unhideWhenUsed/>
    <w:rsid w:val="004C48D5"/>
    <w:pPr>
      <w:tabs>
        <w:tab w:val="center" w:pos="4819"/>
        <w:tab w:val="right" w:pos="9638"/>
      </w:tabs>
    </w:pPr>
  </w:style>
  <w:style w:type="character" w:customStyle="1" w:styleId="AntratsDiagrama">
    <w:name w:val="Antraštės Diagrama"/>
    <w:basedOn w:val="Numatytasispastraiposriftas"/>
    <w:link w:val="Antrats"/>
    <w:uiPriority w:val="99"/>
    <w:rsid w:val="004C48D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C48D5"/>
    <w:pPr>
      <w:tabs>
        <w:tab w:val="center" w:pos="4819"/>
        <w:tab w:val="right" w:pos="9638"/>
      </w:tabs>
    </w:pPr>
  </w:style>
  <w:style w:type="character" w:customStyle="1" w:styleId="PoratDiagrama">
    <w:name w:val="Poraštė Diagrama"/>
    <w:basedOn w:val="Numatytasispastraiposriftas"/>
    <w:link w:val="Porat"/>
    <w:uiPriority w:val="99"/>
    <w:rsid w:val="004C48D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011A48"/>
    <w:rPr>
      <w:color w:val="605E5C"/>
      <w:shd w:val="clear" w:color="auto" w:fill="E1DFDD"/>
    </w:rPr>
  </w:style>
  <w:style w:type="character" w:customStyle="1" w:styleId="Antrat1Diagrama">
    <w:name w:val="Antraštė 1 Diagrama"/>
    <w:basedOn w:val="Numatytasispastraiposriftas"/>
    <w:link w:val="Antrat1"/>
    <w:uiPriority w:val="9"/>
    <w:rsid w:val="006E0C2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446D"/>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6E0C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F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479A8"/>
    <w:pPr>
      <w:ind w:left="720"/>
      <w:contextualSpacing/>
    </w:p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C6069C"/>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C6069C"/>
    <w:rPr>
      <w:rFonts w:ascii="Times New Roman" w:eastAsia="Times New Roman" w:hAnsi="Times New Roman" w:cs="Times New Roman"/>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nhideWhenUsed/>
    <w:qFormat/>
    <w:rsid w:val="00C6069C"/>
    <w:rPr>
      <w:vertAlign w:val="superscript"/>
    </w:rPr>
  </w:style>
  <w:style w:type="character" w:customStyle="1" w:styleId="markedcontent">
    <w:name w:val="markedcontent"/>
    <w:basedOn w:val="Numatytasispastraiposriftas"/>
    <w:rsid w:val="00F744D9"/>
  </w:style>
  <w:style w:type="paragraph" w:styleId="Debesliotekstas">
    <w:name w:val="Balloon Text"/>
    <w:basedOn w:val="prastasis"/>
    <w:link w:val="DebesliotekstasDiagrama"/>
    <w:uiPriority w:val="99"/>
    <w:semiHidden/>
    <w:unhideWhenUsed/>
    <w:rsid w:val="00F55E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55ED7"/>
    <w:rPr>
      <w:rFonts w:ascii="Tahoma" w:eastAsia="Times New Roman" w:hAnsi="Tahoma" w:cs="Tahoma"/>
      <w:sz w:val="16"/>
      <w:szCs w:val="16"/>
    </w:rPr>
  </w:style>
  <w:style w:type="character" w:styleId="Hipersaitas">
    <w:name w:val="Hyperlink"/>
    <w:basedOn w:val="Numatytasispastraiposriftas"/>
    <w:unhideWhenUsed/>
    <w:rsid w:val="00332F03"/>
    <w:rPr>
      <w:color w:val="0000FF" w:themeColor="hyperlink"/>
      <w:u w:val="single"/>
    </w:rPr>
  </w:style>
  <w:style w:type="character" w:styleId="Emfaz">
    <w:name w:val="Emphasis"/>
    <w:basedOn w:val="Numatytasispastraiposriftas"/>
    <w:uiPriority w:val="20"/>
    <w:qFormat/>
    <w:rsid w:val="009C3147"/>
    <w:rPr>
      <w:i/>
      <w:iCs/>
    </w:rPr>
  </w:style>
  <w:style w:type="character" w:styleId="Komentaronuoroda">
    <w:name w:val="annotation reference"/>
    <w:basedOn w:val="Numatytasispastraiposriftas"/>
    <w:semiHidden/>
    <w:unhideWhenUsed/>
    <w:rsid w:val="005F03DA"/>
    <w:rPr>
      <w:sz w:val="16"/>
      <w:szCs w:val="16"/>
    </w:rPr>
  </w:style>
  <w:style w:type="paragraph" w:styleId="Komentarotekstas">
    <w:name w:val="annotation text"/>
    <w:basedOn w:val="prastasis"/>
    <w:link w:val="KomentarotekstasDiagrama"/>
    <w:uiPriority w:val="99"/>
    <w:unhideWhenUsed/>
    <w:rsid w:val="005F03DA"/>
    <w:rPr>
      <w:sz w:val="20"/>
    </w:rPr>
  </w:style>
  <w:style w:type="character" w:customStyle="1" w:styleId="KomentarotekstasDiagrama">
    <w:name w:val="Komentaro tekstas Diagrama"/>
    <w:basedOn w:val="Numatytasispastraiposriftas"/>
    <w:link w:val="Komentarotekstas"/>
    <w:uiPriority w:val="99"/>
    <w:rsid w:val="005F03D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F03DA"/>
    <w:rPr>
      <w:b/>
      <w:bCs/>
    </w:rPr>
  </w:style>
  <w:style w:type="character" w:customStyle="1" w:styleId="KomentarotemaDiagrama">
    <w:name w:val="Komentaro tema Diagrama"/>
    <w:basedOn w:val="KomentarotekstasDiagrama"/>
    <w:link w:val="Komentarotema"/>
    <w:uiPriority w:val="99"/>
    <w:semiHidden/>
    <w:rsid w:val="005F03DA"/>
    <w:rPr>
      <w:rFonts w:ascii="Times New Roman" w:eastAsia="Times New Roman" w:hAnsi="Times New Roman" w:cs="Times New Roman"/>
      <w:b/>
      <w:bCs/>
      <w:sz w:val="20"/>
      <w:szCs w:val="20"/>
    </w:rPr>
  </w:style>
  <w:style w:type="paragraph" w:styleId="Pataisymai">
    <w:name w:val="Revision"/>
    <w:hidden/>
    <w:uiPriority w:val="99"/>
    <w:semiHidden/>
    <w:rsid w:val="00EE09EA"/>
    <w:pPr>
      <w:spacing w:after="0" w:line="240" w:lineRule="auto"/>
    </w:pPr>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F63410"/>
    <w:rPr>
      <w:color w:val="800080" w:themeColor="followedHyperlink"/>
      <w:u w:val="single"/>
    </w:rPr>
  </w:style>
  <w:style w:type="paragraph" w:styleId="Antrats">
    <w:name w:val="header"/>
    <w:basedOn w:val="prastasis"/>
    <w:link w:val="AntratsDiagrama"/>
    <w:uiPriority w:val="99"/>
    <w:unhideWhenUsed/>
    <w:rsid w:val="004C48D5"/>
    <w:pPr>
      <w:tabs>
        <w:tab w:val="center" w:pos="4819"/>
        <w:tab w:val="right" w:pos="9638"/>
      </w:tabs>
    </w:pPr>
  </w:style>
  <w:style w:type="character" w:customStyle="1" w:styleId="AntratsDiagrama">
    <w:name w:val="Antraštės Diagrama"/>
    <w:basedOn w:val="Numatytasispastraiposriftas"/>
    <w:link w:val="Antrats"/>
    <w:uiPriority w:val="99"/>
    <w:rsid w:val="004C48D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C48D5"/>
    <w:pPr>
      <w:tabs>
        <w:tab w:val="center" w:pos="4819"/>
        <w:tab w:val="right" w:pos="9638"/>
      </w:tabs>
    </w:pPr>
  </w:style>
  <w:style w:type="character" w:customStyle="1" w:styleId="PoratDiagrama">
    <w:name w:val="Poraštė Diagrama"/>
    <w:basedOn w:val="Numatytasispastraiposriftas"/>
    <w:link w:val="Porat"/>
    <w:uiPriority w:val="99"/>
    <w:rsid w:val="004C48D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011A48"/>
    <w:rPr>
      <w:color w:val="605E5C"/>
      <w:shd w:val="clear" w:color="auto" w:fill="E1DFDD"/>
    </w:rPr>
  </w:style>
  <w:style w:type="character" w:customStyle="1" w:styleId="Antrat1Diagrama">
    <w:name w:val="Antraštė 1 Diagrama"/>
    <w:basedOn w:val="Numatytasispastraiposriftas"/>
    <w:link w:val="Antrat1"/>
    <w:uiPriority w:val="9"/>
    <w:rsid w:val="006E0C2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1948">
      <w:bodyDiv w:val="1"/>
      <w:marLeft w:val="0"/>
      <w:marRight w:val="0"/>
      <w:marTop w:val="0"/>
      <w:marBottom w:val="0"/>
      <w:divBdr>
        <w:top w:val="none" w:sz="0" w:space="0" w:color="auto"/>
        <w:left w:val="none" w:sz="0" w:space="0" w:color="auto"/>
        <w:bottom w:val="none" w:sz="0" w:space="0" w:color="auto"/>
        <w:right w:val="none" w:sz="0" w:space="0" w:color="auto"/>
      </w:divBdr>
    </w:div>
    <w:div w:id="358551403">
      <w:bodyDiv w:val="1"/>
      <w:marLeft w:val="0"/>
      <w:marRight w:val="0"/>
      <w:marTop w:val="0"/>
      <w:marBottom w:val="0"/>
      <w:divBdr>
        <w:top w:val="none" w:sz="0" w:space="0" w:color="auto"/>
        <w:left w:val="none" w:sz="0" w:space="0" w:color="auto"/>
        <w:bottom w:val="none" w:sz="0" w:space="0" w:color="auto"/>
        <w:right w:val="none" w:sz="0" w:space="0" w:color="auto"/>
      </w:divBdr>
    </w:div>
    <w:div w:id="402879276">
      <w:bodyDiv w:val="1"/>
      <w:marLeft w:val="0"/>
      <w:marRight w:val="0"/>
      <w:marTop w:val="0"/>
      <w:marBottom w:val="0"/>
      <w:divBdr>
        <w:top w:val="none" w:sz="0" w:space="0" w:color="auto"/>
        <w:left w:val="none" w:sz="0" w:space="0" w:color="auto"/>
        <w:bottom w:val="none" w:sz="0" w:space="0" w:color="auto"/>
        <w:right w:val="none" w:sz="0" w:space="0" w:color="auto"/>
      </w:divBdr>
    </w:div>
    <w:div w:id="476610025">
      <w:bodyDiv w:val="1"/>
      <w:marLeft w:val="0"/>
      <w:marRight w:val="0"/>
      <w:marTop w:val="0"/>
      <w:marBottom w:val="0"/>
      <w:divBdr>
        <w:top w:val="none" w:sz="0" w:space="0" w:color="auto"/>
        <w:left w:val="none" w:sz="0" w:space="0" w:color="auto"/>
        <w:bottom w:val="none" w:sz="0" w:space="0" w:color="auto"/>
        <w:right w:val="none" w:sz="0" w:space="0" w:color="auto"/>
      </w:divBdr>
    </w:div>
    <w:div w:id="573928210">
      <w:bodyDiv w:val="1"/>
      <w:marLeft w:val="0"/>
      <w:marRight w:val="0"/>
      <w:marTop w:val="0"/>
      <w:marBottom w:val="0"/>
      <w:divBdr>
        <w:top w:val="none" w:sz="0" w:space="0" w:color="auto"/>
        <w:left w:val="none" w:sz="0" w:space="0" w:color="auto"/>
        <w:bottom w:val="none" w:sz="0" w:space="0" w:color="auto"/>
        <w:right w:val="none" w:sz="0" w:space="0" w:color="auto"/>
      </w:divBdr>
    </w:div>
    <w:div w:id="1132555876">
      <w:bodyDiv w:val="1"/>
      <w:marLeft w:val="0"/>
      <w:marRight w:val="0"/>
      <w:marTop w:val="0"/>
      <w:marBottom w:val="0"/>
      <w:divBdr>
        <w:top w:val="none" w:sz="0" w:space="0" w:color="auto"/>
        <w:left w:val="none" w:sz="0" w:space="0" w:color="auto"/>
        <w:bottom w:val="none" w:sz="0" w:space="0" w:color="auto"/>
        <w:right w:val="none" w:sz="0" w:space="0" w:color="auto"/>
      </w:divBdr>
    </w:div>
    <w:div w:id="1245795456">
      <w:bodyDiv w:val="1"/>
      <w:marLeft w:val="0"/>
      <w:marRight w:val="0"/>
      <w:marTop w:val="0"/>
      <w:marBottom w:val="0"/>
      <w:divBdr>
        <w:top w:val="none" w:sz="0" w:space="0" w:color="auto"/>
        <w:left w:val="none" w:sz="0" w:space="0" w:color="auto"/>
        <w:bottom w:val="none" w:sz="0" w:space="0" w:color="auto"/>
        <w:right w:val="none" w:sz="0" w:space="0" w:color="auto"/>
      </w:divBdr>
    </w:div>
    <w:div w:id="1614628582">
      <w:bodyDiv w:val="1"/>
      <w:marLeft w:val="0"/>
      <w:marRight w:val="0"/>
      <w:marTop w:val="0"/>
      <w:marBottom w:val="0"/>
      <w:divBdr>
        <w:top w:val="none" w:sz="0" w:space="0" w:color="auto"/>
        <w:left w:val="none" w:sz="0" w:space="0" w:color="auto"/>
        <w:bottom w:val="none" w:sz="0" w:space="0" w:color="auto"/>
        <w:right w:val="none" w:sz="0" w:space="0" w:color="auto"/>
      </w:divBdr>
    </w:div>
    <w:div w:id="1643806451">
      <w:bodyDiv w:val="1"/>
      <w:marLeft w:val="0"/>
      <w:marRight w:val="0"/>
      <w:marTop w:val="0"/>
      <w:marBottom w:val="0"/>
      <w:divBdr>
        <w:top w:val="none" w:sz="0" w:space="0" w:color="auto"/>
        <w:left w:val="none" w:sz="0" w:space="0" w:color="auto"/>
        <w:bottom w:val="none" w:sz="0" w:space="0" w:color="auto"/>
        <w:right w:val="none" w:sz="0" w:space="0" w:color="auto"/>
      </w:divBdr>
    </w:div>
    <w:div w:id="2103526837">
      <w:bodyDiv w:val="1"/>
      <w:marLeft w:val="0"/>
      <w:marRight w:val="0"/>
      <w:marTop w:val="0"/>
      <w:marBottom w:val="0"/>
      <w:divBdr>
        <w:top w:val="none" w:sz="0" w:space="0" w:color="auto"/>
        <w:left w:val="none" w:sz="0" w:space="0" w:color="auto"/>
        <w:bottom w:val="none" w:sz="0" w:space="0" w:color="auto"/>
        <w:right w:val="none" w:sz="0" w:space="0" w:color="auto"/>
      </w:divBdr>
    </w:div>
    <w:div w:id="21075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ur-lex.europa.eu/legal-content/LT/TXT/?uri=CELEX:32021R1056&amp;qid=164154291819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aritime-spatial-planning.ec.europa.eu/sector-information/coastal-and-maritime-touris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ACF9E-ED82-41B0-90AB-52F3B129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Pages>
  <Words>17645</Words>
  <Characters>10058</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Kasperovičienė</dc:creator>
  <cp:lastModifiedBy>Monika Kasperovičienė</cp:lastModifiedBy>
  <cp:revision>13</cp:revision>
  <cp:lastPrinted>2023-03-28T13:28:00Z</cp:lastPrinted>
  <dcterms:created xsi:type="dcterms:W3CDTF">2023-04-17T07:47:00Z</dcterms:created>
  <dcterms:modified xsi:type="dcterms:W3CDTF">2023-11-29T12:09:00Z</dcterms:modified>
</cp:coreProperties>
</file>