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5DB2BE96"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473F7858" w:rsidR="0036662A" w:rsidRPr="00CB755E" w:rsidRDefault="0036662A" w:rsidP="0036662A">
      <w:pPr>
        <w:jc w:val="center"/>
        <w:rPr>
          <w:b/>
          <w:bCs/>
          <w:caps/>
          <w:szCs w:val="24"/>
        </w:rPr>
      </w:pPr>
      <w:r w:rsidRPr="00017566">
        <w:rPr>
          <w:b/>
          <w:bCs/>
        </w:rPr>
        <w:t xml:space="preserve">SOCIALINIŲ IR EKONOMINIŲ </w:t>
      </w:r>
      <w:r w:rsidRPr="00007068">
        <w:rPr>
          <w:b/>
          <w:bCs/>
          <w:caps/>
          <w:szCs w:val="24"/>
        </w:rPr>
        <w:t xml:space="preserve">PARTNERIŲ PATEIKTŲ PASTABŲ IR PASIŪLYMŲ DĖL </w:t>
      </w:r>
      <w:r w:rsidR="00CB755E" w:rsidRPr="00CB755E">
        <w:rPr>
          <w:b/>
          <w:bCs/>
          <w:caps/>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TIESIOGINIŲ UŽSIENIO INVESTICIJŲ PRITRAUKIMĄ Į MOKSLINIUS TYRIMUS IR EKSPERIMENTINĘ PLĖTRĄ“ POVEIKLĖS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w:t>
      </w:r>
      <w:r w:rsidR="00747161" w:rsidRPr="005C27B0">
        <w:rPr>
          <w:b/>
          <w:bCs/>
          <w:caps/>
          <w:szCs w:val="24"/>
        </w:rPr>
        <w:t xml:space="preserve"> APRAŠO </w:t>
      </w:r>
      <w:r w:rsidR="00A323E0" w:rsidRPr="005C27B0">
        <w:rPr>
          <w:b/>
          <w:bCs/>
          <w:caps/>
          <w:szCs w:val="24"/>
        </w:rPr>
        <w:t>DERINIMAS</w:t>
      </w:r>
    </w:p>
    <w:p w14:paraId="168B0F39" w14:textId="6FD3BC6B" w:rsidR="00984D10" w:rsidRDefault="00984D10" w:rsidP="0036662A">
      <w:pPr>
        <w:jc w:val="center"/>
        <w:rPr>
          <w:b/>
          <w:bCs/>
        </w:rPr>
      </w:pPr>
    </w:p>
    <w:p w14:paraId="28F05659" w14:textId="158269B1" w:rsidR="00984D10" w:rsidRPr="00984D10" w:rsidRDefault="00984D10" w:rsidP="00984D10">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254DE22B" w:rsidR="0036662A" w:rsidRPr="00404921" w:rsidRDefault="00F65129" w:rsidP="00335D39">
            <w:pPr>
              <w:rPr>
                <w:szCs w:val="24"/>
                <w:lang w:val="en-US"/>
              </w:rPr>
            </w:pPr>
            <w:r w:rsidRPr="00017566">
              <w:rPr>
                <w:szCs w:val="24"/>
              </w:rPr>
              <w:t>202</w:t>
            </w:r>
            <w:r w:rsidR="00404921">
              <w:rPr>
                <w:szCs w:val="24"/>
                <w:lang w:val="en-US"/>
              </w:rPr>
              <w:t>3-</w:t>
            </w:r>
            <w:r w:rsidR="001E637C">
              <w:rPr>
                <w:szCs w:val="24"/>
                <w:lang w:val="en-US"/>
              </w:rPr>
              <w:t>11</w:t>
            </w:r>
            <w:r w:rsidR="00DB5B86">
              <w:rPr>
                <w:szCs w:val="24"/>
                <w:lang w:val="en-US"/>
              </w:rPr>
              <w:t>-1</w:t>
            </w:r>
            <w:r w:rsidR="001E637C">
              <w:rPr>
                <w:szCs w:val="24"/>
                <w:lang w:val="en-US"/>
              </w:rPr>
              <w:t>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3A207C">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3A207C">
                  <w:rPr>
                    <w:b/>
                    <w:szCs w:val="24"/>
                  </w:rPr>
                </w:r>
                <w:r w:rsidR="003A207C">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3A207C"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730"/>
        <w:gridCol w:w="5528"/>
        <w:gridCol w:w="6946"/>
      </w:tblGrid>
      <w:tr w:rsidR="0036662A" w:rsidRPr="00C85D29" w14:paraId="6A4E2F17" w14:textId="77777777" w:rsidTr="009E26DD">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335D39">
            <w:pPr>
              <w:jc w:val="center"/>
              <w:rPr>
                <w:b/>
                <w:szCs w:val="24"/>
              </w:rPr>
            </w:pPr>
            <w:r w:rsidRPr="00C85D29">
              <w:rPr>
                <w:b/>
                <w:szCs w:val="24"/>
              </w:rPr>
              <w:t>Institucija</w:t>
            </w:r>
          </w:p>
        </w:tc>
        <w:tc>
          <w:tcPr>
            <w:tcW w:w="5528" w:type="dxa"/>
          </w:tcPr>
          <w:p w14:paraId="4F6476E0" w14:textId="77777777" w:rsidR="0036662A" w:rsidRPr="00C85D29" w:rsidRDefault="0036662A" w:rsidP="00335D39">
            <w:pPr>
              <w:jc w:val="center"/>
              <w:rPr>
                <w:b/>
                <w:szCs w:val="24"/>
              </w:rPr>
            </w:pPr>
            <w:r w:rsidRPr="00C85D29">
              <w:rPr>
                <w:b/>
                <w:bCs/>
              </w:rPr>
              <w:t>Pastabos ir pasiūlymai</w:t>
            </w:r>
          </w:p>
        </w:tc>
        <w:tc>
          <w:tcPr>
            <w:tcW w:w="6946"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177D08" w:rsidRPr="00C85D29" w14:paraId="42F4D4CB" w14:textId="77777777" w:rsidTr="009E26DD">
        <w:tc>
          <w:tcPr>
            <w:tcW w:w="567" w:type="dxa"/>
          </w:tcPr>
          <w:p w14:paraId="529D6F2E" w14:textId="2FB92E94" w:rsidR="00177D08" w:rsidRPr="00EA6F25" w:rsidRDefault="00177D08" w:rsidP="00AD6729">
            <w:pPr>
              <w:jc w:val="both"/>
              <w:rPr>
                <w:b/>
                <w:bCs/>
                <w:szCs w:val="24"/>
              </w:rPr>
            </w:pPr>
            <w:r w:rsidRPr="00EA6F25">
              <w:rPr>
                <w:b/>
                <w:bCs/>
                <w:szCs w:val="24"/>
              </w:rPr>
              <w:t>1.</w:t>
            </w:r>
          </w:p>
        </w:tc>
        <w:tc>
          <w:tcPr>
            <w:tcW w:w="1730" w:type="dxa"/>
            <w:vMerge w:val="restart"/>
          </w:tcPr>
          <w:p w14:paraId="7CBF20E8" w14:textId="02D89965" w:rsidR="00177D08" w:rsidRPr="00177D08" w:rsidRDefault="00177D08" w:rsidP="00AD6729">
            <w:pPr>
              <w:jc w:val="both"/>
              <w:rPr>
                <w:b/>
                <w:szCs w:val="24"/>
              </w:rPr>
            </w:pPr>
            <w:r w:rsidRPr="00177D08">
              <w:rPr>
                <w:szCs w:val="24"/>
              </w:rPr>
              <w:t>VšĮ „Investuok Lietuvoje</w:t>
            </w:r>
            <w:r>
              <w:rPr>
                <w:szCs w:val="24"/>
              </w:rPr>
              <w:t>“</w:t>
            </w:r>
          </w:p>
        </w:tc>
        <w:tc>
          <w:tcPr>
            <w:tcW w:w="5528" w:type="dxa"/>
          </w:tcPr>
          <w:p w14:paraId="737C9EB1" w14:textId="77777777" w:rsidR="00177D08" w:rsidRPr="00177D08" w:rsidRDefault="00177D08" w:rsidP="0048204B">
            <w:pPr>
              <w:jc w:val="both"/>
              <w:rPr>
                <w:color w:val="000000"/>
                <w:szCs w:val="24"/>
                <w:shd w:val="clear" w:color="auto" w:fill="FFFFFF"/>
              </w:rPr>
            </w:pPr>
            <w:bookmarkStart w:id="1" w:name="_Hlk151969158"/>
            <w:r w:rsidRPr="00177D08">
              <w:rPr>
                <w:color w:val="000000"/>
                <w:szCs w:val="24"/>
                <w:shd w:val="clear" w:color="auto" w:fill="FFFFFF"/>
              </w:rPr>
              <w:t>1.2.1. (didelės įmonės apibrėžimas)</w:t>
            </w:r>
          </w:p>
          <w:p w14:paraId="33534427" w14:textId="77777777" w:rsidR="00177D08" w:rsidRPr="00177D08" w:rsidRDefault="00177D08" w:rsidP="00225182">
            <w:pPr>
              <w:jc w:val="both"/>
              <w:rPr>
                <w:szCs w:val="24"/>
              </w:rPr>
            </w:pPr>
            <w:r w:rsidRPr="00177D08">
              <w:rPr>
                <w:szCs w:val="24"/>
              </w:rPr>
              <w:t xml:space="preserve">Mūsų vertinimu, turėtų būti naudojamas jungtukas „arba“: jos (jų) balanse nurodyto turto vertė yra ne mažesnė kaip 43 000 000 eurų </w:t>
            </w:r>
            <w:r w:rsidRPr="00177D08">
              <w:rPr>
                <w:b/>
                <w:bCs/>
                <w:szCs w:val="24"/>
              </w:rPr>
              <w:t>arba</w:t>
            </w:r>
            <w:r w:rsidRPr="00177D08">
              <w:rPr>
                <w:szCs w:val="24"/>
              </w:rPr>
              <w:t xml:space="preserve"> metinės pajamos yra ne mažesnės kaip 50 000 000 eurų.</w:t>
            </w:r>
          </w:p>
          <w:p w14:paraId="1C6A5FDE" w14:textId="77777777" w:rsidR="00177D08" w:rsidRPr="00177D08" w:rsidRDefault="00177D08" w:rsidP="00225182">
            <w:pPr>
              <w:jc w:val="both"/>
              <w:rPr>
                <w:szCs w:val="24"/>
              </w:rPr>
            </w:pPr>
          </w:p>
          <w:p w14:paraId="37EC7701" w14:textId="77777777" w:rsidR="00177D08" w:rsidRPr="00177D08" w:rsidRDefault="00177D08" w:rsidP="00225182">
            <w:pPr>
              <w:jc w:val="both"/>
              <w:rPr>
                <w:szCs w:val="24"/>
              </w:rPr>
            </w:pPr>
            <w:r w:rsidRPr="00177D08">
              <w:rPr>
                <w:szCs w:val="24"/>
              </w:rPr>
              <w:t xml:space="preserve">Pagal dabartinę Aprašo formuluotę, didelė įmonė turėtų išpildyti abi sąlygas,  </w:t>
            </w:r>
            <w:proofErr w:type="spellStart"/>
            <w:r w:rsidRPr="00177D08">
              <w:rPr>
                <w:szCs w:val="24"/>
              </w:rPr>
              <w:t>t.y</w:t>
            </w:r>
            <w:proofErr w:type="spellEnd"/>
            <w:r w:rsidRPr="00177D08">
              <w:rPr>
                <w:szCs w:val="24"/>
              </w:rPr>
              <w:t xml:space="preserve">. pajamų ir balansinio turto vertės viršyti nustatytas ribas (bei darbuotojų skaičius didesnis kaip 250). SVV pakeitimo įstatyme nustatyta, </w:t>
            </w:r>
            <w:r w:rsidRPr="00177D08">
              <w:rPr>
                <w:szCs w:val="24"/>
              </w:rPr>
              <w:lastRenderedPageBreak/>
              <w:t xml:space="preserve">kad nustatant SVV statusą yra vertinama, ar nėra viršijamas </w:t>
            </w:r>
            <w:r w:rsidRPr="00177D08">
              <w:rPr>
                <w:b/>
                <w:bCs/>
                <w:szCs w:val="24"/>
              </w:rPr>
              <w:t>bent vieno iš rodiklių</w:t>
            </w:r>
            <w:r w:rsidRPr="00177D08">
              <w:rPr>
                <w:szCs w:val="24"/>
              </w:rPr>
              <w:t xml:space="preserve"> (pajamų ar balansinio turto) vertė:  </w:t>
            </w:r>
          </w:p>
          <w:p w14:paraId="059E336A" w14:textId="77777777" w:rsidR="00177D08" w:rsidRPr="00177D08" w:rsidRDefault="00177D08" w:rsidP="00225182">
            <w:pPr>
              <w:ind w:firstLine="709"/>
              <w:jc w:val="both"/>
              <w:rPr>
                <w:i/>
                <w:iCs/>
                <w:szCs w:val="24"/>
              </w:rPr>
            </w:pPr>
            <w:r w:rsidRPr="00177D08">
              <w:rPr>
                <w:i/>
                <w:iCs/>
                <w:szCs w:val="24"/>
              </w:rPr>
              <w:t xml:space="preserve">„1. Vidutinė įmonė – įmonė, kurioje dirba mažiau kaip 250 darbuotojų ir kurios finansiniai duomenys atitinka </w:t>
            </w:r>
            <w:r w:rsidRPr="00177D08">
              <w:rPr>
                <w:b/>
                <w:bCs/>
                <w:i/>
                <w:iCs/>
                <w:szCs w:val="24"/>
              </w:rPr>
              <w:t>bent vieną iš šių sąlygų:</w:t>
            </w:r>
          </w:p>
          <w:p w14:paraId="21271904" w14:textId="77777777" w:rsidR="00177D08" w:rsidRPr="00177D08" w:rsidRDefault="00177D08" w:rsidP="00225182">
            <w:pPr>
              <w:ind w:firstLine="709"/>
              <w:jc w:val="both"/>
              <w:rPr>
                <w:i/>
                <w:iCs/>
                <w:szCs w:val="24"/>
              </w:rPr>
            </w:pPr>
            <w:r w:rsidRPr="00177D08">
              <w:rPr>
                <w:i/>
                <w:iCs/>
                <w:szCs w:val="24"/>
              </w:rPr>
              <w:t>1) įmonės metinės pajamos</w:t>
            </w:r>
            <w:r w:rsidRPr="00177D08">
              <w:rPr>
                <w:b/>
                <w:bCs/>
                <w:i/>
                <w:iCs/>
                <w:szCs w:val="24"/>
              </w:rPr>
              <w:t> </w:t>
            </w:r>
            <w:r w:rsidRPr="00177D08">
              <w:rPr>
                <w:i/>
                <w:iCs/>
                <w:szCs w:val="24"/>
              </w:rPr>
              <w:t>neviršija 50 mln. eurų;</w:t>
            </w:r>
          </w:p>
          <w:p w14:paraId="4B5E6562" w14:textId="73F76812" w:rsidR="00177D08" w:rsidRPr="00177D08" w:rsidRDefault="00177D08" w:rsidP="00225182">
            <w:pPr>
              <w:jc w:val="both"/>
              <w:rPr>
                <w:b/>
                <w:bCs/>
                <w:szCs w:val="24"/>
              </w:rPr>
            </w:pPr>
            <w:r w:rsidRPr="00177D08">
              <w:rPr>
                <w:i/>
                <w:iCs/>
                <w:szCs w:val="24"/>
              </w:rPr>
              <w:t>2) įmonės balanse nurodyto turto vertė neviršija 43 mln. Eurų“,</w:t>
            </w:r>
            <w:bookmarkEnd w:id="1"/>
          </w:p>
        </w:tc>
        <w:tc>
          <w:tcPr>
            <w:tcW w:w="6946" w:type="dxa"/>
          </w:tcPr>
          <w:p w14:paraId="05A79AB7" w14:textId="7B17357F" w:rsidR="00D875CC" w:rsidRPr="00A33F72" w:rsidRDefault="00A33F72" w:rsidP="00A33F72">
            <w:pPr>
              <w:jc w:val="both"/>
              <w:rPr>
                <w:b/>
                <w:bCs/>
                <w:szCs w:val="24"/>
              </w:rPr>
            </w:pPr>
            <w:r w:rsidRPr="00A33F72">
              <w:rPr>
                <w:b/>
                <w:bCs/>
                <w:szCs w:val="24"/>
              </w:rPr>
              <w:lastRenderedPageBreak/>
              <w:t>Neatsižvelgta.</w:t>
            </w:r>
          </w:p>
          <w:p w14:paraId="7F64393D" w14:textId="16BCFE09" w:rsidR="00A33F72" w:rsidRPr="00000E80" w:rsidRDefault="00A33F72" w:rsidP="00A33F72">
            <w:pPr>
              <w:jc w:val="both"/>
              <w:rPr>
                <w:szCs w:val="24"/>
                <w:lang w:val="en-US"/>
              </w:rPr>
            </w:pPr>
            <w:r>
              <w:rPr>
                <w:szCs w:val="24"/>
              </w:rPr>
              <w:t xml:space="preserve">Projektų finansavimų sąlygų apraše (toliau – PFSA) </w:t>
            </w:r>
            <w:r w:rsidR="007215C1">
              <w:rPr>
                <w:szCs w:val="24"/>
              </w:rPr>
              <w:t>nurodytoje</w:t>
            </w:r>
            <w:r>
              <w:rPr>
                <w:szCs w:val="24"/>
              </w:rPr>
              <w:t xml:space="preserve"> </w:t>
            </w:r>
            <w:r w:rsidR="0090000A">
              <w:rPr>
                <w:szCs w:val="24"/>
              </w:rPr>
              <w:t>sąvok</w:t>
            </w:r>
            <w:r w:rsidR="007215C1">
              <w:rPr>
                <w:szCs w:val="24"/>
              </w:rPr>
              <w:t>oje</w:t>
            </w:r>
            <w:r w:rsidR="00E24547">
              <w:rPr>
                <w:szCs w:val="24"/>
              </w:rPr>
              <w:t xml:space="preserve"> „</w:t>
            </w:r>
            <w:r w:rsidR="0090000A">
              <w:rPr>
                <w:szCs w:val="24"/>
              </w:rPr>
              <w:t>d</w:t>
            </w:r>
            <w:r w:rsidR="00E24547">
              <w:rPr>
                <w:szCs w:val="24"/>
              </w:rPr>
              <w:t>idelė įmonė</w:t>
            </w:r>
            <w:r w:rsidR="0090000A">
              <w:rPr>
                <w:szCs w:val="24"/>
              </w:rPr>
              <w:t xml:space="preserve">“ </w:t>
            </w:r>
            <w:r w:rsidR="007215C1">
              <w:rPr>
                <w:szCs w:val="24"/>
              </w:rPr>
              <w:t xml:space="preserve">vartojamas jungtukas „ir“ siekiant </w:t>
            </w:r>
            <w:r w:rsidR="00A474B0">
              <w:rPr>
                <w:szCs w:val="24"/>
              </w:rPr>
              <w:t xml:space="preserve">užtikrinti, kad būtų </w:t>
            </w:r>
            <w:r w:rsidR="007215C1">
              <w:rPr>
                <w:szCs w:val="24"/>
              </w:rPr>
              <w:t>tinkamai įvertin</w:t>
            </w:r>
            <w:r w:rsidR="00A474B0">
              <w:rPr>
                <w:szCs w:val="24"/>
              </w:rPr>
              <w:t>tas</w:t>
            </w:r>
            <w:r w:rsidR="007215C1">
              <w:rPr>
                <w:szCs w:val="24"/>
              </w:rPr>
              <w:t xml:space="preserve"> </w:t>
            </w:r>
            <w:r w:rsidR="007215C1" w:rsidRPr="00E43A9C">
              <w:rPr>
                <w:szCs w:val="24"/>
              </w:rPr>
              <w:t>smulkaus ir vidutinio verslo status</w:t>
            </w:r>
            <w:r w:rsidR="00A474B0">
              <w:rPr>
                <w:szCs w:val="24"/>
              </w:rPr>
              <w:t>as</w:t>
            </w:r>
            <w:r w:rsidR="007215C1">
              <w:rPr>
                <w:szCs w:val="24"/>
              </w:rPr>
              <w:t xml:space="preserve">, </w:t>
            </w:r>
            <w:r w:rsidR="00A474B0">
              <w:rPr>
                <w:szCs w:val="24"/>
              </w:rPr>
              <w:t>pvz., kai</w:t>
            </w:r>
            <w:r w:rsidR="007215C1">
              <w:rPr>
                <w:szCs w:val="24"/>
              </w:rPr>
              <w:t xml:space="preserve"> įmonė turi </w:t>
            </w:r>
            <w:r w:rsidR="00012751">
              <w:rPr>
                <w:szCs w:val="24"/>
              </w:rPr>
              <w:t>ma</w:t>
            </w:r>
            <w:r w:rsidR="009B3FAA">
              <w:rPr>
                <w:szCs w:val="24"/>
              </w:rPr>
              <w:t>ž</w:t>
            </w:r>
            <w:r w:rsidR="00012751">
              <w:rPr>
                <w:szCs w:val="24"/>
              </w:rPr>
              <w:t xml:space="preserve">iau nei </w:t>
            </w:r>
            <w:r w:rsidR="007215C1">
              <w:rPr>
                <w:szCs w:val="24"/>
                <w:lang w:val="en-US"/>
              </w:rPr>
              <w:t>2</w:t>
            </w:r>
            <w:r w:rsidR="00012751">
              <w:rPr>
                <w:szCs w:val="24"/>
                <w:lang w:val="en-US"/>
              </w:rPr>
              <w:t>5</w:t>
            </w:r>
            <w:r w:rsidR="007215C1">
              <w:rPr>
                <w:szCs w:val="24"/>
                <w:lang w:val="en-US"/>
              </w:rPr>
              <w:t xml:space="preserve">0 </w:t>
            </w:r>
            <w:r w:rsidR="007215C1" w:rsidRPr="00A474B0">
              <w:rPr>
                <w:szCs w:val="24"/>
              </w:rPr>
              <w:t>darbuotojų</w:t>
            </w:r>
            <w:r w:rsidR="007215C1">
              <w:rPr>
                <w:szCs w:val="24"/>
              </w:rPr>
              <w:t>,</w:t>
            </w:r>
            <w:r w:rsidR="00A474B0">
              <w:rPr>
                <w:szCs w:val="24"/>
              </w:rPr>
              <w:t xml:space="preserve"> </w:t>
            </w:r>
            <w:r w:rsidR="007215C1" w:rsidRPr="00E43A9C">
              <w:rPr>
                <w:szCs w:val="24"/>
              </w:rPr>
              <w:t xml:space="preserve">balanse nurodyto turto vertė </w:t>
            </w:r>
            <w:r w:rsidR="009B3FAA">
              <w:rPr>
                <w:szCs w:val="24"/>
              </w:rPr>
              <w:t>viršija</w:t>
            </w:r>
            <w:r w:rsidR="007215C1" w:rsidRPr="00E43A9C">
              <w:rPr>
                <w:szCs w:val="24"/>
              </w:rPr>
              <w:t xml:space="preserve"> 4</w:t>
            </w:r>
            <w:r w:rsidR="009B3FAA">
              <w:rPr>
                <w:szCs w:val="24"/>
              </w:rPr>
              <w:t>3</w:t>
            </w:r>
            <w:r w:rsidR="007215C1" w:rsidRPr="00E43A9C">
              <w:rPr>
                <w:szCs w:val="24"/>
              </w:rPr>
              <w:t xml:space="preserve"> 000 000 eurų</w:t>
            </w:r>
            <w:r w:rsidR="007215C1">
              <w:rPr>
                <w:szCs w:val="24"/>
              </w:rPr>
              <w:t>,</w:t>
            </w:r>
            <w:r w:rsidR="00A474B0">
              <w:rPr>
                <w:szCs w:val="24"/>
              </w:rPr>
              <w:t xml:space="preserve"> o</w:t>
            </w:r>
            <w:r w:rsidR="007215C1" w:rsidRPr="00E43A9C">
              <w:rPr>
                <w:szCs w:val="24"/>
              </w:rPr>
              <w:t xml:space="preserve"> metinės pajamos yra </w:t>
            </w:r>
            <w:r w:rsidR="00012751">
              <w:rPr>
                <w:szCs w:val="24"/>
              </w:rPr>
              <w:t>ma</w:t>
            </w:r>
            <w:r w:rsidR="009B3FAA">
              <w:rPr>
                <w:szCs w:val="24"/>
              </w:rPr>
              <w:t>žesnės</w:t>
            </w:r>
            <w:r w:rsidR="00012751">
              <w:rPr>
                <w:szCs w:val="24"/>
              </w:rPr>
              <w:t xml:space="preserve"> nei </w:t>
            </w:r>
            <w:r w:rsidR="007215C1" w:rsidRPr="00E43A9C">
              <w:rPr>
                <w:szCs w:val="24"/>
              </w:rPr>
              <w:t>5</w:t>
            </w:r>
            <w:r w:rsidR="00012751">
              <w:rPr>
                <w:szCs w:val="24"/>
                <w:lang w:val="en-US"/>
              </w:rPr>
              <w:t>0</w:t>
            </w:r>
            <w:r w:rsidR="007215C1" w:rsidRPr="00E43A9C">
              <w:rPr>
                <w:szCs w:val="24"/>
              </w:rPr>
              <w:t xml:space="preserve"> 000 000 eurų</w:t>
            </w:r>
            <w:r w:rsidR="007215C1">
              <w:rPr>
                <w:szCs w:val="24"/>
              </w:rPr>
              <w:t xml:space="preserve">, </w:t>
            </w:r>
            <w:r w:rsidR="00A474B0">
              <w:rPr>
                <w:szCs w:val="24"/>
              </w:rPr>
              <w:t xml:space="preserve">tai tokia įmonė </w:t>
            </w:r>
            <w:r w:rsidR="007215C1">
              <w:rPr>
                <w:szCs w:val="24"/>
              </w:rPr>
              <w:t xml:space="preserve">būtų priskiriama </w:t>
            </w:r>
            <w:r w:rsidR="00A474B0">
              <w:rPr>
                <w:szCs w:val="24"/>
              </w:rPr>
              <w:t xml:space="preserve">ne didelei, o </w:t>
            </w:r>
            <w:r w:rsidR="007215C1">
              <w:rPr>
                <w:szCs w:val="24"/>
              </w:rPr>
              <w:t>vidutinei įmonei.</w:t>
            </w:r>
            <w:r w:rsidR="00A474B0">
              <w:rPr>
                <w:szCs w:val="24"/>
              </w:rPr>
              <w:t xml:space="preserve"> Todėl sąvokoje „Didelė įmonė“ ir nustatyta viena iš </w:t>
            </w:r>
            <w:r w:rsidR="004F7B38">
              <w:rPr>
                <w:szCs w:val="24"/>
              </w:rPr>
              <w:t xml:space="preserve">būtinų </w:t>
            </w:r>
            <w:r w:rsidR="00A474B0">
              <w:rPr>
                <w:szCs w:val="24"/>
              </w:rPr>
              <w:t>sąlygų</w:t>
            </w:r>
            <w:r w:rsidR="004F7B38">
              <w:rPr>
                <w:szCs w:val="24"/>
              </w:rPr>
              <w:t>, jog tokios įmonės „</w:t>
            </w:r>
            <w:r w:rsidR="00A474B0">
              <w:rPr>
                <w:szCs w:val="24"/>
              </w:rPr>
              <w:t>&lt;...&gt;</w:t>
            </w:r>
            <w:r w:rsidR="0090000A" w:rsidRPr="00B62AF9">
              <w:rPr>
                <w:i/>
                <w:iCs/>
                <w:szCs w:val="24"/>
              </w:rPr>
              <w:t xml:space="preserve"> balanse nurodyto turto vertė yra ne mažesnė kaip 43 000 000 eurų </w:t>
            </w:r>
            <w:r w:rsidR="0090000A" w:rsidRPr="00A474B0">
              <w:rPr>
                <w:b/>
                <w:bCs/>
                <w:i/>
                <w:iCs/>
                <w:szCs w:val="24"/>
              </w:rPr>
              <w:t>ir</w:t>
            </w:r>
            <w:r w:rsidR="0090000A" w:rsidRPr="00B62AF9">
              <w:rPr>
                <w:i/>
                <w:iCs/>
                <w:szCs w:val="24"/>
              </w:rPr>
              <w:t xml:space="preserve"> metinės pajamos yra ne mažesnės </w:t>
            </w:r>
            <w:r w:rsidR="0090000A" w:rsidRPr="00B62AF9">
              <w:rPr>
                <w:i/>
                <w:iCs/>
                <w:szCs w:val="24"/>
              </w:rPr>
              <w:lastRenderedPageBreak/>
              <w:t>kaip 50 000 000 eurų</w:t>
            </w:r>
            <w:r w:rsidR="0090000A" w:rsidRPr="0090000A">
              <w:rPr>
                <w:szCs w:val="24"/>
              </w:rPr>
              <w:t>;</w:t>
            </w:r>
            <w:r w:rsidR="00E43A9C">
              <w:rPr>
                <w:szCs w:val="24"/>
              </w:rPr>
              <w:t>&lt;...&gt;</w:t>
            </w:r>
            <w:r w:rsidR="00A474B0">
              <w:rPr>
                <w:szCs w:val="24"/>
              </w:rPr>
              <w:t>“, kad įmonei būtų priskirtas jos dydį atitinkantis statusas.</w:t>
            </w:r>
          </w:p>
        </w:tc>
      </w:tr>
      <w:tr w:rsidR="00177D08" w:rsidRPr="00C85D29" w14:paraId="67B28349" w14:textId="77777777" w:rsidTr="009E26DD">
        <w:tc>
          <w:tcPr>
            <w:tcW w:w="567" w:type="dxa"/>
          </w:tcPr>
          <w:p w14:paraId="3F59DA8B" w14:textId="50FB5AF5" w:rsidR="00177D08" w:rsidRPr="005F26E0" w:rsidRDefault="00177D08" w:rsidP="00AD6729">
            <w:pPr>
              <w:jc w:val="both"/>
              <w:rPr>
                <w:b/>
                <w:bCs/>
                <w:szCs w:val="24"/>
                <w:lang w:val="en-US"/>
              </w:rPr>
            </w:pPr>
            <w:r>
              <w:rPr>
                <w:b/>
                <w:bCs/>
                <w:szCs w:val="24"/>
                <w:lang w:val="en-US"/>
              </w:rPr>
              <w:lastRenderedPageBreak/>
              <w:t>2.</w:t>
            </w:r>
          </w:p>
        </w:tc>
        <w:tc>
          <w:tcPr>
            <w:tcW w:w="1730" w:type="dxa"/>
            <w:vMerge/>
          </w:tcPr>
          <w:p w14:paraId="7521DCBC" w14:textId="77777777" w:rsidR="00177D08" w:rsidRPr="00177D08" w:rsidRDefault="00177D08" w:rsidP="00AD6729">
            <w:pPr>
              <w:jc w:val="both"/>
              <w:rPr>
                <w:b/>
                <w:bCs/>
                <w:szCs w:val="24"/>
              </w:rPr>
            </w:pPr>
          </w:p>
        </w:tc>
        <w:tc>
          <w:tcPr>
            <w:tcW w:w="5528" w:type="dxa"/>
          </w:tcPr>
          <w:p w14:paraId="3886DB17" w14:textId="77777777" w:rsidR="00177D08" w:rsidRPr="00F91EE7" w:rsidRDefault="00177D08" w:rsidP="00803C03">
            <w:pPr>
              <w:jc w:val="both"/>
              <w:rPr>
                <w:color w:val="000000"/>
                <w:szCs w:val="24"/>
                <w:shd w:val="clear" w:color="auto" w:fill="FFFFFF"/>
                <w:lang w:val="en-US"/>
              </w:rPr>
            </w:pPr>
            <w:r w:rsidRPr="00177D08">
              <w:rPr>
                <w:color w:val="000000"/>
                <w:szCs w:val="24"/>
                <w:shd w:val="clear" w:color="auto" w:fill="FFFFFF"/>
              </w:rPr>
              <w:t>1.2.3. (išradimo objektas)</w:t>
            </w:r>
          </w:p>
          <w:p w14:paraId="2F1E1B1F" w14:textId="317B467C" w:rsidR="00177D08" w:rsidRPr="00177D08" w:rsidRDefault="00177D08" w:rsidP="00803C03">
            <w:pPr>
              <w:jc w:val="both"/>
              <w:rPr>
                <w:szCs w:val="24"/>
                <w:lang w:val="en-US"/>
              </w:rPr>
            </w:pPr>
            <w:r w:rsidRPr="00177D08">
              <w:rPr>
                <w:szCs w:val="24"/>
              </w:rPr>
              <w:t>Ar nauja technologija/metodas taip pat laikomi išradimo objektų? Siekiant įnešti daugiau aiškumo, siūlytume papildyti sąvoką.</w:t>
            </w:r>
          </w:p>
        </w:tc>
        <w:tc>
          <w:tcPr>
            <w:tcW w:w="6946" w:type="dxa"/>
          </w:tcPr>
          <w:p w14:paraId="087B22D2" w14:textId="446C3855" w:rsidR="00A474B0" w:rsidRPr="00EA26D8" w:rsidRDefault="00A474B0" w:rsidP="00AF575F">
            <w:pPr>
              <w:jc w:val="both"/>
              <w:rPr>
                <w:b/>
                <w:bCs/>
                <w:szCs w:val="24"/>
              </w:rPr>
            </w:pPr>
            <w:r w:rsidRPr="00EA26D8">
              <w:rPr>
                <w:b/>
                <w:bCs/>
                <w:szCs w:val="24"/>
              </w:rPr>
              <w:t>Neatsiž</w:t>
            </w:r>
            <w:r w:rsidR="00EA26D8" w:rsidRPr="00EA26D8">
              <w:rPr>
                <w:b/>
                <w:bCs/>
                <w:szCs w:val="24"/>
              </w:rPr>
              <w:t>v</w:t>
            </w:r>
            <w:r w:rsidRPr="00EA26D8">
              <w:rPr>
                <w:b/>
                <w:bCs/>
                <w:szCs w:val="24"/>
              </w:rPr>
              <w:t>elgta.</w:t>
            </w:r>
            <w:r w:rsidR="00177D08" w:rsidRPr="00EA26D8">
              <w:rPr>
                <w:b/>
                <w:bCs/>
                <w:szCs w:val="24"/>
              </w:rPr>
              <w:t xml:space="preserve"> </w:t>
            </w:r>
          </w:p>
          <w:p w14:paraId="310353CC" w14:textId="776DE7E3" w:rsidR="00177D08" w:rsidRPr="00177D08" w:rsidRDefault="00A474B0" w:rsidP="00AF575F">
            <w:pPr>
              <w:jc w:val="both"/>
              <w:rPr>
                <w:b/>
                <w:bCs/>
                <w:szCs w:val="24"/>
              </w:rPr>
            </w:pPr>
            <w:r>
              <w:rPr>
                <w:szCs w:val="24"/>
              </w:rPr>
              <w:t xml:space="preserve">PFSA </w:t>
            </w:r>
            <w:r w:rsidRPr="00A474B0">
              <w:rPr>
                <w:szCs w:val="24"/>
              </w:rPr>
              <w:t>1.2.3</w:t>
            </w:r>
            <w:r>
              <w:rPr>
                <w:szCs w:val="24"/>
              </w:rPr>
              <w:t xml:space="preserve"> papunktyje nurodyta, kad </w:t>
            </w:r>
            <w:r w:rsidRPr="00A474B0">
              <w:rPr>
                <w:szCs w:val="24"/>
              </w:rPr>
              <w:t xml:space="preserve"> </w:t>
            </w:r>
            <w:r>
              <w:rPr>
                <w:szCs w:val="24"/>
              </w:rPr>
              <w:t>„</w:t>
            </w:r>
            <w:r w:rsidRPr="00306AFF">
              <w:rPr>
                <w:i/>
                <w:iCs/>
                <w:szCs w:val="24"/>
              </w:rPr>
              <w:t>išradimo objektas – įrenginys, būdas, medžiaga, žinomo įrenginio, būdo, medžiagos naujas panaudojimas.</w:t>
            </w:r>
            <w:r>
              <w:rPr>
                <w:szCs w:val="24"/>
              </w:rPr>
              <w:t>“ Technologija, pagal Lietuvos Respublikos terminų banką, suprantama kaip „</w:t>
            </w:r>
            <w:r w:rsidRPr="00306AFF">
              <w:rPr>
                <w:i/>
                <w:iCs/>
                <w:szCs w:val="24"/>
              </w:rPr>
              <w:t>mokslas apie medžiagas, gamybos procesus, būdus ir įrangą</w:t>
            </w:r>
            <w:r w:rsidR="00322969">
              <w:t>“, taip pat „</w:t>
            </w:r>
            <w:r w:rsidR="00322969">
              <w:rPr>
                <w:i/>
                <w:iCs/>
                <w:szCs w:val="24"/>
              </w:rPr>
              <w:t>t</w:t>
            </w:r>
            <w:r w:rsidR="00322969" w:rsidRPr="00322969">
              <w:rPr>
                <w:i/>
                <w:iCs/>
                <w:szCs w:val="24"/>
              </w:rPr>
              <w:t>am tikro produkto gamybos procesų atlikimo būdų ir priemonių visuma</w:t>
            </w:r>
            <w:r w:rsidRPr="00A474B0">
              <w:rPr>
                <w:szCs w:val="24"/>
              </w:rPr>
              <w:t>.</w:t>
            </w:r>
            <w:r>
              <w:rPr>
                <w:szCs w:val="24"/>
              </w:rPr>
              <w:t xml:space="preserve">“ </w:t>
            </w:r>
            <w:r w:rsidR="00306AFF">
              <w:rPr>
                <w:szCs w:val="24"/>
              </w:rPr>
              <w:t>Atsižvelgiant į tai, sąvokos papildymas terminu „technologija“ būtų perteklinis, nes technologija ir (arba) metodas taip pat laikomi išradimo objektu.</w:t>
            </w:r>
          </w:p>
        </w:tc>
      </w:tr>
      <w:tr w:rsidR="00177D08" w:rsidRPr="00C85D29" w14:paraId="194643AE" w14:textId="77777777" w:rsidTr="009E26DD">
        <w:tc>
          <w:tcPr>
            <w:tcW w:w="567" w:type="dxa"/>
          </w:tcPr>
          <w:p w14:paraId="7F7F9EEE" w14:textId="77777777" w:rsidR="00177D08" w:rsidRPr="00635C2F" w:rsidRDefault="00177D08" w:rsidP="00635C2F">
            <w:pPr>
              <w:pStyle w:val="Sraopastraipa"/>
              <w:numPr>
                <w:ilvl w:val="0"/>
                <w:numId w:val="31"/>
              </w:numPr>
              <w:jc w:val="both"/>
              <w:rPr>
                <w:b/>
                <w:bCs/>
                <w:szCs w:val="24"/>
                <w:lang w:val="en-US"/>
              </w:rPr>
            </w:pPr>
          </w:p>
        </w:tc>
        <w:tc>
          <w:tcPr>
            <w:tcW w:w="1730" w:type="dxa"/>
            <w:vMerge/>
          </w:tcPr>
          <w:p w14:paraId="5E010533" w14:textId="77777777" w:rsidR="00177D08" w:rsidRPr="00177D08" w:rsidRDefault="00177D08" w:rsidP="00AD6729">
            <w:pPr>
              <w:jc w:val="both"/>
              <w:rPr>
                <w:b/>
                <w:bCs/>
                <w:szCs w:val="24"/>
              </w:rPr>
            </w:pPr>
          </w:p>
        </w:tc>
        <w:tc>
          <w:tcPr>
            <w:tcW w:w="5528" w:type="dxa"/>
          </w:tcPr>
          <w:p w14:paraId="26AF0E13" w14:textId="77777777" w:rsidR="00177D08" w:rsidRPr="00177D08" w:rsidRDefault="00177D08" w:rsidP="00AA7C66">
            <w:pPr>
              <w:pStyle w:val="prastasiniatinklio"/>
              <w:spacing w:before="0" w:beforeAutospacing="0" w:after="0" w:afterAutospacing="0"/>
              <w:jc w:val="both"/>
              <w:rPr>
                <w:rFonts w:ascii="Times New Roman" w:hAnsi="Times New Roman" w:cs="Times New Roman"/>
                <w:color w:val="000000"/>
                <w:sz w:val="24"/>
                <w:szCs w:val="24"/>
                <w:shd w:val="clear" w:color="auto" w:fill="FFFFFF"/>
              </w:rPr>
            </w:pPr>
            <w:r w:rsidRPr="00177D08">
              <w:rPr>
                <w:rFonts w:ascii="Times New Roman" w:hAnsi="Times New Roman" w:cs="Times New Roman"/>
                <w:color w:val="000000"/>
                <w:sz w:val="24"/>
                <w:szCs w:val="24"/>
                <w:shd w:val="clear" w:color="auto" w:fill="FFFFFF"/>
              </w:rPr>
              <w:t>1.2.6 (produktas)</w:t>
            </w:r>
          </w:p>
          <w:p w14:paraId="68314F5D" w14:textId="24BBA77A" w:rsidR="00177D08" w:rsidRPr="00177D08" w:rsidRDefault="00177D08" w:rsidP="00AA7C66">
            <w:pPr>
              <w:pStyle w:val="prastasiniatinklio"/>
              <w:spacing w:before="0" w:beforeAutospacing="0" w:after="0" w:afterAutospacing="0"/>
              <w:jc w:val="both"/>
              <w:rPr>
                <w:rFonts w:ascii="Times New Roman" w:hAnsi="Times New Roman" w:cs="Times New Roman"/>
                <w:sz w:val="24"/>
                <w:szCs w:val="24"/>
                <w:lang w:val="it-IT"/>
              </w:rPr>
            </w:pPr>
            <w:r w:rsidRPr="00177D08">
              <w:rPr>
                <w:rFonts w:ascii="Times New Roman" w:hAnsi="Times New Roman" w:cs="Times New Roman"/>
                <w:sz w:val="24"/>
                <w:szCs w:val="24"/>
              </w:rPr>
              <w:t>Siūlome papildyti sąvoką, kad nauja technologija ar metodas taip pat gali būti laikomi produktu. Tai numatyta ir specialiajame atrankos kriterijuje “įmonės pajamų iš tiesiogiai projekto įgyvendinimo metu sukurtų ir rinkai pateiktų produktų ir (arba) technologijų santykis”.</w:t>
            </w:r>
          </w:p>
        </w:tc>
        <w:tc>
          <w:tcPr>
            <w:tcW w:w="6946" w:type="dxa"/>
          </w:tcPr>
          <w:p w14:paraId="3E4AA0EA" w14:textId="77777777" w:rsidR="00EA26D8" w:rsidRPr="00EA26D8" w:rsidRDefault="00EA26D8" w:rsidP="00EA26D8">
            <w:pPr>
              <w:jc w:val="both"/>
              <w:rPr>
                <w:b/>
                <w:bCs/>
                <w:szCs w:val="24"/>
              </w:rPr>
            </w:pPr>
            <w:r w:rsidRPr="00EA26D8">
              <w:rPr>
                <w:b/>
                <w:bCs/>
                <w:szCs w:val="24"/>
              </w:rPr>
              <w:t xml:space="preserve">Neatsižvelgta, paaiškinta. </w:t>
            </w:r>
          </w:p>
          <w:p w14:paraId="46BE9AD2" w14:textId="00CC8E28" w:rsidR="00177D08" w:rsidRPr="00841706" w:rsidRDefault="00EA26D8" w:rsidP="00225182">
            <w:pPr>
              <w:jc w:val="both"/>
              <w:rPr>
                <w:szCs w:val="24"/>
              </w:rPr>
            </w:pPr>
            <w:r w:rsidRPr="00EA26D8">
              <w:rPr>
                <w:szCs w:val="24"/>
              </w:rPr>
              <w:t>PFSA 1.2.6. papunktyje nurodyta, kad “</w:t>
            </w:r>
            <w:r w:rsidRPr="00EA26D8">
              <w:rPr>
                <w:b/>
                <w:bCs/>
                <w:szCs w:val="24"/>
              </w:rPr>
              <w:t>produktas</w:t>
            </w:r>
            <w:r w:rsidRPr="00EA26D8">
              <w:rPr>
                <w:szCs w:val="24"/>
              </w:rPr>
              <w:t xml:space="preserve"> – gaminys, paslauga arba procesas“. Atsižvelgiant į tai, </w:t>
            </w:r>
            <w:r w:rsidR="00841706">
              <w:rPr>
                <w:szCs w:val="24"/>
              </w:rPr>
              <w:t>kad</w:t>
            </w:r>
            <w:r w:rsidRPr="00EA26D8">
              <w:rPr>
                <w:szCs w:val="24"/>
              </w:rPr>
              <w:t xml:space="preserve"> technologija ir (arba) metodas gali būti laikomi produktu,</w:t>
            </w:r>
            <w:r w:rsidR="00841706">
              <w:rPr>
                <w:szCs w:val="24"/>
              </w:rPr>
              <w:t xml:space="preserve"> </w:t>
            </w:r>
            <w:r w:rsidRPr="00EA26D8">
              <w:rPr>
                <w:szCs w:val="24"/>
              </w:rPr>
              <w:t>PFSA papildyti šiomis perteklinėmis sąvokomis</w:t>
            </w:r>
            <w:r w:rsidR="00841706" w:rsidRPr="00EA26D8">
              <w:rPr>
                <w:szCs w:val="24"/>
              </w:rPr>
              <w:t xml:space="preserve"> nėra tikslinga</w:t>
            </w:r>
            <w:r w:rsidR="00841706">
              <w:rPr>
                <w:szCs w:val="24"/>
              </w:rPr>
              <w:t>.</w:t>
            </w:r>
          </w:p>
        </w:tc>
      </w:tr>
      <w:tr w:rsidR="002B2AF8" w:rsidRPr="00C85D29" w14:paraId="5E740FCB" w14:textId="77777777" w:rsidTr="009E26DD">
        <w:tc>
          <w:tcPr>
            <w:tcW w:w="567" w:type="dxa"/>
          </w:tcPr>
          <w:p w14:paraId="0CEC38A4"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5D45A259" w14:textId="77777777" w:rsidR="002B2AF8" w:rsidRPr="00177D08" w:rsidRDefault="002B2AF8" w:rsidP="00AD6729">
            <w:pPr>
              <w:jc w:val="both"/>
              <w:rPr>
                <w:b/>
                <w:bCs/>
                <w:szCs w:val="24"/>
              </w:rPr>
            </w:pPr>
          </w:p>
        </w:tc>
        <w:tc>
          <w:tcPr>
            <w:tcW w:w="5528" w:type="dxa"/>
          </w:tcPr>
          <w:p w14:paraId="0FA42AB3" w14:textId="77777777" w:rsidR="002B2AF8" w:rsidRPr="00177D08" w:rsidRDefault="002B2AF8" w:rsidP="0004609D">
            <w:pPr>
              <w:jc w:val="both"/>
              <w:rPr>
                <w:color w:val="000000"/>
                <w:szCs w:val="24"/>
                <w:shd w:val="clear" w:color="auto" w:fill="FFFFFF"/>
              </w:rPr>
            </w:pPr>
            <w:r w:rsidRPr="00177D08">
              <w:rPr>
                <w:szCs w:val="24"/>
                <w:lang w:val="it-IT"/>
              </w:rPr>
              <w:t xml:space="preserve"> </w:t>
            </w:r>
            <w:r w:rsidRPr="00177D08">
              <w:rPr>
                <w:color w:val="000000"/>
                <w:szCs w:val="24"/>
                <w:shd w:val="clear" w:color="auto" w:fill="FFFFFF"/>
              </w:rPr>
              <w:t>2.2.2.2. (bendradarbiavimas, kai pareiškėjas didelė įmonė)</w:t>
            </w:r>
          </w:p>
          <w:p w14:paraId="6D105201" w14:textId="77777777" w:rsidR="002B2AF8" w:rsidRPr="00177D08" w:rsidRDefault="002B2AF8" w:rsidP="00225182">
            <w:pPr>
              <w:jc w:val="both"/>
              <w:rPr>
                <w:szCs w:val="24"/>
              </w:rPr>
            </w:pPr>
            <w:r w:rsidRPr="00177D08">
              <w:rPr>
                <w:szCs w:val="24"/>
              </w:rPr>
              <w:t>Aprašo 2.2.2.2 papunktis sudaro didelėms įmonėms galimybę bendradarbiauti tik su SVĮ. Prašome didelėms įmonėms, kurios bendradarbiauja su SVĮ (</w:t>
            </w:r>
            <w:proofErr w:type="spellStart"/>
            <w:r w:rsidRPr="00177D08">
              <w:rPr>
                <w:szCs w:val="24"/>
              </w:rPr>
              <w:t>t.y</w:t>
            </w:r>
            <w:proofErr w:type="spellEnd"/>
            <w:r w:rsidRPr="00177D08">
              <w:rPr>
                <w:szCs w:val="24"/>
              </w:rPr>
              <w:t xml:space="preserve">. išpildo bendradarbiavimo su SVĮ reikalavimą) numatyti galimybę taip pat papildomai bendradarbiauti su MSI ir kitomis didelėmis įmonėmis. </w:t>
            </w:r>
          </w:p>
          <w:p w14:paraId="53722811" w14:textId="2626E135" w:rsidR="002B2AF8" w:rsidRPr="00177D08" w:rsidRDefault="002B2AF8" w:rsidP="00225182">
            <w:pPr>
              <w:jc w:val="both"/>
              <w:rPr>
                <w:szCs w:val="24"/>
                <w:lang w:val="it-IT"/>
              </w:rPr>
            </w:pPr>
            <w:r w:rsidRPr="00177D08">
              <w:rPr>
                <w:szCs w:val="24"/>
              </w:rPr>
              <w:lastRenderedPageBreak/>
              <w:t>Prašome užtikrinti lygiavertes sąlygas didelėms įmonėms, kadangi dabartinė formuluotė suteikia galimybę SVV bendradarbiauti tiek su MSI, tiek su didelėmis įmonėmis ar kitomis SVV. Didelėms įmonėms (kurios išpildo bendradarbiavimo su SVV reikalavimą) tokia galimybė bendradarbiauti su MSĮ ar kitomis didelėmis įmonėmis nesudaryta.</w:t>
            </w:r>
          </w:p>
        </w:tc>
        <w:tc>
          <w:tcPr>
            <w:tcW w:w="6946" w:type="dxa"/>
          </w:tcPr>
          <w:p w14:paraId="0E50B020" w14:textId="06B9EC06" w:rsidR="00F268A8" w:rsidRDefault="00F268A8" w:rsidP="005D5764">
            <w:pPr>
              <w:pStyle w:val="Sraopastraipa"/>
              <w:tabs>
                <w:tab w:val="left" w:pos="0"/>
                <w:tab w:val="left" w:pos="731"/>
              </w:tabs>
              <w:ind w:left="0"/>
              <w:jc w:val="both"/>
              <w:rPr>
                <w:b/>
                <w:bCs/>
                <w:szCs w:val="24"/>
              </w:rPr>
            </w:pPr>
            <w:r w:rsidRPr="00F268A8">
              <w:rPr>
                <w:b/>
                <w:bCs/>
                <w:szCs w:val="24"/>
              </w:rPr>
              <w:lastRenderedPageBreak/>
              <w:t>Neatsižvelgta.</w:t>
            </w:r>
          </w:p>
          <w:p w14:paraId="6B9BC850" w14:textId="5D1446FD" w:rsidR="00505350" w:rsidRDefault="00F268A8" w:rsidP="00505350">
            <w:pPr>
              <w:pStyle w:val="Sraopastraipa"/>
              <w:tabs>
                <w:tab w:val="left" w:pos="0"/>
                <w:tab w:val="left" w:pos="731"/>
              </w:tabs>
              <w:ind w:left="0"/>
              <w:jc w:val="both"/>
              <w:rPr>
                <w:szCs w:val="24"/>
              </w:rPr>
            </w:pPr>
            <w:r w:rsidRPr="00F268A8">
              <w:rPr>
                <w:szCs w:val="24"/>
              </w:rPr>
              <w:t>2021 m. birželio 24 d. Europos Parlamento ir Tarybos reglament</w:t>
            </w:r>
            <w:r>
              <w:rPr>
                <w:szCs w:val="24"/>
              </w:rPr>
              <w:t>o</w:t>
            </w:r>
            <w:r w:rsidRPr="00F268A8">
              <w:rPr>
                <w:szCs w:val="24"/>
              </w:rPr>
              <w:t xml:space="preserve"> (ES) 2021/1058 dėl Europos regioninės plėtros fondo ir Sanglaudos fondo</w:t>
            </w:r>
            <w:r>
              <w:rPr>
                <w:szCs w:val="24"/>
              </w:rPr>
              <w:t xml:space="preserve"> </w:t>
            </w:r>
            <w:r w:rsidR="002B2AF8">
              <w:rPr>
                <w:szCs w:val="24"/>
              </w:rPr>
              <w:t>5 str</w:t>
            </w:r>
            <w:r>
              <w:rPr>
                <w:szCs w:val="24"/>
              </w:rPr>
              <w:t>aipsnio</w:t>
            </w:r>
            <w:r w:rsidR="002B2AF8">
              <w:rPr>
                <w:szCs w:val="24"/>
              </w:rPr>
              <w:t xml:space="preserve"> 2 </w:t>
            </w:r>
            <w:r w:rsidR="001B0890">
              <w:rPr>
                <w:szCs w:val="24"/>
              </w:rPr>
              <w:t>dalies</w:t>
            </w:r>
            <w:r w:rsidR="002B2AF8">
              <w:rPr>
                <w:szCs w:val="24"/>
              </w:rPr>
              <w:t xml:space="preserve"> a</w:t>
            </w:r>
            <w:r w:rsidR="001B0890">
              <w:rPr>
                <w:szCs w:val="24"/>
              </w:rPr>
              <w:t xml:space="preserve"> punkte yra apibrėžtas didelių įmonių bendradarbiavimo sąlygos t.</w:t>
            </w:r>
            <w:r w:rsidR="00800D13">
              <w:rPr>
                <w:szCs w:val="24"/>
              </w:rPr>
              <w:t xml:space="preserve"> </w:t>
            </w:r>
            <w:r w:rsidR="001B0890">
              <w:rPr>
                <w:szCs w:val="24"/>
              </w:rPr>
              <w:t>y.</w:t>
            </w:r>
            <w:r w:rsidR="00505350">
              <w:rPr>
                <w:szCs w:val="24"/>
              </w:rPr>
              <w:t xml:space="preserve"> </w:t>
            </w:r>
            <w:r w:rsidR="00505350" w:rsidRPr="00AA17E8">
              <w:rPr>
                <w:i/>
                <w:iCs/>
                <w:szCs w:val="24"/>
              </w:rPr>
              <w:t>„</w:t>
            </w:r>
            <w:r w:rsidR="001B0890" w:rsidRPr="00AA17E8">
              <w:rPr>
                <w:i/>
                <w:iCs/>
                <w:szCs w:val="24"/>
              </w:rPr>
              <w:t xml:space="preserve">&lt;...&gt; 2.   </w:t>
            </w:r>
            <w:r w:rsidR="00505350" w:rsidRPr="00AA17E8">
              <w:rPr>
                <w:i/>
                <w:iCs/>
                <w:szCs w:val="24"/>
              </w:rPr>
              <w:t>g</w:t>
            </w:r>
            <w:r w:rsidR="001B0890" w:rsidRPr="00AA17E8">
              <w:rPr>
                <w:i/>
                <w:iCs/>
                <w:szCs w:val="24"/>
              </w:rPr>
              <w:t xml:space="preserve">amybinės investicijos į kitas nei MVĮ įmones gali būti remiamos: a) kai tokios investicijos yra susijusios su bendradarbiavimu su MVĮ mokslinių tyrimų ir inovacijų veiklos srityje, remiamoje pagal 3 straipsnio 1 dalies pirmos </w:t>
            </w:r>
            <w:r w:rsidR="001B0890" w:rsidRPr="00AA17E8">
              <w:rPr>
                <w:i/>
                <w:iCs/>
                <w:szCs w:val="24"/>
              </w:rPr>
              <w:lastRenderedPageBreak/>
              <w:t>pastraipos a punkto i papunktį.&lt;...&gt;“</w:t>
            </w:r>
            <w:r w:rsidR="001B0890">
              <w:rPr>
                <w:szCs w:val="24"/>
              </w:rPr>
              <w:t xml:space="preserve">. </w:t>
            </w:r>
            <w:r w:rsidR="00505350">
              <w:rPr>
                <w:szCs w:val="24"/>
              </w:rPr>
              <w:t>Atsižvelgiant į tai, didelės įmonės gali bendradarbiauti tik su MVĮ</w:t>
            </w:r>
            <w:r w:rsidR="00836B8F">
              <w:rPr>
                <w:szCs w:val="24"/>
              </w:rPr>
              <w:t xml:space="preserve">. </w:t>
            </w:r>
            <w:r w:rsidR="00F70EDB">
              <w:rPr>
                <w:szCs w:val="24"/>
              </w:rPr>
              <w:t xml:space="preserve">Bendradarbiavimas su mokslo ir </w:t>
            </w:r>
            <w:r w:rsidR="00F70EDB" w:rsidRPr="00B82006">
              <w:rPr>
                <w:szCs w:val="24"/>
              </w:rPr>
              <w:t>studijų institucija galimas tik tokiu atveju, kai įmonė i</w:t>
            </w:r>
            <w:r w:rsidR="00836B8F" w:rsidRPr="00B82006">
              <w:rPr>
                <w:szCs w:val="24"/>
              </w:rPr>
              <w:t xml:space="preserve">š </w:t>
            </w:r>
            <w:r w:rsidR="00212B90" w:rsidRPr="00B82006">
              <w:rPr>
                <w:szCs w:val="24"/>
              </w:rPr>
              <w:t>mokslo ir studijų institucij</w:t>
            </w:r>
            <w:r w:rsidR="00B82006">
              <w:rPr>
                <w:szCs w:val="24"/>
              </w:rPr>
              <w:t>os</w:t>
            </w:r>
            <w:r w:rsidR="00836B8F" w:rsidRPr="00B82006">
              <w:rPr>
                <w:szCs w:val="24"/>
              </w:rPr>
              <w:t xml:space="preserve"> </w:t>
            </w:r>
            <w:r w:rsidR="00F70EDB" w:rsidRPr="00B82006">
              <w:rPr>
                <w:szCs w:val="24"/>
              </w:rPr>
              <w:t>įsigyja</w:t>
            </w:r>
            <w:r w:rsidR="00836B8F" w:rsidRPr="00B82006">
              <w:rPr>
                <w:szCs w:val="24"/>
              </w:rPr>
              <w:t xml:space="preserve"> jų </w:t>
            </w:r>
            <w:r w:rsidR="00F70EDB" w:rsidRPr="00B82006">
              <w:rPr>
                <w:szCs w:val="24"/>
              </w:rPr>
              <w:t xml:space="preserve">teikiamas </w:t>
            </w:r>
            <w:r w:rsidR="00836B8F" w:rsidRPr="00B82006">
              <w:rPr>
                <w:szCs w:val="24"/>
              </w:rPr>
              <w:t>paslaugas už rinkos kainą</w:t>
            </w:r>
            <w:r w:rsidR="00212B90" w:rsidRPr="00B82006">
              <w:rPr>
                <w:szCs w:val="24"/>
              </w:rPr>
              <w:t>.</w:t>
            </w:r>
          </w:p>
          <w:p w14:paraId="6049781B" w14:textId="77777777" w:rsidR="00505350" w:rsidRDefault="00505350" w:rsidP="00505350">
            <w:pPr>
              <w:pStyle w:val="Sraopastraipa"/>
              <w:tabs>
                <w:tab w:val="left" w:pos="0"/>
                <w:tab w:val="left" w:pos="731"/>
              </w:tabs>
              <w:ind w:left="0"/>
              <w:jc w:val="both"/>
              <w:rPr>
                <w:szCs w:val="24"/>
              </w:rPr>
            </w:pPr>
          </w:p>
          <w:p w14:paraId="5D77F80E" w14:textId="71DA889D" w:rsidR="002B2AF8" w:rsidRPr="00505350" w:rsidRDefault="002B2AF8" w:rsidP="00505350">
            <w:pPr>
              <w:pStyle w:val="Sraopastraipa"/>
              <w:tabs>
                <w:tab w:val="left" w:pos="0"/>
                <w:tab w:val="left" w:pos="731"/>
              </w:tabs>
              <w:ind w:left="0"/>
              <w:jc w:val="both"/>
              <w:rPr>
                <w:szCs w:val="24"/>
              </w:rPr>
            </w:pPr>
          </w:p>
        </w:tc>
      </w:tr>
      <w:tr w:rsidR="002B2AF8" w:rsidRPr="00C85D29" w14:paraId="6A8C9B9F" w14:textId="77777777" w:rsidTr="009E26DD">
        <w:tc>
          <w:tcPr>
            <w:tcW w:w="567" w:type="dxa"/>
          </w:tcPr>
          <w:p w14:paraId="666E55E0"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31E15043" w14:textId="77777777" w:rsidR="002B2AF8" w:rsidRPr="00177D08" w:rsidRDefault="002B2AF8" w:rsidP="00AD6729">
            <w:pPr>
              <w:jc w:val="both"/>
              <w:rPr>
                <w:b/>
                <w:bCs/>
                <w:szCs w:val="24"/>
              </w:rPr>
            </w:pPr>
          </w:p>
        </w:tc>
        <w:tc>
          <w:tcPr>
            <w:tcW w:w="5528" w:type="dxa"/>
          </w:tcPr>
          <w:p w14:paraId="3EBBD14A" w14:textId="77777777" w:rsidR="002B2AF8" w:rsidRPr="00177D08" w:rsidRDefault="002B2AF8" w:rsidP="0051455A">
            <w:pPr>
              <w:jc w:val="both"/>
              <w:rPr>
                <w:color w:val="000000"/>
                <w:szCs w:val="24"/>
                <w:shd w:val="clear" w:color="auto" w:fill="FFFFFF"/>
              </w:rPr>
            </w:pPr>
            <w:r w:rsidRPr="00177D08">
              <w:rPr>
                <w:color w:val="000000"/>
                <w:szCs w:val="24"/>
                <w:shd w:val="clear" w:color="auto" w:fill="FFFFFF"/>
              </w:rPr>
              <w:t>2.4.1 (projekto veiklų įgyvendinimo vieta)</w:t>
            </w:r>
          </w:p>
          <w:p w14:paraId="04F9EB36" w14:textId="77777777" w:rsidR="002B2AF8" w:rsidRPr="00177D08" w:rsidRDefault="002B2AF8" w:rsidP="00225182">
            <w:pPr>
              <w:jc w:val="both"/>
              <w:rPr>
                <w:szCs w:val="24"/>
              </w:rPr>
            </w:pPr>
            <w:r w:rsidRPr="00177D08">
              <w:rPr>
                <w:szCs w:val="24"/>
              </w:rPr>
              <w:t>Remiantis Aprašu, užsienio subjektas (-ai) gali būtų partneriu (Aprašas nenustato ribojimo). Atsižvelgiant į priemonės tikslą ir pareiškėjų tipą (Priemonė yra orientuota į užsienio investicijų pritraukimą į MTEP, pareiškėjai – užsienio investuotojų kontroliuojamos įmonės ar užsienio investuotojai), siūlome numatyti galimybę įgyvendinti veiklas (jų dalį) ir ne Lietuvoje, jeigu tai prisidės siekiant priemonės tikslo, pvz.:</w:t>
            </w:r>
          </w:p>
          <w:p w14:paraId="02C12D9E" w14:textId="77777777" w:rsidR="002B2AF8" w:rsidRPr="00177D08" w:rsidRDefault="002B2AF8" w:rsidP="00225182">
            <w:pPr>
              <w:jc w:val="both"/>
              <w:rPr>
                <w:szCs w:val="24"/>
              </w:rPr>
            </w:pPr>
            <w:r w:rsidRPr="00177D08">
              <w:rPr>
                <w:szCs w:val="24"/>
              </w:rPr>
              <w:t xml:space="preserve">Projekto veiklos vykdomos Vidurio ir Vakarų Lietuvos regione, taip pat gali būti vykdomos ne Lietuvos Respublikoje (ir ne ES valstybių narių teritorijoje, išskyrus Rusijos Federaciją ir Baltarusijos Respubliką), jei jas vykdant siekiama projekto tikslų. </w:t>
            </w:r>
          </w:p>
          <w:p w14:paraId="47FFC650" w14:textId="77777777" w:rsidR="002B2AF8" w:rsidRPr="00177D08" w:rsidRDefault="002B2AF8" w:rsidP="00225182">
            <w:pPr>
              <w:jc w:val="both"/>
              <w:rPr>
                <w:szCs w:val="24"/>
              </w:rPr>
            </w:pPr>
          </w:p>
          <w:p w14:paraId="3A67C295" w14:textId="77777777" w:rsidR="002B2AF8" w:rsidRPr="00177D08" w:rsidRDefault="002B2AF8" w:rsidP="00225182">
            <w:pPr>
              <w:jc w:val="both"/>
              <w:rPr>
                <w:szCs w:val="24"/>
              </w:rPr>
            </w:pPr>
            <w:r w:rsidRPr="00177D08">
              <w:rPr>
                <w:szCs w:val="24"/>
              </w:rPr>
              <w:t>Pagal dabartinę aprašo formuluotę, kurioje numatyta veiklų vykdymo vieta Vidurio ir Vakarų Lietuvos regionas, matome rizikas dėl užsienio partnerių įsitraukimo įgyvendinimo, pvz., užsienio partnerio darbuotojai prisideda prie projekto kūrimo ir jie dirba projekto partnerio įmonėje, kuri yra užsienyje (</w:t>
            </w:r>
            <w:proofErr w:type="spellStart"/>
            <w:r w:rsidRPr="00177D08">
              <w:rPr>
                <w:szCs w:val="24"/>
              </w:rPr>
              <w:t>t.y</w:t>
            </w:r>
            <w:proofErr w:type="spellEnd"/>
            <w:r w:rsidRPr="00177D08">
              <w:rPr>
                <w:szCs w:val="24"/>
              </w:rPr>
              <w:t xml:space="preserve">. dirba iš užsienio) bei kiti galimi atvejai projekto parteriui, kuris yra užsienio subjektas, vykdyti veiklas. </w:t>
            </w:r>
          </w:p>
          <w:p w14:paraId="39A09E9A" w14:textId="77777777" w:rsidR="002B2AF8" w:rsidRPr="00177D08" w:rsidRDefault="002B2AF8" w:rsidP="00225182">
            <w:pPr>
              <w:jc w:val="both"/>
              <w:rPr>
                <w:szCs w:val="24"/>
              </w:rPr>
            </w:pPr>
          </w:p>
          <w:p w14:paraId="61F156EE" w14:textId="77777777" w:rsidR="002B2AF8" w:rsidRPr="00177D08" w:rsidRDefault="002B2AF8" w:rsidP="00225182">
            <w:pPr>
              <w:jc w:val="both"/>
              <w:rPr>
                <w:szCs w:val="24"/>
              </w:rPr>
            </w:pPr>
            <w:r w:rsidRPr="00177D08">
              <w:rPr>
                <w:szCs w:val="24"/>
              </w:rPr>
              <w:t xml:space="preserve">Atkreiptinas dėmesys, jog tokią galimybę vykdyti veiklas ne tik Lietuvos Respublikoje numato ir Projektų finansavimo ir administravimo taisyklių 295 p. </w:t>
            </w:r>
          </w:p>
          <w:p w14:paraId="2BD0E4AC" w14:textId="02A0D244" w:rsidR="002B2AF8" w:rsidRPr="00177D08" w:rsidRDefault="002B2AF8" w:rsidP="00225182">
            <w:pPr>
              <w:jc w:val="both"/>
              <w:rPr>
                <w:szCs w:val="24"/>
                <w:lang w:val="it-IT"/>
              </w:rPr>
            </w:pPr>
            <w:r w:rsidRPr="00177D08">
              <w:rPr>
                <w:i/>
                <w:iCs/>
                <w:szCs w:val="24"/>
              </w:rPr>
              <w:lastRenderedPageBreak/>
              <w:t>„295. Projekto veiklos vykdomos Lietuvos Respublikos teritorijoje, taip pat gali būti vykdomos ne Lietuvos Respublikoje (ir ne ES valstybių narių teritorijoje, išskyrus Rusijos Federaciją ir Baltarusijos Respubliką), jei jas vykdant siekiama Investicijų programos arba Sprendime dėl EGADP nurodytų tikslų. Investicijos į turtą ne Lietuvos Respublikos teritorijoje iš nepanaudotų EGADP lėšų ir kitų valstybės biudžeto lėšų, skirtų projektams, įgyvendinamiems iš ES lėšų, bendrai finansuoti, yra tinkamos finansuoti tik tais atvejais, jei kuriamas turtas yra valstybės nuosavybė ir skirtas valstybės funkcijoms atlikti“.</w:t>
            </w:r>
          </w:p>
        </w:tc>
        <w:tc>
          <w:tcPr>
            <w:tcW w:w="6946" w:type="dxa"/>
          </w:tcPr>
          <w:p w14:paraId="30AD364E" w14:textId="253B5DE5" w:rsidR="00E70AAD" w:rsidRDefault="00F70EDB" w:rsidP="00225182">
            <w:pPr>
              <w:jc w:val="both"/>
              <w:rPr>
                <w:b/>
                <w:bCs/>
                <w:szCs w:val="24"/>
              </w:rPr>
            </w:pPr>
            <w:r>
              <w:rPr>
                <w:b/>
                <w:bCs/>
                <w:szCs w:val="24"/>
              </w:rPr>
              <w:lastRenderedPageBreak/>
              <w:t>Atsižvelgta</w:t>
            </w:r>
            <w:r w:rsidR="00E70AAD">
              <w:rPr>
                <w:b/>
                <w:bCs/>
                <w:szCs w:val="24"/>
              </w:rPr>
              <w:t>.</w:t>
            </w:r>
          </w:p>
          <w:p w14:paraId="773ADBD7" w14:textId="0A73C6D5" w:rsidR="00E70AAD" w:rsidRPr="00E70AAD" w:rsidRDefault="00E70AAD" w:rsidP="00225182">
            <w:pPr>
              <w:jc w:val="both"/>
              <w:rPr>
                <w:szCs w:val="24"/>
              </w:rPr>
            </w:pPr>
            <w:r w:rsidRPr="00E70AAD">
              <w:rPr>
                <w:szCs w:val="24"/>
              </w:rPr>
              <w:t>PFSA 2.4.13. papunktyje yra nurodyta, kad  „</w:t>
            </w:r>
            <w:r w:rsidRPr="00E70AAD">
              <w:rPr>
                <w:i/>
                <w:iCs/>
                <w:szCs w:val="24"/>
              </w:rPr>
              <w:t>projekto veiklos turi atitikti Projektų administravimo ir finansavimo taisyklių 295 punktą</w:t>
            </w:r>
            <w:r>
              <w:rPr>
                <w:szCs w:val="24"/>
              </w:rPr>
              <w:t>“</w:t>
            </w:r>
            <w:r w:rsidRPr="00E70AAD">
              <w:rPr>
                <w:szCs w:val="24"/>
              </w:rPr>
              <w:t>.</w:t>
            </w:r>
          </w:p>
          <w:p w14:paraId="59F50566" w14:textId="1C35E321" w:rsidR="00E70AAD" w:rsidRPr="00E70AAD" w:rsidRDefault="00E70AAD" w:rsidP="00225182">
            <w:pPr>
              <w:jc w:val="both"/>
              <w:rPr>
                <w:szCs w:val="24"/>
              </w:rPr>
            </w:pPr>
            <w:r w:rsidRPr="00E70AAD">
              <w:rPr>
                <w:szCs w:val="24"/>
              </w:rPr>
              <w:t xml:space="preserve">Vadovaujantis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nuostatomis, konkretūs PAFT punktai neperrašomi, o pateikiamos tik nuorodos į juos. </w:t>
            </w:r>
          </w:p>
          <w:p w14:paraId="07E15528" w14:textId="6D7BACB7" w:rsidR="002B2AF8" w:rsidRPr="00F43AA9" w:rsidRDefault="00000E80" w:rsidP="00225182">
            <w:pPr>
              <w:jc w:val="both"/>
              <w:rPr>
                <w:szCs w:val="24"/>
              </w:rPr>
            </w:pPr>
            <w:r w:rsidRPr="00F43AA9">
              <w:rPr>
                <w:szCs w:val="24"/>
              </w:rPr>
              <w:t>Taip pat atkreipiame dėmesį, kad</w:t>
            </w:r>
            <w:r w:rsidR="00F43AA9">
              <w:rPr>
                <w:szCs w:val="24"/>
              </w:rPr>
              <w:t xml:space="preserve"> </w:t>
            </w:r>
            <w:r w:rsidR="00F70EDB">
              <w:rPr>
                <w:szCs w:val="24"/>
              </w:rPr>
              <w:t xml:space="preserve">Jūsų minimos </w:t>
            </w:r>
            <w:r w:rsidR="00F43AA9">
              <w:rPr>
                <w:szCs w:val="24"/>
              </w:rPr>
              <w:t>n</w:t>
            </w:r>
            <w:r w:rsidRPr="00F43AA9">
              <w:rPr>
                <w:szCs w:val="24"/>
              </w:rPr>
              <w:t>uostatos</w:t>
            </w:r>
            <w:r w:rsidR="00F43AA9" w:rsidRPr="00F43AA9">
              <w:rPr>
                <w:szCs w:val="24"/>
              </w:rPr>
              <w:t xml:space="preserve"> </w:t>
            </w:r>
            <w:r w:rsidR="00F43AA9">
              <w:rPr>
                <w:szCs w:val="24"/>
              </w:rPr>
              <w:t>taikymą</w:t>
            </w:r>
            <w:r w:rsidR="00F43AA9" w:rsidRPr="00F43AA9">
              <w:rPr>
                <w:szCs w:val="24"/>
              </w:rPr>
              <w:t xml:space="preserve"> </w:t>
            </w:r>
            <w:r w:rsidR="00F43AA9">
              <w:rPr>
                <w:szCs w:val="24"/>
              </w:rPr>
              <w:t xml:space="preserve">gali išaiškinti tik </w:t>
            </w:r>
            <w:r w:rsidR="00F43AA9" w:rsidRPr="00F43AA9">
              <w:rPr>
                <w:szCs w:val="24"/>
              </w:rPr>
              <w:t>Lietuvos Respublikos f</w:t>
            </w:r>
            <w:r w:rsidR="003E2E0D" w:rsidRPr="00F43AA9">
              <w:rPr>
                <w:szCs w:val="24"/>
              </w:rPr>
              <w:t>inans</w:t>
            </w:r>
            <w:r w:rsidR="00F43AA9">
              <w:rPr>
                <w:szCs w:val="24"/>
              </w:rPr>
              <w:t>ų</w:t>
            </w:r>
            <w:r w:rsidR="003E2E0D" w:rsidRPr="00F43AA9">
              <w:rPr>
                <w:szCs w:val="24"/>
              </w:rPr>
              <w:t xml:space="preserve"> ministerij</w:t>
            </w:r>
            <w:r w:rsidR="00F43AA9">
              <w:rPr>
                <w:szCs w:val="24"/>
              </w:rPr>
              <w:t>a</w:t>
            </w:r>
            <w:r w:rsidR="00F43AA9" w:rsidRPr="00F43AA9">
              <w:rPr>
                <w:szCs w:val="24"/>
              </w:rPr>
              <w:t>.</w:t>
            </w:r>
          </w:p>
        </w:tc>
      </w:tr>
      <w:tr w:rsidR="002B2AF8" w:rsidRPr="00C85D29" w14:paraId="22315434" w14:textId="77777777" w:rsidTr="009E26DD">
        <w:tc>
          <w:tcPr>
            <w:tcW w:w="567" w:type="dxa"/>
          </w:tcPr>
          <w:p w14:paraId="7316EE55"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51C235C7" w14:textId="77777777" w:rsidR="002B2AF8" w:rsidRPr="00177D08" w:rsidRDefault="002B2AF8" w:rsidP="00AD6729">
            <w:pPr>
              <w:jc w:val="both"/>
              <w:rPr>
                <w:b/>
                <w:bCs/>
                <w:szCs w:val="24"/>
              </w:rPr>
            </w:pPr>
          </w:p>
        </w:tc>
        <w:tc>
          <w:tcPr>
            <w:tcW w:w="5528" w:type="dxa"/>
          </w:tcPr>
          <w:p w14:paraId="44170F79" w14:textId="77777777" w:rsidR="002B2AF8" w:rsidRPr="00177D08" w:rsidRDefault="002B2AF8" w:rsidP="0051455A">
            <w:pPr>
              <w:jc w:val="both"/>
              <w:rPr>
                <w:szCs w:val="24"/>
              </w:rPr>
            </w:pPr>
            <w:r w:rsidRPr="00177D08">
              <w:rPr>
                <w:szCs w:val="24"/>
              </w:rPr>
              <w:t>2.4.5. Didžiausia galima projektui skirti finansavimo lėšų suma</w:t>
            </w:r>
          </w:p>
          <w:p w14:paraId="7DE30284" w14:textId="77777777" w:rsidR="002B2AF8" w:rsidRPr="00177D08" w:rsidRDefault="002B2AF8" w:rsidP="0051455A">
            <w:pPr>
              <w:jc w:val="both"/>
              <w:rPr>
                <w:szCs w:val="24"/>
              </w:rPr>
            </w:pPr>
          </w:p>
          <w:p w14:paraId="08E46B9B" w14:textId="77777777" w:rsidR="002B2AF8" w:rsidRPr="00177D08" w:rsidRDefault="002B2AF8" w:rsidP="00225182">
            <w:pPr>
              <w:jc w:val="both"/>
              <w:rPr>
                <w:szCs w:val="24"/>
              </w:rPr>
            </w:pPr>
            <w:r w:rsidRPr="00177D08">
              <w:rPr>
                <w:szCs w:val="24"/>
              </w:rPr>
              <w:t xml:space="preserve">Siūlome mažinti maksimalią finansavimo sumą projektui iki 2 mln. Eur. atsižvelgiant į </w:t>
            </w:r>
            <w:proofErr w:type="spellStart"/>
            <w:r w:rsidRPr="00177D08">
              <w:rPr>
                <w:szCs w:val="24"/>
              </w:rPr>
              <w:t>Inobranda</w:t>
            </w:r>
            <w:proofErr w:type="spellEnd"/>
            <w:r w:rsidRPr="00177D08">
              <w:rPr>
                <w:szCs w:val="24"/>
              </w:rPr>
              <w:t xml:space="preserve"> priemonės praktiką  ir istorinius panašių priemonių duomenis:</w:t>
            </w:r>
          </w:p>
          <w:p w14:paraId="3E00D148" w14:textId="77777777" w:rsidR="002B2AF8" w:rsidRPr="00177D08" w:rsidRDefault="002B2AF8" w:rsidP="00225182">
            <w:pPr>
              <w:pStyle w:val="pf0"/>
              <w:numPr>
                <w:ilvl w:val="0"/>
                <w:numId w:val="34"/>
              </w:numPr>
              <w:spacing w:before="0" w:beforeAutospacing="0" w:after="0" w:afterAutospacing="0"/>
              <w:jc w:val="both"/>
              <w:rPr>
                <w:rFonts w:eastAsia="Arial"/>
              </w:rPr>
            </w:pPr>
            <w:r w:rsidRPr="00177D08">
              <w:rPr>
                <w:rFonts w:eastAsia="Arial"/>
              </w:rPr>
              <w:t xml:space="preserve">2021-2027 finansavimo periodo priemonė </w:t>
            </w:r>
            <w:proofErr w:type="spellStart"/>
            <w:r w:rsidRPr="00177D08">
              <w:rPr>
                <w:rFonts w:eastAsia="Arial"/>
              </w:rPr>
              <w:t>Inobranda</w:t>
            </w:r>
            <w:proofErr w:type="spellEnd"/>
            <w:r w:rsidRPr="00177D08">
              <w:rPr>
                <w:rFonts w:eastAsia="Arial"/>
              </w:rPr>
              <w:t xml:space="preserve">: </w:t>
            </w:r>
          </w:p>
          <w:p w14:paraId="406984EF" w14:textId="77777777" w:rsidR="002B2AF8" w:rsidRPr="00177D08" w:rsidRDefault="002B2AF8" w:rsidP="00225182">
            <w:pPr>
              <w:pStyle w:val="pf0"/>
              <w:numPr>
                <w:ilvl w:val="1"/>
                <w:numId w:val="34"/>
              </w:numPr>
              <w:spacing w:before="0" w:beforeAutospacing="0" w:after="0" w:afterAutospacing="0"/>
              <w:jc w:val="both"/>
              <w:rPr>
                <w:rFonts w:eastAsia="Arial"/>
              </w:rPr>
            </w:pPr>
            <w:proofErr w:type="spellStart"/>
            <w:r w:rsidRPr="00177D08">
              <w:rPr>
                <w:rFonts w:eastAsia="Arial"/>
              </w:rPr>
              <w:t>Inobranda</w:t>
            </w:r>
            <w:proofErr w:type="spellEnd"/>
            <w:r w:rsidRPr="00177D08">
              <w:rPr>
                <w:rFonts w:eastAsia="Arial"/>
              </w:rPr>
              <w:t xml:space="preserve"> priemonėje maksimali projektui galima skirti finansavimo suma 2 </w:t>
            </w:r>
            <w:proofErr w:type="spellStart"/>
            <w:r w:rsidRPr="00177D08">
              <w:rPr>
                <w:rFonts w:eastAsia="Arial"/>
              </w:rPr>
              <w:t>mln.Eur</w:t>
            </w:r>
            <w:proofErr w:type="spellEnd"/>
            <w:r w:rsidRPr="00177D08">
              <w:rPr>
                <w:rFonts w:eastAsia="Arial"/>
              </w:rPr>
              <w:t xml:space="preserve">. </w:t>
            </w:r>
          </w:p>
          <w:p w14:paraId="2B1D8D22" w14:textId="77777777" w:rsidR="002B2AF8" w:rsidRPr="00177D08" w:rsidRDefault="002B2AF8" w:rsidP="00225182">
            <w:pPr>
              <w:pStyle w:val="pf0"/>
              <w:numPr>
                <w:ilvl w:val="1"/>
                <w:numId w:val="34"/>
              </w:numPr>
              <w:spacing w:before="0" w:beforeAutospacing="0" w:after="0" w:afterAutospacing="0"/>
              <w:jc w:val="both"/>
              <w:rPr>
                <w:rFonts w:eastAsia="Arial"/>
              </w:rPr>
            </w:pPr>
            <w:r w:rsidRPr="00177D08">
              <w:rPr>
                <w:rFonts w:eastAsia="Arial"/>
              </w:rPr>
              <w:t xml:space="preserve">Pagal viešai skelbiamus duomenis, paskutinio </w:t>
            </w:r>
            <w:proofErr w:type="spellStart"/>
            <w:r w:rsidRPr="00177D08">
              <w:rPr>
                <w:rFonts w:eastAsia="Arial"/>
              </w:rPr>
              <w:t>Inobranda</w:t>
            </w:r>
            <w:proofErr w:type="spellEnd"/>
            <w:r w:rsidRPr="00177D08">
              <w:rPr>
                <w:rFonts w:eastAsia="Arial"/>
              </w:rPr>
              <w:t xml:space="preserve"> kvietimo prašomo finansavimo vidurkis yra 1.2 MEUR (vidurkis apie 2 kartus mažesnis nei galima maksimali 2 mln. Eur. finansavimo suma). </w:t>
            </w:r>
          </w:p>
          <w:p w14:paraId="27BC0FB2" w14:textId="77777777" w:rsidR="002B2AF8" w:rsidRPr="00177D08" w:rsidRDefault="002B2AF8" w:rsidP="00225182">
            <w:pPr>
              <w:pStyle w:val="pf0"/>
              <w:numPr>
                <w:ilvl w:val="0"/>
                <w:numId w:val="34"/>
              </w:numPr>
              <w:jc w:val="both"/>
              <w:rPr>
                <w:rFonts w:eastAsia="Arial"/>
              </w:rPr>
            </w:pPr>
            <w:r w:rsidRPr="00177D08">
              <w:rPr>
                <w:rFonts w:eastAsia="Arial"/>
              </w:rPr>
              <w:t>2014-2020 finansavimo periodo priemonė SMART INVEST LT+ III kvietimo duomenys:</w:t>
            </w:r>
          </w:p>
          <w:p w14:paraId="74B2D7EF" w14:textId="77777777" w:rsidR="002B2AF8" w:rsidRPr="00177D08" w:rsidRDefault="002B2AF8" w:rsidP="00225182">
            <w:pPr>
              <w:pStyle w:val="pf0"/>
              <w:numPr>
                <w:ilvl w:val="1"/>
                <w:numId w:val="34"/>
              </w:numPr>
              <w:spacing w:before="0" w:beforeAutospacing="0" w:after="0" w:afterAutospacing="0"/>
              <w:jc w:val="both"/>
              <w:rPr>
                <w:rFonts w:eastAsia="Arial"/>
              </w:rPr>
            </w:pPr>
            <w:r w:rsidRPr="00177D08">
              <w:rPr>
                <w:rFonts w:eastAsia="Arial"/>
              </w:rPr>
              <w:t xml:space="preserve">Finansuota 13 paraiškų, iš jų 3 sutartys nutrauktos. Skirto finansavimo vidurkis </w:t>
            </w:r>
            <w:r w:rsidRPr="00177D08">
              <w:rPr>
                <w:rFonts w:eastAsia="Arial"/>
              </w:rPr>
              <w:lastRenderedPageBreak/>
              <w:t>(neįskaitant nutrauktų sutarčių) yra 1.4 mln. Eur.,  mediana 1,3 mln. Eur</w:t>
            </w:r>
          </w:p>
          <w:p w14:paraId="2295F9B9" w14:textId="0C12D57A" w:rsidR="002B2AF8" w:rsidRPr="00177D08" w:rsidRDefault="002B2AF8" w:rsidP="00225182">
            <w:pPr>
              <w:jc w:val="both"/>
              <w:rPr>
                <w:szCs w:val="24"/>
                <w:lang w:val="it-IT"/>
              </w:rPr>
            </w:pPr>
            <w:r w:rsidRPr="00177D08">
              <w:rPr>
                <w:rFonts w:eastAsia="Arial"/>
                <w:szCs w:val="24"/>
              </w:rPr>
              <w:t xml:space="preserve">Iš 13 paraiškų, 4 paraiškų skirtas finansavimas viršijo 2 mln. Eur, tačiau lėšų įsisavinimas siekia 25-73%. Iš šių 4 projektų, kuriems skirtas finansavimas viršijo 2 mln. Eur. tik vienas įsisavino 1,9  </w:t>
            </w:r>
            <w:proofErr w:type="spellStart"/>
            <w:r w:rsidRPr="00177D08">
              <w:rPr>
                <w:rFonts w:eastAsia="Arial"/>
                <w:szCs w:val="24"/>
              </w:rPr>
              <w:t>mln.Eur</w:t>
            </w:r>
            <w:proofErr w:type="spellEnd"/>
            <w:r w:rsidRPr="00177D08">
              <w:rPr>
                <w:rFonts w:eastAsia="Arial"/>
                <w:szCs w:val="24"/>
              </w:rPr>
              <w:t xml:space="preserve"> (kas sudaro 73% skirto finansavimo sumos). Kitų likusių projektų įsisavinimas siekia 275 – 718 tūkst. Eur (12-30% skirto finansavimo sumos).</w:t>
            </w:r>
          </w:p>
        </w:tc>
        <w:tc>
          <w:tcPr>
            <w:tcW w:w="6946" w:type="dxa"/>
          </w:tcPr>
          <w:p w14:paraId="68F1872E" w14:textId="328929E1" w:rsidR="00084C82" w:rsidRDefault="00084C82" w:rsidP="009E26DD">
            <w:pPr>
              <w:jc w:val="both"/>
              <w:rPr>
                <w:b/>
                <w:bCs/>
                <w:szCs w:val="24"/>
              </w:rPr>
            </w:pPr>
            <w:r>
              <w:rPr>
                <w:b/>
                <w:bCs/>
                <w:szCs w:val="24"/>
              </w:rPr>
              <w:lastRenderedPageBreak/>
              <w:t>Atsižvelgta.</w:t>
            </w:r>
          </w:p>
          <w:p w14:paraId="463CA525" w14:textId="38A0F181" w:rsidR="00F70EDB" w:rsidRDefault="00F70EDB" w:rsidP="009E26DD">
            <w:pPr>
              <w:jc w:val="both"/>
              <w:rPr>
                <w:szCs w:val="24"/>
              </w:rPr>
            </w:pPr>
            <w:r w:rsidRPr="00EB4613">
              <w:rPr>
                <w:szCs w:val="24"/>
              </w:rPr>
              <w:t>Patikslinta ir išdėstyta taip:</w:t>
            </w:r>
          </w:p>
          <w:p w14:paraId="1F7C61C0" w14:textId="77777777" w:rsidR="00F70EDB" w:rsidRPr="00EB4613" w:rsidRDefault="00F70EDB" w:rsidP="00F70EDB">
            <w:pPr>
              <w:jc w:val="both"/>
              <w:rPr>
                <w:i/>
                <w:iCs/>
                <w:szCs w:val="24"/>
              </w:rPr>
            </w:pPr>
            <w:r w:rsidRPr="00EB4613">
              <w:rPr>
                <w:i/>
                <w:iCs/>
                <w:szCs w:val="24"/>
              </w:rPr>
              <w:t>„2.4.5. Didžiausia galima projektui skirti finansavimo lėšų suma yra 2 000 000 (du milijonai) eurų.</w:t>
            </w:r>
          </w:p>
          <w:p w14:paraId="6E99ED4B" w14:textId="3C9DD2CE" w:rsidR="002B2AF8" w:rsidRPr="00177D08" w:rsidRDefault="00F70EDB" w:rsidP="009E26DD">
            <w:pPr>
              <w:jc w:val="both"/>
              <w:rPr>
                <w:b/>
                <w:bCs/>
                <w:szCs w:val="24"/>
              </w:rPr>
            </w:pPr>
            <w:r w:rsidRPr="00EB4613">
              <w:rPr>
                <w:i/>
                <w:iCs/>
                <w:szCs w:val="24"/>
              </w:rPr>
              <w:t>2.4.6. Mažiausia galima projektui skirti finansavimo lėšų suma yra 140 000 (šimtas keturiasdešimt tūkstančių) eurų.“</w:t>
            </w:r>
          </w:p>
        </w:tc>
      </w:tr>
      <w:tr w:rsidR="002B2AF8" w:rsidRPr="00C85D29" w14:paraId="50A84E59" w14:textId="77777777" w:rsidTr="009E26DD">
        <w:tc>
          <w:tcPr>
            <w:tcW w:w="567" w:type="dxa"/>
          </w:tcPr>
          <w:p w14:paraId="7F479EAD"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799F5F7C" w14:textId="77777777" w:rsidR="002B2AF8" w:rsidRPr="00177D08" w:rsidRDefault="002B2AF8" w:rsidP="00AD6729">
            <w:pPr>
              <w:jc w:val="both"/>
              <w:rPr>
                <w:b/>
                <w:bCs/>
                <w:szCs w:val="24"/>
              </w:rPr>
            </w:pPr>
          </w:p>
        </w:tc>
        <w:tc>
          <w:tcPr>
            <w:tcW w:w="5528" w:type="dxa"/>
          </w:tcPr>
          <w:p w14:paraId="603671C9" w14:textId="77777777" w:rsidR="002B2AF8" w:rsidRPr="00177D08" w:rsidRDefault="002B2AF8" w:rsidP="00DA1871">
            <w:pPr>
              <w:jc w:val="both"/>
              <w:rPr>
                <w:szCs w:val="24"/>
              </w:rPr>
            </w:pPr>
            <w:r w:rsidRPr="00177D08">
              <w:rPr>
                <w:szCs w:val="24"/>
              </w:rPr>
              <w:t>2.4.12 (veiklų įgyvendinimo pradžia)</w:t>
            </w:r>
          </w:p>
          <w:p w14:paraId="721F1600" w14:textId="597C13F4" w:rsidR="002B2AF8" w:rsidRPr="00177D08" w:rsidRDefault="002B2AF8" w:rsidP="00DA1871">
            <w:pPr>
              <w:jc w:val="both"/>
              <w:rPr>
                <w:szCs w:val="24"/>
                <w:lang w:val="it-IT"/>
              </w:rPr>
            </w:pPr>
            <w:r w:rsidRPr="00177D08">
              <w:rPr>
                <w:szCs w:val="24"/>
              </w:rPr>
              <w:t>Matome riziką, kad darbų pradžia gali būti skirtingai interpretuojama, pvz., darbo skelbimų paskelbimas, įrangos pirkimo paskelbimas ar kt.? Siekiant užtikrinti vienodą traktavimą, siūlytume patikslinti.</w:t>
            </w:r>
          </w:p>
        </w:tc>
        <w:tc>
          <w:tcPr>
            <w:tcW w:w="6946" w:type="dxa"/>
          </w:tcPr>
          <w:p w14:paraId="11A3A15A" w14:textId="0DACF916" w:rsidR="004E62E4" w:rsidRPr="004E62E4" w:rsidRDefault="004E62E4" w:rsidP="00225182">
            <w:pPr>
              <w:jc w:val="both"/>
              <w:rPr>
                <w:b/>
                <w:bCs/>
                <w:szCs w:val="24"/>
              </w:rPr>
            </w:pPr>
            <w:r w:rsidRPr="004E62E4">
              <w:rPr>
                <w:b/>
                <w:bCs/>
                <w:szCs w:val="24"/>
                <w:lang w:val="it-IT"/>
              </w:rPr>
              <w:t>Neatsi</w:t>
            </w:r>
            <w:r w:rsidRPr="004E62E4">
              <w:rPr>
                <w:b/>
                <w:bCs/>
                <w:szCs w:val="24"/>
              </w:rPr>
              <w:t>žvelgta.</w:t>
            </w:r>
          </w:p>
          <w:p w14:paraId="591B0AE5" w14:textId="7A90FF2D" w:rsidR="004E62E4" w:rsidRDefault="004E62E4" w:rsidP="00225182">
            <w:pPr>
              <w:jc w:val="both"/>
              <w:rPr>
                <w:szCs w:val="24"/>
              </w:rPr>
            </w:pPr>
            <w:r>
              <w:rPr>
                <w:szCs w:val="24"/>
              </w:rPr>
              <w:t xml:space="preserve">PAFT </w:t>
            </w:r>
            <w:r w:rsidRPr="004E62E4">
              <w:rPr>
                <w:szCs w:val="24"/>
              </w:rPr>
              <w:t>3.36.</w:t>
            </w:r>
            <w:r>
              <w:rPr>
                <w:szCs w:val="24"/>
              </w:rPr>
              <w:t xml:space="preserve"> papunktyje yra nurodyta, kad „</w:t>
            </w:r>
            <w:r w:rsidRPr="004E62E4">
              <w:rPr>
                <w:i/>
                <w:iCs/>
                <w:szCs w:val="24"/>
              </w:rPr>
              <w:t>projekto veiklų vykdymo pradžia – projekto sutartyje nustatyta anksčiausiai pradedamos vykdyti projekto veiklos pradžios data</w:t>
            </w:r>
            <w:r>
              <w:rPr>
                <w:szCs w:val="24"/>
              </w:rPr>
              <w:t>“</w:t>
            </w:r>
            <w:r w:rsidRPr="004E62E4">
              <w:rPr>
                <w:szCs w:val="24"/>
              </w:rPr>
              <w:t>.</w:t>
            </w:r>
          </w:p>
          <w:p w14:paraId="2BAA9CFB" w14:textId="77777777" w:rsidR="004E62E4" w:rsidRPr="004E62E4" w:rsidRDefault="004E62E4" w:rsidP="00225182">
            <w:pPr>
              <w:jc w:val="both"/>
              <w:rPr>
                <w:szCs w:val="24"/>
              </w:rPr>
            </w:pPr>
          </w:p>
          <w:p w14:paraId="2D9BE4E1" w14:textId="279A58DC" w:rsidR="002B2AF8" w:rsidRPr="003F4803" w:rsidRDefault="002B2AF8" w:rsidP="00225182">
            <w:pPr>
              <w:jc w:val="both"/>
              <w:rPr>
                <w:szCs w:val="24"/>
                <w:lang w:val="en-US"/>
              </w:rPr>
            </w:pPr>
          </w:p>
        </w:tc>
      </w:tr>
      <w:tr w:rsidR="002B2AF8" w:rsidRPr="00C85D29" w14:paraId="39E5CEAD" w14:textId="77777777" w:rsidTr="009E26DD">
        <w:tc>
          <w:tcPr>
            <w:tcW w:w="567" w:type="dxa"/>
          </w:tcPr>
          <w:p w14:paraId="65F288D8"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2478A3D5" w14:textId="77777777" w:rsidR="002B2AF8" w:rsidRPr="00177D08" w:rsidRDefault="002B2AF8" w:rsidP="00AD6729">
            <w:pPr>
              <w:jc w:val="both"/>
              <w:rPr>
                <w:b/>
                <w:bCs/>
                <w:szCs w:val="24"/>
              </w:rPr>
            </w:pPr>
          </w:p>
        </w:tc>
        <w:tc>
          <w:tcPr>
            <w:tcW w:w="5528" w:type="dxa"/>
          </w:tcPr>
          <w:p w14:paraId="577225B4" w14:textId="77777777" w:rsidR="002B2AF8" w:rsidRPr="00177D08" w:rsidRDefault="002B2AF8" w:rsidP="00D025AF">
            <w:pPr>
              <w:jc w:val="both"/>
              <w:rPr>
                <w:color w:val="000000"/>
                <w:szCs w:val="24"/>
                <w:shd w:val="clear" w:color="auto" w:fill="FFFFFF"/>
              </w:rPr>
            </w:pPr>
            <w:r w:rsidRPr="00177D08">
              <w:rPr>
                <w:color w:val="000000"/>
                <w:szCs w:val="24"/>
                <w:shd w:val="clear" w:color="auto" w:fill="FFFFFF"/>
              </w:rPr>
              <w:t>7. Apskritis, kurioje gali būti įgyvendinami projektai</w:t>
            </w:r>
          </w:p>
          <w:p w14:paraId="6C9EA975" w14:textId="432A8DF4" w:rsidR="002B2AF8" w:rsidRPr="00177D08" w:rsidRDefault="002B2AF8" w:rsidP="00D025AF">
            <w:pPr>
              <w:jc w:val="both"/>
              <w:rPr>
                <w:color w:val="000000"/>
                <w:szCs w:val="24"/>
                <w:shd w:val="clear" w:color="auto" w:fill="FFFFFF"/>
              </w:rPr>
            </w:pPr>
            <w:r w:rsidRPr="00177D08">
              <w:rPr>
                <w:color w:val="000000"/>
                <w:szCs w:val="24"/>
                <w:shd w:val="clear" w:color="auto" w:fill="FFFFFF"/>
              </w:rPr>
              <w:t>Leidžiama veiklų įgyvendinimo vieta yra Vidurio ir Vakarų Lietuvos regionas (toliau – VVL). Ar šiame punkte neturėtų būti nurodyti šie ribojimai?</w:t>
            </w:r>
          </w:p>
          <w:p w14:paraId="4331E24B" w14:textId="339432EB" w:rsidR="002B2AF8" w:rsidRPr="00177D08" w:rsidRDefault="002B2AF8" w:rsidP="00D025AF">
            <w:pPr>
              <w:jc w:val="both"/>
              <w:rPr>
                <w:szCs w:val="24"/>
                <w:lang w:val="it-IT"/>
              </w:rPr>
            </w:pPr>
          </w:p>
        </w:tc>
        <w:tc>
          <w:tcPr>
            <w:tcW w:w="6946" w:type="dxa"/>
          </w:tcPr>
          <w:p w14:paraId="795E2222" w14:textId="3FDC8913" w:rsidR="004E62E4" w:rsidRDefault="004E62E4" w:rsidP="00BD0AB0">
            <w:pPr>
              <w:jc w:val="both"/>
              <w:rPr>
                <w:b/>
                <w:bCs/>
                <w:szCs w:val="24"/>
              </w:rPr>
            </w:pPr>
            <w:r>
              <w:rPr>
                <w:b/>
                <w:bCs/>
                <w:szCs w:val="24"/>
              </w:rPr>
              <w:t>Neatsižvelgta</w:t>
            </w:r>
            <w:r w:rsidR="00F70EDB">
              <w:rPr>
                <w:b/>
                <w:bCs/>
                <w:szCs w:val="24"/>
              </w:rPr>
              <w:t>.</w:t>
            </w:r>
          </w:p>
          <w:p w14:paraId="6BC32EC3" w14:textId="1BA101FD" w:rsidR="002B2AF8" w:rsidRPr="00950259" w:rsidRDefault="004E62E4" w:rsidP="00BD0AB0">
            <w:pPr>
              <w:jc w:val="both"/>
              <w:rPr>
                <w:szCs w:val="24"/>
              </w:rPr>
            </w:pPr>
            <w:r w:rsidRPr="00950259">
              <w:rPr>
                <w:szCs w:val="24"/>
              </w:rPr>
              <w:t>Ši nuostata taikoma tik</w:t>
            </w:r>
            <w:r w:rsidR="00950259" w:rsidRPr="00950259">
              <w:t xml:space="preserve"> iš </w:t>
            </w:r>
            <w:r w:rsidR="00950259" w:rsidRPr="00950259">
              <w:rPr>
                <w:szCs w:val="24"/>
              </w:rPr>
              <w:t>Teisingos pertvarkos fondo</w:t>
            </w:r>
            <w:r w:rsidRPr="00950259">
              <w:rPr>
                <w:szCs w:val="24"/>
              </w:rPr>
              <w:t xml:space="preserve"> </w:t>
            </w:r>
            <w:r w:rsidR="00950259" w:rsidRPr="00950259">
              <w:rPr>
                <w:szCs w:val="24"/>
              </w:rPr>
              <w:t>finansuojamiems projektams.</w:t>
            </w:r>
          </w:p>
        </w:tc>
      </w:tr>
      <w:tr w:rsidR="002B2AF8" w:rsidRPr="00C85D29" w14:paraId="41EE04ED" w14:textId="77777777" w:rsidTr="009E26DD">
        <w:tc>
          <w:tcPr>
            <w:tcW w:w="567" w:type="dxa"/>
          </w:tcPr>
          <w:p w14:paraId="191934C2"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7709BE7B" w14:textId="77777777" w:rsidR="002B2AF8" w:rsidRPr="00177D08" w:rsidRDefault="002B2AF8" w:rsidP="00AD6729">
            <w:pPr>
              <w:jc w:val="both"/>
              <w:rPr>
                <w:b/>
                <w:bCs/>
                <w:szCs w:val="24"/>
              </w:rPr>
            </w:pPr>
          </w:p>
        </w:tc>
        <w:tc>
          <w:tcPr>
            <w:tcW w:w="5528" w:type="dxa"/>
          </w:tcPr>
          <w:p w14:paraId="3E19B4CA" w14:textId="6D7EFDE6" w:rsidR="002B2AF8" w:rsidRPr="00177D08" w:rsidRDefault="002B2AF8" w:rsidP="00DC4EF0">
            <w:pPr>
              <w:jc w:val="both"/>
              <w:rPr>
                <w:szCs w:val="24"/>
              </w:rPr>
            </w:pPr>
            <w:r w:rsidRPr="00177D08">
              <w:rPr>
                <w:szCs w:val="24"/>
                <w:lang w:val="it-IT"/>
              </w:rPr>
              <w:t xml:space="preserve"> </w:t>
            </w:r>
            <w:r w:rsidRPr="00177D08">
              <w:rPr>
                <w:szCs w:val="24"/>
              </w:rPr>
              <w:t>8.6.2.4 (</w:t>
            </w:r>
            <w:proofErr w:type="spellStart"/>
            <w:r w:rsidRPr="00177D08">
              <w:rPr>
                <w:szCs w:val="24"/>
              </w:rPr>
              <w:t>Regl</w:t>
            </w:r>
            <w:proofErr w:type="spellEnd"/>
            <w:r w:rsidRPr="00177D08">
              <w:rPr>
                <w:szCs w:val="24"/>
              </w:rPr>
              <w:t>. 651/2014 25 str. 6 dalies b punkto iv papunktis – 15 % padidintas intensyvumas a punkto vietovėms</w:t>
            </w:r>
          </w:p>
          <w:p w14:paraId="7B39913B" w14:textId="77777777" w:rsidR="002B2AF8" w:rsidRPr="00177D08" w:rsidRDefault="002B2AF8" w:rsidP="00DC4EF0">
            <w:pPr>
              <w:jc w:val="both"/>
              <w:rPr>
                <w:szCs w:val="24"/>
              </w:rPr>
            </w:pPr>
            <w:r w:rsidRPr="00177D08">
              <w:rPr>
                <w:szCs w:val="24"/>
              </w:rPr>
              <w:t xml:space="preserve">Lentelė Projekto finansuojamoji dalis.  </w:t>
            </w:r>
          </w:p>
          <w:p w14:paraId="5C313442" w14:textId="77777777" w:rsidR="002B2AF8" w:rsidRPr="00177D08" w:rsidRDefault="002B2AF8" w:rsidP="00DC4EF0">
            <w:pPr>
              <w:jc w:val="both"/>
              <w:rPr>
                <w:szCs w:val="24"/>
              </w:rPr>
            </w:pPr>
            <w:r w:rsidRPr="00177D08">
              <w:rPr>
                <w:szCs w:val="24"/>
              </w:rPr>
              <w:t xml:space="preserve">NUTS 2 regionas – LT02 Vidurio ir vakarų Lietuvos regionas  Lietuvos regioninės pagalbos žemėlapyje nurodytas kaip pagalbos pagal Sutarties dėl Europos Sąjungos veikimo 107 straipsnio 3 dalies a punktą skyrimo reikalavimus atitinkanti vietovė (a punkto vietovė). </w:t>
            </w:r>
          </w:p>
          <w:p w14:paraId="66AEAB7B" w14:textId="77777777" w:rsidR="002B2AF8" w:rsidRPr="00177D08" w:rsidRDefault="002B2AF8" w:rsidP="00DC4EF0">
            <w:pPr>
              <w:jc w:val="both"/>
              <w:rPr>
                <w:szCs w:val="24"/>
              </w:rPr>
            </w:pPr>
            <w:r w:rsidRPr="00177D08">
              <w:rPr>
                <w:szCs w:val="24"/>
              </w:rPr>
              <w:t xml:space="preserve">Priemonės veiklos gali būti vykdomos tik VVL regione. </w:t>
            </w:r>
          </w:p>
          <w:p w14:paraId="55F56FEA" w14:textId="77777777" w:rsidR="002B2AF8" w:rsidRPr="00177D08" w:rsidRDefault="002B2AF8" w:rsidP="00DC4EF0">
            <w:pPr>
              <w:jc w:val="both"/>
              <w:rPr>
                <w:szCs w:val="24"/>
              </w:rPr>
            </w:pPr>
          </w:p>
          <w:p w14:paraId="4BDD63E0" w14:textId="43D342DE" w:rsidR="002B2AF8" w:rsidRPr="00177D08" w:rsidRDefault="002B2AF8" w:rsidP="00DC4EF0">
            <w:pPr>
              <w:jc w:val="both"/>
              <w:rPr>
                <w:szCs w:val="24"/>
                <w:lang w:val="it-IT"/>
              </w:rPr>
            </w:pPr>
            <w:r w:rsidRPr="00177D08">
              <w:rPr>
                <w:szCs w:val="24"/>
              </w:rPr>
              <w:t xml:space="preserve">Ar teisingai suprantama, kad visiems šios priemonės projektams taikomas padidintas 15% intensyvumas, </w:t>
            </w:r>
            <w:r w:rsidRPr="00177D08">
              <w:rPr>
                <w:szCs w:val="24"/>
              </w:rPr>
              <w:lastRenderedPageBreak/>
              <w:t>kadangi projektai įgyvendinami VVL regione (a punkto vietovėje) ir norėdami pretenduoti į papildomą 15% intensyvumą vykdytojai neprivalo atitikti nei vieno kito punkto (i, ii, iii reikalavimų)?</w:t>
            </w:r>
          </w:p>
        </w:tc>
        <w:tc>
          <w:tcPr>
            <w:tcW w:w="6946" w:type="dxa"/>
          </w:tcPr>
          <w:p w14:paraId="7C3A9FC5" w14:textId="77777777" w:rsidR="00F70EDB" w:rsidRDefault="00F70EDB" w:rsidP="00DC4EF0">
            <w:pPr>
              <w:pStyle w:val="pf0"/>
              <w:spacing w:before="0" w:beforeAutospacing="0" w:after="0" w:afterAutospacing="0"/>
              <w:jc w:val="both"/>
              <w:rPr>
                <w:b/>
                <w:bCs/>
              </w:rPr>
            </w:pPr>
            <w:r>
              <w:rPr>
                <w:b/>
                <w:bCs/>
              </w:rPr>
              <w:lastRenderedPageBreak/>
              <w:t>Paaiškinta.</w:t>
            </w:r>
          </w:p>
          <w:p w14:paraId="074D777F" w14:textId="0A836DB4" w:rsidR="002B2AF8" w:rsidRPr="00177D08" w:rsidRDefault="00F70EDB" w:rsidP="00DC4EF0">
            <w:pPr>
              <w:pStyle w:val="pf0"/>
              <w:spacing w:before="0" w:beforeAutospacing="0" w:after="0" w:afterAutospacing="0"/>
              <w:jc w:val="both"/>
              <w:rPr>
                <w:b/>
                <w:bCs/>
              </w:rPr>
            </w:pPr>
            <w:r w:rsidRPr="00EB4613">
              <w:t>Taip, Jūsų teikiamas paaiškinimas yra teisingas.</w:t>
            </w:r>
          </w:p>
        </w:tc>
      </w:tr>
      <w:tr w:rsidR="002B2AF8" w:rsidRPr="00C85D29" w14:paraId="18FCC7E7" w14:textId="77777777" w:rsidTr="009E26DD">
        <w:tc>
          <w:tcPr>
            <w:tcW w:w="567" w:type="dxa"/>
          </w:tcPr>
          <w:p w14:paraId="77364195"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777EF081" w14:textId="77777777" w:rsidR="002B2AF8" w:rsidRPr="00177D08" w:rsidRDefault="002B2AF8" w:rsidP="00AD6729">
            <w:pPr>
              <w:jc w:val="both"/>
              <w:rPr>
                <w:b/>
                <w:bCs/>
                <w:szCs w:val="24"/>
              </w:rPr>
            </w:pPr>
          </w:p>
        </w:tc>
        <w:tc>
          <w:tcPr>
            <w:tcW w:w="5528" w:type="dxa"/>
          </w:tcPr>
          <w:p w14:paraId="0D9BA06E" w14:textId="77777777" w:rsidR="002B2AF8" w:rsidRPr="00177D08" w:rsidRDefault="002B2AF8" w:rsidP="00635C2F">
            <w:pPr>
              <w:jc w:val="both"/>
              <w:rPr>
                <w:szCs w:val="24"/>
              </w:rPr>
            </w:pPr>
            <w:r w:rsidRPr="00177D08">
              <w:rPr>
                <w:szCs w:val="24"/>
              </w:rPr>
              <w:t>8.8.5</w:t>
            </w:r>
          </w:p>
          <w:p w14:paraId="2666665E" w14:textId="77777777" w:rsidR="002B2AF8" w:rsidRPr="00177D08" w:rsidRDefault="002B2AF8" w:rsidP="00DC4EF0">
            <w:pPr>
              <w:jc w:val="both"/>
              <w:rPr>
                <w:szCs w:val="24"/>
              </w:rPr>
            </w:pPr>
            <w:r w:rsidRPr="00177D08">
              <w:rPr>
                <w:szCs w:val="24"/>
              </w:rPr>
              <w:t>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w:t>
            </w:r>
          </w:p>
          <w:p w14:paraId="4171E5C9" w14:textId="77777777" w:rsidR="002B2AF8" w:rsidRPr="00177D08" w:rsidRDefault="002B2AF8" w:rsidP="00DC4EF0">
            <w:pPr>
              <w:jc w:val="both"/>
              <w:rPr>
                <w:szCs w:val="24"/>
              </w:rPr>
            </w:pPr>
          </w:p>
          <w:p w14:paraId="5BDD7CF9" w14:textId="49892E5B" w:rsidR="002B2AF8" w:rsidRPr="00177D08" w:rsidRDefault="002B2AF8" w:rsidP="00DC4EF0">
            <w:pPr>
              <w:jc w:val="both"/>
              <w:rPr>
                <w:szCs w:val="24"/>
                <w:lang w:val="it-IT"/>
              </w:rPr>
            </w:pPr>
            <w:r w:rsidRPr="00177D08">
              <w:rPr>
                <w:szCs w:val="24"/>
              </w:rPr>
              <w:t xml:space="preserve">Norime pasiteirauti, ar būtų tinkamos finansuoti techninių žinių ir išradimų patentų arba teisių pagal licencijos sutartį įsigijimo iš </w:t>
            </w:r>
            <w:r w:rsidRPr="00B354D3">
              <w:rPr>
                <w:szCs w:val="24"/>
              </w:rPr>
              <w:t>susijusių įmonių</w:t>
            </w:r>
            <w:r w:rsidRPr="00177D08">
              <w:rPr>
                <w:szCs w:val="24"/>
              </w:rPr>
              <w:t xml:space="preserve"> išlaidos, su sąlyga, jog būtų užtikrinta, jog sandoris vykdomas įprastomis rinkos sąlygomis, už rinkos kainas, pagal šalių sudarytą sandorį, kai nėra jokių susijusių slapto susitarimo elementų?</w:t>
            </w:r>
          </w:p>
        </w:tc>
        <w:tc>
          <w:tcPr>
            <w:tcW w:w="6946" w:type="dxa"/>
          </w:tcPr>
          <w:p w14:paraId="443286C8" w14:textId="6F145706" w:rsidR="00B354D3" w:rsidRDefault="00F70EDB" w:rsidP="00077B5D">
            <w:pPr>
              <w:tabs>
                <w:tab w:val="left" w:pos="426"/>
              </w:tabs>
              <w:jc w:val="both"/>
              <w:rPr>
                <w:b/>
                <w:bCs/>
                <w:szCs w:val="24"/>
              </w:rPr>
            </w:pPr>
            <w:r>
              <w:rPr>
                <w:b/>
                <w:bCs/>
                <w:szCs w:val="24"/>
              </w:rPr>
              <w:t>Atsižvelgta</w:t>
            </w:r>
            <w:r w:rsidR="00B354D3">
              <w:rPr>
                <w:b/>
                <w:bCs/>
                <w:szCs w:val="24"/>
              </w:rPr>
              <w:t>.</w:t>
            </w:r>
          </w:p>
          <w:p w14:paraId="2C1D5678" w14:textId="0038C45A" w:rsidR="00B354D3" w:rsidRPr="00B354D3" w:rsidRDefault="00493270" w:rsidP="00B354D3">
            <w:pPr>
              <w:tabs>
                <w:tab w:val="left" w:pos="426"/>
              </w:tabs>
              <w:jc w:val="both"/>
              <w:rPr>
                <w:szCs w:val="24"/>
              </w:rPr>
            </w:pPr>
            <w:r w:rsidRPr="00B354D3">
              <w:rPr>
                <w:szCs w:val="24"/>
              </w:rPr>
              <w:t xml:space="preserve">Jeigu </w:t>
            </w:r>
            <w:r w:rsidR="00B354D3" w:rsidRPr="00B354D3">
              <w:rPr>
                <w:szCs w:val="24"/>
              </w:rPr>
              <w:t>dokumentais į</w:t>
            </w:r>
            <w:r w:rsidRPr="00B354D3">
              <w:rPr>
                <w:szCs w:val="24"/>
              </w:rPr>
              <w:t>rodoma,</w:t>
            </w:r>
            <w:r w:rsidR="00B354D3" w:rsidRPr="00B354D3">
              <w:rPr>
                <w:szCs w:val="24"/>
              </w:rPr>
              <w:t xml:space="preserve"> </w:t>
            </w:r>
            <w:r w:rsidRPr="00B354D3">
              <w:rPr>
                <w:szCs w:val="24"/>
              </w:rPr>
              <w:t xml:space="preserve">kad </w:t>
            </w:r>
            <w:r w:rsidR="00B354D3" w:rsidRPr="00B354D3">
              <w:rPr>
                <w:szCs w:val="24"/>
              </w:rPr>
              <w:t>techninių žinių ir išradimų patentai arba teisės pagal licencijos sutartį įsigyj</w:t>
            </w:r>
            <w:r w:rsidR="00B354D3">
              <w:rPr>
                <w:szCs w:val="24"/>
              </w:rPr>
              <w:t>a</w:t>
            </w:r>
            <w:r w:rsidR="00B354D3" w:rsidRPr="00B354D3">
              <w:rPr>
                <w:szCs w:val="24"/>
              </w:rPr>
              <w:t xml:space="preserve">mos iš susijusių įmonių įprastomis rinkos sąlygomis, už rinkos kainas, pagal šalių sudarytą sandorį, kai nėra jokių susijusių slapto susitarimo elementų, tuomet tokių paslaugų įsigijimas galimas. </w:t>
            </w:r>
          </w:p>
          <w:p w14:paraId="5B103CE3" w14:textId="25C03027" w:rsidR="00520A12" w:rsidRPr="00177D08" w:rsidRDefault="00520A12" w:rsidP="00077B5D">
            <w:pPr>
              <w:tabs>
                <w:tab w:val="left" w:pos="426"/>
              </w:tabs>
              <w:jc w:val="both"/>
              <w:rPr>
                <w:szCs w:val="24"/>
              </w:rPr>
            </w:pPr>
          </w:p>
        </w:tc>
      </w:tr>
      <w:tr w:rsidR="002B2AF8" w:rsidRPr="00C85D29" w14:paraId="2E81549B" w14:textId="77777777" w:rsidTr="009E26DD">
        <w:tc>
          <w:tcPr>
            <w:tcW w:w="567" w:type="dxa"/>
          </w:tcPr>
          <w:p w14:paraId="2252C94D"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5D0161C4" w14:textId="77777777" w:rsidR="002B2AF8" w:rsidRPr="00177D08" w:rsidRDefault="002B2AF8" w:rsidP="00AD6729">
            <w:pPr>
              <w:jc w:val="both"/>
              <w:rPr>
                <w:b/>
                <w:bCs/>
                <w:szCs w:val="24"/>
              </w:rPr>
            </w:pPr>
          </w:p>
        </w:tc>
        <w:tc>
          <w:tcPr>
            <w:tcW w:w="5528" w:type="dxa"/>
          </w:tcPr>
          <w:p w14:paraId="3BE95F16" w14:textId="77777777" w:rsidR="002B2AF8" w:rsidRPr="00177D08" w:rsidRDefault="002B2AF8" w:rsidP="00635C2F">
            <w:pPr>
              <w:jc w:val="both"/>
              <w:rPr>
                <w:szCs w:val="24"/>
              </w:rPr>
            </w:pPr>
            <w:r w:rsidRPr="00177D08">
              <w:rPr>
                <w:szCs w:val="24"/>
              </w:rPr>
              <w:t>8.8.6  konsultavimo ir lygiaverčių paslaugų išlaidos</w:t>
            </w:r>
          </w:p>
          <w:p w14:paraId="5FAB9FD7" w14:textId="77777777" w:rsidR="002B2AF8" w:rsidRPr="00177D08" w:rsidRDefault="002B2AF8" w:rsidP="00DC4EF0">
            <w:pPr>
              <w:jc w:val="both"/>
              <w:rPr>
                <w:szCs w:val="24"/>
              </w:rPr>
            </w:pPr>
            <w:r w:rsidRPr="00177D08">
              <w:rPr>
                <w:szCs w:val="24"/>
              </w:rPr>
              <w:t xml:space="preserve">Atkreipiamas dėmesys, jog </w:t>
            </w:r>
            <w:proofErr w:type="spellStart"/>
            <w:r w:rsidRPr="00177D08">
              <w:rPr>
                <w:szCs w:val="24"/>
              </w:rPr>
              <w:t>Regl</w:t>
            </w:r>
            <w:proofErr w:type="spellEnd"/>
            <w:r w:rsidRPr="00177D08">
              <w:rPr>
                <w:szCs w:val="24"/>
              </w:rPr>
              <w:t xml:space="preserve">. 651/2014 25 str. nenumato reikalavimo konsultavimo ar susijusias paslaugas įsigyti iš išorės šaltinių. Reglamento 25 str. d punkte numatyta: &lt;…&gt; taip pat konsultavimo ir lygiaverčių paslaugų, naudojamų vien projektui, išlaidos". </w:t>
            </w:r>
          </w:p>
          <w:p w14:paraId="19109165" w14:textId="561FE336" w:rsidR="002B2AF8" w:rsidRPr="00177D08" w:rsidRDefault="002B2AF8" w:rsidP="00DC4EF0">
            <w:pPr>
              <w:jc w:val="both"/>
              <w:rPr>
                <w:szCs w:val="24"/>
                <w:lang w:val="it-IT"/>
              </w:rPr>
            </w:pPr>
            <w:r w:rsidRPr="00177D08">
              <w:rPr>
                <w:szCs w:val="24"/>
              </w:rPr>
              <w:t xml:space="preserve">Prašome eliminuoti Apraše nustatytą reikalavimą  “įsigyjamas iš išorės šaltinių" konsultavimo ir lygiavertėms paslaugoms, kadangi toks reikalavimas nėra nustatytas </w:t>
            </w:r>
            <w:proofErr w:type="spellStart"/>
            <w:r w:rsidRPr="00177D08">
              <w:rPr>
                <w:szCs w:val="24"/>
              </w:rPr>
              <w:t>Regl</w:t>
            </w:r>
            <w:proofErr w:type="spellEnd"/>
            <w:r w:rsidRPr="00177D08">
              <w:rPr>
                <w:szCs w:val="24"/>
              </w:rPr>
              <w:t>. 651/2014 25 str.</w:t>
            </w:r>
          </w:p>
        </w:tc>
        <w:tc>
          <w:tcPr>
            <w:tcW w:w="6946" w:type="dxa"/>
          </w:tcPr>
          <w:p w14:paraId="141B8789" w14:textId="39F28015" w:rsidR="00B354D3" w:rsidRDefault="00B354D3" w:rsidP="00B354D3">
            <w:pPr>
              <w:jc w:val="both"/>
              <w:rPr>
                <w:b/>
                <w:bCs/>
                <w:color w:val="000000"/>
                <w:shd w:val="clear" w:color="auto" w:fill="FFFFFF"/>
              </w:rPr>
            </w:pPr>
            <w:r>
              <w:rPr>
                <w:b/>
                <w:bCs/>
                <w:color w:val="000000"/>
                <w:shd w:val="clear" w:color="auto" w:fill="FFFFFF"/>
              </w:rPr>
              <w:t>Atsižvelgta.</w:t>
            </w:r>
          </w:p>
          <w:p w14:paraId="2BA68677" w14:textId="760A2D1C" w:rsidR="00F70EDB" w:rsidRPr="00EB4613" w:rsidRDefault="00F70EDB" w:rsidP="00B354D3">
            <w:pPr>
              <w:jc w:val="both"/>
              <w:rPr>
                <w:b/>
                <w:bCs/>
                <w:color w:val="000000"/>
                <w:shd w:val="clear" w:color="auto" w:fill="FFFFFF"/>
              </w:rPr>
            </w:pPr>
            <w:r>
              <w:rPr>
                <w:color w:val="000000"/>
                <w:shd w:val="clear" w:color="auto" w:fill="FFFFFF"/>
              </w:rPr>
              <w:t>Nuostatos atsisakyta.</w:t>
            </w:r>
          </w:p>
        </w:tc>
      </w:tr>
      <w:tr w:rsidR="002B2AF8" w:rsidRPr="00C85D29" w14:paraId="763277A6" w14:textId="77777777" w:rsidTr="009E26DD">
        <w:tc>
          <w:tcPr>
            <w:tcW w:w="567" w:type="dxa"/>
          </w:tcPr>
          <w:p w14:paraId="4A93AE1C"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1E8B5771" w14:textId="77777777" w:rsidR="002B2AF8" w:rsidRPr="00177D08" w:rsidRDefault="002B2AF8" w:rsidP="00AD6729">
            <w:pPr>
              <w:jc w:val="both"/>
              <w:rPr>
                <w:b/>
                <w:bCs/>
                <w:szCs w:val="24"/>
              </w:rPr>
            </w:pPr>
          </w:p>
        </w:tc>
        <w:tc>
          <w:tcPr>
            <w:tcW w:w="5528" w:type="dxa"/>
          </w:tcPr>
          <w:p w14:paraId="10A1FA46" w14:textId="77777777" w:rsidR="002B2AF8" w:rsidRPr="00177D08" w:rsidRDefault="002B2AF8" w:rsidP="00635C2F">
            <w:pPr>
              <w:jc w:val="both"/>
              <w:rPr>
                <w:szCs w:val="24"/>
              </w:rPr>
            </w:pPr>
            <w:r w:rsidRPr="00177D08">
              <w:rPr>
                <w:szCs w:val="24"/>
              </w:rPr>
              <w:t>8.8.8</w:t>
            </w:r>
          </w:p>
          <w:p w14:paraId="62A659C6" w14:textId="64EFE1B3" w:rsidR="002B2AF8" w:rsidRPr="00177D08" w:rsidRDefault="002B2AF8" w:rsidP="00635C2F">
            <w:pPr>
              <w:jc w:val="both"/>
              <w:rPr>
                <w:szCs w:val="24"/>
                <w:lang w:val="it-IT"/>
              </w:rPr>
            </w:pPr>
            <w:r w:rsidRPr="00177D08">
              <w:rPr>
                <w:szCs w:val="24"/>
              </w:rPr>
              <w:t>Prašome taip pat įtraukti serverių nuomos, debesų kompiuterijos resursų išlaidas</w:t>
            </w:r>
          </w:p>
        </w:tc>
        <w:tc>
          <w:tcPr>
            <w:tcW w:w="6946" w:type="dxa"/>
          </w:tcPr>
          <w:p w14:paraId="151A94F2" w14:textId="7A5B69B4" w:rsidR="008C0A1B" w:rsidRDefault="008C0A1B" w:rsidP="007507C7">
            <w:pPr>
              <w:jc w:val="both"/>
              <w:rPr>
                <w:b/>
                <w:bCs/>
                <w:szCs w:val="24"/>
              </w:rPr>
            </w:pPr>
            <w:r>
              <w:rPr>
                <w:b/>
                <w:bCs/>
                <w:szCs w:val="24"/>
              </w:rPr>
              <w:t>Neatsižvelgta.</w:t>
            </w:r>
          </w:p>
          <w:p w14:paraId="0D8219C6" w14:textId="7C5B8C43" w:rsidR="008C0A1B" w:rsidRPr="0095422F" w:rsidRDefault="008C0A1B" w:rsidP="007507C7">
            <w:pPr>
              <w:jc w:val="both"/>
              <w:rPr>
                <w:szCs w:val="24"/>
              </w:rPr>
            </w:pPr>
            <w:r w:rsidRPr="0095422F">
              <w:rPr>
                <w:szCs w:val="24"/>
              </w:rPr>
              <w:t>Atkreipiame dėmesį, jog PFSA tinkamos finansuoti išlaidos nėra detalizuojamos, o dėstomos taip, kaip nurodyta Reglamento (ES) Nr. 651/2014 25 straipsnyje.</w:t>
            </w:r>
          </w:p>
          <w:p w14:paraId="22CEE4F6" w14:textId="2985D50B" w:rsidR="002B2AF8" w:rsidRPr="00177D08" w:rsidRDefault="0095422F" w:rsidP="007507C7">
            <w:pPr>
              <w:jc w:val="both"/>
              <w:rPr>
                <w:b/>
                <w:bCs/>
                <w:szCs w:val="24"/>
              </w:rPr>
            </w:pPr>
            <w:r w:rsidRPr="000C58B6">
              <w:rPr>
                <w:szCs w:val="24"/>
              </w:rPr>
              <w:lastRenderedPageBreak/>
              <w:t>PFSA 8.8.</w:t>
            </w:r>
            <w:r w:rsidR="000C58B6" w:rsidRPr="000C58B6">
              <w:rPr>
                <w:szCs w:val="24"/>
              </w:rPr>
              <w:t>3</w:t>
            </w:r>
            <w:r w:rsidRPr="000C58B6">
              <w:rPr>
                <w:szCs w:val="24"/>
              </w:rPr>
              <w:t xml:space="preserve"> papunktyje nurodyta, jog tinkamos finansuoti išlaidos yra</w:t>
            </w:r>
            <w:r w:rsidRPr="0095422F">
              <w:rPr>
                <w:i/>
                <w:iCs/>
                <w:szCs w:val="24"/>
              </w:rPr>
              <w:t xml:space="preserve"> „</w:t>
            </w:r>
            <w:r w:rsidR="000C58B6" w:rsidRPr="000C58B6">
              <w:rPr>
                <w:i/>
                <w:iCs/>
                <w:szCs w:val="24"/>
              </w:rPr>
              <w:t>išlaidos priemonėms ir įrenginiams, atsižvelgiant į mastą ir laikotarpį, kuriuo jie naudojami projektui. Jei šios priemonės ir įrenginiai nenaudojami visą projekto trukmę, tik tos nusidėvėjimo išlaidos, kurios atitinka projekto trukmę ir yra apskaičiuotos pagal visuotinai priimtus apskaitos principus, laikomos tinkamomis finansuoti</w:t>
            </w:r>
            <w:r w:rsidRPr="000C58B6">
              <w:rPr>
                <w:i/>
                <w:iCs/>
                <w:szCs w:val="24"/>
              </w:rPr>
              <w:t>“.</w:t>
            </w:r>
          </w:p>
        </w:tc>
      </w:tr>
      <w:tr w:rsidR="002B2AF8" w:rsidRPr="00C85D29" w14:paraId="5A13D1C3" w14:textId="77777777" w:rsidTr="009E26DD">
        <w:tc>
          <w:tcPr>
            <w:tcW w:w="567" w:type="dxa"/>
          </w:tcPr>
          <w:p w14:paraId="2E71DAC5"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60E27F59" w14:textId="77777777" w:rsidR="002B2AF8" w:rsidRPr="00177D08" w:rsidRDefault="002B2AF8" w:rsidP="00AD6729">
            <w:pPr>
              <w:jc w:val="both"/>
              <w:rPr>
                <w:b/>
                <w:bCs/>
                <w:szCs w:val="24"/>
              </w:rPr>
            </w:pPr>
          </w:p>
        </w:tc>
        <w:tc>
          <w:tcPr>
            <w:tcW w:w="5528" w:type="dxa"/>
          </w:tcPr>
          <w:p w14:paraId="021641F6" w14:textId="77777777" w:rsidR="002B2AF8" w:rsidRPr="00177D08" w:rsidRDefault="002B2AF8" w:rsidP="00635C2F">
            <w:pPr>
              <w:jc w:val="both"/>
              <w:rPr>
                <w:szCs w:val="24"/>
              </w:rPr>
            </w:pPr>
            <w:r w:rsidRPr="00177D08">
              <w:rPr>
                <w:szCs w:val="24"/>
              </w:rPr>
              <w:t>8.8.11.</w:t>
            </w:r>
          </w:p>
          <w:p w14:paraId="52BC2695" w14:textId="77777777" w:rsidR="002B2AF8" w:rsidRPr="00177D08" w:rsidRDefault="002B2AF8" w:rsidP="00DC4EF0">
            <w:pPr>
              <w:jc w:val="both"/>
              <w:rPr>
                <w:szCs w:val="24"/>
              </w:rPr>
            </w:pPr>
            <w:r w:rsidRPr="00177D08">
              <w:rPr>
                <w:szCs w:val="24"/>
              </w:rPr>
              <w:t xml:space="preserve">Numatytas bendras ne daugiau kaip 10% tinkamų išlaidų limitas įrangos nuomai, pastatų/patalpų nuomai ir netiesioginėms išlaidoms. </w:t>
            </w:r>
          </w:p>
          <w:p w14:paraId="1720FD05" w14:textId="77777777" w:rsidR="002B2AF8" w:rsidRPr="00177D08" w:rsidRDefault="002B2AF8" w:rsidP="00DC4EF0">
            <w:pPr>
              <w:jc w:val="both"/>
              <w:rPr>
                <w:szCs w:val="24"/>
              </w:rPr>
            </w:pPr>
          </w:p>
          <w:p w14:paraId="6C3C539E" w14:textId="679768F4" w:rsidR="002B2AF8" w:rsidRPr="00177D08" w:rsidRDefault="002B2AF8" w:rsidP="00DC4EF0">
            <w:pPr>
              <w:jc w:val="both"/>
              <w:rPr>
                <w:szCs w:val="24"/>
                <w:lang w:val="it-IT"/>
              </w:rPr>
            </w:pPr>
            <w:r w:rsidRPr="00177D08">
              <w:rPr>
                <w:szCs w:val="24"/>
              </w:rPr>
              <w:t xml:space="preserve">Atkreipiame dėmesį, jog projekto vykdytojui gali būti ekonomiškai racionaliau ir efektyviau nuomotis įrangą MTEP veikloms atlikti (ne įsigyti ją). Atkreiptinas dėmesys, jog priemonės </w:t>
            </w:r>
            <w:proofErr w:type="spellStart"/>
            <w:r w:rsidRPr="00177D08">
              <w:rPr>
                <w:szCs w:val="24"/>
              </w:rPr>
              <w:t>Inobranda</w:t>
            </w:r>
            <w:proofErr w:type="spellEnd"/>
            <w:r w:rsidRPr="00177D08">
              <w:rPr>
                <w:szCs w:val="24"/>
              </w:rPr>
              <w:t xml:space="preserve"> finansavimo sąlygų apraše tinkamų išlaidų limitas įrangos nuomai nebuvo numatytas (jis buvo nustatytas tik patalpų/pastatų nuomai). Siūlome vadovautis </w:t>
            </w:r>
            <w:proofErr w:type="spellStart"/>
            <w:r w:rsidRPr="00177D08">
              <w:rPr>
                <w:szCs w:val="24"/>
              </w:rPr>
              <w:t>Inobranda</w:t>
            </w:r>
            <w:proofErr w:type="spellEnd"/>
            <w:r w:rsidRPr="00177D08">
              <w:rPr>
                <w:szCs w:val="24"/>
              </w:rPr>
              <w:t xml:space="preserve"> patirtimi ir įrangos nuomos (8.8.8 punkto) netraukti į bendrą 10% tinkamų išlaidų limitą.</w:t>
            </w:r>
          </w:p>
        </w:tc>
        <w:tc>
          <w:tcPr>
            <w:tcW w:w="6946" w:type="dxa"/>
          </w:tcPr>
          <w:p w14:paraId="6A3D628C" w14:textId="61EAE01C" w:rsidR="00FF2762" w:rsidRDefault="00FF2762" w:rsidP="007507C7">
            <w:pPr>
              <w:jc w:val="both"/>
              <w:rPr>
                <w:b/>
                <w:bCs/>
                <w:szCs w:val="24"/>
              </w:rPr>
            </w:pPr>
            <w:r>
              <w:rPr>
                <w:b/>
                <w:bCs/>
                <w:szCs w:val="24"/>
              </w:rPr>
              <w:t>Atsižvelgta.</w:t>
            </w:r>
          </w:p>
          <w:p w14:paraId="55F41502" w14:textId="658B8046" w:rsidR="00FF2762" w:rsidRPr="00EB4613" w:rsidRDefault="00F70EDB" w:rsidP="007507C7">
            <w:pPr>
              <w:jc w:val="both"/>
              <w:rPr>
                <w:szCs w:val="24"/>
              </w:rPr>
            </w:pPr>
            <w:r w:rsidRPr="00EB4613">
              <w:rPr>
                <w:szCs w:val="24"/>
              </w:rPr>
              <w:t xml:space="preserve">Patikslinta ir išdėstyta </w:t>
            </w:r>
            <w:r w:rsidR="00EB2565" w:rsidRPr="00EB4613">
              <w:rPr>
                <w:szCs w:val="24"/>
              </w:rPr>
              <w:t>taip:</w:t>
            </w:r>
          </w:p>
          <w:p w14:paraId="7E634704" w14:textId="452FF73F" w:rsidR="00EB2565" w:rsidRPr="00EB4613" w:rsidRDefault="00EB2565" w:rsidP="007507C7">
            <w:pPr>
              <w:jc w:val="both"/>
              <w:rPr>
                <w:i/>
                <w:iCs/>
                <w:szCs w:val="24"/>
              </w:rPr>
            </w:pPr>
            <w:r w:rsidRPr="00B82006">
              <w:rPr>
                <w:i/>
                <w:iCs/>
                <w:szCs w:val="24"/>
              </w:rPr>
              <w:t>„8</w:t>
            </w:r>
            <w:r w:rsidRPr="00EB4613">
              <w:rPr>
                <w:i/>
                <w:iCs/>
                <w:szCs w:val="24"/>
              </w:rPr>
              <w:t xml:space="preserve">.8.8. Tiesiogiai su projekto įgyvendinimu susijusios ir veiklai proporcingai (pro </w:t>
            </w:r>
            <w:proofErr w:type="spellStart"/>
            <w:r w:rsidRPr="00EB4613">
              <w:rPr>
                <w:i/>
                <w:iCs/>
                <w:szCs w:val="24"/>
              </w:rPr>
              <w:t>rata</w:t>
            </w:r>
            <w:proofErr w:type="spellEnd"/>
            <w:r w:rsidRPr="00EB4613">
              <w:rPr>
                <w:i/>
                <w:iCs/>
                <w:szCs w:val="24"/>
              </w:rPr>
              <w:t xml:space="preserve"> principu) paskirstytos pridėtinės išlaidos – projektui įgyvendinti būtinų pastatų ar patalpų nuomos išlaidos (ne daugiau nei 10 proc. tinkamų finansuoti išlaidų).“</w:t>
            </w:r>
          </w:p>
          <w:p w14:paraId="6160CFE1" w14:textId="73EB9C9D" w:rsidR="002B2AF8" w:rsidRPr="00177D08" w:rsidRDefault="002B2AF8" w:rsidP="007507C7">
            <w:pPr>
              <w:jc w:val="both"/>
              <w:rPr>
                <w:b/>
                <w:bCs/>
                <w:szCs w:val="24"/>
              </w:rPr>
            </w:pPr>
          </w:p>
        </w:tc>
      </w:tr>
      <w:tr w:rsidR="002B2AF8" w:rsidRPr="00C85D29" w14:paraId="62F5C4B0" w14:textId="77777777" w:rsidTr="009E26DD">
        <w:tc>
          <w:tcPr>
            <w:tcW w:w="567" w:type="dxa"/>
          </w:tcPr>
          <w:p w14:paraId="3CEBA18E"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36A195E2" w14:textId="77777777" w:rsidR="002B2AF8" w:rsidRPr="00177D08" w:rsidRDefault="002B2AF8" w:rsidP="00AD6729">
            <w:pPr>
              <w:jc w:val="both"/>
              <w:rPr>
                <w:b/>
                <w:bCs/>
                <w:szCs w:val="24"/>
              </w:rPr>
            </w:pPr>
          </w:p>
        </w:tc>
        <w:tc>
          <w:tcPr>
            <w:tcW w:w="5528" w:type="dxa"/>
          </w:tcPr>
          <w:p w14:paraId="52B10408" w14:textId="77777777" w:rsidR="002B2AF8" w:rsidRPr="00177D08" w:rsidRDefault="002B2AF8" w:rsidP="00635C2F">
            <w:pPr>
              <w:jc w:val="both"/>
              <w:rPr>
                <w:szCs w:val="24"/>
              </w:rPr>
            </w:pPr>
            <w:r w:rsidRPr="00177D08">
              <w:rPr>
                <w:szCs w:val="24"/>
              </w:rPr>
              <w:t xml:space="preserve">8.22. (de </w:t>
            </w:r>
            <w:proofErr w:type="spellStart"/>
            <w:r w:rsidRPr="00177D08">
              <w:rPr>
                <w:szCs w:val="24"/>
              </w:rPr>
              <w:t>minimis</w:t>
            </w:r>
            <w:proofErr w:type="spellEnd"/>
            <w:r w:rsidRPr="00177D08">
              <w:rPr>
                <w:szCs w:val="24"/>
              </w:rPr>
              <w:t xml:space="preserve"> pagalba)</w:t>
            </w:r>
          </w:p>
          <w:p w14:paraId="1A85287A" w14:textId="77777777" w:rsidR="002B2AF8" w:rsidRPr="00177D08" w:rsidRDefault="002B2AF8" w:rsidP="00DC4EF0">
            <w:pPr>
              <w:jc w:val="both"/>
              <w:rPr>
                <w:szCs w:val="24"/>
              </w:rPr>
            </w:pPr>
            <w:r w:rsidRPr="00177D08">
              <w:rPr>
                <w:szCs w:val="24"/>
              </w:rPr>
              <w:t xml:space="preserve">Apraše nurodyta, kad </w:t>
            </w:r>
            <w:r w:rsidRPr="00177D08">
              <w:rPr>
                <w:i/>
                <w:iCs/>
                <w:szCs w:val="24"/>
              </w:rPr>
              <w:t xml:space="preserve">de </w:t>
            </w:r>
            <w:proofErr w:type="spellStart"/>
            <w:r w:rsidRPr="00177D08">
              <w:rPr>
                <w:i/>
                <w:iCs/>
                <w:szCs w:val="24"/>
              </w:rPr>
              <w:t>minimis</w:t>
            </w:r>
            <w:proofErr w:type="spellEnd"/>
            <w:r w:rsidRPr="00177D08">
              <w:rPr>
                <w:szCs w:val="24"/>
              </w:rPr>
              <w:t xml:space="preserve"> pagalba gali būti teikiama  iki 2024 m. birželio 30 dienos. Matome didelę riziką, kad nebus sudarytos galimybės projekto vykdytojams pasinaudoti </w:t>
            </w:r>
            <w:r w:rsidRPr="00177D08">
              <w:rPr>
                <w:i/>
                <w:iCs/>
                <w:szCs w:val="24"/>
              </w:rPr>
              <w:t xml:space="preserve">de </w:t>
            </w:r>
            <w:proofErr w:type="spellStart"/>
            <w:r w:rsidRPr="00177D08">
              <w:rPr>
                <w:i/>
                <w:iCs/>
                <w:szCs w:val="24"/>
              </w:rPr>
              <w:t>minimis</w:t>
            </w:r>
            <w:proofErr w:type="spellEnd"/>
            <w:r w:rsidRPr="00177D08">
              <w:rPr>
                <w:szCs w:val="24"/>
              </w:rPr>
              <w:t xml:space="preserve"> pagalba patentavimo veikloms, kadangi iki 2024 m. birželio 30 dienos gali nebūti pabaigtos paraiškų vertinimo ir paramos skyrimo procedūros. Projektų finansavimo ir administravimo taisyklėse nustatyta, kad konkurso būdu atrenkamų projektų įgyvendinimo planų vertinimas gali trukti iki 70 darbo dienų, </w:t>
            </w:r>
            <w:proofErr w:type="spellStart"/>
            <w:r w:rsidRPr="00177D08">
              <w:rPr>
                <w:szCs w:val="24"/>
              </w:rPr>
              <w:t>t.y</w:t>
            </w:r>
            <w:proofErr w:type="spellEnd"/>
            <w:r w:rsidRPr="00177D08">
              <w:rPr>
                <w:szCs w:val="24"/>
              </w:rPr>
              <w:t>. 3.5 mėnesiai.</w:t>
            </w:r>
          </w:p>
          <w:p w14:paraId="6FFFDC03" w14:textId="016E84D9" w:rsidR="002B2AF8" w:rsidRPr="00177D08" w:rsidRDefault="002B2AF8" w:rsidP="00DC4EF0">
            <w:pPr>
              <w:jc w:val="both"/>
              <w:rPr>
                <w:szCs w:val="24"/>
                <w:lang w:val="it-IT"/>
              </w:rPr>
            </w:pPr>
            <w:r w:rsidRPr="00177D08">
              <w:rPr>
                <w:szCs w:val="24"/>
              </w:rPr>
              <w:lastRenderedPageBreak/>
              <w:t>Prašome numatyti būdus galimybes finansuoti patentavimo išlaidas (numatyti pagalbą pagal atnaujintą reglamentą, jeigu būtų pratęstas tęstinumo laikotarpis ar pan.)</w:t>
            </w:r>
          </w:p>
        </w:tc>
        <w:tc>
          <w:tcPr>
            <w:tcW w:w="6946" w:type="dxa"/>
          </w:tcPr>
          <w:p w14:paraId="7B55BA8F" w14:textId="1FF30738" w:rsidR="00A471A1" w:rsidRDefault="00EB2565" w:rsidP="007507C7">
            <w:pPr>
              <w:jc w:val="both"/>
              <w:rPr>
                <w:b/>
                <w:bCs/>
                <w:szCs w:val="24"/>
              </w:rPr>
            </w:pPr>
            <w:r>
              <w:rPr>
                <w:b/>
                <w:bCs/>
                <w:szCs w:val="24"/>
              </w:rPr>
              <w:lastRenderedPageBreak/>
              <w:t>P</w:t>
            </w:r>
            <w:r w:rsidR="00A471A1">
              <w:rPr>
                <w:b/>
                <w:bCs/>
                <w:szCs w:val="24"/>
              </w:rPr>
              <w:t>aaiškinta.</w:t>
            </w:r>
          </w:p>
          <w:p w14:paraId="2389D4DF" w14:textId="4968A751" w:rsidR="00A471A1" w:rsidRPr="00A471A1" w:rsidRDefault="002B2AF8" w:rsidP="007507C7">
            <w:pPr>
              <w:jc w:val="both"/>
              <w:rPr>
                <w:szCs w:val="24"/>
              </w:rPr>
            </w:pPr>
            <w:r w:rsidRPr="00A471A1">
              <w:rPr>
                <w:szCs w:val="24"/>
              </w:rPr>
              <w:t xml:space="preserve">Jei kvietimas </w:t>
            </w:r>
            <w:r w:rsidR="00A471A1" w:rsidRPr="00A471A1">
              <w:rPr>
                <w:szCs w:val="24"/>
              </w:rPr>
              <w:t xml:space="preserve">„TUI Invest“ </w:t>
            </w:r>
            <w:r w:rsidRPr="00A471A1">
              <w:rPr>
                <w:szCs w:val="24"/>
              </w:rPr>
              <w:t xml:space="preserve">bus paskelbtas ir </w:t>
            </w:r>
            <w:r w:rsidR="00A471A1">
              <w:rPr>
                <w:szCs w:val="24"/>
              </w:rPr>
              <w:t>administruojančioji institucija</w:t>
            </w:r>
            <w:r w:rsidR="00A471A1" w:rsidRPr="00A471A1">
              <w:rPr>
                <w:szCs w:val="24"/>
              </w:rPr>
              <w:t xml:space="preserve"> nespės įvertinti pateiktų projektų įgyvendinimo planų iki 2024 m. birželio 30 </w:t>
            </w:r>
            <w:r w:rsidR="00EB2565" w:rsidRPr="00A471A1">
              <w:rPr>
                <w:szCs w:val="24"/>
              </w:rPr>
              <w:t>d</w:t>
            </w:r>
            <w:r w:rsidR="00EB2565">
              <w:rPr>
                <w:szCs w:val="24"/>
              </w:rPr>
              <w:t>.</w:t>
            </w:r>
            <w:r w:rsidR="00A471A1" w:rsidRPr="00A471A1">
              <w:rPr>
                <w:szCs w:val="24"/>
              </w:rPr>
              <w:t xml:space="preserve">, tuomet kvietimas „TUI Invest“ bus stabdomas ir vėl pratęstas, kai tik įsigalios 2013 m. gruodžio 18 d. Komisijos reglamentas (ES) Nr. 1407/2013 dėl Sutarties dėl Europos Sąjungos veikimo 107 ir 108 straipsnių taikymo </w:t>
            </w:r>
            <w:r w:rsidR="00A471A1" w:rsidRPr="0008674E">
              <w:rPr>
                <w:i/>
                <w:iCs/>
                <w:szCs w:val="24"/>
              </w:rPr>
              <w:t xml:space="preserve">de </w:t>
            </w:r>
            <w:proofErr w:type="spellStart"/>
            <w:r w:rsidR="00A471A1" w:rsidRPr="0008674E">
              <w:rPr>
                <w:i/>
                <w:iCs/>
                <w:szCs w:val="24"/>
              </w:rPr>
              <w:t>minimis</w:t>
            </w:r>
            <w:proofErr w:type="spellEnd"/>
            <w:r w:rsidR="00A471A1" w:rsidRPr="00A471A1">
              <w:rPr>
                <w:szCs w:val="24"/>
              </w:rPr>
              <w:t xml:space="preserve"> pagalbai, su visais pakeitimais.</w:t>
            </w:r>
          </w:p>
          <w:p w14:paraId="2A434DBC" w14:textId="77777777" w:rsidR="00A471A1" w:rsidRDefault="00A471A1" w:rsidP="007507C7">
            <w:pPr>
              <w:jc w:val="both"/>
              <w:rPr>
                <w:b/>
                <w:bCs/>
                <w:szCs w:val="24"/>
              </w:rPr>
            </w:pPr>
          </w:p>
          <w:p w14:paraId="45A841EC" w14:textId="30E42753" w:rsidR="002B2AF8" w:rsidRPr="00177D08" w:rsidRDefault="00A471A1" w:rsidP="007507C7">
            <w:pPr>
              <w:jc w:val="both"/>
              <w:rPr>
                <w:b/>
                <w:bCs/>
                <w:szCs w:val="24"/>
              </w:rPr>
            </w:pPr>
            <w:r>
              <w:rPr>
                <w:b/>
                <w:bCs/>
                <w:szCs w:val="24"/>
              </w:rPr>
              <w:t xml:space="preserve"> </w:t>
            </w:r>
          </w:p>
        </w:tc>
      </w:tr>
      <w:tr w:rsidR="002B2AF8" w:rsidRPr="00C85D29" w14:paraId="1682B413" w14:textId="77777777" w:rsidTr="009E26DD">
        <w:tc>
          <w:tcPr>
            <w:tcW w:w="567" w:type="dxa"/>
          </w:tcPr>
          <w:p w14:paraId="5D484CED"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39BC1A02" w14:textId="77777777" w:rsidR="002B2AF8" w:rsidRPr="00177D08" w:rsidRDefault="002B2AF8" w:rsidP="00AD6729">
            <w:pPr>
              <w:jc w:val="both"/>
              <w:rPr>
                <w:b/>
                <w:bCs/>
                <w:szCs w:val="24"/>
              </w:rPr>
            </w:pPr>
          </w:p>
        </w:tc>
        <w:tc>
          <w:tcPr>
            <w:tcW w:w="5528" w:type="dxa"/>
          </w:tcPr>
          <w:p w14:paraId="58014E9B" w14:textId="77777777" w:rsidR="002B2AF8" w:rsidRPr="00177D08" w:rsidRDefault="002B2AF8" w:rsidP="00DC4EF0">
            <w:pPr>
              <w:jc w:val="both"/>
              <w:rPr>
                <w:szCs w:val="24"/>
              </w:rPr>
            </w:pPr>
            <w:r w:rsidRPr="00177D08">
              <w:rPr>
                <w:szCs w:val="24"/>
              </w:rPr>
              <w:t>8.25.1</w:t>
            </w:r>
          </w:p>
          <w:p w14:paraId="7205CB79" w14:textId="77777777" w:rsidR="002B2AF8" w:rsidRPr="00177D08" w:rsidRDefault="002B2AF8" w:rsidP="00DC4EF0">
            <w:pPr>
              <w:jc w:val="both"/>
              <w:rPr>
                <w:szCs w:val="24"/>
              </w:rPr>
            </w:pPr>
            <w:r w:rsidRPr="00177D08">
              <w:rPr>
                <w:szCs w:val="24"/>
              </w:rPr>
              <w:t>8.25.2 (patentavimo išlaidos)</w:t>
            </w:r>
          </w:p>
          <w:p w14:paraId="003E8683" w14:textId="4C7EC426" w:rsidR="002B2AF8" w:rsidRPr="00177D08" w:rsidRDefault="002B2AF8" w:rsidP="00DC4EF0">
            <w:pPr>
              <w:jc w:val="both"/>
              <w:rPr>
                <w:szCs w:val="24"/>
                <w:lang w:val="it-IT"/>
              </w:rPr>
            </w:pPr>
            <w:r w:rsidRPr="00177D08">
              <w:rPr>
                <w:szCs w:val="24"/>
              </w:rPr>
              <w:t>Išlaikant nuoseklumą, siūlome papildyti jog patentavimo išlaidoms taikoma Aprašo14 punkte nustatyta individuali fiksuotoji suma, kuri nustatoma atliekant PĮP vertinimą. Prie kasmetinių atostogų išlaidų nurodyta, kad jos nustatomos taikant fiksuotąją normą – siūlome išlaikyti vientisumą ir taip pat ir prie kitų išlaidų kategorijų nurodyti, jeigu joms taikoma fiksuotoji suma ar norma.</w:t>
            </w:r>
          </w:p>
        </w:tc>
        <w:tc>
          <w:tcPr>
            <w:tcW w:w="6946" w:type="dxa"/>
          </w:tcPr>
          <w:p w14:paraId="4733BD04" w14:textId="5538B3E8" w:rsidR="00763E82" w:rsidRDefault="00763E82" w:rsidP="007507C7">
            <w:pPr>
              <w:jc w:val="both"/>
              <w:rPr>
                <w:b/>
                <w:bCs/>
                <w:szCs w:val="24"/>
              </w:rPr>
            </w:pPr>
            <w:r>
              <w:rPr>
                <w:b/>
                <w:bCs/>
                <w:szCs w:val="24"/>
              </w:rPr>
              <w:t>Neatsižvelgta.</w:t>
            </w:r>
          </w:p>
          <w:p w14:paraId="17A638C7" w14:textId="423D1830" w:rsidR="0008674E" w:rsidRPr="00763E82" w:rsidRDefault="00763E82" w:rsidP="007507C7">
            <w:pPr>
              <w:jc w:val="both"/>
              <w:rPr>
                <w:szCs w:val="24"/>
              </w:rPr>
            </w:pPr>
            <w:r w:rsidRPr="00763E82">
              <w:rPr>
                <w:szCs w:val="24"/>
              </w:rPr>
              <w:t>Supaprastintai apmokamų išlaidų dydžius, taikomus</w:t>
            </w:r>
            <w:r w:rsidRPr="00763E82">
              <w:t xml:space="preserve"> </w:t>
            </w:r>
            <w:r w:rsidRPr="00763E82">
              <w:rPr>
                <w:szCs w:val="24"/>
              </w:rPr>
              <w:t xml:space="preserve">personalo darbo užmokesčio išlaidoms už kasmetines atostogas apskaičiuoti, pateikia Europos socialinio fondo agentūra 2021-2027 m. ES fondų lėšomis Supaprastintai apmokamų išlaidų dydžių registre ir juos skelbia Europos socialinio fondo agentūros interneto svetainės www.esf.lt Metodinės pagalbos centro skiltyje </w:t>
            </w:r>
            <w:hyperlink r:id="rId11" w:history="1">
              <w:r w:rsidRPr="00763E82">
                <w:rPr>
                  <w:rStyle w:val="Hipersaitas"/>
                  <w:szCs w:val="24"/>
                </w:rPr>
                <w:t>https://www.esf.lt/veiklos-sritys/metodines-pagalbos-centras/1073</w:t>
              </w:r>
            </w:hyperlink>
            <w:r w:rsidRPr="00763E82">
              <w:rPr>
                <w:szCs w:val="24"/>
              </w:rPr>
              <w:t>.</w:t>
            </w:r>
          </w:p>
          <w:p w14:paraId="79BB0383" w14:textId="2793C724" w:rsidR="002B2AF8" w:rsidRPr="00800D13" w:rsidRDefault="00763E82" w:rsidP="007507C7">
            <w:pPr>
              <w:jc w:val="both"/>
              <w:rPr>
                <w:szCs w:val="24"/>
              </w:rPr>
            </w:pPr>
            <w:r w:rsidRPr="00763E82">
              <w:rPr>
                <w:szCs w:val="24"/>
              </w:rPr>
              <w:t xml:space="preserve">Patentavimo išlaidoms nėra nustatyti supaprastinai apmokamų išlaidų dydžiai, todėl jų </w:t>
            </w:r>
            <w:r w:rsidRPr="00B82006">
              <w:rPr>
                <w:szCs w:val="24"/>
              </w:rPr>
              <w:t>įtraukti į PFSA negalima.</w:t>
            </w:r>
            <w:r w:rsidR="00212B90" w:rsidRPr="00B82006">
              <w:t xml:space="preserve"> </w:t>
            </w:r>
            <w:r w:rsidR="00212B90" w:rsidRPr="00B82006">
              <w:rPr>
                <w:szCs w:val="24"/>
              </w:rPr>
              <w:t xml:space="preserve">Šioms išlaidoms </w:t>
            </w:r>
            <w:r w:rsidR="00836B8F" w:rsidRPr="00B82006">
              <w:rPr>
                <w:szCs w:val="24"/>
              </w:rPr>
              <w:t>projekto įgyvendinimo plano</w:t>
            </w:r>
            <w:r w:rsidR="00212B90" w:rsidRPr="00B82006">
              <w:rPr>
                <w:szCs w:val="24"/>
              </w:rPr>
              <w:t xml:space="preserve"> vertinimo metu nustatoma individuali fiksuotoji suma, kaip nurodyta PFSA 14 punkte.</w:t>
            </w:r>
          </w:p>
        </w:tc>
      </w:tr>
      <w:tr w:rsidR="002B2AF8" w:rsidRPr="00C85D29" w14:paraId="7D3D3B71" w14:textId="77777777" w:rsidTr="009E26DD">
        <w:tc>
          <w:tcPr>
            <w:tcW w:w="567" w:type="dxa"/>
          </w:tcPr>
          <w:p w14:paraId="00872CAF"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5CC9E873" w14:textId="77777777" w:rsidR="002B2AF8" w:rsidRPr="00177D08" w:rsidRDefault="002B2AF8" w:rsidP="00AD6729">
            <w:pPr>
              <w:jc w:val="both"/>
              <w:rPr>
                <w:b/>
                <w:bCs/>
                <w:szCs w:val="24"/>
              </w:rPr>
            </w:pPr>
          </w:p>
        </w:tc>
        <w:tc>
          <w:tcPr>
            <w:tcW w:w="5528" w:type="dxa"/>
          </w:tcPr>
          <w:p w14:paraId="6362B62D" w14:textId="77777777" w:rsidR="002B2AF8" w:rsidRPr="00177D08" w:rsidRDefault="002B2AF8" w:rsidP="00635C2F">
            <w:pPr>
              <w:jc w:val="both"/>
              <w:rPr>
                <w:szCs w:val="24"/>
              </w:rPr>
            </w:pPr>
            <w:r w:rsidRPr="00177D08">
              <w:rPr>
                <w:szCs w:val="24"/>
              </w:rPr>
              <w:t>8.25.3</w:t>
            </w:r>
          </w:p>
          <w:p w14:paraId="43B447B1" w14:textId="77777777" w:rsidR="002B2AF8" w:rsidRPr="00177D08" w:rsidRDefault="002B2AF8" w:rsidP="00DC4EF0">
            <w:pPr>
              <w:jc w:val="both"/>
              <w:rPr>
                <w:szCs w:val="24"/>
              </w:rPr>
            </w:pPr>
            <w:r w:rsidRPr="00177D08">
              <w:rPr>
                <w:szCs w:val="24"/>
              </w:rPr>
              <w:t xml:space="preserve">Ar teisingai suprantame, jog netiesioginės išlaidos būtų kompensuojamos kaip </w:t>
            </w:r>
            <w:r w:rsidRPr="00177D08">
              <w:rPr>
                <w:i/>
                <w:iCs/>
                <w:szCs w:val="24"/>
              </w:rPr>
              <w:t xml:space="preserve">de </w:t>
            </w:r>
            <w:proofErr w:type="spellStart"/>
            <w:r w:rsidRPr="00177D08">
              <w:rPr>
                <w:i/>
                <w:iCs/>
                <w:szCs w:val="24"/>
              </w:rPr>
              <w:t>minimis</w:t>
            </w:r>
            <w:proofErr w:type="spellEnd"/>
            <w:r w:rsidRPr="00177D08">
              <w:rPr>
                <w:szCs w:val="24"/>
              </w:rPr>
              <w:t xml:space="preserve"> pagalba (8.25 punktas apima išlaidas pagal Reglamentą (ES) Nr. 1407/2013, o netiesioginės išlaidos nurodomos 8.25.3 papunktyje)? </w:t>
            </w:r>
          </w:p>
          <w:p w14:paraId="762F3C72" w14:textId="77777777" w:rsidR="002B2AF8" w:rsidRPr="00177D08" w:rsidRDefault="002B2AF8" w:rsidP="00DC4EF0">
            <w:pPr>
              <w:jc w:val="both"/>
              <w:rPr>
                <w:szCs w:val="24"/>
              </w:rPr>
            </w:pPr>
            <w:r w:rsidRPr="00177D08">
              <w:rPr>
                <w:szCs w:val="24"/>
              </w:rPr>
              <w:t xml:space="preserve">Prašome netiesioginių išlaidų nepriskirti </w:t>
            </w:r>
            <w:r w:rsidRPr="00177D08">
              <w:rPr>
                <w:i/>
                <w:iCs/>
                <w:szCs w:val="24"/>
              </w:rPr>
              <w:t xml:space="preserve">de </w:t>
            </w:r>
            <w:proofErr w:type="spellStart"/>
            <w:r w:rsidRPr="00177D08">
              <w:rPr>
                <w:i/>
                <w:iCs/>
                <w:szCs w:val="24"/>
              </w:rPr>
              <w:t>minimis</w:t>
            </w:r>
            <w:proofErr w:type="spellEnd"/>
            <w:r w:rsidRPr="00177D08">
              <w:rPr>
                <w:szCs w:val="24"/>
              </w:rPr>
              <w:t xml:space="preserve"> pagalbos rūšiai jas kompensuojant kaip valstybės pagalbą pagal </w:t>
            </w:r>
            <w:proofErr w:type="spellStart"/>
            <w:r w:rsidRPr="00177D08">
              <w:rPr>
                <w:szCs w:val="24"/>
              </w:rPr>
              <w:t>Regl</w:t>
            </w:r>
            <w:proofErr w:type="spellEnd"/>
            <w:r w:rsidRPr="00177D08">
              <w:rPr>
                <w:szCs w:val="24"/>
              </w:rPr>
              <w:t xml:space="preserve">. 651/2014 25 str. analogiškai kaip 20214-2020 m. periodo priemonėje SMART Invest LT+ III kvietime. </w:t>
            </w:r>
          </w:p>
          <w:p w14:paraId="48E76A6E" w14:textId="0D2ED7E1" w:rsidR="002B2AF8" w:rsidRPr="00177D08" w:rsidRDefault="002B2AF8" w:rsidP="00DC4EF0">
            <w:pPr>
              <w:jc w:val="both"/>
              <w:rPr>
                <w:szCs w:val="24"/>
                <w:lang w:val="it-IT"/>
              </w:rPr>
            </w:pPr>
            <w:r w:rsidRPr="00177D08">
              <w:rPr>
                <w:szCs w:val="24"/>
              </w:rPr>
              <w:t xml:space="preserve">Projekto finansavimo ir administravimo taisyklės numato galimybę finansuoti netiesiogines išlaidas.  SMART Invest LT+ III kvietime netiesioginės išlaidos buvo priskiriamos pagal </w:t>
            </w:r>
            <w:proofErr w:type="spellStart"/>
            <w:r w:rsidRPr="00177D08">
              <w:rPr>
                <w:szCs w:val="24"/>
              </w:rPr>
              <w:t>Regl</w:t>
            </w:r>
            <w:proofErr w:type="spellEnd"/>
            <w:r w:rsidRPr="00177D08">
              <w:rPr>
                <w:szCs w:val="24"/>
              </w:rPr>
              <w:t>. 651/2014 25 str. tinkamoms finansuoti išlaidoms. Prašome užtikrinti šios praktikos tęstinumą.</w:t>
            </w:r>
          </w:p>
        </w:tc>
        <w:tc>
          <w:tcPr>
            <w:tcW w:w="6946" w:type="dxa"/>
          </w:tcPr>
          <w:p w14:paraId="726B9F49" w14:textId="4EE79C33" w:rsidR="00BC7596" w:rsidRDefault="006039F5" w:rsidP="00BC7596">
            <w:pPr>
              <w:tabs>
                <w:tab w:val="left" w:pos="457"/>
                <w:tab w:val="left" w:pos="691"/>
              </w:tabs>
              <w:jc w:val="both"/>
              <w:rPr>
                <w:b/>
                <w:bCs/>
              </w:rPr>
            </w:pPr>
            <w:r w:rsidRPr="006039F5">
              <w:rPr>
                <w:b/>
                <w:bCs/>
              </w:rPr>
              <w:t>Neatsižvelgta.</w:t>
            </w:r>
          </w:p>
          <w:p w14:paraId="1896FB8C" w14:textId="4B90C0F3" w:rsidR="001B18D1" w:rsidRPr="006039F5" w:rsidRDefault="001B18D1" w:rsidP="00BC7596">
            <w:pPr>
              <w:tabs>
                <w:tab w:val="left" w:pos="457"/>
                <w:tab w:val="left" w:pos="691"/>
              </w:tabs>
              <w:jc w:val="both"/>
              <w:rPr>
                <w:b/>
                <w:bCs/>
              </w:rPr>
            </w:pPr>
            <w:r w:rsidRPr="00EB00F5">
              <w:rPr>
                <w:szCs w:val="24"/>
              </w:rPr>
              <w:t>Netiesioginės išlaidos pagal fiksuotąją projekto išlaidų normą</w:t>
            </w:r>
            <w:r>
              <w:rPr>
                <w:szCs w:val="24"/>
              </w:rPr>
              <w:t xml:space="preserve"> taikomos kiekvienai išlaidų kategorijai atskirai ir PFSA yra nurodytos tiek prie tinkamų finansuot išlaidų pagal </w:t>
            </w:r>
            <w:r w:rsidRPr="001B18D1">
              <w:rPr>
                <w:szCs w:val="24"/>
              </w:rPr>
              <w:t>2014 m. birželio 17 d. Komisijos reglamento (ES) Nr. 651/2014, kuriuo tam tikrų kategorijų pagalba skelbiama suderinama su vidaus rinka taikant Sutarties 107 ir 108 straipsnius, su visais pakeitimais 25 straipsn</w:t>
            </w:r>
            <w:r>
              <w:rPr>
                <w:szCs w:val="24"/>
              </w:rPr>
              <w:t>į, tiek ir prie tinkamų finansuoti išlaidų pagal R</w:t>
            </w:r>
            <w:r w:rsidRPr="001B18D1">
              <w:rPr>
                <w:szCs w:val="24"/>
              </w:rPr>
              <w:t>eglament</w:t>
            </w:r>
            <w:r>
              <w:rPr>
                <w:szCs w:val="24"/>
              </w:rPr>
              <w:t>ą</w:t>
            </w:r>
            <w:r w:rsidRPr="001B18D1">
              <w:rPr>
                <w:szCs w:val="24"/>
              </w:rPr>
              <w:t xml:space="preserve"> (ES) Nr. 1407/2013</w:t>
            </w:r>
            <w:r>
              <w:rPr>
                <w:szCs w:val="24"/>
              </w:rPr>
              <w:t>.</w:t>
            </w:r>
          </w:p>
          <w:p w14:paraId="05089F13" w14:textId="77777777" w:rsidR="006039F5" w:rsidRDefault="006039F5" w:rsidP="00BC7596">
            <w:pPr>
              <w:tabs>
                <w:tab w:val="left" w:pos="457"/>
                <w:tab w:val="left" w:pos="691"/>
              </w:tabs>
              <w:jc w:val="both"/>
            </w:pPr>
          </w:p>
          <w:p w14:paraId="08042655" w14:textId="77777777" w:rsidR="00BC7596" w:rsidRDefault="00BC7596" w:rsidP="007507C7">
            <w:pPr>
              <w:jc w:val="both"/>
              <w:rPr>
                <w:b/>
                <w:bCs/>
                <w:szCs w:val="24"/>
              </w:rPr>
            </w:pPr>
          </w:p>
          <w:p w14:paraId="6FD4D464" w14:textId="77777777" w:rsidR="00BC7596" w:rsidRDefault="00BC7596" w:rsidP="007507C7">
            <w:pPr>
              <w:jc w:val="both"/>
              <w:rPr>
                <w:b/>
                <w:bCs/>
                <w:szCs w:val="24"/>
              </w:rPr>
            </w:pPr>
          </w:p>
          <w:p w14:paraId="70EADD6B" w14:textId="1D8B138E" w:rsidR="002B2AF8" w:rsidRPr="00177D08" w:rsidRDefault="002B2AF8" w:rsidP="007507C7">
            <w:pPr>
              <w:jc w:val="both"/>
              <w:rPr>
                <w:b/>
                <w:bCs/>
                <w:szCs w:val="24"/>
              </w:rPr>
            </w:pPr>
          </w:p>
        </w:tc>
      </w:tr>
      <w:tr w:rsidR="002B2AF8" w:rsidRPr="00C85D29" w14:paraId="23FD0B1A" w14:textId="77777777" w:rsidTr="009E26DD">
        <w:tc>
          <w:tcPr>
            <w:tcW w:w="567" w:type="dxa"/>
          </w:tcPr>
          <w:p w14:paraId="149B1E6D"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1DEAE7BC" w14:textId="77777777" w:rsidR="002B2AF8" w:rsidRPr="00177D08" w:rsidRDefault="002B2AF8" w:rsidP="00AD6729">
            <w:pPr>
              <w:jc w:val="both"/>
              <w:rPr>
                <w:b/>
                <w:bCs/>
                <w:szCs w:val="24"/>
              </w:rPr>
            </w:pPr>
          </w:p>
        </w:tc>
        <w:tc>
          <w:tcPr>
            <w:tcW w:w="5528" w:type="dxa"/>
          </w:tcPr>
          <w:p w14:paraId="540F44DE" w14:textId="77777777" w:rsidR="002B2AF8" w:rsidRPr="00177D08" w:rsidRDefault="002B2AF8" w:rsidP="00635C2F">
            <w:pPr>
              <w:jc w:val="both"/>
              <w:rPr>
                <w:szCs w:val="24"/>
              </w:rPr>
            </w:pPr>
            <w:r w:rsidRPr="00177D08">
              <w:rPr>
                <w:szCs w:val="24"/>
              </w:rPr>
              <w:t>8.25.3</w:t>
            </w:r>
          </w:p>
          <w:p w14:paraId="57C8CA3F" w14:textId="5FBCEB75" w:rsidR="002B2AF8" w:rsidRPr="00177D08" w:rsidRDefault="002B2AF8" w:rsidP="00635C2F">
            <w:pPr>
              <w:jc w:val="both"/>
              <w:rPr>
                <w:szCs w:val="24"/>
                <w:lang w:val="it-IT"/>
              </w:rPr>
            </w:pPr>
            <w:r w:rsidRPr="00177D08">
              <w:rPr>
                <w:szCs w:val="24"/>
              </w:rPr>
              <w:lastRenderedPageBreak/>
              <w:t>Netiesioginės išlaidoms taikoma Projektų finansavimo ir administravimo taisyklių 172.1 papunktyje nurodytą fiksuotoji norma (</w:t>
            </w:r>
            <w:proofErr w:type="spellStart"/>
            <w:r w:rsidRPr="00177D08">
              <w:rPr>
                <w:szCs w:val="24"/>
              </w:rPr>
              <w:t>t.y</w:t>
            </w:r>
            <w:proofErr w:type="spellEnd"/>
            <w:r w:rsidRPr="00177D08">
              <w:rPr>
                <w:szCs w:val="24"/>
              </w:rPr>
              <w:t xml:space="preserve">. 7%). Ar pareiškėjas turėtų galimybę prašyti taikyti žemesnę fiksuotąją normą (pvz., 5%) (pvz., jeigu nepakankamas </w:t>
            </w:r>
            <w:r w:rsidRPr="00177D08">
              <w:rPr>
                <w:i/>
                <w:iCs/>
                <w:szCs w:val="24"/>
              </w:rPr>
              <w:t xml:space="preserve">de </w:t>
            </w:r>
            <w:proofErr w:type="spellStart"/>
            <w:r w:rsidRPr="00177D08">
              <w:rPr>
                <w:i/>
                <w:iCs/>
                <w:szCs w:val="24"/>
              </w:rPr>
              <w:t>minimis</w:t>
            </w:r>
            <w:proofErr w:type="spellEnd"/>
            <w:r w:rsidRPr="00177D08">
              <w:rPr>
                <w:szCs w:val="24"/>
              </w:rPr>
              <w:t xml:space="preserve"> pagalbos likutis ar kt.)?  </w:t>
            </w:r>
          </w:p>
        </w:tc>
        <w:tc>
          <w:tcPr>
            <w:tcW w:w="6946" w:type="dxa"/>
          </w:tcPr>
          <w:p w14:paraId="2242C3C5" w14:textId="26603F33" w:rsidR="00703766" w:rsidRDefault="00EB2565" w:rsidP="007507C7">
            <w:pPr>
              <w:jc w:val="both"/>
              <w:rPr>
                <w:b/>
                <w:bCs/>
                <w:szCs w:val="24"/>
              </w:rPr>
            </w:pPr>
            <w:r>
              <w:rPr>
                <w:b/>
                <w:bCs/>
                <w:szCs w:val="24"/>
              </w:rPr>
              <w:lastRenderedPageBreak/>
              <w:t>P</w:t>
            </w:r>
            <w:r w:rsidR="00EB459E">
              <w:rPr>
                <w:b/>
                <w:bCs/>
                <w:szCs w:val="24"/>
              </w:rPr>
              <w:t>aaiškinta.</w:t>
            </w:r>
          </w:p>
          <w:p w14:paraId="4D03C082" w14:textId="0F32A25B" w:rsidR="002B2AF8" w:rsidRPr="00800D13" w:rsidRDefault="006B0E09" w:rsidP="007507C7">
            <w:pPr>
              <w:jc w:val="both"/>
              <w:rPr>
                <w:szCs w:val="24"/>
              </w:rPr>
            </w:pPr>
            <w:r w:rsidRPr="003D4259">
              <w:rPr>
                <w:szCs w:val="24"/>
              </w:rPr>
              <w:lastRenderedPageBreak/>
              <w:t xml:space="preserve">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(toliau – Administravimo taisyklės) 172.1 </w:t>
            </w:r>
            <w:r w:rsidR="003D4259" w:rsidRPr="003D4259">
              <w:rPr>
                <w:szCs w:val="24"/>
              </w:rPr>
              <w:t>papunktyje nustatyta fiksuota netiesioginių išlaidų norma ir mažesnė ji negali būti.</w:t>
            </w:r>
          </w:p>
        </w:tc>
      </w:tr>
      <w:tr w:rsidR="002B2AF8" w:rsidRPr="00C85D29" w14:paraId="05CC0BBC" w14:textId="77777777" w:rsidTr="009E26DD">
        <w:tc>
          <w:tcPr>
            <w:tcW w:w="567" w:type="dxa"/>
          </w:tcPr>
          <w:p w14:paraId="6FB5F0B8"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31E0A813" w14:textId="77777777" w:rsidR="002B2AF8" w:rsidRPr="00177D08" w:rsidRDefault="002B2AF8" w:rsidP="00AD6729">
            <w:pPr>
              <w:jc w:val="both"/>
              <w:rPr>
                <w:b/>
                <w:bCs/>
                <w:szCs w:val="24"/>
              </w:rPr>
            </w:pPr>
          </w:p>
        </w:tc>
        <w:tc>
          <w:tcPr>
            <w:tcW w:w="5528" w:type="dxa"/>
          </w:tcPr>
          <w:p w14:paraId="2C9D552D" w14:textId="77777777" w:rsidR="002B2AF8" w:rsidRPr="00177D08" w:rsidRDefault="002B2AF8" w:rsidP="00DC4EF0">
            <w:pPr>
              <w:jc w:val="both"/>
              <w:rPr>
                <w:szCs w:val="24"/>
              </w:rPr>
            </w:pPr>
            <w:r w:rsidRPr="00177D08">
              <w:rPr>
                <w:szCs w:val="24"/>
              </w:rPr>
              <w:t>Prioritetinis kriterijus</w:t>
            </w:r>
          </w:p>
          <w:p w14:paraId="730A1D3B" w14:textId="77777777" w:rsidR="002B2AF8" w:rsidRPr="00177D08" w:rsidRDefault="002B2AF8" w:rsidP="00DC4EF0">
            <w:pPr>
              <w:jc w:val="both"/>
              <w:rPr>
                <w:szCs w:val="24"/>
              </w:rPr>
            </w:pPr>
            <w:r w:rsidRPr="00177D08">
              <w:rPr>
                <w:szCs w:val="24"/>
              </w:rPr>
              <w:t>„Projekto įgyvendinimo metu planuojamas (-a) sukurti tvarus inovatyvus aplinkai draugiškas produktas ir (arba) tvari inovatyvi aplinkai draugiška technologija“</w:t>
            </w:r>
          </w:p>
          <w:p w14:paraId="100EFC37" w14:textId="77777777" w:rsidR="002B2AF8" w:rsidRPr="00177D08" w:rsidRDefault="002B2AF8" w:rsidP="00DC4EF0">
            <w:pPr>
              <w:jc w:val="both"/>
              <w:rPr>
                <w:szCs w:val="24"/>
              </w:rPr>
            </w:pPr>
            <w:r w:rsidRPr="00177D08">
              <w:rPr>
                <w:szCs w:val="24"/>
              </w:rPr>
              <w:t>Inovacinė veikla – naujų arba patobulintų produktų ar procesų (arba jų derinių), kurie reikšmingai skiriasi nuo ankstesnių subjekto produktų ar procesų, kūrimo ir diegimo į rinką, viešojo valdymo, socialinę, kultūros sritį veikla.</w:t>
            </w:r>
          </w:p>
          <w:p w14:paraId="129CA3AB" w14:textId="29EE96DC" w:rsidR="002B2AF8" w:rsidRPr="00177D08" w:rsidRDefault="002B2AF8" w:rsidP="00DC4EF0">
            <w:pPr>
              <w:jc w:val="both"/>
              <w:rPr>
                <w:szCs w:val="24"/>
              </w:rPr>
            </w:pPr>
            <w:r w:rsidRPr="00177D08">
              <w:rPr>
                <w:szCs w:val="24"/>
              </w:rPr>
              <w:t>Ar apima ši sąvoka apima ir naujų technologijų/metodų kūrimo, taikymo veiklas? Jeigu neapima, prašome papildyti (pvz., kai kuriamas naujas metodas ar algoritmas ar pan.)?</w:t>
            </w:r>
          </w:p>
        </w:tc>
        <w:tc>
          <w:tcPr>
            <w:tcW w:w="6946" w:type="dxa"/>
          </w:tcPr>
          <w:p w14:paraId="2DE9A9E4" w14:textId="556545DE" w:rsidR="006C380A" w:rsidRDefault="00EB2565" w:rsidP="007507C7">
            <w:pPr>
              <w:jc w:val="both"/>
              <w:rPr>
                <w:b/>
                <w:bCs/>
                <w:szCs w:val="24"/>
              </w:rPr>
            </w:pPr>
            <w:r>
              <w:rPr>
                <w:b/>
                <w:bCs/>
                <w:szCs w:val="24"/>
              </w:rPr>
              <w:t>P</w:t>
            </w:r>
            <w:r w:rsidR="006C380A">
              <w:rPr>
                <w:b/>
                <w:bCs/>
                <w:szCs w:val="24"/>
              </w:rPr>
              <w:t>aaiškinta.</w:t>
            </w:r>
          </w:p>
          <w:p w14:paraId="035F59D4" w14:textId="7FDEBA23" w:rsidR="006C380A" w:rsidRPr="00C43623" w:rsidRDefault="00C43623" w:rsidP="007507C7">
            <w:pPr>
              <w:jc w:val="both"/>
              <w:rPr>
                <w:szCs w:val="24"/>
              </w:rPr>
            </w:pPr>
            <w:r w:rsidRPr="00C43623">
              <w:rPr>
                <w:szCs w:val="24"/>
              </w:rPr>
              <w:t xml:space="preserve">Sąvoka „Inovacinė veikla“ apibrėžta Lietuvos Respublikos technologijų ir inovacijų įstatyme. </w:t>
            </w:r>
          </w:p>
          <w:p w14:paraId="6AEE45D2" w14:textId="29363449" w:rsidR="00C43623" w:rsidRPr="00C43623" w:rsidRDefault="00C43623" w:rsidP="007507C7">
            <w:pPr>
              <w:jc w:val="both"/>
              <w:rPr>
                <w:szCs w:val="24"/>
              </w:rPr>
            </w:pPr>
            <w:r w:rsidRPr="00C43623">
              <w:rPr>
                <w:szCs w:val="24"/>
              </w:rPr>
              <w:t>Technologija</w:t>
            </w:r>
            <w:r w:rsidR="00EB2565">
              <w:rPr>
                <w:szCs w:val="24"/>
              </w:rPr>
              <w:t xml:space="preserve"> paprastai </w:t>
            </w:r>
            <w:r w:rsidRPr="00C43623">
              <w:rPr>
                <w:szCs w:val="24"/>
              </w:rPr>
              <w:t>suprantama kaip „</w:t>
            </w:r>
            <w:r w:rsidRPr="00C43623">
              <w:rPr>
                <w:i/>
                <w:iCs/>
                <w:szCs w:val="24"/>
              </w:rPr>
              <w:t>mokslas apie medžiagas, gamybos procesus, būdus ir įrangą</w:t>
            </w:r>
            <w:r w:rsidRPr="00C43623">
              <w:rPr>
                <w:szCs w:val="24"/>
              </w:rPr>
              <w:t>“, taip pat „</w:t>
            </w:r>
            <w:r w:rsidRPr="00C43623">
              <w:rPr>
                <w:i/>
                <w:iCs/>
                <w:szCs w:val="24"/>
              </w:rPr>
              <w:t>tam tikro produkto gamybos procesų atlikimo būdų ir priemonių visuma.</w:t>
            </w:r>
            <w:r w:rsidRPr="00C43623">
              <w:rPr>
                <w:szCs w:val="24"/>
              </w:rPr>
              <w:t>“</w:t>
            </w:r>
            <w:r w:rsidR="00EB2565">
              <w:rPr>
                <w:szCs w:val="24"/>
              </w:rPr>
              <w:t xml:space="preserve"> (tokia sąvoka nustatyta Lietuvos Respublikos terminų banke).</w:t>
            </w:r>
          </w:p>
          <w:p w14:paraId="6B7E8B24" w14:textId="77777777" w:rsidR="00C43623" w:rsidRDefault="00C43623" w:rsidP="007507C7">
            <w:pPr>
              <w:jc w:val="both"/>
              <w:rPr>
                <w:b/>
                <w:bCs/>
                <w:szCs w:val="24"/>
              </w:rPr>
            </w:pPr>
          </w:p>
          <w:p w14:paraId="31AAA7E8" w14:textId="77777777" w:rsidR="00C43623" w:rsidRDefault="00C43623" w:rsidP="007507C7">
            <w:pPr>
              <w:jc w:val="both"/>
              <w:rPr>
                <w:b/>
                <w:bCs/>
                <w:szCs w:val="24"/>
              </w:rPr>
            </w:pPr>
          </w:p>
          <w:p w14:paraId="1E3F8488" w14:textId="248B40B9" w:rsidR="002B2AF8" w:rsidRPr="00177D08" w:rsidRDefault="002B2AF8" w:rsidP="007507C7">
            <w:pPr>
              <w:jc w:val="both"/>
              <w:rPr>
                <w:b/>
                <w:bCs/>
                <w:szCs w:val="24"/>
              </w:rPr>
            </w:pPr>
          </w:p>
        </w:tc>
      </w:tr>
      <w:tr w:rsidR="002B2AF8" w:rsidRPr="00C85D29" w14:paraId="20B4C711" w14:textId="77777777" w:rsidTr="009E26DD">
        <w:tc>
          <w:tcPr>
            <w:tcW w:w="567" w:type="dxa"/>
          </w:tcPr>
          <w:p w14:paraId="33671AA2"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15757D44" w14:textId="77777777" w:rsidR="002B2AF8" w:rsidRPr="00177D08" w:rsidRDefault="002B2AF8" w:rsidP="00AD6729">
            <w:pPr>
              <w:jc w:val="both"/>
              <w:rPr>
                <w:b/>
                <w:bCs/>
                <w:szCs w:val="24"/>
              </w:rPr>
            </w:pPr>
          </w:p>
        </w:tc>
        <w:tc>
          <w:tcPr>
            <w:tcW w:w="5528" w:type="dxa"/>
          </w:tcPr>
          <w:p w14:paraId="3AD6A4EB" w14:textId="77777777" w:rsidR="002B2AF8" w:rsidRPr="00177D08" w:rsidRDefault="002B2AF8" w:rsidP="00DC4EF0">
            <w:pPr>
              <w:jc w:val="both"/>
              <w:rPr>
                <w:szCs w:val="24"/>
              </w:rPr>
            </w:pPr>
            <w:r w:rsidRPr="00177D08">
              <w:rPr>
                <w:szCs w:val="24"/>
              </w:rPr>
              <w:t>Prioritetinis kriterijus</w:t>
            </w:r>
          </w:p>
          <w:p w14:paraId="6AF603AA" w14:textId="77777777" w:rsidR="002B2AF8" w:rsidRPr="00177D08" w:rsidRDefault="002B2AF8" w:rsidP="00DC4EF0">
            <w:pPr>
              <w:jc w:val="both"/>
              <w:rPr>
                <w:szCs w:val="24"/>
              </w:rPr>
            </w:pPr>
            <w:r w:rsidRPr="00177D08">
              <w:rPr>
                <w:szCs w:val="24"/>
              </w:rPr>
              <w:t>“Projekto įgyvendinimo metu planuojamas sukurti inovatyvus produktas taikant didelio poveikio technologiją”</w:t>
            </w:r>
          </w:p>
          <w:p w14:paraId="53BEFDD0" w14:textId="77777777" w:rsidR="002B2AF8" w:rsidRPr="00177D08" w:rsidRDefault="002B2AF8" w:rsidP="00DC4EF0">
            <w:pPr>
              <w:jc w:val="both"/>
              <w:rPr>
                <w:szCs w:val="24"/>
              </w:rPr>
            </w:pPr>
            <w:r w:rsidRPr="00177D08">
              <w:rPr>
                <w:szCs w:val="24"/>
              </w:rPr>
              <w:t xml:space="preserve">Kriterijaus aprašymo vertinimo skalėje numatyta suteikti 3 balus, jeigu inovatyvus produktas taikant didelio poveikio technologiją, priskiriamas gyvybės mokslų sektoriui. Tuo tarpu lentelėje numatytas maksimalus galimas kriterijaus balas 5 (Y5), kriterijaus svoris 3 (S5), o maksimalus galimas didžiausias galimas kriterijaus balas, kai nustatomas svorio koeficientas yra 15. </w:t>
            </w:r>
          </w:p>
          <w:p w14:paraId="611C0208" w14:textId="77777777" w:rsidR="002B2AF8" w:rsidRPr="00177D08" w:rsidRDefault="002B2AF8" w:rsidP="00DC4EF0">
            <w:pPr>
              <w:jc w:val="both"/>
              <w:rPr>
                <w:szCs w:val="24"/>
              </w:rPr>
            </w:pPr>
          </w:p>
          <w:p w14:paraId="0A86D536" w14:textId="77777777" w:rsidR="002B2AF8" w:rsidRPr="00177D08" w:rsidRDefault="002B2AF8" w:rsidP="00DC4EF0">
            <w:pPr>
              <w:jc w:val="both"/>
              <w:rPr>
                <w:szCs w:val="24"/>
              </w:rPr>
            </w:pPr>
            <w:r w:rsidRPr="00177D08">
              <w:rPr>
                <w:szCs w:val="24"/>
              </w:rPr>
              <w:t xml:space="preserve">Atkreipiame dėmesį, jog nėra galimybės pagal šį kriterijų  surinkti maksimalų šio kriterijaus 15 balų skaičių. Maksimalus galimas surinkti balų skaičius pagal šį kriterijų yra 3*3=9. Todėl maksimalus nustatytas 3 balų skaičius nėra suderintas su lentelėje nurodytais balais. </w:t>
            </w:r>
          </w:p>
          <w:p w14:paraId="575346F5" w14:textId="71AE2619" w:rsidR="002B2AF8" w:rsidRPr="00177D08" w:rsidRDefault="002B2AF8" w:rsidP="00DC4EF0">
            <w:pPr>
              <w:jc w:val="both"/>
              <w:rPr>
                <w:szCs w:val="24"/>
              </w:rPr>
            </w:pPr>
            <w:r w:rsidRPr="00177D08">
              <w:rPr>
                <w:szCs w:val="24"/>
              </w:rPr>
              <w:t>Tuo atveju, kai inovatyvus produktas, taikant didelio poveikio technologiją priskiriamas gyvybės sektoriui, kriterijaus aprašyme nustatytas maksimalus balų skaičius turi būti 5 balai (vietoje 3 balų).</w:t>
            </w:r>
          </w:p>
        </w:tc>
        <w:tc>
          <w:tcPr>
            <w:tcW w:w="6946" w:type="dxa"/>
          </w:tcPr>
          <w:p w14:paraId="3EBB9A8D" w14:textId="77777777" w:rsidR="002B2AF8" w:rsidRDefault="004955FA" w:rsidP="007507C7">
            <w:pPr>
              <w:jc w:val="both"/>
              <w:rPr>
                <w:b/>
                <w:bCs/>
                <w:szCs w:val="24"/>
              </w:rPr>
            </w:pPr>
            <w:r>
              <w:rPr>
                <w:b/>
                <w:bCs/>
                <w:szCs w:val="24"/>
              </w:rPr>
              <w:lastRenderedPageBreak/>
              <w:t>Atsižvelgta.</w:t>
            </w:r>
          </w:p>
          <w:p w14:paraId="30D61A1E" w14:textId="71627D6D" w:rsidR="00EB2565" w:rsidRPr="00EB4613" w:rsidRDefault="00EB2565" w:rsidP="007507C7">
            <w:pPr>
              <w:jc w:val="both"/>
              <w:rPr>
                <w:szCs w:val="24"/>
              </w:rPr>
            </w:pPr>
            <w:r w:rsidRPr="00EB4613">
              <w:rPr>
                <w:szCs w:val="24"/>
              </w:rPr>
              <w:t>Kriterijaus vertinimo balai patikslinti.</w:t>
            </w:r>
          </w:p>
        </w:tc>
      </w:tr>
      <w:tr w:rsidR="002B2AF8" w:rsidRPr="00C85D29" w14:paraId="28A5F2F3" w14:textId="77777777" w:rsidTr="009E26DD">
        <w:tc>
          <w:tcPr>
            <w:tcW w:w="567" w:type="dxa"/>
          </w:tcPr>
          <w:p w14:paraId="43C6F633"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42DFD9F8" w14:textId="77777777" w:rsidR="002B2AF8" w:rsidRPr="00177D08" w:rsidRDefault="002B2AF8" w:rsidP="00AD6729">
            <w:pPr>
              <w:jc w:val="both"/>
              <w:rPr>
                <w:b/>
                <w:bCs/>
                <w:szCs w:val="24"/>
              </w:rPr>
            </w:pPr>
          </w:p>
        </w:tc>
        <w:tc>
          <w:tcPr>
            <w:tcW w:w="5528" w:type="dxa"/>
          </w:tcPr>
          <w:p w14:paraId="72E12C2B" w14:textId="77777777" w:rsidR="002B2AF8" w:rsidRPr="00177D08" w:rsidRDefault="002B2AF8" w:rsidP="00DC4EF0">
            <w:pPr>
              <w:jc w:val="both"/>
              <w:rPr>
                <w:color w:val="000000"/>
                <w:szCs w:val="24"/>
              </w:rPr>
            </w:pPr>
            <w:r w:rsidRPr="00177D08">
              <w:rPr>
                <w:color w:val="000000"/>
                <w:szCs w:val="24"/>
              </w:rPr>
              <w:t>Minimali privaloma surinkti balų suma 40</w:t>
            </w:r>
          </w:p>
          <w:p w14:paraId="01064B7E" w14:textId="77777777" w:rsidR="002B2AF8" w:rsidRPr="00177D08" w:rsidRDefault="002B2AF8" w:rsidP="00DC4EF0">
            <w:pPr>
              <w:jc w:val="both"/>
              <w:rPr>
                <w:szCs w:val="24"/>
              </w:rPr>
            </w:pPr>
            <w:r w:rsidRPr="00177D08">
              <w:rPr>
                <w:szCs w:val="24"/>
              </w:rPr>
              <w:t xml:space="preserve">Siūlytume sumažinti minimalų balą iki 30-35. Atkreiptinas dėmesys, jog panašiose priemonėse, kaip </w:t>
            </w:r>
            <w:proofErr w:type="spellStart"/>
            <w:r w:rsidRPr="00177D08">
              <w:rPr>
                <w:szCs w:val="24"/>
              </w:rPr>
              <w:t>Inobranda</w:t>
            </w:r>
            <w:proofErr w:type="spellEnd"/>
            <w:r w:rsidRPr="00177D08">
              <w:rPr>
                <w:szCs w:val="24"/>
              </w:rPr>
              <w:t xml:space="preserve"> ar 2014-2020 m. finansavimo priemonė TUI Invest LT+ III kvietime minimalus balas buvo mažesnis, taip pat pažymėtina, kad jose nebuvo taikomi tokie kriterijai kaip tvarumas ir didelio poveikio technologijos.</w:t>
            </w:r>
          </w:p>
          <w:p w14:paraId="698AD8E4" w14:textId="77777777" w:rsidR="002B2AF8" w:rsidRPr="00177D08" w:rsidRDefault="002B2AF8" w:rsidP="00DC4EF0">
            <w:pPr>
              <w:jc w:val="both"/>
              <w:rPr>
                <w:szCs w:val="24"/>
              </w:rPr>
            </w:pPr>
            <w:proofErr w:type="spellStart"/>
            <w:r w:rsidRPr="00177D08">
              <w:rPr>
                <w:szCs w:val="24"/>
              </w:rPr>
              <w:t>Inobranda</w:t>
            </w:r>
            <w:proofErr w:type="spellEnd"/>
            <w:r w:rsidRPr="00177D08">
              <w:rPr>
                <w:szCs w:val="24"/>
              </w:rPr>
              <w:t xml:space="preserve"> minimalus balas buvo 35 balai, o 2014-2020 m/ finansavimo periodo priemonė TUI Invest LT+ III kvietime - 30 balų. </w:t>
            </w:r>
          </w:p>
          <w:p w14:paraId="20B9D7F6" w14:textId="0EAFA4E8" w:rsidR="002B2AF8" w:rsidRPr="00177D08" w:rsidRDefault="002B2AF8" w:rsidP="00DC4EF0">
            <w:pPr>
              <w:jc w:val="both"/>
              <w:rPr>
                <w:szCs w:val="24"/>
              </w:rPr>
            </w:pPr>
            <w:r w:rsidRPr="00177D08">
              <w:rPr>
                <w:szCs w:val="24"/>
              </w:rPr>
              <w:t>Siūlome užtikrinti praktikos tęstinumą.</w:t>
            </w:r>
          </w:p>
        </w:tc>
        <w:tc>
          <w:tcPr>
            <w:tcW w:w="6946" w:type="dxa"/>
          </w:tcPr>
          <w:p w14:paraId="4322B1E6" w14:textId="77777777" w:rsidR="002B2AF8" w:rsidRDefault="004C3A8E" w:rsidP="007507C7">
            <w:pPr>
              <w:jc w:val="both"/>
              <w:rPr>
                <w:b/>
                <w:bCs/>
                <w:szCs w:val="24"/>
              </w:rPr>
            </w:pPr>
            <w:r>
              <w:rPr>
                <w:b/>
                <w:bCs/>
                <w:szCs w:val="24"/>
              </w:rPr>
              <w:t>Neatsižvelgta.</w:t>
            </w:r>
          </w:p>
          <w:p w14:paraId="149EBC2E" w14:textId="607F740A" w:rsidR="004C3A8E" w:rsidRPr="004C3A8E" w:rsidRDefault="004C3A8E" w:rsidP="007507C7">
            <w:pPr>
              <w:jc w:val="both"/>
              <w:rPr>
                <w:szCs w:val="24"/>
              </w:rPr>
            </w:pPr>
            <w:r w:rsidRPr="004C3A8E">
              <w:rPr>
                <w:szCs w:val="24"/>
              </w:rPr>
              <w:t xml:space="preserve">Siekiant užtikrinti, kad būtų atrinkti kokybiški ir aukštą pridėtinę vertę </w:t>
            </w:r>
            <w:r>
              <w:rPr>
                <w:szCs w:val="24"/>
              </w:rPr>
              <w:t>generuojantys</w:t>
            </w:r>
            <w:r w:rsidRPr="004C3A8E">
              <w:rPr>
                <w:szCs w:val="24"/>
              </w:rPr>
              <w:t xml:space="preserve"> projektai bei atsižvelgiant į </w:t>
            </w:r>
            <w:r>
              <w:rPr>
                <w:szCs w:val="24"/>
              </w:rPr>
              <w:t xml:space="preserve">didžiulį </w:t>
            </w:r>
            <w:r w:rsidRPr="004C3A8E">
              <w:rPr>
                <w:szCs w:val="24"/>
              </w:rPr>
              <w:t>pateiktų projektų įgyvendinimo planų skaičių pagal kvietimus „</w:t>
            </w:r>
            <w:proofErr w:type="spellStart"/>
            <w:r w:rsidRPr="004C3A8E">
              <w:rPr>
                <w:szCs w:val="24"/>
              </w:rPr>
              <w:t>InoPažanga</w:t>
            </w:r>
            <w:proofErr w:type="spellEnd"/>
            <w:r w:rsidRPr="004C3A8E">
              <w:rPr>
                <w:szCs w:val="24"/>
              </w:rPr>
              <w:t>“ ir „</w:t>
            </w:r>
            <w:proofErr w:type="spellStart"/>
            <w:r w:rsidRPr="004C3A8E">
              <w:rPr>
                <w:szCs w:val="24"/>
              </w:rPr>
              <w:t>InoBranda</w:t>
            </w:r>
            <w:proofErr w:type="spellEnd"/>
            <w:r w:rsidRPr="004C3A8E">
              <w:rPr>
                <w:szCs w:val="24"/>
              </w:rPr>
              <w:t>“, minimali privaloma surinkti balų suma nebus koreguojama.</w:t>
            </w:r>
          </w:p>
        </w:tc>
      </w:tr>
      <w:tr w:rsidR="002B2AF8" w:rsidRPr="00C85D29" w14:paraId="61CBDBA9" w14:textId="77777777" w:rsidTr="009E26DD">
        <w:tc>
          <w:tcPr>
            <w:tcW w:w="567" w:type="dxa"/>
          </w:tcPr>
          <w:p w14:paraId="3EC028D0" w14:textId="77777777" w:rsidR="002B2AF8" w:rsidRPr="00635C2F" w:rsidRDefault="002B2AF8" w:rsidP="00635C2F">
            <w:pPr>
              <w:pStyle w:val="Sraopastraipa"/>
              <w:numPr>
                <w:ilvl w:val="0"/>
                <w:numId w:val="31"/>
              </w:numPr>
              <w:jc w:val="both"/>
              <w:rPr>
                <w:b/>
                <w:bCs/>
                <w:szCs w:val="24"/>
                <w:lang w:val="en-US"/>
              </w:rPr>
            </w:pPr>
          </w:p>
        </w:tc>
        <w:tc>
          <w:tcPr>
            <w:tcW w:w="1730" w:type="dxa"/>
            <w:vMerge w:val="restart"/>
          </w:tcPr>
          <w:p w14:paraId="152AAA4D" w14:textId="346CC95A" w:rsidR="002B2AF8" w:rsidRPr="00895A36" w:rsidRDefault="002B2AF8" w:rsidP="00A154B6">
            <w:pPr>
              <w:rPr>
                <w:szCs w:val="24"/>
              </w:rPr>
            </w:pPr>
            <w:r w:rsidRPr="00895A36">
              <w:rPr>
                <w:szCs w:val="24"/>
              </w:rPr>
              <w:t xml:space="preserve">UAB </w:t>
            </w:r>
            <w:r w:rsidRPr="00895A36">
              <w:rPr>
                <w:szCs w:val="24"/>
                <w:lang w:val="en-GB"/>
              </w:rPr>
              <w:t>Responsum</w:t>
            </w:r>
          </w:p>
          <w:p w14:paraId="6CEA8382" w14:textId="77777777" w:rsidR="002B2AF8" w:rsidRPr="00895A36" w:rsidRDefault="002B2AF8" w:rsidP="00AD6729">
            <w:pPr>
              <w:jc w:val="both"/>
              <w:rPr>
                <w:szCs w:val="24"/>
              </w:rPr>
            </w:pPr>
          </w:p>
        </w:tc>
        <w:tc>
          <w:tcPr>
            <w:tcW w:w="5528" w:type="dxa"/>
          </w:tcPr>
          <w:p w14:paraId="7BC40B28" w14:textId="291A3CC7" w:rsidR="002B2AF8" w:rsidRPr="00A154B6" w:rsidRDefault="002B2AF8" w:rsidP="00A154B6">
            <w:pPr>
              <w:pStyle w:val="Sraopastraipa"/>
              <w:ind w:left="0"/>
              <w:contextualSpacing w:val="0"/>
            </w:pPr>
            <w:r w:rsidRPr="00A154B6">
              <w:rPr>
                <w:color w:val="000000"/>
                <w:szCs w:val="24"/>
              </w:rPr>
              <w:t>1.</w:t>
            </w:r>
            <w:r w:rsidRPr="00A154B6">
              <w:rPr>
                <w:color w:val="000000"/>
                <w:szCs w:val="24"/>
              </w:rPr>
              <w:tab/>
            </w:r>
            <w:r>
              <w:t xml:space="preserve">Prioritetinis projektų atrankos kriterijus ”Projekto efektyvumas“ numato, kad aukštesnis įvertinimas suteikiamas tiems projektams, kurių įgyvendinimo metu ir 3 metus po projekto veiklų įgyvendinimo pabaigos gautų įmonės pajamų iš tiesiogiai projekto įgyvendinimo metu sukurtų ir rinkai pateiktų produktų ir (arba) technologijų santykis su </w:t>
            </w:r>
            <w:r>
              <w:rPr>
                <w:b/>
                <w:bCs/>
              </w:rPr>
              <w:t>tinkamomis finansuoti projekto išlaidomis</w:t>
            </w:r>
            <w:r>
              <w:t xml:space="preserve"> yra didesnis. Manome, kad projekto efektyvumą būtų tikslingiau vertinti pagal pajamų santykį su prašomu finansavimu, o ne visomis tinkamomis finansuoti </w:t>
            </w:r>
            <w:r>
              <w:lastRenderedPageBreak/>
              <w:t>išlaidomis, kurios apima ir pareiškėjo nuosavą indelį. Tai skatintų įmones prie projekto finansavimo prisidėti didesniu nuosavu indėliu.</w:t>
            </w:r>
          </w:p>
        </w:tc>
        <w:tc>
          <w:tcPr>
            <w:tcW w:w="6946" w:type="dxa"/>
          </w:tcPr>
          <w:p w14:paraId="40571325" w14:textId="1F8097CF" w:rsidR="007823E6" w:rsidRPr="007823E6" w:rsidRDefault="007823E6" w:rsidP="007823E6">
            <w:pPr>
              <w:jc w:val="both"/>
              <w:rPr>
                <w:b/>
                <w:bCs/>
              </w:rPr>
            </w:pPr>
            <w:r w:rsidRPr="007823E6">
              <w:rPr>
                <w:b/>
                <w:bCs/>
              </w:rPr>
              <w:lastRenderedPageBreak/>
              <w:t>Neatsižvelgta.</w:t>
            </w:r>
          </w:p>
          <w:p w14:paraId="3833CB03" w14:textId="797A2B60" w:rsidR="007823E6" w:rsidRPr="00D0551A" w:rsidRDefault="007823E6" w:rsidP="007823E6">
            <w:pPr>
              <w:jc w:val="both"/>
            </w:pPr>
            <w:r w:rsidRPr="00D0551A">
              <w:t>Informuojame, kad pasiūlymai dėl projektų specialiųjų ir prioritetinių atrankos kriterijų nustatymo 202</w:t>
            </w:r>
            <w:r w:rsidR="00D0551A" w:rsidRPr="00D0551A">
              <w:t>3</w:t>
            </w:r>
            <w:r w:rsidRPr="00D0551A">
              <w:t xml:space="preserve"> m. spalio </w:t>
            </w:r>
            <w:r w:rsidR="00D0551A" w:rsidRPr="00D0551A">
              <w:t>3</w:t>
            </w:r>
            <w:r w:rsidRPr="00D0551A">
              <w:t xml:space="preserve"> d. buvo viešai paskelbti www.eimin.lt ir www.2021.esinvesticijos.lt internetinėse svetainėse. Projektų specialieji ir prioritetiniai atrankos kriterijai </w:t>
            </w:r>
            <w:r w:rsidR="00D0551A" w:rsidRPr="00D0551A">
              <w:t>suderinti ir pateikti</w:t>
            </w:r>
            <w:r w:rsidR="00D0551A">
              <w:t xml:space="preserve"> </w:t>
            </w:r>
            <w:r w:rsidR="00D0551A" w:rsidRPr="00D0551A">
              <w:t>tvirtinimui 2021–2027 metų Europos Sąjungos fondų investicijų  programos (toliau – IP) stebėsenos komitetui.</w:t>
            </w:r>
          </w:p>
          <w:p w14:paraId="47F325E9" w14:textId="77777777" w:rsidR="007823E6" w:rsidRDefault="007823E6" w:rsidP="007507C7">
            <w:pPr>
              <w:jc w:val="both"/>
              <w:rPr>
                <w:b/>
                <w:bCs/>
                <w:szCs w:val="24"/>
              </w:rPr>
            </w:pPr>
          </w:p>
          <w:p w14:paraId="2D40ADEE" w14:textId="77777777" w:rsidR="007823E6" w:rsidRDefault="007823E6" w:rsidP="007507C7">
            <w:pPr>
              <w:jc w:val="both"/>
              <w:rPr>
                <w:b/>
                <w:bCs/>
                <w:szCs w:val="24"/>
              </w:rPr>
            </w:pPr>
          </w:p>
          <w:p w14:paraId="04E61D4B" w14:textId="77777777" w:rsidR="007823E6" w:rsidRDefault="007823E6" w:rsidP="007507C7">
            <w:pPr>
              <w:jc w:val="both"/>
              <w:rPr>
                <w:b/>
                <w:bCs/>
                <w:szCs w:val="24"/>
              </w:rPr>
            </w:pPr>
          </w:p>
          <w:p w14:paraId="2AED0454" w14:textId="0D3EAD83" w:rsidR="002B2AF8" w:rsidRDefault="002B2AF8" w:rsidP="007507C7">
            <w:pPr>
              <w:jc w:val="both"/>
              <w:rPr>
                <w:b/>
                <w:bCs/>
                <w:szCs w:val="24"/>
              </w:rPr>
            </w:pPr>
          </w:p>
        </w:tc>
      </w:tr>
      <w:tr w:rsidR="002B2AF8" w:rsidRPr="00C85D29" w14:paraId="74D7F888" w14:textId="77777777" w:rsidTr="009E26DD">
        <w:tc>
          <w:tcPr>
            <w:tcW w:w="567" w:type="dxa"/>
          </w:tcPr>
          <w:p w14:paraId="6B857D3E"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7B22A107" w14:textId="77777777" w:rsidR="002B2AF8" w:rsidRDefault="002B2AF8" w:rsidP="00A154B6">
            <w:pPr>
              <w:rPr>
                <w:b/>
                <w:bCs/>
                <w:szCs w:val="24"/>
              </w:rPr>
            </w:pPr>
          </w:p>
        </w:tc>
        <w:tc>
          <w:tcPr>
            <w:tcW w:w="5528" w:type="dxa"/>
          </w:tcPr>
          <w:p w14:paraId="7A88888B" w14:textId="1110CC7C" w:rsidR="002B2AF8" w:rsidRPr="00A154B6" w:rsidRDefault="002B2AF8" w:rsidP="00DC4EF0">
            <w:pPr>
              <w:jc w:val="both"/>
              <w:rPr>
                <w:color w:val="000000"/>
                <w:szCs w:val="24"/>
              </w:rPr>
            </w:pPr>
            <w:r w:rsidRPr="00A154B6">
              <w:rPr>
                <w:color w:val="000000"/>
                <w:szCs w:val="24"/>
              </w:rPr>
              <w:t>2.</w:t>
            </w:r>
            <w:r w:rsidRPr="00A154B6">
              <w:rPr>
                <w:color w:val="000000"/>
                <w:szCs w:val="24"/>
              </w:rPr>
              <w:tab/>
              <w:t>Aprašo 8.8.11 papunktis numato, kad PFSA 8.8.8–8.8.10 papunkčiuose nurodytos išlaidos kartu negali sudaryti daugiau nei 10 procentų tinkamų finansuoti PFSA 8.1 papunktyje nurodytai veiklai skirtų tinkamų finansuoti išlaidų. Atsižvelgiant į tai, kad netiesioginėms išlaidoms taikoma 7 proc. fiksuotoji norma, įrangos nuomos išlaidos ir patalpų nuomos išlaidos kartu negali viršyti ~3 proc. tinkamų finansuoti išlaidų. Kadangi MTEP infrastruktūros kūrimo išlaidos šiame kvietime nėra tinkamos finansuoti, toks įrangos nuomos išlaidų ribojimas yra nepagrįstas. Todėl siūlome numatyti, kad 10 proc. ribojimas taikomas tik PFSA 8.8.9–8.8.10 papunkčiuose nurodytoms išlaidos.</w:t>
            </w:r>
          </w:p>
        </w:tc>
        <w:tc>
          <w:tcPr>
            <w:tcW w:w="6946" w:type="dxa"/>
          </w:tcPr>
          <w:p w14:paraId="54B8FCD4" w14:textId="77777777" w:rsidR="002B2AF8" w:rsidRDefault="00D0551A" w:rsidP="007507C7">
            <w:pPr>
              <w:jc w:val="both"/>
              <w:rPr>
                <w:b/>
                <w:bCs/>
                <w:szCs w:val="24"/>
              </w:rPr>
            </w:pPr>
            <w:r>
              <w:rPr>
                <w:b/>
                <w:bCs/>
                <w:szCs w:val="24"/>
              </w:rPr>
              <w:t>Atsižvelgta.</w:t>
            </w:r>
          </w:p>
          <w:p w14:paraId="2AFE9636" w14:textId="77777777" w:rsidR="00B40C1B" w:rsidRPr="00EB4613" w:rsidRDefault="00B40C1B" w:rsidP="007507C7">
            <w:pPr>
              <w:jc w:val="both"/>
              <w:rPr>
                <w:szCs w:val="24"/>
              </w:rPr>
            </w:pPr>
            <w:r w:rsidRPr="00EB4613">
              <w:rPr>
                <w:szCs w:val="24"/>
              </w:rPr>
              <w:t>Patikslinta ir išdėstyta taip:</w:t>
            </w:r>
          </w:p>
          <w:p w14:paraId="62EB3833" w14:textId="672D77F3" w:rsidR="00B40C1B" w:rsidRPr="00EB4613" w:rsidRDefault="00B40C1B" w:rsidP="007507C7">
            <w:pPr>
              <w:jc w:val="both"/>
              <w:rPr>
                <w:i/>
                <w:iCs/>
                <w:szCs w:val="24"/>
              </w:rPr>
            </w:pPr>
            <w:r w:rsidRPr="003A207C">
              <w:rPr>
                <w:i/>
                <w:iCs/>
                <w:szCs w:val="24"/>
              </w:rPr>
              <w:t>„8.</w:t>
            </w:r>
            <w:r w:rsidRPr="00EB4613">
              <w:rPr>
                <w:i/>
                <w:iCs/>
                <w:szCs w:val="24"/>
              </w:rPr>
              <w:t xml:space="preserve">8.8. Tiesiogiai su projekto įgyvendinimu susijusios ir veiklai proporcingai (pro </w:t>
            </w:r>
            <w:proofErr w:type="spellStart"/>
            <w:r w:rsidRPr="00EB4613">
              <w:rPr>
                <w:i/>
                <w:iCs/>
                <w:szCs w:val="24"/>
              </w:rPr>
              <w:t>rata</w:t>
            </w:r>
            <w:proofErr w:type="spellEnd"/>
            <w:r w:rsidRPr="00EB4613">
              <w:rPr>
                <w:i/>
                <w:iCs/>
                <w:szCs w:val="24"/>
              </w:rPr>
              <w:t xml:space="preserve"> principu) paskirstytos pridėtinės išlaidos – projektui įgyvendinti būtinų pastatų ar patalpų nuomos išlaidos (ne daugiau nei 10 proc. tinkamų finansuoti išlaidų).“</w:t>
            </w:r>
          </w:p>
        </w:tc>
      </w:tr>
      <w:tr w:rsidR="002B2AF8" w:rsidRPr="00C85D29" w14:paraId="516A82FB" w14:textId="77777777" w:rsidTr="009E26DD">
        <w:tc>
          <w:tcPr>
            <w:tcW w:w="567" w:type="dxa"/>
          </w:tcPr>
          <w:p w14:paraId="470A1C21"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69E603BD" w14:textId="77777777" w:rsidR="002B2AF8" w:rsidRDefault="002B2AF8" w:rsidP="00A154B6">
            <w:pPr>
              <w:rPr>
                <w:b/>
                <w:bCs/>
                <w:szCs w:val="24"/>
              </w:rPr>
            </w:pPr>
          </w:p>
        </w:tc>
        <w:tc>
          <w:tcPr>
            <w:tcW w:w="5528" w:type="dxa"/>
          </w:tcPr>
          <w:p w14:paraId="382A5D20" w14:textId="001EE214" w:rsidR="002B2AF8" w:rsidRPr="00800D13" w:rsidRDefault="002B2AF8" w:rsidP="00800D13">
            <w:pPr>
              <w:pStyle w:val="Sraopastraipa"/>
              <w:ind w:left="0"/>
              <w:contextualSpacing w:val="0"/>
              <w:jc w:val="both"/>
            </w:pPr>
            <w:r>
              <w:rPr>
                <w:lang w:val="en-US"/>
              </w:rPr>
              <w:t xml:space="preserve">3. </w:t>
            </w:r>
            <w:r>
              <w:t xml:space="preserve">Aprašo 1.2.7. </w:t>
            </w:r>
            <w:r>
              <w:rPr>
                <w:b/>
                <w:bCs/>
              </w:rPr>
              <w:t>Užsienio investuotojas</w:t>
            </w:r>
            <w:r>
              <w:t xml:space="preserve"> – užsienio juridiniai ir (ar) fiziniai asmenys, kurie investavimą Lietuvos Respublikoje reguliuojančių teisės aktų nustatyta tvarka investuoja nuosavą, skolintą ar patikėjimo teise valdomą ir naudojamą turtą, siūlome papildyti įstatymų pavadinimais, kurie tiksliai nustato išaiškinimą dėl užsienio investuotojo sąvokos.</w:t>
            </w:r>
          </w:p>
        </w:tc>
        <w:tc>
          <w:tcPr>
            <w:tcW w:w="6946" w:type="dxa"/>
          </w:tcPr>
          <w:p w14:paraId="37853E66" w14:textId="234C9806" w:rsidR="002B2AF8" w:rsidRDefault="00240FEA" w:rsidP="007507C7">
            <w:pPr>
              <w:jc w:val="both"/>
              <w:rPr>
                <w:b/>
                <w:bCs/>
                <w:szCs w:val="24"/>
              </w:rPr>
            </w:pPr>
            <w:r>
              <w:rPr>
                <w:b/>
                <w:bCs/>
                <w:szCs w:val="24"/>
              </w:rPr>
              <w:t>Neatsižvelgta.</w:t>
            </w:r>
          </w:p>
          <w:p w14:paraId="4C436AF1" w14:textId="389325D3" w:rsidR="00240FEA" w:rsidRPr="00800D13" w:rsidRDefault="00EB63F8" w:rsidP="007507C7">
            <w:pPr>
              <w:jc w:val="both"/>
              <w:rPr>
                <w:rFonts w:eastAsia="Calibri"/>
                <w:szCs w:val="24"/>
                <w:lang w:eastAsia="en-US"/>
                <w14:ligatures w14:val="standardContextual"/>
              </w:rPr>
            </w:pPr>
            <w:r w:rsidRPr="00EB63F8">
              <w:rPr>
                <w:rFonts w:eastAsia="Calibri"/>
                <w:szCs w:val="24"/>
                <w:lang w:eastAsia="en-US"/>
                <w14:ligatures w14:val="standardContextual"/>
              </w:rPr>
              <w:t xml:space="preserve">Atsižvelgiant į tai, jog Lietuvos Respublikos investicijų įstatyme nėra nurodyti konkretūs teisės aktai, nustatantys užsienio investuotoją apibrėžtį bei įvertinant tai, kad užsienio </w:t>
            </w:r>
            <w:r>
              <w:rPr>
                <w:rFonts w:eastAsia="Calibri"/>
                <w:szCs w:val="24"/>
                <w:lang w:eastAsia="en-US"/>
                <w14:ligatures w14:val="standardContextual"/>
              </w:rPr>
              <w:t xml:space="preserve">investuotojo </w:t>
            </w:r>
            <w:r w:rsidRPr="00EB63F8">
              <w:rPr>
                <w:rFonts w:eastAsia="Calibri"/>
                <w:szCs w:val="24"/>
                <w:lang w:eastAsia="en-US"/>
                <w14:ligatures w14:val="standardContextual"/>
              </w:rPr>
              <w:t>apibrėžtis nustatinėjama pagal taikymo sritį, PFSA vartojama sąvoką „Užsienio investuotojas“ negali būti papildytą konkrečiais įstatymais, tiksliai nustat</w:t>
            </w:r>
            <w:r>
              <w:rPr>
                <w:rFonts w:eastAsia="Calibri"/>
                <w:szCs w:val="24"/>
                <w:lang w:eastAsia="en-US"/>
                <w14:ligatures w14:val="standardContextual"/>
              </w:rPr>
              <w:t>ančiais</w:t>
            </w:r>
            <w:r w:rsidRPr="00EB63F8">
              <w:rPr>
                <w:rFonts w:eastAsia="Calibri"/>
                <w:szCs w:val="24"/>
                <w:lang w:eastAsia="en-US"/>
                <w14:ligatures w14:val="standardContextual"/>
              </w:rPr>
              <w:t xml:space="preserve"> išaiškinimą dėl užsienio investuotojo sąvokos.</w:t>
            </w:r>
          </w:p>
        </w:tc>
      </w:tr>
      <w:tr w:rsidR="002B2AF8" w:rsidRPr="00C85D29" w14:paraId="28A46B9E" w14:textId="77777777" w:rsidTr="009E26DD">
        <w:tc>
          <w:tcPr>
            <w:tcW w:w="567" w:type="dxa"/>
          </w:tcPr>
          <w:p w14:paraId="407BB1A5"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645AD384" w14:textId="77777777" w:rsidR="002B2AF8" w:rsidRDefault="002B2AF8" w:rsidP="00A154B6">
            <w:pPr>
              <w:rPr>
                <w:b/>
                <w:bCs/>
                <w:szCs w:val="24"/>
              </w:rPr>
            </w:pPr>
          </w:p>
        </w:tc>
        <w:tc>
          <w:tcPr>
            <w:tcW w:w="5528" w:type="dxa"/>
          </w:tcPr>
          <w:p w14:paraId="0B716139" w14:textId="4B56D175" w:rsidR="002B2AF8" w:rsidRPr="00904C70" w:rsidRDefault="002B2AF8" w:rsidP="00904C70">
            <w:pPr>
              <w:pStyle w:val="Sraopastraipa"/>
              <w:ind w:left="0"/>
              <w:contextualSpacing w:val="0"/>
            </w:pPr>
            <w:r>
              <w:t>4. Apraše nėra sąvoku išaiškinančios santrumpas APV ir TUI. Galima numatyti, kai tai yra aukštos pridėtinės vertės produktai bei tiesioginės užsienio investicijos, tačiau tinkamai Aprašo struktūrai reikėto paaiškinimo iš ko sudaryta santrumpa.</w:t>
            </w:r>
          </w:p>
        </w:tc>
        <w:tc>
          <w:tcPr>
            <w:tcW w:w="6946" w:type="dxa"/>
          </w:tcPr>
          <w:p w14:paraId="393F13F4" w14:textId="4C70DE05" w:rsidR="002B2AF8" w:rsidRDefault="00B40C1B" w:rsidP="007507C7">
            <w:pPr>
              <w:jc w:val="both"/>
              <w:rPr>
                <w:b/>
                <w:bCs/>
                <w:szCs w:val="24"/>
              </w:rPr>
            </w:pPr>
            <w:r>
              <w:rPr>
                <w:b/>
                <w:bCs/>
                <w:szCs w:val="24"/>
              </w:rPr>
              <w:t>Paaiškinta</w:t>
            </w:r>
            <w:r w:rsidR="00C820E6">
              <w:rPr>
                <w:b/>
                <w:bCs/>
                <w:szCs w:val="24"/>
              </w:rPr>
              <w:t>.</w:t>
            </w:r>
          </w:p>
          <w:p w14:paraId="17AB7B43" w14:textId="05488D06" w:rsidR="00C820E6" w:rsidRPr="00904C70" w:rsidRDefault="00C820E6" w:rsidP="007507C7">
            <w:pPr>
              <w:jc w:val="both"/>
              <w:rPr>
                <w:szCs w:val="24"/>
              </w:rPr>
            </w:pPr>
            <w:r w:rsidRPr="00904C70">
              <w:rPr>
                <w:szCs w:val="24"/>
              </w:rPr>
              <w:t xml:space="preserve">PFSA vartojami trumpiniai „APV“ ir „TUI“ nurodyti </w:t>
            </w:r>
            <w:r w:rsidR="00904C70" w:rsidRPr="00904C70">
              <w:rPr>
                <w:szCs w:val="24"/>
              </w:rPr>
              <w:t>PFSA pirmoje lentelėje</w:t>
            </w:r>
            <w:r w:rsidR="00904C70">
              <w:rPr>
                <w:szCs w:val="24"/>
              </w:rPr>
              <w:t xml:space="preserve"> </w:t>
            </w:r>
            <w:r w:rsidR="00904C70" w:rsidRPr="00904C70">
              <w:rPr>
                <w:szCs w:val="24"/>
              </w:rPr>
              <w:t>„</w:t>
            </w:r>
            <w:r w:rsidR="00904C70" w:rsidRPr="00904C70">
              <w:rPr>
                <w:sz w:val="22"/>
                <w:szCs w:val="22"/>
              </w:rPr>
              <w:t>VEIKLOS AR POVEIKLĖS, KURIOMS NUSTATOMOS PROJEKTŲ FINANSAVIMO SĄLYGOS“.</w:t>
            </w:r>
          </w:p>
        </w:tc>
      </w:tr>
      <w:tr w:rsidR="002B2AF8" w:rsidRPr="00C85D29" w14:paraId="4E62DBC2" w14:textId="77777777" w:rsidTr="009E26DD">
        <w:tc>
          <w:tcPr>
            <w:tcW w:w="567" w:type="dxa"/>
          </w:tcPr>
          <w:p w14:paraId="1880B9D2" w14:textId="77777777" w:rsidR="002B2AF8" w:rsidRPr="00635C2F" w:rsidRDefault="002B2AF8" w:rsidP="00635C2F">
            <w:pPr>
              <w:pStyle w:val="Sraopastraipa"/>
              <w:numPr>
                <w:ilvl w:val="0"/>
                <w:numId w:val="31"/>
              </w:numPr>
              <w:jc w:val="both"/>
              <w:rPr>
                <w:b/>
                <w:bCs/>
                <w:szCs w:val="24"/>
                <w:lang w:val="en-US"/>
              </w:rPr>
            </w:pPr>
          </w:p>
        </w:tc>
        <w:tc>
          <w:tcPr>
            <w:tcW w:w="1730" w:type="dxa"/>
            <w:vMerge/>
          </w:tcPr>
          <w:p w14:paraId="1D655980" w14:textId="77777777" w:rsidR="002B2AF8" w:rsidRDefault="002B2AF8" w:rsidP="00A154B6">
            <w:pPr>
              <w:rPr>
                <w:b/>
                <w:bCs/>
                <w:szCs w:val="24"/>
              </w:rPr>
            </w:pPr>
          </w:p>
        </w:tc>
        <w:tc>
          <w:tcPr>
            <w:tcW w:w="5528" w:type="dxa"/>
          </w:tcPr>
          <w:p w14:paraId="54273D6B" w14:textId="2AA98453" w:rsidR="002B2AF8" w:rsidRPr="003E2394" w:rsidRDefault="002B2AF8" w:rsidP="003E2394">
            <w:pPr>
              <w:pStyle w:val="Sraopastraipa"/>
              <w:ind w:left="0"/>
              <w:contextualSpacing w:val="0"/>
              <w:jc w:val="both"/>
              <w:rPr>
                <w:i/>
                <w:iCs/>
              </w:rPr>
            </w:pPr>
            <w:r>
              <w:rPr>
                <w:i/>
                <w:iCs/>
              </w:rPr>
              <w:t xml:space="preserve">5. Aprašo </w:t>
            </w:r>
            <w:r>
              <w:t xml:space="preserve">projektų atrankos kriterijus </w:t>
            </w:r>
            <w:r>
              <w:rPr>
                <w:b/>
                <w:bCs/>
                <w:i/>
                <w:iCs/>
              </w:rPr>
              <w:t xml:space="preserve">Projekto įgyvendinimo metu sukurtų produktų ir (arba) technologijų </w:t>
            </w:r>
            <w:proofErr w:type="spellStart"/>
            <w:r>
              <w:rPr>
                <w:b/>
                <w:bCs/>
                <w:i/>
                <w:iCs/>
              </w:rPr>
              <w:t>komercinimo</w:t>
            </w:r>
            <w:proofErr w:type="spellEnd"/>
            <w:r>
              <w:rPr>
                <w:b/>
                <w:bCs/>
                <w:i/>
                <w:iCs/>
              </w:rPr>
              <w:t xml:space="preserve"> potencialas </w:t>
            </w:r>
            <w:r>
              <w:t xml:space="preserve">numato, kad </w:t>
            </w:r>
            <w:r>
              <w:rPr>
                <w:i/>
                <w:iCs/>
              </w:rPr>
              <w:t xml:space="preserve">Kriterijumi vertinamas projekto įgyvendinimo metu sukurtų produktų ir (arba) technologijų </w:t>
            </w:r>
            <w:proofErr w:type="spellStart"/>
            <w:r>
              <w:rPr>
                <w:i/>
                <w:iCs/>
              </w:rPr>
              <w:t>komercinimo</w:t>
            </w:r>
            <w:proofErr w:type="spellEnd"/>
            <w:r>
              <w:rPr>
                <w:i/>
                <w:iCs/>
              </w:rPr>
              <w:t xml:space="preserve"> potencialas. Aukštesnis įvertinimas suteikiamas tiems </w:t>
            </w:r>
            <w:r>
              <w:rPr>
                <w:i/>
                <w:iCs/>
              </w:rPr>
              <w:lastRenderedPageBreak/>
              <w:t>projektams, kurių įgyvendinimo metu sukurtų produktų ir (arba) technologijų technologinės parengties lygis yra aukštesnis projekto pradžioje ir pabaigoje. Jeigu projekto įgyvendinimo metu bus sukurta daugiau nei vienas (-a) produktas ir (arba) technologija, vertinamas (-a) kiekvienas (-a) sukurtas (-a) produktas ir (arba) technologija ir tuomet apskaičiuojamas suteikiamo balo vidurkis.  </w:t>
            </w:r>
            <w:r>
              <w:t>O Aprašo</w:t>
            </w:r>
            <w:r>
              <w:rPr>
                <w:i/>
                <w:iCs/>
              </w:rPr>
              <w:t xml:space="preserve"> </w:t>
            </w:r>
            <w:r>
              <w:t xml:space="preserve">projektų atrankos kriterijus </w:t>
            </w:r>
            <w:r>
              <w:rPr>
                <w:b/>
                <w:bCs/>
                <w:i/>
                <w:iCs/>
              </w:rPr>
              <w:t xml:space="preserve">Projekto įgyvendinimo metu sukurtų produktų ir (arba) technologijų reikšmingumo lygis </w:t>
            </w:r>
            <w:r>
              <w:t xml:space="preserve">numato, kad </w:t>
            </w:r>
            <w:r>
              <w:rPr>
                <w:i/>
                <w:iCs/>
              </w:rPr>
              <w:t xml:space="preserve">Jeigu projekto įgyvendinimo metu bus sukurta daugiau nei vienas (–a) produktas ir (arba) technologija, vertinamas kiekvieno (-s) produkto ir (arba) technologijos naujumo lygmuo, </w:t>
            </w:r>
            <w:r>
              <w:rPr>
                <w:i/>
                <w:iCs/>
                <w:u w:val="single"/>
              </w:rPr>
              <w:t>o balai skiriami už didžiausio naujumo lygmens produktą ir (arba) technologiją</w:t>
            </w:r>
            <w:r>
              <w:rPr>
                <w:i/>
                <w:iCs/>
              </w:rPr>
              <w:t xml:space="preserve">. </w:t>
            </w:r>
            <w:r>
              <w:t xml:space="preserve">Šie du atrankos kriterijai numato skirtingą vertinimą, </w:t>
            </w:r>
            <w:proofErr w:type="spellStart"/>
            <w:r>
              <w:t>t.y</w:t>
            </w:r>
            <w:proofErr w:type="spellEnd"/>
            <w:r>
              <w:t xml:space="preserve">. vienas kriterijus numato pareiškėjo tikslą kurti daugiau produktų, o kitas kriterijus numato, kad nebus vertinami kiti produktai ir svarbu nors vieną produktą kurti pasaulio lygiu. Siūlome suvienodinti vertinimą ir kriterijuje </w:t>
            </w:r>
            <w:r>
              <w:rPr>
                <w:b/>
                <w:bCs/>
                <w:i/>
                <w:iCs/>
              </w:rPr>
              <w:t xml:space="preserve">Projekto įgyvendinimo metu sukurtų produktų ir (arba) technologijų reikšmingumo lygis </w:t>
            </w:r>
            <w:r>
              <w:t>numatyti vertinimą už daugiau kuriamų produktų, o ne tik už vieną.</w:t>
            </w:r>
          </w:p>
        </w:tc>
        <w:tc>
          <w:tcPr>
            <w:tcW w:w="6946" w:type="dxa"/>
          </w:tcPr>
          <w:p w14:paraId="19051003" w14:textId="2102365E" w:rsidR="00426AB7" w:rsidRPr="00426AB7" w:rsidRDefault="00426AB7" w:rsidP="00426AB7">
            <w:pPr>
              <w:jc w:val="both"/>
              <w:rPr>
                <w:b/>
                <w:bCs/>
                <w:szCs w:val="24"/>
              </w:rPr>
            </w:pPr>
            <w:r w:rsidRPr="00426AB7">
              <w:rPr>
                <w:b/>
                <w:bCs/>
                <w:szCs w:val="24"/>
              </w:rPr>
              <w:lastRenderedPageBreak/>
              <w:t>Neatsižvelgta.</w:t>
            </w:r>
          </w:p>
          <w:p w14:paraId="006C1B60" w14:textId="2BA06F93" w:rsidR="002B2AF8" w:rsidRPr="00426AB7" w:rsidRDefault="00426AB7" w:rsidP="00426AB7">
            <w:pPr>
              <w:jc w:val="both"/>
              <w:rPr>
                <w:szCs w:val="24"/>
              </w:rPr>
            </w:pPr>
            <w:r w:rsidRPr="00426AB7">
              <w:rPr>
                <w:szCs w:val="24"/>
              </w:rPr>
              <w:t>Informuojame, kad pasiūlymai dėl projektų specialiųjų ir prioritetinių atrankos kriterijų nustatymo 2023 m. spalio 3 d. buvo viešai paskelbti www.eimin.lt ir www.2021.esinvesticijos.lt internetinėse svetainėse. Projektų specialieji ir prioritetiniai atrankos kriterijai suderinti ir pateikti tvirtinimui IP stebėsenos komitetui</w:t>
            </w:r>
            <w:r>
              <w:rPr>
                <w:szCs w:val="24"/>
              </w:rPr>
              <w:t>.</w:t>
            </w:r>
          </w:p>
        </w:tc>
      </w:tr>
    </w:tbl>
    <w:p w14:paraId="00AABEA2" w14:textId="77777777" w:rsidR="005C5ECB" w:rsidRDefault="005C5ECB" w:rsidP="00AD6729">
      <w:pPr>
        <w:jc w:val="both"/>
        <w:rPr>
          <w:iCs/>
          <w:szCs w:val="24"/>
        </w:rPr>
      </w:pPr>
    </w:p>
    <w:p w14:paraId="7F1E770D" w14:textId="0FB1A635" w:rsidR="00DC4EF0" w:rsidRPr="002D4C53" w:rsidRDefault="007B745B" w:rsidP="007B745B">
      <w:pPr>
        <w:jc w:val="center"/>
        <w:rPr>
          <w:iCs/>
          <w:szCs w:val="24"/>
        </w:rPr>
      </w:pPr>
      <w:r>
        <w:rPr>
          <w:iCs/>
          <w:szCs w:val="24"/>
        </w:rPr>
        <w:t>_______________________</w:t>
      </w:r>
    </w:p>
    <w:sectPr w:rsidR="00DC4EF0" w:rsidRPr="002D4C53" w:rsidSect="002916D9">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69B7" w14:textId="77777777" w:rsidR="00863D95" w:rsidRDefault="00863D95" w:rsidP="002916D9">
      <w:r>
        <w:separator/>
      </w:r>
    </w:p>
  </w:endnote>
  <w:endnote w:type="continuationSeparator" w:id="0">
    <w:p w14:paraId="2EB08562" w14:textId="77777777" w:rsidR="00863D95" w:rsidRDefault="00863D95"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B0F3" w14:textId="77777777" w:rsidR="00863D95" w:rsidRDefault="00863D95" w:rsidP="002916D9">
      <w:r>
        <w:separator/>
      </w:r>
    </w:p>
  </w:footnote>
  <w:footnote w:type="continuationSeparator" w:id="0">
    <w:p w14:paraId="7ED74E7D" w14:textId="77777777" w:rsidR="00863D95" w:rsidRDefault="00863D95"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1003" w:hanging="360"/>
      </w:pPr>
      <w:rPr>
        <w:rFonts w:ascii="Calibri" w:eastAsiaTheme="minorHAnsi" w:hAnsi="Calibri" w:cs="Calibri"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 w15:restartNumberingAfterBreak="0">
    <w:nsid w:val="02551536"/>
    <w:multiLevelType w:val="multilevel"/>
    <w:tmpl w:val="79286C9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E10E64"/>
    <w:multiLevelType w:val="hybridMultilevel"/>
    <w:tmpl w:val="5CEC3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6"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75E7AA0"/>
    <w:multiLevelType w:val="multilevel"/>
    <w:tmpl w:val="284C6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64245"/>
    <w:multiLevelType w:val="hybridMultilevel"/>
    <w:tmpl w:val="933E1D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9DE72C7"/>
    <w:multiLevelType w:val="hybridMultilevel"/>
    <w:tmpl w:val="7840C9A6"/>
    <w:lvl w:ilvl="0" w:tplc="61D475BE">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EC161C8"/>
    <w:multiLevelType w:val="hybridMultilevel"/>
    <w:tmpl w:val="255E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566E90"/>
    <w:multiLevelType w:val="hybridMultilevel"/>
    <w:tmpl w:val="68A4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00BB"/>
    <w:multiLevelType w:val="hybridMultilevel"/>
    <w:tmpl w:val="B34C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8D676CE"/>
    <w:multiLevelType w:val="hybridMultilevel"/>
    <w:tmpl w:val="34CAA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3D5A5D"/>
    <w:multiLevelType w:val="multilevel"/>
    <w:tmpl w:val="D77C6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4"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87129"/>
    <w:multiLevelType w:val="multilevel"/>
    <w:tmpl w:val="51E669EA"/>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4D34D4"/>
    <w:multiLevelType w:val="hybridMultilevel"/>
    <w:tmpl w:val="CFC8B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846A67"/>
    <w:multiLevelType w:val="hybridMultilevel"/>
    <w:tmpl w:val="4198D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1F63346"/>
    <w:multiLevelType w:val="multilevel"/>
    <w:tmpl w:val="637E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5"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640576012">
    <w:abstractNumId w:val="31"/>
  </w:num>
  <w:num w:numId="2" w16cid:durableId="1322809412">
    <w:abstractNumId w:val="30"/>
  </w:num>
  <w:num w:numId="3" w16cid:durableId="1089621852">
    <w:abstractNumId w:val="33"/>
  </w:num>
  <w:num w:numId="4" w16cid:durableId="379599749">
    <w:abstractNumId w:val="6"/>
  </w:num>
  <w:num w:numId="5" w16cid:durableId="93983083">
    <w:abstractNumId w:val="8"/>
  </w:num>
  <w:num w:numId="6" w16cid:durableId="929312428">
    <w:abstractNumId w:val="3"/>
  </w:num>
  <w:num w:numId="7" w16cid:durableId="1448086903">
    <w:abstractNumId w:val="14"/>
  </w:num>
  <w:num w:numId="8" w16cid:durableId="1758331167">
    <w:abstractNumId w:val="19"/>
  </w:num>
  <w:num w:numId="9" w16cid:durableId="1775520046">
    <w:abstractNumId w:val="34"/>
  </w:num>
  <w:num w:numId="10" w16cid:durableId="772941827">
    <w:abstractNumId w:val="15"/>
  </w:num>
  <w:num w:numId="11" w16cid:durableId="2022582620">
    <w:abstractNumId w:val="35"/>
  </w:num>
  <w:num w:numId="12" w16cid:durableId="1332678486">
    <w:abstractNumId w:val="28"/>
  </w:num>
  <w:num w:numId="13" w16cid:durableId="190997517">
    <w:abstractNumId w:val="9"/>
  </w:num>
  <w:num w:numId="14" w16cid:durableId="1158689545">
    <w:abstractNumId w:val="0"/>
  </w:num>
  <w:num w:numId="15" w16cid:durableId="1227493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1131364">
    <w:abstractNumId w:val="7"/>
  </w:num>
  <w:num w:numId="17" w16cid:durableId="104278996">
    <w:abstractNumId w:val="5"/>
  </w:num>
  <w:num w:numId="18" w16cid:durableId="1428160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4107464">
    <w:abstractNumId w:val="16"/>
  </w:num>
  <w:num w:numId="20" w16cid:durableId="390157198">
    <w:abstractNumId w:val="4"/>
  </w:num>
  <w:num w:numId="21" w16cid:durableId="2105109323">
    <w:abstractNumId w:val="25"/>
  </w:num>
  <w:num w:numId="22" w16cid:durableId="923107304">
    <w:abstractNumId w:val="24"/>
  </w:num>
  <w:num w:numId="23" w16cid:durableId="1491751321">
    <w:abstractNumId w:val="27"/>
  </w:num>
  <w:num w:numId="24" w16cid:durableId="3385795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281870">
    <w:abstractNumId w:val="10"/>
  </w:num>
  <w:num w:numId="26" w16cid:durableId="313878256">
    <w:abstractNumId w:val="1"/>
  </w:num>
  <w:num w:numId="27" w16cid:durableId="1099984070">
    <w:abstractNumId w:val="21"/>
  </w:num>
  <w:num w:numId="28" w16cid:durableId="1117334170">
    <w:abstractNumId w:val="18"/>
  </w:num>
  <w:num w:numId="29" w16cid:durableId="1256743895">
    <w:abstractNumId w:val="2"/>
  </w:num>
  <w:num w:numId="30" w16cid:durableId="55053572">
    <w:abstractNumId w:val="13"/>
  </w:num>
  <w:num w:numId="31" w16cid:durableId="1774352846">
    <w:abstractNumId w:val="12"/>
  </w:num>
  <w:num w:numId="32" w16cid:durableId="64227299">
    <w:abstractNumId w:val="32"/>
  </w:num>
  <w:num w:numId="33" w16cid:durableId="662662567">
    <w:abstractNumId w:val="29"/>
  </w:num>
  <w:num w:numId="34" w16cid:durableId="577636235">
    <w:abstractNumId w:val="17"/>
  </w:num>
  <w:num w:numId="35" w16cid:durableId="1449543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3877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0E80"/>
    <w:rsid w:val="0000217F"/>
    <w:rsid w:val="00005BA0"/>
    <w:rsid w:val="00005FAA"/>
    <w:rsid w:val="00007068"/>
    <w:rsid w:val="00007463"/>
    <w:rsid w:val="00010FE4"/>
    <w:rsid w:val="00012751"/>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09D"/>
    <w:rsid w:val="00046DFE"/>
    <w:rsid w:val="00046F24"/>
    <w:rsid w:val="00050427"/>
    <w:rsid w:val="000529D2"/>
    <w:rsid w:val="00053D41"/>
    <w:rsid w:val="000553A9"/>
    <w:rsid w:val="00055508"/>
    <w:rsid w:val="0006040F"/>
    <w:rsid w:val="00060B0B"/>
    <w:rsid w:val="00062518"/>
    <w:rsid w:val="00063152"/>
    <w:rsid w:val="000640C7"/>
    <w:rsid w:val="00066215"/>
    <w:rsid w:val="000671F1"/>
    <w:rsid w:val="00070B21"/>
    <w:rsid w:val="00070ED6"/>
    <w:rsid w:val="00070EF3"/>
    <w:rsid w:val="00073C77"/>
    <w:rsid w:val="00074975"/>
    <w:rsid w:val="00077247"/>
    <w:rsid w:val="00077B5D"/>
    <w:rsid w:val="00081BC9"/>
    <w:rsid w:val="00084C82"/>
    <w:rsid w:val="0008674E"/>
    <w:rsid w:val="000909EB"/>
    <w:rsid w:val="00090CB3"/>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1207"/>
    <w:rsid w:val="000C3DA4"/>
    <w:rsid w:val="000C58B6"/>
    <w:rsid w:val="000C5A63"/>
    <w:rsid w:val="000C6DCD"/>
    <w:rsid w:val="000D009F"/>
    <w:rsid w:val="000D22BB"/>
    <w:rsid w:val="000D2662"/>
    <w:rsid w:val="000D2E71"/>
    <w:rsid w:val="000D3EFE"/>
    <w:rsid w:val="000D6EE2"/>
    <w:rsid w:val="000D748B"/>
    <w:rsid w:val="000E057B"/>
    <w:rsid w:val="000E0B2F"/>
    <w:rsid w:val="000E128C"/>
    <w:rsid w:val="000E1F0C"/>
    <w:rsid w:val="000E275C"/>
    <w:rsid w:val="000E5A48"/>
    <w:rsid w:val="000E7A99"/>
    <w:rsid w:val="000F1049"/>
    <w:rsid w:val="000F1B07"/>
    <w:rsid w:val="000F292B"/>
    <w:rsid w:val="000F2F92"/>
    <w:rsid w:val="000F5CE6"/>
    <w:rsid w:val="0010064A"/>
    <w:rsid w:val="00102DF5"/>
    <w:rsid w:val="00105F91"/>
    <w:rsid w:val="00112494"/>
    <w:rsid w:val="001132AD"/>
    <w:rsid w:val="00115372"/>
    <w:rsid w:val="0011578F"/>
    <w:rsid w:val="00115A6F"/>
    <w:rsid w:val="001166BA"/>
    <w:rsid w:val="00117700"/>
    <w:rsid w:val="00120D42"/>
    <w:rsid w:val="00124A1B"/>
    <w:rsid w:val="00124CB4"/>
    <w:rsid w:val="00127382"/>
    <w:rsid w:val="00127A4A"/>
    <w:rsid w:val="001338AA"/>
    <w:rsid w:val="00133B12"/>
    <w:rsid w:val="00135B49"/>
    <w:rsid w:val="00143277"/>
    <w:rsid w:val="00143962"/>
    <w:rsid w:val="001445E4"/>
    <w:rsid w:val="00150B26"/>
    <w:rsid w:val="00152C86"/>
    <w:rsid w:val="00154D9C"/>
    <w:rsid w:val="00156FCF"/>
    <w:rsid w:val="00157004"/>
    <w:rsid w:val="0015779B"/>
    <w:rsid w:val="001577E4"/>
    <w:rsid w:val="00162289"/>
    <w:rsid w:val="00162A42"/>
    <w:rsid w:val="001637C1"/>
    <w:rsid w:val="001661A8"/>
    <w:rsid w:val="00166E58"/>
    <w:rsid w:val="001705CF"/>
    <w:rsid w:val="001752F1"/>
    <w:rsid w:val="00175B04"/>
    <w:rsid w:val="00176F27"/>
    <w:rsid w:val="00177BA8"/>
    <w:rsid w:val="00177D0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0890"/>
    <w:rsid w:val="001B18D1"/>
    <w:rsid w:val="001B34D9"/>
    <w:rsid w:val="001C2F60"/>
    <w:rsid w:val="001C35AE"/>
    <w:rsid w:val="001C4471"/>
    <w:rsid w:val="001C65B5"/>
    <w:rsid w:val="001C7A97"/>
    <w:rsid w:val="001C7FE2"/>
    <w:rsid w:val="001D0FA0"/>
    <w:rsid w:val="001D1083"/>
    <w:rsid w:val="001D3C04"/>
    <w:rsid w:val="001D44E2"/>
    <w:rsid w:val="001D6507"/>
    <w:rsid w:val="001D6F4A"/>
    <w:rsid w:val="001E4CE7"/>
    <w:rsid w:val="001E5263"/>
    <w:rsid w:val="001E637C"/>
    <w:rsid w:val="001E6748"/>
    <w:rsid w:val="001E67A5"/>
    <w:rsid w:val="001E6E96"/>
    <w:rsid w:val="001E754D"/>
    <w:rsid w:val="001F13C7"/>
    <w:rsid w:val="001F3CDE"/>
    <w:rsid w:val="001F43E8"/>
    <w:rsid w:val="00200D15"/>
    <w:rsid w:val="0020200B"/>
    <w:rsid w:val="0020434A"/>
    <w:rsid w:val="00207E63"/>
    <w:rsid w:val="00211B2A"/>
    <w:rsid w:val="00212ADD"/>
    <w:rsid w:val="00212B90"/>
    <w:rsid w:val="00214F18"/>
    <w:rsid w:val="00224286"/>
    <w:rsid w:val="0022435B"/>
    <w:rsid w:val="00225182"/>
    <w:rsid w:val="0023024D"/>
    <w:rsid w:val="002315AB"/>
    <w:rsid w:val="00232569"/>
    <w:rsid w:val="00233335"/>
    <w:rsid w:val="00234AE2"/>
    <w:rsid w:val="00240D00"/>
    <w:rsid w:val="00240FEA"/>
    <w:rsid w:val="00241069"/>
    <w:rsid w:val="00241C69"/>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16D5"/>
    <w:rsid w:val="002B1733"/>
    <w:rsid w:val="002B2AF8"/>
    <w:rsid w:val="002B31F3"/>
    <w:rsid w:val="002B352D"/>
    <w:rsid w:val="002B489D"/>
    <w:rsid w:val="002B4DD3"/>
    <w:rsid w:val="002B5B8B"/>
    <w:rsid w:val="002B6697"/>
    <w:rsid w:val="002B6A3C"/>
    <w:rsid w:val="002C2259"/>
    <w:rsid w:val="002C57F4"/>
    <w:rsid w:val="002C7407"/>
    <w:rsid w:val="002C79BA"/>
    <w:rsid w:val="002D0B08"/>
    <w:rsid w:val="002D1CED"/>
    <w:rsid w:val="002D4C53"/>
    <w:rsid w:val="002D4D56"/>
    <w:rsid w:val="002D5E99"/>
    <w:rsid w:val="002D6D79"/>
    <w:rsid w:val="002E1B28"/>
    <w:rsid w:val="002F25AC"/>
    <w:rsid w:val="002F3746"/>
    <w:rsid w:val="00302AC1"/>
    <w:rsid w:val="00304209"/>
    <w:rsid w:val="00304A76"/>
    <w:rsid w:val="00306AFF"/>
    <w:rsid w:val="00310DAA"/>
    <w:rsid w:val="003129C5"/>
    <w:rsid w:val="00313A64"/>
    <w:rsid w:val="00316986"/>
    <w:rsid w:val="00316D2C"/>
    <w:rsid w:val="0032093D"/>
    <w:rsid w:val="00320A8F"/>
    <w:rsid w:val="003214A4"/>
    <w:rsid w:val="00322969"/>
    <w:rsid w:val="0032627E"/>
    <w:rsid w:val="00330974"/>
    <w:rsid w:val="00330EC9"/>
    <w:rsid w:val="00331096"/>
    <w:rsid w:val="00333A39"/>
    <w:rsid w:val="0033406B"/>
    <w:rsid w:val="00343097"/>
    <w:rsid w:val="00344A49"/>
    <w:rsid w:val="00345172"/>
    <w:rsid w:val="0034540C"/>
    <w:rsid w:val="00347C65"/>
    <w:rsid w:val="00351AB0"/>
    <w:rsid w:val="003529B3"/>
    <w:rsid w:val="00353ACF"/>
    <w:rsid w:val="0036457E"/>
    <w:rsid w:val="003652F0"/>
    <w:rsid w:val="00366151"/>
    <w:rsid w:val="0036662A"/>
    <w:rsid w:val="003802AF"/>
    <w:rsid w:val="0038083D"/>
    <w:rsid w:val="00383A1D"/>
    <w:rsid w:val="003865B8"/>
    <w:rsid w:val="00391584"/>
    <w:rsid w:val="0039259D"/>
    <w:rsid w:val="00397AD7"/>
    <w:rsid w:val="00397E94"/>
    <w:rsid w:val="003A0BC4"/>
    <w:rsid w:val="003A1AD9"/>
    <w:rsid w:val="003A207C"/>
    <w:rsid w:val="003A332E"/>
    <w:rsid w:val="003B04AD"/>
    <w:rsid w:val="003B055B"/>
    <w:rsid w:val="003B08D5"/>
    <w:rsid w:val="003B2DCD"/>
    <w:rsid w:val="003B2FAE"/>
    <w:rsid w:val="003B4705"/>
    <w:rsid w:val="003B6643"/>
    <w:rsid w:val="003B726A"/>
    <w:rsid w:val="003C44A8"/>
    <w:rsid w:val="003C6054"/>
    <w:rsid w:val="003D2338"/>
    <w:rsid w:val="003D4259"/>
    <w:rsid w:val="003D4EB4"/>
    <w:rsid w:val="003D6076"/>
    <w:rsid w:val="003E09D5"/>
    <w:rsid w:val="003E2394"/>
    <w:rsid w:val="003E2769"/>
    <w:rsid w:val="003E2E0D"/>
    <w:rsid w:val="003E2F0D"/>
    <w:rsid w:val="003E4F82"/>
    <w:rsid w:val="003E5724"/>
    <w:rsid w:val="003E74BF"/>
    <w:rsid w:val="003E77A4"/>
    <w:rsid w:val="003F2C16"/>
    <w:rsid w:val="003F4803"/>
    <w:rsid w:val="003F5676"/>
    <w:rsid w:val="003F646A"/>
    <w:rsid w:val="003F7DF8"/>
    <w:rsid w:val="00404921"/>
    <w:rsid w:val="0040628C"/>
    <w:rsid w:val="00406369"/>
    <w:rsid w:val="0041243E"/>
    <w:rsid w:val="004136A8"/>
    <w:rsid w:val="00414392"/>
    <w:rsid w:val="00415D98"/>
    <w:rsid w:val="004177C2"/>
    <w:rsid w:val="00417DC7"/>
    <w:rsid w:val="00421A44"/>
    <w:rsid w:val="00421AD5"/>
    <w:rsid w:val="00422ACE"/>
    <w:rsid w:val="00426AB7"/>
    <w:rsid w:val="004322A4"/>
    <w:rsid w:val="00436F15"/>
    <w:rsid w:val="004378EE"/>
    <w:rsid w:val="004464F5"/>
    <w:rsid w:val="00447D74"/>
    <w:rsid w:val="00452AAF"/>
    <w:rsid w:val="00452FA3"/>
    <w:rsid w:val="00455305"/>
    <w:rsid w:val="00455E24"/>
    <w:rsid w:val="004631DA"/>
    <w:rsid w:val="004639C4"/>
    <w:rsid w:val="00464F3D"/>
    <w:rsid w:val="00466795"/>
    <w:rsid w:val="00467667"/>
    <w:rsid w:val="00475359"/>
    <w:rsid w:val="00475D1E"/>
    <w:rsid w:val="00475E13"/>
    <w:rsid w:val="0047758D"/>
    <w:rsid w:val="0048204B"/>
    <w:rsid w:val="00482B56"/>
    <w:rsid w:val="0048419C"/>
    <w:rsid w:val="004853EA"/>
    <w:rsid w:val="00485F22"/>
    <w:rsid w:val="00486210"/>
    <w:rsid w:val="004864F1"/>
    <w:rsid w:val="00486F43"/>
    <w:rsid w:val="00487204"/>
    <w:rsid w:val="004872CD"/>
    <w:rsid w:val="004876E5"/>
    <w:rsid w:val="004923DB"/>
    <w:rsid w:val="00492CC9"/>
    <w:rsid w:val="00493270"/>
    <w:rsid w:val="004955FA"/>
    <w:rsid w:val="004A0897"/>
    <w:rsid w:val="004A42BF"/>
    <w:rsid w:val="004A5F41"/>
    <w:rsid w:val="004A6A07"/>
    <w:rsid w:val="004A6E9D"/>
    <w:rsid w:val="004A704E"/>
    <w:rsid w:val="004B2CD5"/>
    <w:rsid w:val="004B5C52"/>
    <w:rsid w:val="004B5CCA"/>
    <w:rsid w:val="004C1CE4"/>
    <w:rsid w:val="004C3A8E"/>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2E4"/>
    <w:rsid w:val="004E6B69"/>
    <w:rsid w:val="004E6CC8"/>
    <w:rsid w:val="004F6AD3"/>
    <w:rsid w:val="004F7B38"/>
    <w:rsid w:val="005004F3"/>
    <w:rsid w:val="00505350"/>
    <w:rsid w:val="005054C5"/>
    <w:rsid w:val="00507402"/>
    <w:rsid w:val="00510A85"/>
    <w:rsid w:val="00513D9B"/>
    <w:rsid w:val="0051455A"/>
    <w:rsid w:val="005156D0"/>
    <w:rsid w:val="005158BC"/>
    <w:rsid w:val="005159D4"/>
    <w:rsid w:val="005206B0"/>
    <w:rsid w:val="00520904"/>
    <w:rsid w:val="00520A12"/>
    <w:rsid w:val="00520A7C"/>
    <w:rsid w:val="00525F1B"/>
    <w:rsid w:val="00526418"/>
    <w:rsid w:val="00527115"/>
    <w:rsid w:val="0053023F"/>
    <w:rsid w:val="005303DC"/>
    <w:rsid w:val="00530480"/>
    <w:rsid w:val="0053182B"/>
    <w:rsid w:val="00531C7D"/>
    <w:rsid w:val="00533E6D"/>
    <w:rsid w:val="00540485"/>
    <w:rsid w:val="0054453C"/>
    <w:rsid w:val="00547C74"/>
    <w:rsid w:val="005516A5"/>
    <w:rsid w:val="005533C2"/>
    <w:rsid w:val="005602D1"/>
    <w:rsid w:val="00563838"/>
    <w:rsid w:val="00563B3D"/>
    <w:rsid w:val="005671CE"/>
    <w:rsid w:val="00571253"/>
    <w:rsid w:val="005719F2"/>
    <w:rsid w:val="005720D3"/>
    <w:rsid w:val="00572545"/>
    <w:rsid w:val="00572DAC"/>
    <w:rsid w:val="0057371A"/>
    <w:rsid w:val="00573E4F"/>
    <w:rsid w:val="00581B51"/>
    <w:rsid w:val="0058217E"/>
    <w:rsid w:val="005861BE"/>
    <w:rsid w:val="005903F9"/>
    <w:rsid w:val="00592441"/>
    <w:rsid w:val="00593BA3"/>
    <w:rsid w:val="00593EE0"/>
    <w:rsid w:val="005953D7"/>
    <w:rsid w:val="00597AFF"/>
    <w:rsid w:val="005A0AC7"/>
    <w:rsid w:val="005A3FE6"/>
    <w:rsid w:val="005A4A5F"/>
    <w:rsid w:val="005A771F"/>
    <w:rsid w:val="005B09A6"/>
    <w:rsid w:val="005B1293"/>
    <w:rsid w:val="005B3CAD"/>
    <w:rsid w:val="005B79FB"/>
    <w:rsid w:val="005B7C13"/>
    <w:rsid w:val="005C11A9"/>
    <w:rsid w:val="005C11F6"/>
    <w:rsid w:val="005C27B0"/>
    <w:rsid w:val="005C311B"/>
    <w:rsid w:val="005C492A"/>
    <w:rsid w:val="005C5B4A"/>
    <w:rsid w:val="005C5ECB"/>
    <w:rsid w:val="005C7A18"/>
    <w:rsid w:val="005D1053"/>
    <w:rsid w:val="005D4430"/>
    <w:rsid w:val="005D5764"/>
    <w:rsid w:val="005D5C4B"/>
    <w:rsid w:val="005D7216"/>
    <w:rsid w:val="005E0604"/>
    <w:rsid w:val="005E1221"/>
    <w:rsid w:val="005E31D2"/>
    <w:rsid w:val="005E5744"/>
    <w:rsid w:val="005E5794"/>
    <w:rsid w:val="005E64D4"/>
    <w:rsid w:val="005E7988"/>
    <w:rsid w:val="005F038F"/>
    <w:rsid w:val="005F0F88"/>
    <w:rsid w:val="005F26E0"/>
    <w:rsid w:val="005F4CB3"/>
    <w:rsid w:val="006039F5"/>
    <w:rsid w:val="006078D1"/>
    <w:rsid w:val="00607C88"/>
    <w:rsid w:val="006106A7"/>
    <w:rsid w:val="00610ACE"/>
    <w:rsid w:val="00611290"/>
    <w:rsid w:val="00611C52"/>
    <w:rsid w:val="00613BBB"/>
    <w:rsid w:val="00615ACB"/>
    <w:rsid w:val="00616E99"/>
    <w:rsid w:val="0061772B"/>
    <w:rsid w:val="006179ED"/>
    <w:rsid w:val="00620151"/>
    <w:rsid w:val="00623A9C"/>
    <w:rsid w:val="006259D7"/>
    <w:rsid w:val="00626D21"/>
    <w:rsid w:val="00627CF4"/>
    <w:rsid w:val="006301B9"/>
    <w:rsid w:val="00631726"/>
    <w:rsid w:val="00631981"/>
    <w:rsid w:val="006334A9"/>
    <w:rsid w:val="00633EC5"/>
    <w:rsid w:val="006351B9"/>
    <w:rsid w:val="00635B87"/>
    <w:rsid w:val="00635C2F"/>
    <w:rsid w:val="0064089A"/>
    <w:rsid w:val="00642298"/>
    <w:rsid w:val="00642F95"/>
    <w:rsid w:val="006502AB"/>
    <w:rsid w:val="006507EE"/>
    <w:rsid w:val="006509F5"/>
    <w:rsid w:val="0065336D"/>
    <w:rsid w:val="00655675"/>
    <w:rsid w:val="00657080"/>
    <w:rsid w:val="00661D02"/>
    <w:rsid w:val="0066244B"/>
    <w:rsid w:val="00662A5E"/>
    <w:rsid w:val="00665BE2"/>
    <w:rsid w:val="00667964"/>
    <w:rsid w:val="0067362E"/>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3AD0"/>
    <w:rsid w:val="006A6D8E"/>
    <w:rsid w:val="006B0D85"/>
    <w:rsid w:val="006B0E09"/>
    <w:rsid w:val="006B19A2"/>
    <w:rsid w:val="006B526A"/>
    <w:rsid w:val="006B75D2"/>
    <w:rsid w:val="006B7F23"/>
    <w:rsid w:val="006C0163"/>
    <w:rsid w:val="006C0BB5"/>
    <w:rsid w:val="006C13C0"/>
    <w:rsid w:val="006C2B3C"/>
    <w:rsid w:val="006C380A"/>
    <w:rsid w:val="006C5A46"/>
    <w:rsid w:val="006D1718"/>
    <w:rsid w:val="006D4B98"/>
    <w:rsid w:val="006D5CE9"/>
    <w:rsid w:val="006E05A9"/>
    <w:rsid w:val="006E0B8B"/>
    <w:rsid w:val="006E16C9"/>
    <w:rsid w:val="006E3883"/>
    <w:rsid w:val="006E67AE"/>
    <w:rsid w:val="006E6E2F"/>
    <w:rsid w:val="006E798D"/>
    <w:rsid w:val="006E7C89"/>
    <w:rsid w:val="006F23CE"/>
    <w:rsid w:val="0070221E"/>
    <w:rsid w:val="00703751"/>
    <w:rsid w:val="00703766"/>
    <w:rsid w:val="007070F4"/>
    <w:rsid w:val="00707C95"/>
    <w:rsid w:val="00710DD2"/>
    <w:rsid w:val="007129EC"/>
    <w:rsid w:val="00716C03"/>
    <w:rsid w:val="007209A9"/>
    <w:rsid w:val="007215C1"/>
    <w:rsid w:val="00724188"/>
    <w:rsid w:val="0072623F"/>
    <w:rsid w:val="007263AF"/>
    <w:rsid w:val="00727011"/>
    <w:rsid w:val="00730A92"/>
    <w:rsid w:val="00733EC4"/>
    <w:rsid w:val="00734AFB"/>
    <w:rsid w:val="007350FF"/>
    <w:rsid w:val="00737F61"/>
    <w:rsid w:val="00741C32"/>
    <w:rsid w:val="00741D8D"/>
    <w:rsid w:val="00742585"/>
    <w:rsid w:val="007448A2"/>
    <w:rsid w:val="00747161"/>
    <w:rsid w:val="00747BC9"/>
    <w:rsid w:val="007507C7"/>
    <w:rsid w:val="00751DDD"/>
    <w:rsid w:val="007537EC"/>
    <w:rsid w:val="007556DB"/>
    <w:rsid w:val="007570DC"/>
    <w:rsid w:val="00760318"/>
    <w:rsid w:val="00761496"/>
    <w:rsid w:val="00761F33"/>
    <w:rsid w:val="00763E82"/>
    <w:rsid w:val="007667F0"/>
    <w:rsid w:val="00772F72"/>
    <w:rsid w:val="007769FC"/>
    <w:rsid w:val="00780949"/>
    <w:rsid w:val="007823E6"/>
    <w:rsid w:val="00782904"/>
    <w:rsid w:val="0078534B"/>
    <w:rsid w:val="007858AE"/>
    <w:rsid w:val="00787C89"/>
    <w:rsid w:val="00791279"/>
    <w:rsid w:val="0079191D"/>
    <w:rsid w:val="00792606"/>
    <w:rsid w:val="00792D7B"/>
    <w:rsid w:val="007972A2"/>
    <w:rsid w:val="007A1AA6"/>
    <w:rsid w:val="007A3021"/>
    <w:rsid w:val="007A361B"/>
    <w:rsid w:val="007B0662"/>
    <w:rsid w:val="007B0CD8"/>
    <w:rsid w:val="007B3E81"/>
    <w:rsid w:val="007B5302"/>
    <w:rsid w:val="007B6614"/>
    <w:rsid w:val="007B745B"/>
    <w:rsid w:val="007C1CA1"/>
    <w:rsid w:val="007C292F"/>
    <w:rsid w:val="007C41EA"/>
    <w:rsid w:val="007C46F0"/>
    <w:rsid w:val="007C63BD"/>
    <w:rsid w:val="007D3038"/>
    <w:rsid w:val="007D42C6"/>
    <w:rsid w:val="007D4506"/>
    <w:rsid w:val="007E1501"/>
    <w:rsid w:val="007E33DA"/>
    <w:rsid w:val="007E4CEE"/>
    <w:rsid w:val="007E4D88"/>
    <w:rsid w:val="007E69B5"/>
    <w:rsid w:val="007F5F38"/>
    <w:rsid w:val="007F7899"/>
    <w:rsid w:val="00800D13"/>
    <w:rsid w:val="0080172F"/>
    <w:rsid w:val="00803752"/>
    <w:rsid w:val="00803C03"/>
    <w:rsid w:val="008103CF"/>
    <w:rsid w:val="00811BF1"/>
    <w:rsid w:val="008127AF"/>
    <w:rsid w:val="00814122"/>
    <w:rsid w:val="00817EF3"/>
    <w:rsid w:val="0082428A"/>
    <w:rsid w:val="0082667A"/>
    <w:rsid w:val="008359DC"/>
    <w:rsid w:val="00835B5B"/>
    <w:rsid w:val="00836B8F"/>
    <w:rsid w:val="00836F2D"/>
    <w:rsid w:val="00841706"/>
    <w:rsid w:val="0084195D"/>
    <w:rsid w:val="00843962"/>
    <w:rsid w:val="00847DCC"/>
    <w:rsid w:val="0085384B"/>
    <w:rsid w:val="00853AF4"/>
    <w:rsid w:val="0085430B"/>
    <w:rsid w:val="00856EDA"/>
    <w:rsid w:val="008576A6"/>
    <w:rsid w:val="00863D95"/>
    <w:rsid w:val="00865C80"/>
    <w:rsid w:val="008663E3"/>
    <w:rsid w:val="00867C39"/>
    <w:rsid w:val="008742CA"/>
    <w:rsid w:val="00875BEC"/>
    <w:rsid w:val="00880909"/>
    <w:rsid w:val="008820BA"/>
    <w:rsid w:val="00882EF3"/>
    <w:rsid w:val="00885C3D"/>
    <w:rsid w:val="0088666B"/>
    <w:rsid w:val="00890A7C"/>
    <w:rsid w:val="00890ABB"/>
    <w:rsid w:val="008923B9"/>
    <w:rsid w:val="00893A29"/>
    <w:rsid w:val="00894683"/>
    <w:rsid w:val="00895A36"/>
    <w:rsid w:val="00896901"/>
    <w:rsid w:val="008A3E24"/>
    <w:rsid w:val="008A53CB"/>
    <w:rsid w:val="008A57E4"/>
    <w:rsid w:val="008A5A0D"/>
    <w:rsid w:val="008B1AB6"/>
    <w:rsid w:val="008B3037"/>
    <w:rsid w:val="008B3CA0"/>
    <w:rsid w:val="008C0A1B"/>
    <w:rsid w:val="008C2766"/>
    <w:rsid w:val="008C3DAE"/>
    <w:rsid w:val="008C4CE9"/>
    <w:rsid w:val="008D2DB3"/>
    <w:rsid w:val="008D4415"/>
    <w:rsid w:val="008D444C"/>
    <w:rsid w:val="008D55D4"/>
    <w:rsid w:val="008D5F38"/>
    <w:rsid w:val="008D7278"/>
    <w:rsid w:val="008E2069"/>
    <w:rsid w:val="008E31E8"/>
    <w:rsid w:val="008E3A92"/>
    <w:rsid w:val="008E3C68"/>
    <w:rsid w:val="008F0628"/>
    <w:rsid w:val="008F38C3"/>
    <w:rsid w:val="008F434D"/>
    <w:rsid w:val="008F5BA4"/>
    <w:rsid w:val="0090000A"/>
    <w:rsid w:val="00904C70"/>
    <w:rsid w:val="00911486"/>
    <w:rsid w:val="009220EC"/>
    <w:rsid w:val="00925335"/>
    <w:rsid w:val="00926630"/>
    <w:rsid w:val="0092768B"/>
    <w:rsid w:val="00933886"/>
    <w:rsid w:val="00934F45"/>
    <w:rsid w:val="00941F81"/>
    <w:rsid w:val="009422B0"/>
    <w:rsid w:val="00943DA8"/>
    <w:rsid w:val="00947C9D"/>
    <w:rsid w:val="00950259"/>
    <w:rsid w:val="00951376"/>
    <w:rsid w:val="0095422F"/>
    <w:rsid w:val="00954EEB"/>
    <w:rsid w:val="00956C1E"/>
    <w:rsid w:val="009601F1"/>
    <w:rsid w:val="00960E60"/>
    <w:rsid w:val="00965B35"/>
    <w:rsid w:val="0097341D"/>
    <w:rsid w:val="00975241"/>
    <w:rsid w:val="009813D8"/>
    <w:rsid w:val="00984D10"/>
    <w:rsid w:val="00986A8F"/>
    <w:rsid w:val="009913E3"/>
    <w:rsid w:val="009924A0"/>
    <w:rsid w:val="0099342A"/>
    <w:rsid w:val="009940C0"/>
    <w:rsid w:val="009944EE"/>
    <w:rsid w:val="00995694"/>
    <w:rsid w:val="009961A8"/>
    <w:rsid w:val="00997A27"/>
    <w:rsid w:val="009A1219"/>
    <w:rsid w:val="009A24AF"/>
    <w:rsid w:val="009A3E23"/>
    <w:rsid w:val="009A662F"/>
    <w:rsid w:val="009B0ED8"/>
    <w:rsid w:val="009B2BC0"/>
    <w:rsid w:val="009B3957"/>
    <w:rsid w:val="009B3FAA"/>
    <w:rsid w:val="009B4714"/>
    <w:rsid w:val="009B6D51"/>
    <w:rsid w:val="009B6D64"/>
    <w:rsid w:val="009B7A40"/>
    <w:rsid w:val="009C1904"/>
    <w:rsid w:val="009C5ECF"/>
    <w:rsid w:val="009C687C"/>
    <w:rsid w:val="009D3B8E"/>
    <w:rsid w:val="009D3BAD"/>
    <w:rsid w:val="009E0DDE"/>
    <w:rsid w:val="009E0FB7"/>
    <w:rsid w:val="009E1857"/>
    <w:rsid w:val="009E26DD"/>
    <w:rsid w:val="009E35C0"/>
    <w:rsid w:val="009E69E2"/>
    <w:rsid w:val="009E7F18"/>
    <w:rsid w:val="009F0535"/>
    <w:rsid w:val="009F3BF0"/>
    <w:rsid w:val="009F42D2"/>
    <w:rsid w:val="00A00DB1"/>
    <w:rsid w:val="00A05F9C"/>
    <w:rsid w:val="00A069E5"/>
    <w:rsid w:val="00A076DC"/>
    <w:rsid w:val="00A10E03"/>
    <w:rsid w:val="00A127C6"/>
    <w:rsid w:val="00A12AFF"/>
    <w:rsid w:val="00A154B6"/>
    <w:rsid w:val="00A16490"/>
    <w:rsid w:val="00A22AB1"/>
    <w:rsid w:val="00A2437A"/>
    <w:rsid w:val="00A24DB0"/>
    <w:rsid w:val="00A26CB7"/>
    <w:rsid w:val="00A2721F"/>
    <w:rsid w:val="00A27C5F"/>
    <w:rsid w:val="00A314EC"/>
    <w:rsid w:val="00A3180D"/>
    <w:rsid w:val="00A31C11"/>
    <w:rsid w:val="00A323E0"/>
    <w:rsid w:val="00A33F72"/>
    <w:rsid w:val="00A34915"/>
    <w:rsid w:val="00A3535C"/>
    <w:rsid w:val="00A35603"/>
    <w:rsid w:val="00A37D8F"/>
    <w:rsid w:val="00A4128B"/>
    <w:rsid w:val="00A442E9"/>
    <w:rsid w:val="00A471A1"/>
    <w:rsid w:val="00A474B0"/>
    <w:rsid w:val="00A47552"/>
    <w:rsid w:val="00A47E71"/>
    <w:rsid w:val="00A51B2D"/>
    <w:rsid w:val="00A52A7D"/>
    <w:rsid w:val="00A52C00"/>
    <w:rsid w:val="00A533D4"/>
    <w:rsid w:val="00A541C7"/>
    <w:rsid w:val="00A54BBD"/>
    <w:rsid w:val="00A557BA"/>
    <w:rsid w:val="00A55EFE"/>
    <w:rsid w:val="00A57B56"/>
    <w:rsid w:val="00A62AC0"/>
    <w:rsid w:val="00A640F5"/>
    <w:rsid w:val="00A65189"/>
    <w:rsid w:val="00A65A60"/>
    <w:rsid w:val="00A6632E"/>
    <w:rsid w:val="00A7066D"/>
    <w:rsid w:val="00A709C3"/>
    <w:rsid w:val="00A725A8"/>
    <w:rsid w:val="00A73B39"/>
    <w:rsid w:val="00A75556"/>
    <w:rsid w:val="00A76237"/>
    <w:rsid w:val="00A7757C"/>
    <w:rsid w:val="00A80ADA"/>
    <w:rsid w:val="00A845D7"/>
    <w:rsid w:val="00A904C8"/>
    <w:rsid w:val="00A91F0C"/>
    <w:rsid w:val="00A93666"/>
    <w:rsid w:val="00A937EF"/>
    <w:rsid w:val="00A93B1D"/>
    <w:rsid w:val="00A9443D"/>
    <w:rsid w:val="00A96C87"/>
    <w:rsid w:val="00AA17E8"/>
    <w:rsid w:val="00AA2E27"/>
    <w:rsid w:val="00AA30C9"/>
    <w:rsid w:val="00AA3EF8"/>
    <w:rsid w:val="00AA7C66"/>
    <w:rsid w:val="00AB4283"/>
    <w:rsid w:val="00AB6C78"/>
    <w:rsid w:val="00AB7627"/>
    <w:rsid w:val="00AB76CB"/>
    <w:rsid w:val="00AC4B6C"/>
    <w:rsid w:val="00AC6352"/>
    <w:rsid w:val="00AC644B"/>
    <w:rsid w:val="00AC73C3"/>
    <w:rsid w:val="00AD1542"/>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575F"/>
    <w:rsid w:val="00AF6F7A"/>
    <w:rsid w:val="00B00E19"/>
    <w:rsid w:val="00B00FA2"/>
    <w:rsid w:val="00B01371"/>
    <w:rsid w:val="00B04294"/>
    <w:rsid w:val="00B058B6"/>
    <w:rsid w:val="00B0591B"/>
    <w:rsid w:val="00B06DF8"/>
    <w:rsid w:val="00B07127"/>
    <w:rsid w:val="00B12A90"/>
    <w:rsid w:val="00B14588"/>
    <w:rsid w:val="00B14AA0"/>
    <w:rsid w:val="00B16BD9"/>
    <w:rsid w:val="00B176B2"/>
    <w:rsid w:val="00B249B6"/>
    <w:rsid w:val="00B259E5"/>
    <w:rsid w:val="00B26628"/>
    <w:rsid w:val="00B3130A"/>
    <w:rsid w:val="00B31B2D"/>
    <w:rsid w:val="00B33BD8"/>
    <w:rsid w:val="00B354D3"/>
    <w:rsid w:val="00B40294"/>
    <w:rsid w:val="00B40C1B"/>
    <w:rsid w:val="00B41C1E"/>
    <w:rsid w:val="00B42F3A"/>
    <w:rsid w:val="00B4351C"/>
    <w:rsid w:val="00B46548"/>
    <w:rsid w:val="00B47BB9"/>
    <w:rsid w:val="00B51113"/>
    <w:rsid w:val="00B52048"/>
    <w:rsid w:val="00B62AF9"/>
    <w:rsid w:val="00B65E84"/>
    <w:rsid w:val="00B66D73"/>
    <w:rsid w:val="00B67720"/>
    <w:rsid w:val="00B70A77"/>
    <w:rsid w:val="00B7378D"/>
    <w:rsid w:val="00B748DF"/>
    <w:rsid w:val="00B75709"/>
    <w:rsid w:val="00B80A8A"/>
    <w:rsid w:val="00B82006"/>
    <w:rsid w:val="00B87121"/>
    <w:rsid w:val="00B905D0"/>
    <w:rsid w:val="00B92508"/>
    <w:rsid w:val="00B92EC5"/>
    <w:rsid w:val="00B94407"/>
    <w:rsid w:val="00B94862"/>
    <w:rsid w:val="00B9676C"/>
    <w:rsid w:val="00BA3F54"/>
    <w:rsid w:val="00BA57E5"/>
    <w:rsid w:val="00BA694E"/>
    <w:rsid w:val="00BA736F"/>
    <w:rsid w:val="00BA7863"/>
    <w:rsid w:val="00BB138B"/>
    <w:rsid w:val="00BB2CCF"/>
    <w:rsid w:val="00BB64E4"/>
    <w:rsid w:val="00BB6C98"/>
    <w:rsid w:val="00BC5BDA"/>
    <w:rsid w:val="00BC7596"/>
    <w:rsid w:val="00BD0780"/>
    <w:rsid w:val="00BD0AB0"/>
    <w:rsid w:val="00BD17AE"/>
    <w:rsid w:val="00BD79BE"/>
    <w:rsid w:val="00BD7EFA"/>
    <w:rsid w:val="00BE1E8F"/>
    <w:rsid w:val="00BE30A4"/>
    <w:rsid w:val="00BE30F6"/>
    <w:rsid w:val="00BE403F"/>
    <w:rsid w:val="00BE49CE"/>
    <w:rsid w:val="00BE6468"/>
    <w:rsid w:val="00BE6CC1"/>
    <w:rsid w:val="00BE6D9F"/>
    <w:rsid w:val="00BE7074"/>
    <w:rsid w:val="00BF3DBF"/>
    <w:rsid w:val="00BF4E9E"/>
    <w:rsid w:val="00BF587A"/>
    <w:rsid w:val="00BF5F68"/>
    <w:rsid w:val="00BF7592"/>
    <w:rsid w:val="00C02D6C"/>
    <w:rsid w:val="00C02E76"/>
    <w:rsid w:val="00C12BFC"/>
    <w:rsid w:val="00C13806"/>
    <w:rsid w:val="00C146FC"/>
    <w:rsid w:val="00C16048"/>
    <w:rsid w:val="00C20ED7"/>
    <w:rsid w:val="00C2262B"/>
    <w:rsid w:val="00C2309C"/>
    <w:rsid w:val="00C23560"/>
    <w:rsid w:val="00C24800"/>
    <w:rsid w:val="00C25577"/>
    <w:rsid w:val="00C25699"/>
    <w:rsid w:val="00C25B44"/>
    <w:rsid w:val="00C329A0"/>
    <w:rsid w:val="00C3317D"/>
    <w:rsid w:val="00C33E49"/>
    <w:rsid w:val="00C34DEE"/>
    <w:rsid w:val="00C35591"/>
    <w:rsid w:val="00C35A56"/>
    <w:rsid w:val="00C372B4"/>
    <w:rsid w:val="00C40546"/>
    <w:rsid w:val="00C41BD5"/>
    <w:rsid w:val="00C41EDB"/>
    <w:rsid w:val="00C42FA7"/>
    <w:rsid w:val="00C43623"/>
    <w:rsid w:val="00C469DB"/>
    <w:rsid w:val="00C52B5C"/>
    <w:rsid w:val="00C535B1"/>
    <w:rsid w:val="00C5774B"/>
    <w:rsid w:val="00C57806"/>
    <w:rsid w:val="00C6260A"/>
    <w:rsid w:val="00C66993"/>
    <w:rsid w:val="00C728D0"/>
    <w:rsid w:val="00C72AC6"/>
    <w:rsid w:val="00C730D6"/>
    <w:rsid w:val="00C7415C"/>
    <w:rsid w:val="00C80FBD"/>
    <w:rsid w:val="00C81DDD"/>
    <w:rsid w:val="00C820E6"/>
    <w:rsid w:val="00C840F2"/>
    <w:rsid w:val="00C85D29"/>
    <w:rsid w:val="00C87C2D"/>
    <w:rsid w:val="00C90FFB"/>
    <w:rsid w:val="00C916C8"/>
    <w:rsid w:val="00C92E7E"/>
    <w:rsid w:val="00C94B40"/>
    <w:rsid w:val="00C9626F"/>
    <w:rsid w:val="00C96B29"/>
    <w:rsid w:val="00C97E60"/>
    <w:rsid w:val="00CA08AD"/>
    <w:rsid w:val="00CA2E85"/>
    <w:rsid w:val="00CA3ADD"/>
    <w:rsid w:val="00CA4007"/>
    <w:rsid w:val="00CA6AE7"/>
    <w:rsid w:val="00CB1E19"/>
    <w:rsid w:val="00CB2043"/>
    <w:rsid w:val="00CB2790"/>
    <w:rsid w:val="00CB315B"/>
    <w:rsid w:val="00CB505F"/>
    <w:rsid w:val="00CB755E"/>
    <w:rsid w:val="00CB7939"/>
    <w:rsid w:val="00CC4718"/>
    <w:rsid w:val="00CC5451"/>
    <w:rsid w:val="00CC6D1A"/>
    <w:rsid w:val="00CD5AA0"/>
    <w:rsid w:val="00CE2CDA"/>
    <w:rsid w:val="00CE3166"/>
    <w:rsid w:val="00CE3EFF"/>
    <w:rsid w:val="00CE3F94"/>
    <w:rsid w:val="00CE53AB"/>
    <w:rsid w:val="00CF169A"/>
    <w:rsid w:val="00CF1DFC"/>
    <w:rsid w:val="00CF2C5D"/>
    <w:rsid w:val="00CF665B"/>
    <w:rsid w:val="00CF78C6"/>
    <w:rsid w:val="00CF7C87"/>
    <w:rsid w:val="00D00031"/>
    <w:rsid w:val="00D0082C"/>
    <w:rsid w:val="00D025AF"/>
    <w:rsid w:val="00D0429B"/>
    <w:rsid w:val="00D053C9"/>
    <w:rsid w:val="00D0551A"/>
    <w:rsid w:val="00D11CBD"/>
    <w:rsid w:val="00D161B1"/>
    <w:rsid w:val="00D16B4A"/>
    <w:rsid w:val="00D16C72"/>
    <w:rsid w:val="00D20A19"/>
    <w:rsid w:val="00D245EA"/>
    <w:rsid w:val="00D24AF2"/>
    <w:rsid w:val="00D24D4B"/>
    <w:rsid w:val="00D31C1D"/>
    <w:rsid w:val="00D3400A"/>
    <w:rsid w:val="00D36D9D"/>
    <w:rsid w:val="00D3775B"/>
    <w:rsid w:val="00D4190F"/>
    <w:rsid w:val="00D44882"/>
    <w:rsid w:val="00D468B9"/>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875CC"/>
    <w:rsid w:val="00D9308B"/>
    <w:rsid w:val="00D93EA1"/>
    <w:rsid w:val="00D95696"/>
    <w:rsid w:val="00DA1871"/>
    <w:rsid w:val="00DB3586"/>
    <w:rsid w:val="00DB5B86"/>
    <w:rsid w:val="00DB5C6B"/>
    <w:rsid w:val="00DC11E3"/>
    <w:rsid w:val="00DC4EF0"/>
    <w:rsid w:val="00DC529F"/>
    <w:rsid w:val="00DC5385"/>
    <w:rsid w:val="00DC6D96"/>
    <w:rsid w:val="00DC769B"/>
    <w:rsid w:val="00DC7728"/>
    <w:rsid w:val="00DC7AB7"/>
    <w:rsid w:val="00DD04D4"/>
    <w:rsid w:val="00DD47C1"/>
    <w:rsid w:val="00DD622B"/>
    <w:rsid w:val="00DD6CB9"/>
    <w:rsid w:val="00DE1BD0"/>
    <w:rsid w:val="00DE27F8"/>
    <w:rsid w:val="00DE4F13"/>
    <w:rsid w:val="00DE55A6"/>
    <w:rsid w:val="00DE693B"/>
    <w:rsid w:val="00DF2E9A"/>
    <w:rsid w:val="00DF518B"/>
    <w:rsid w:val="00E010D9"/>
    <w:rsid w:val="00E02B61"/>
    <w:rsid w:val="00E04D0A"/>
    <w:rsid w:val="00E05F81"/>
    <w:rsid w:val="00E06388"/>
    <w:rsid w:val="00E07955"/>
    <w:rsid w:val="00E1040A"/>
    <w:rsid w:val="00E14905"/>
    <w:rsid w:val="00E17087"/>
    <w:rsid w:val="00E22652"/>
    <w:rsid w:val="00E24547"/>
    <w:rsid w:val="00E24BEE"/>
    <w:rsid w:val="00E306E3"/>
    <w:rsid w:val="00E307F8"/>
    <w:rsid w:val="00E30E83"/>
    <w:rsid w:val="00E312E5"/>
    <w:rsid w:val="00E314FC"/>
    <w:rsid w:val="00E409B4"/>
    <w:rsid w:val="00E42B0B"/>
    <w:rsid w:val="00E438AF"/>
    <w:rsid w:val="00E43A40"/>
    <w:rsid w:val="00E43A9C"/>
    <w:rsid w:val="00E4491C"/>
    <w:rsid w:val="00E47083"/>
    <w:rsid w:val="00E47094"/>
    <w:rsid w:val="00E47926"/>
    <w:rsid w:val="00E52C47"/>
    <w:rsid w:val="00E53208"/>
    <w:rsid w:val="00E53DCA"/>
    <w:rsid w:val="00E552A0"/>
    <w:rsid w:val="00E55EEC"/>
    <w:rsid w:val="00E6399A"/>
    <w:rsid w:val="00E675C6"/>
    <w:rsid w:val="00E70AAD"/>
    <w:rsid w:val="00E72EC5"/>
    <w:rsid w:val="00E72F4B"/>
    <w:rsid w:val="00E76405"/>
    <w:rsid w:val="00E8590D"/>
    <w:rsid w:val="00E8785C"/>
    <w:rsid w:val="00E87AF4"/>
    <w:rsid w:val="00E95B1A"/>
    <w:rsid w:val="00EA26D8"/>
    <w:rsid w:val="00EA47FF"/>
    <w:rsid w:val="00EA6F25"/>
    <w:rsid w:val="00EB18FC"/>
    <w:rsid w:val="00EB2565"/>
    <w:rsid w:val="00EB459E"/>
    <w:rsid w:val="00EB4613"/>
    <w:rsid w:val="00EB63F8"/>
    <w:rsid w:val="00EB6DB9"/>
    <w:rsid w:val="00EB7BC5"/>
    <w:rsid w:val="00EB7F68"/>
    <w:rsid w:val="00EC036E"/>
    <w:rsid w:val="00EC0828"/>
    <w:rsid w:val="00EC3181"/>
    <w:rsid w:val="00EC38AE"/>
    <w:rsid w:val="00EC641A"/>
    <w:rsid w:val="00EC6B07"/>
    <w:rsid w:val="00ED01FD"/>
    <w:rsid w:val="00ED0AC3"/>
    <w:rsid w:val="00ED1625"/>
    <w:rsid w:val="00ED355C"/>
    <w:rsid w:val="00ED76BF"/>
    <w:rsid w:val="00EE0D2D"/>
    <w:rsid w:val="00EE5396"/>
    <w:rsid w:val="00EE54DA"/>
    <w:rsid w:val="00EE6176"/>
    <w:rsid w:val="00EF0A83"/>
    <w:rsid w:val="00EF39E4"/>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22C"/>
    <w:rsid w:val="00F259EA"/>
    <w:rsid w:val="00F268A8"/>
    <w:rsid w:val="00F27AE6"/>
    <w:rsid w:val="00F30E99"/>
    <w:rsid w:val="00F34B89"/>
    <w:rsid w:val="00F35496"/>
    <w:rsid w:val="00F36127"/>
    <w:rsid w:val="00F37C02"/>
    <w:rsid w:val="00F438F8"/>
    <w:rsid w:val="00F43952"/>
    <w:rsid w:val="00F43AA9"/>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0EDB"/>
    <w:rsid w:val="00F7164D"/>
    <w:rsid w:val="00F74AD4"/>
    <w:rsid w:val="00F760E7"/>
    <w:rsid w:val="00F7759E"/>
    <w:rsid w:val="00F822A7"/>
    <w:rsid w:val="00F8394C"/>
    <w:rsid w:val="00F83B83"/>
    <w:rsid w:val="00F860AD"/>
    <w:rsid w:val="00F8723C"/>
    <w:rsid w:val="00F879B7"/>
    <w:rsid w:val="00F90E2E"/>
    <w:rsid w:val="00F91B33"/>
    <w:rsid w:val="00F91EE7"/>
    <w:rsid w:val="00F9226C"/>
    <w:rsid w:val="00FA05C8"/>
    <w:rsid w:val="00FA0B5E"/>
    <w:rsid w:val="00FA1112"/>
    <w:rsid w:val="00FA11D6"/>
    <w:rsid w:val="00FA1850"/>
    <w:rsid w:val="00FA1C73"/>
    <w:rsid w:val="00FA2FE9"/>
    <w:rsid w:val="00FB2A58"/>
    <w:rsid w:val="00FB32DA"/>
    <w:rsid w:val="00FB4492"/>
    <w:rsid w:val="00FC0F17"/>
    <w:rsid w:val="00FC1DE0"/>
    <w:rsid w:val="00FC48EB"/>
    <w:rsid w:val="00FC50FD"/>
    <w:rsid w:val="00FC5123"/>
    <w:rsid w:val="00FC6F18"/>
    <w:rsid w:val="00FD0C8D"/>
    <w:rsid w:val="00FD0EAB"/>
    <w:rsid w:val="00FD257C"/>
    <w:rsid w:val="00FE0F96"/>
    <w:rsid w:val="00FE238C"/>
    <w:rsid w:val="00FE2A36"/>
    <w:rsid w:val="00FE47BC"/>
    <w:rsid w:val="00FE6716"/>
    <w:rsid w:val="00FF2762"/>
    <w:rsid w:val="00FF329F"/>
    <w:rsid w:val="00FF5322"/>
    <w:rsid w:val="00FF5689"/>
    <w:rsid w:val="00FF5AD3"/>
    <w:rsid w:val="00FF7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 w:type="character" w:customStyle="1" w:styleId="apple-converted-space">
    <w:name w:val="apple-converted-space"/>
    <w:basedOn w:val="Numatytasispastraiposriftas"/>
    <w:rsid w:val="008B1AB6"/>
  </w:style>
  <w:style w:type="paragraph" w:styleId="prastasiniatinklio">
    <w:name w:val="Normal (Web)"/>
    <w:basedOn w:val="prastasis"/>
    <w:uiPriority w:val="99"/>
    <w:unhideWhenUsed/>
    <w:rsid w:val="00AA7C66"/>
    <w:pPr>
      <w:spacing w:before="100" w:beforeAutospacing="1" w:after="100" w:afterAutospacing="1"/>
    </w:pPr>
    <w:rPr>
      <w:rFonts w:ascii="Calibri" w:eastAsiaTheme="minorHAnsi" w:hAnsi="Calibri" w:cs="Calibri"/>
      <w:sz w:val="22"/>
      <w:szCs w:val="22"/>
    </w:rPr>
  </w:style>
  <w:style w:type="paragraph" w:customStyle="1" w:styleId="pf0">
    <w:name w:val="pf0"/>
    <w:basedOn w:val="prastasis"/>
    <w:rsid w:val="00925335"/>
    <w:pPr>
      <w:spacing w:before="100" w:beforeAutospacing="1" w:after="100" w:afterAutospacing="1"/>
    </w:pPr>
    <w:rPr>
      <w:szCs w:val="24"/>
    </w:rPr>
  </w:style>
  <w:style w:type="paragraph" w:customStyle="1" w:styleId="CM1">
    <w:name w:val="CM1"/>
    <w:basedOn w:val="prastasis"/>
    <w:next w:val="prastasis"/>
    <w:uiPriority w:val="99"/>
    <w:rsid w:val="00EF39E4"/>
    <w:pPr>
      <w:autoSpaceDE w:val="0"/>
      <w:autoSpaceDN w:val="0"/>
      <w:adjustRightInd w:val="0"/>
    </w:pPr>
    <w:rPr>
      <w:szCs w:val="24"/>
      <w:lang w:eastAsia="en-US"/>
    </w:rPr>
  </w:style>
  <w:style w:type="paragraph" w:customStyle="1" w:styleId="norm">
    <w:name w:val="norm"/>
    <w:basedOn w:val="prastasis"/>
    <w:rsid w:val="001C7A9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7000">
      <w:bodyDiv w:val="1"/>
      <w:marLeft w:val="0"/>
      <w:marRight w:val="0"/>
      <w:marTop w:val="0"/>
      <w:marBottom w:val="0"/>
      <w:divBdr>
        <w:top w:val="none" w:sz="0" w:space="0" w:color="auto"/>
        <w:left w:val="none" w:sz="0" w:space="0" w:color="auto"/>
        <w:bottom w:val="none" w:sz="0" w:space="0" w:color="auto"/>
        <w:right w:val="none" w:sz="0" w:space="0" w:color="auto"/>
      </w:divBdr>
    </w:div>
    <w:div w:id="153765355">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94070591">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05089244">
      <w:bodyDiv w:val="1"/>
      <w:marLeft w:val="0"/>
      <w:marRight w:val="0"/>
      <w:marTop w:val="0"/>
      <w:marBottom w:val="0"/>
      <w:divBdr>
        <w:top w:val="none" w:sz="0" w:space="0" w:color="auto"/>
        <w:left w:val="none" w:sz="0" w:space="0" w:color="auto"/>
        <w:bottom w:val="none" w:sz="0" w:space="0" w:color="auto"/>
        <w:right w:val="none" w:sz="0" w:space="0" w:color="auto"/>
      </w:divBdr>
    </w:div>
    <w:div w:id="313682559">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53623803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19843225">
      <w:bodyDiv w:val="1"/>
      <w:marLeft w:val="0"/>
      <w:marRight w:val="0"/>
      <w:marTop w:val="0"/>
      <w:marBottom w:val="0"/>
      <w:divBdr>
        <w:top w:val="none" w:sz="0" w:space="0" w:color="auto"/>
        <w:left w:val="none" w:sz="0" w:space="0" w:color="auto"/>
        <w:bottom w:val="none" w:sz="0" w:space="0" w:color="auto"/>
        <w:right w:val="none" w:sz="0" w:space="0" w:color="auto"/>
      </w:divBdr>
    </w:div>
    <w:div w:id="633218790">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62706806">
      <w:bodyDiv w:val="1"/>
      <w:marLeft w:val="0"/>
      <w:marRight w:val="0"/>
      <w:marTop w:val="0"/>
      <w:marBottom w:val="0"/>
      <w:divBdr>
        <w:top w:val="none" w:sz="0" w:space="0" w:color="auto"/>
        <w:left w:val="none" w:sz="0" w:space="0" w:color="auto"/>
        <w:bottom w:val="none" w:sz="0" w:space="0" w:color="auto"/>
        <w:right w:val="none" w:sz="0" w:space="0" w:color="auto"/>
      </w:divBdr>
    </w:div>
    <w:div w:id="689339796">
      <w:bodyDiv w:val="1"/>
      <w:marLeft w:val="0"/>
      <w:marRight w:val="0"/>
      <w:marTop w:val="0"/>
      <w:marBottom w:val="0"/>
      <w:divBdr>
        <w:top w:val="none" w:sz="0" w:space="0" w:color="auto"/>
        <w:left w:val="none" w:sz="0" w:space="0" w:color="auto"/>
        <w:bottom w:val="none" w:sz="0" w:space="0" w:color="auto"/>
        <w:right w:val="none" w:sz="0" w:space="0" w:color="auto"/>
      </w:divBdr>
    </w:div>
    <w:div w:id="691565013">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793600928">
      <w:bodyDiv w:val="1"/>
      <w:marLeft w:val="0"/>
      <w:marRight w:val="0"/>
      <w:marTop w:val="0"/>
      <w:marBottom w:val="0"/>
      <w:divBdr>
        <w:top w:val="none" w:sz="0" w:space="0" w:color="auto"/>
        <w:left w:val="none" w:sz="0" w:space="0" w:color="auto"/>
        <w:bottom w:val="none" w:sz="0" w:space="0" w:color="auto"/>
        <w:right w:val="none" w:sz="0" w:space="0" w:color="auto"/>
      </w:divBdr>
    </w:div>
    <w:div w:id="816848116">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004548630">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53910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15259704">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29350925">
      <w:bodyDiv w:val="1"/>
      <w:marLeft w:val="0"/>
      <w:marRight w:val="0"/>
      <w:marTop w:val="0"/>
      <w:marBottom w:val="0"/>
      <w:divBdr>
        <w:top w:val="none" w:sz="0" w:space="0" w:color="auto"/>
        <w:left w:val="none" w:sz="0" w:space="0" w:color="auto"/>
        <w:bottom w:val="none" w:sz="0" w:space="0" w:color="auto"/>
        <w:right w:val="none" w:sz="0" w:space="0" w:color="auto"/>
      </w:divBdr>
    </w:div>
    <w:div w:id="1429538574">
      <w:bodyDiv w:val="1"/>
      <w:marLeft w:val="0"/>
      <w:marRight w:val="0"/>
      <w:marTop w:val="0"/>
      <w:marBottom w:val="0"/>
      <w:divBdr>
        <w:top w:val="none" w:sz="0" w:space="0" w:color="auto"/>
        <w:left w:val="none" w:sz="0" w:space="0" w:color="auto"/>
        <w:bottom w:val="none" w:sz="0" w:space="0" w:color="auto"/>
        <w:right w:val="none" w:sz="0" w:space="0" w:color="auto"/>
      </w:divBdr>
    </w:div>
    <w:div w:id="1432582553">
      <w:bodyDiv w:val="1"/>
      <w:marLeft w:val="0"/>
      <w:marRight w:val="0"/>
      <w:marTop w:val="0"/>
      <w:marBottom w:val="0"/>
      <w:divBdr>
        <w:top w:val="none" w:sz="0" w:space="0" w:color="auto"/>
        <w:left w:val="none" w:sz="0" w:space="0" w:color="auto"/>
        <w:bottom w:val="none" w:sz="0" w:space="0" w:color="auto"/>
        <w:right w:val="none" w:sz="0" w:space="0" w:color="auto"/>
      </w:divBdr>
      <w:divsChild>
        <w:div w:id="992566341">
          <w:marLeft w:val="0"/>
          <w:marRight w:val="0"/>
          <w:marTop w:val="0"/>
          <w:marBottom w:val="0"/>
          <w:divBdr>
            <w:top w:val="none" w:sz="0" w:space="0" w:color="auto"/>
            <w:left w:val="none" w:sz="0" w:space="0" w:color="auto"/>
            <w:bottom w:val="none" w:sz="0" w:space="0" w:color="auto"/>
            <w:right w:val="none" w:sz="0" w:space="0" w:color="auto"/>
          </w:divBdr>
          <w:divsChild>
            <w:div w:id="1514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45024212">
      <w:bodyDiv w:val="1"/>
      <w:marLeft w:val="0"/>
      <w:marRight w:val="0"/>
      <w:marTop w:val="0"/>
      <w:marBottom w:val="0"/>
      <w:divBdr>
        <w:top w:val="none" w:sz="0" w:space="0" w:color="auto"/>
        <w:left w:val="none" w:sz="0" w:space="0" w:color="auto"/>
        <w:bottom w:val="none" w:sz="0" w:space="0" w:color="auto"/>
        <w:right w:val="none" w:sz="0" w:space="0" w:color="auto"/>
      </w:divBdr>
    </w:div>
    <w:div w:id="1565677657">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60839663">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687755121">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41964325">
      <w:bodyDiv w:val="1"/>
      <w:marLeft w:val="0"/>
      <w:marRight w:val="0"/>
      <w:marTop w:val="0"/>
      <w:marBottom w:val="0"/>
      <w:divBdr>
        <w:top w:val="none" w:sz="0" w:space="0" w:color="auto"/>
        <w:left w:val="none" w:sz="0" w:space="0" w:color="auto"/>
        <w:bottom w:val="none" w:sz="0" w:space="0" w:color="auto"/>
        <w:right w:val="none" w:sz="0" w:space="0" w:color="auto"/>
      </w:divBdr>
    </w:div>
    <w:div w:id="1886870184">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1965622499">
      <w:bodyDiv w:val="1"/>
      <w:marLeft w:val="0"/>
      <w:marRight w:val="0"/>
      <w:marTop w:val="0"/>
      <w:marBottom w:val="0"/>
      <w:divBdr>
        <w:top w:val="none" w:sz="0" w:space="0" w:color="auto"/>
        <w:left w:val="none" w:sz="0" w:space="0" w:color="auto"/>
        <w:bottom w:val="none" w:sz="0" w:space="0" w:color="auto"/>
        <w:right w:val="none" w:sz="0" w:space="0" w:color="auto"/>
      </w:divBdr>
    </w:div>
    <w:div w:id="1984772743">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29409548">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60779754">
      <w:bodyDiv w:val="1"/>
      <w:marLeft w:val="0"/>
      <w:marRight w:val="0"/>
      <w:marTop w:val="0"/>
      <w:marBottom w:val="0"/>
      <w:divBdr>
        <w:top w:val="none" w:sz="0" w:space="0" w:color="auto"/>
        <w:left w:val="none" w:sz="0" w:space="0" w:color="auto"/>
        <w:bottom w:val="none" w:sz="0" w:space="0" w:color="auto"/>
        <w:right w:val="none" w:sz="0" w:space="0" w:color="auto"/>
      </w:divBdr>
    </w:div>
    <w:div w:id="208571222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metodines-pagalbos-centras/107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17131</Words>
  <Characters>9765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5</cp:revision>
  <dcterms:created xsi:type="dcterms:W3CDTF">2023-12-07T08:14:00Z</dcterms:created>
  <dcterms:modified xsi:type="dcterms:W3CDTF">2023-12-07T12:25:00Z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