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7B95A" w14:textId="77777777" w:rsidR="001A64C7" w:rsidRDefault="00894D4A">
      <w:pPr>
        <w:jc w:val="center"/>
        <w:rPr>
          <w:b/>
          <w:szCs w:val="24"/>
        </w:rPr>
      </w:pPr>
      <w:r>
        <w:rPr>
          <w:b/>
          <w:szCs w:val="24"/>
        </w:rPr>
        <w:t>KVIETIMAS TEIKTI PROJEKTŲ ĮGYVENDINIMO PLANUS</w:t>
      </w:r>
    </w:p>
    <w:p w14:paraId="727E79EC" w14:textId="77777777" w:rsidR="001A64C7" w:rsidRDefault="000748C0">
      <w:pPr>
        <w:jc w:val="center"/>
        <w:rPr>
          <w:b/>
          <w:szCs w:val="24"/>
        </w:rPr>
      </w:pPr>
      <w:r>
        <w:rPr>
          <w:b/>
          <w:szCs w:val="24"/>
        </w:rPr>
        <w:t>„MITA REORGANIZACIJA, LMT SU NAUJU MANDATU SUKŪRIMAS</w:t>
      </w:r>
      <w:r w:rsidR="00894D4A">
        <w:rPr>
          <w:b/>
          <w:szCs w:val="24"/>
        </w:rPr>
        <w:t>“</w:t>
      </w:r>
    </w:p>
    <w:p w14:paraId="791856D4" w14:textId="77777777" w:rsidR="001A64C7" w:rsidRDefault="001A64C7">
      <w:pPr>
        <w:jc w:val="center"/>
        <w:rPr>
          <w:b/>
          <w:szCs w:val="24"/>
        </w:rPr>
      </w:pPr>
    </w:p>
    <w:p w14:paraId="35C80C36" w14:textId="1A493F1F" w:rsidR="001A64C7" w:rsidRPr="000748C0" w:rsidRDefault="000748C0">
      <w:pPr>
        <w:jc w:val="center"/>
        <w:rPr>
          <w:b/>
          <w:szCs w:val="24"/>
        </w:rPr>
      </w:pPr>
      <w:r w:rsidRPr="000748C0">
        <w:rPr>
          <w:b/>
          <w:szCs w:val="24"/>
        </w:rPr>
        <w:t>2022-0</w:t>
      </w:r>
      <w:r w:rsidR="00D053F8">
        <w:rPr>
          <w:b/>
          <w:szCs w:val="24"/>
        </w:rPr>
        <w:t>8-24</w:t>
      </w:r>
      <w:r w:rsidR="00894D4A" w:rsidRPr="000748C0">
        <w:rPr>
          <w:b/>
          <w:szCs w:val="24"/>
        </w:rPr>
        <w:t xml:space="preserve"> Nr. </w:t>
      </w:r>
      <w:r w:rsidR="002078BA">
        <w:rPr>
          <w:b/>
          <w:szCs w:val="24"/>
        </w:rPr>
        <w:t>10-007-</w:t>
      </w:r>
      <w:r w:rsidR="007105D4">
        <w:rPr>
          <w:b/>
          <w:szCs w:val="24"/>
        </w:rPr>
        <w:t>P</w:t>
      </w:r>
    </w:p>
    <w:p w14:paraId="56893D92" w14:textId="77777777" w:rsidR="000748C0" w:rsidRDefault="000748C0">
      <w:pPr>
        <w:jc w:val="center"/>
        <w:rPr>
          <w:i/>
          <w:iCs/>
          <w:color w:val="808080"/>
          <w:szCs w:val="24"/>
        </w:rPr>
      </w:pPr>
    </w:p>
    <w:p w14:paraId="6A0BEE97" w14:textId="77777777" w:rsidR="001A64C7" w:rsidRPr="000748C0" w:rsidRDefault="00894D4A" w:rsidP="000748C0">
      <w:pPr>
        <w:ind w:firstLine="567"/>
        <w:jc w:val="both"/>
        <w:rPr>
          <w:iCs/>
          <w:color w:val="808080"/>
          <w:szCs w:val="24"/>
        </w:rPr>
      </w:pPr>
      <w:r>
        <w:rPr>
          <w:iCs/>
          <w:szCs w:val="24"/>
        </w:rPr>
        <w:t>Kvietimas parengtas</w:t>
      </w:r>
      <w:r>
        <w:rPr>
          <w:i/>
          <w:iCs/>
          <w:color w:val="808080"/>
          <w:szCs w:val="24"/>
        </w:rPr>
        <w:t xml:space="preserve"> </w:t>
      </w:r>
      <w:r>
        <w:rPr>
          <w:iCs/>
          <w:szCs w:val="24"/>
        </w:rPr>
        <w:t>vadovaujantis</w:t>
      </w:r>
      <w:r>
        <w:rPr>
          <w:i/>
          <w:iCs/>
          <w:color w:val="808080"/>
          <w:szCs w:val="24"/>
        </w:rPr>
        <w:t xml:space="preserve"> </w:t>
      </w:r>
      <w:r w:rsidR="000748C0" w:rsidRPr="00C94DFB">
        <w:rPr>
          <w:iCs/>
          <w:szCs w:val="24"/>
        </w:rPr>
        <w:t xml:space="preserve">Lietuvos Respublikos švietimo, mokslo ir sporto ministro </w:t>
      </w:r>
      <w:r w:rsidR="000748C0">
        <w:rPr>
          <w:iCs/>
          <w:szCs w:val="24"/>
        </w:rPr>
        <w:t>2022 m. liepos 14</w:t>
      </w:r>
      <w:r w:rsidR="000748C0" w:rsidRPr="00C94DFB">
        <w:rPr>
          <w:iCs/>
          <w:szCs w:val="24"/>
        </w:rPr>
        <w:t xml:space="preserve"> d. įsakymu </w:t>
      </w:r>
      <w:r w:rsidR="000748C0">
        <w:rPr>
          <w:iCs/>
          <w:szCs w:val="24"/>
        </w:rPr>
        <w:t xml:space="preserve">Nr. </w:t>
      </w:r>
      <w:r w:rsidR="000748C0" w:rsidRPr="000748C0">
        <w:rPr>
          <w:iCs/>
          <w:szCs w:val="24"/>
        </w:rPr>
        <w:t xml:space="preserve">V-1152 </w:t>
      </w:r>
      <w:r w:rsidR="000748C0" w:rsidRPr="00C94DFB">
        <w:rPr>
          <w:iCs/>
          <w:szCs w:val="24"/>
        </w:rPr>
        <w:t xml:space="preserve"> „Dėl 2021–2030 m. plėtros programos valdytojos Lietuvos Respublik</w:t>
      </w:r>
      <w:bookmarkStart w:id="0" w:name="_GoBack"/>
      <w:bookmarkEnd w:id="0"/>
      <w:r w:rsidR="000748C0" w:rsidRPr="00C94DFB">
        <w:rPr>
          <w:iCs/>
          <w:szCs w:val="24"/>
        </w:rPr>
        <w:t>os švietimo, mokslo ir sporto ministerijos švietimo plėtros programos pažango</w:t>
      </w:r>
      <w:r w:rsidR="000748C0">
        <w:rPr>
          <w:iCs/>
          <w:szCs w:val="24"/>
        </w:rPr>
        <w:t>s priemonės Nr. 12-003-03-04-02</w:t>
      </w:r>
      <w:r w:rsidR="000748C0" w:rsidRPr="00C94DFB">
        <w:rPr>
          <w:iCs/>
          <w:szCs w:val="24"/>
        </w:rPr>
        <w:t xml:space="preserve"> „</w:t>
      </w:r>
      <w:r w:rsidR="000748C0">
        <w:rPr>
          <w:iCs/>
          <w:szCs w:val="24"/>
        </w:rPr>
        <w:t>Užtikrinti efektyvų mokslo ir studijų sistemos valdymą</w:t>
      </w:r>
      <w:r w:rsidR="000748C0" w:rsidRPr="00C94DFB">
        <w:rPr>
          <w:iCs/>
          <w:szCs w:val="24"/>
        </w:rPr>
        <w:t>“ aprašo patvirtinimo“ patvirtintu p</w:t>
      </w:r>
      <w:r w:rsidR="000748C0">
        <w:rPr>
          <w:iCs/>
          <w:szCs w:val="24"/>
        </w:rPr>
        <w:t>riemonės Nr. 12-003-03-04-02</w:t>
      </w:r>
      <w:r w:rsidR="000748C0" w:rsidRPr="00C94DFB">
        <w:rPr>
          <w:iCs/>
          <w:szCs w:val="24"/>
        </w:rPr>
        <w:t xml:space="preserve"> „</w:t>
      </w:r>
      <w:r w:rsidR="000748C0">
        <w:rPr>
          <w:iCs/>
          <w:szCs w:val="24"/>
        </w:rPr>
        <w:t>Užtikrinti efektyvų mokslo ir studijų sistemos valdymą</w:t>
      </w:r>
      <w:r w:rsidR="000748C0" w:rsidRPr="00C94DFB">
        <w:rPr>
          <w:iCs/>
          <w:szCs w:val="24"/>
        </w:rPr>
        <w:t>“ aprašu (Aprašas).</w:t>
      </w:r>
      <w:r w:rsidR="000748C0" w:rsidRPr="00C94DFB">
        <w:rPr>
          <w:iCs/>
          <w:color w:val="808080"/>
          <w:szCs w:val="24"/>
        </w:rPr>
        <w:t xml:space="preserve"> </w:t>
      </w:r>
    </w:p>
    <w:p w14:paraId="66CD0DEA" w14:textId="77777777" w:rsidR="001A64C7" w:rsidRDefault="001A64C7">
      <w:pPr>
        <w:keepNext/>
        <w:keepLines/>
        <w:rPr>
          <w:b/>
          <w:color w:val="000000"/>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709"/>
        <w:gridCol w:w="2293"/>
        <w:gridCol w:w="3313"/>
      </w:tblGrid>
      <w:tr w:rsidR="001A64C7" w14:paraId="3AC487ED" w14:textId="77777777" w:rsidTr="00F8368A">
        <w:trPr>
          <w:trHeight w:val="489"/>
        </w:trPr>
        <w:tc>
          <w:tcPr>
            <w:tcW w:w="9854" w:type="dxa"/>
            <w:gridSpan w:val="5"/>
          </w:tcPr>
          <w:p w14:paraId="639BBBE6" w14:textId="77777777" w:rsidR="001A64C7" w:rsidRDefault="001A64C7">
            <w:pPr>
              <w:rPr>
                <w:sz w:val="20"/>
              </w:rPr>
            </w:pPr>
          </w:p>
          <w:p w14:paraId="688443FD" w14:textId="77777777" w:rsidR="001A64C7" w:rsidRDefault="00894D4A">
            <w:pPr>
              <w:keepNext/>
              <w:keepLines/>
              <w:ind w:left="360" w:hanging="360"/>
              <w:rPr>
                <w:b/>
                <w:i/>
                <w:iCs/>
                <w:color w:val="000000"/>
                <w:kern w:val="16"/>
                <w:sz w:val="18"/>
                <w:szCs w:val="32"/>
              </w:rPr>
            </w:pPr>
            <w:r>
              <w:rPr>
                <w:b/>
                <w:iCs/>
                <w:color w:val="000000"/>
                <w:kern w:val="16"/>
                <w:szCs w:val="32"/>
              </w:rPr>
              <w:t>1.</w:t>
            </w:r>
            <w:r>
              <w:rPr>
                <w:b/>
                <w:iCs/>
                <w:color w:val="000000"/>
                <w:kern w:val="16"/>
                <w:szCs w:val="32"/>
              </w:rPr>
              <w:tab/>
            </w:r>
            <w:r>
              <w:rPr>
                <w:b/>
                <w:color w:val="000000"/>
                <w:szCs w:val="32"/>
              </w:rPr>
              <w:t>Bendrieji reikalavimai projektams ir projektų įgyvendinimo planų teikimo tvarka</w:t>
            </w:r>
          </w:p>
          <w:p w14:paraId="35312E28" w14:textId="77777777" w:rsidR="001A64C7" w:rsidRDefault="001A64C7">
            <w:pPr>
              <w:ind w:left="360"/>
              <w:rPr>
                <w:i/>
                <w:iCs/>
                <w:color w:val="808080"/>
                <w:kern w:val="16"/>
                <w:sz w:val="22"/>
                <w:szCs w:val="22"/>
              </w:rPr>
            </w:pPr>
          </w:p>
        </w:tc>
      </w:tr>
      <w:tr w:rsidR="001A64C7" w14:paraId="2F190D00" w14:textId="77777777" w:rsidTr="00F8368A">
        <w:tc>
          <w:tcPr>
            <w:tcW w:w="675" w:type="dxa"/>
          </w:tcPr>
          <w:p w14:paraId="209F6F4F" w14:textId="77777777" w:rsidR="001A64C7" w:rsidRDefault="001A64C7" w:rsidP="00F8368A">
            <w:pPr>
              <w:spacing w:before="60" w:after="60"/>
              <w:rPr>
                <w:sz w:val="4"/>
                <w:szCs w:val="4"/>
              </w:rPr>
            </w:pPr>
          </w:p>
          <w:p w14:paraId="1F7DE5DE" w14:textId="77777777" w:rsidR="001A64C7" w:rsidRDefault="00894D4A" w:rsidP="00F8368A">
            <w:pPr>
              <w:keepNext/>
              <w:keepLines/>
              <w:spacing w:before="60" w:after="60"/>
              <w:ind w:left="576" w:hanging="576"/>
              <w:outlineLvl w:val="1"/>
              <w:rPr>
                <w:color w:val="2E74B5"/>
                <w:sz w:val="26"/>
                <w:szCs w:val="26"/>
              </w:rPr>
            </w:pPr>
            <w:r>
              <w:rPr>
                <w:b/>
                <w:color w:val="000000"/>
                <w:sz w:val="22"/>
                <w:szCs w:val="22"/>
              </w:rPr>
              <w:t>1.1.</w:t>
            </w:r>
            <w:r>
              <w:rPr>
                <w:b/>
                <w:color w:val="000000"/>
                <w:sz w:val="22"/>
                <w:szCs w:val="22"/>
              </w:rPr>
              <w:tab/>
            </w:r>
          </w:p>
        </w:tc>
        <w:tc>
          <w:tcPr>
            <w:tcW w:w="3573" w:type="dxa"/>
            <w:gridSpan w:val="2"/>
          </w:tcPr>
          <w:p w14:paraId="3BE84A05" w14:textId="77777777" w:rsidR="001A64C7" w:rsidRDefault="00894D4A" w:rsidP="00F8368A">
            <w:pPr>
              <w:spacing w:before="60" w:after="60"/>
              <w:rPr>
                <w:b/>
                <w:sz w:val="22"/>
                <w:szCs w:val="22"/>
              </w:rPr>
            </w:pPr>
            <w:r>
              <w:rPr>
                <w:b/>
                <w:sz w:val="22"/>
                <w:szCs w:val="22"/>
              </w:rPr>
              <w:t>Bendra kvietimui skirta finansavimo lėšų suma (tūkst. eurų)</w:t>
            </w:r>
          </w:p>
        </w:tc>
        <w:tc>
          <w:tcPr>
            <w:tcW w:w="5606" w:type="dxa"/>
            <w:gridSpan w:val="2"/>
          </w:tcPr>
          <w:p w14:paraId="596C6986" w14:textId="77777777" w:rsidR="001A64C7" w:rsidRPr="008A3D5E" w:rsidRDefault="008A3D5E" w:rsidP="00F8368A">
            <w:pPr>
              <w:spacing w:before="60" w:after="60"/>
              <w:rPr>
                <w:color w:val="000000"/>
                <w:sz w:val="22"/>
                <w:szCs w:val="22"/>
              </w:rPr>
            </w:pPr>
            <w:r w:rsidRPr="008A3D5E">
              <w:rPr>
                <w:color w:val="000000"/>
                <w:sz w:val="22"/>
                <w:szCs w:val="22"/>
              </w:rPr>
              <w:t>1 800 </w:t>
            </w:r>
          </w:p>
        </w:tc>
      </w:tr>
      <w:tr w:rsidR="001A64C7" w14:paraId="2D1AE10D" w14:textId="77777777" w:rsidTr="00F8368A">
        <w:tc>
          <w:tcPr>
            <w:tcW w:w="675" w:type="dxa"/>
          </w:tcPr>
          <w:p w14:paraId="6F14923D" w14:textId="77777777" w:rsidR="001A64C7" w:rsidRDefault="001A64C7" w:rsidP="00F8368A">
            <w:pPr>
              <w:spacing w:before="60" w:after="60"/>
              <w:rPr>
                <w:sz w:val="4"/>
                <w:szCs w:val="4"/>
              </w:rPr>
            </w:pPr>
          </w:p>
          <w:p w14:paraId="033B14D1" w14:textId="2C41EC3F" w:rsidR="001A64C7" w:rsidRDefault="00894D4A" w:rsidP="00F8368A">
            <w:pPr>
              <w:keepNext/>
              <w:keepLines/>
              <w:spacing w:before="60" w:after="60"/>
              <w:ind w:left="576" w:hanging="576"/>
              <w:outlineLvl w:val="1"/>
              <w:rPr>
                <w:color w:val="2E74B5"/>
                <w:sz w:val="26"/>
                <w:szCs w:val="26"/>
              </w:rPr>
            </w:pPr>
            <w:r>
              <w:rPr>
                <w:b/>
                <w:color w:val="000000"/>
                <w:sz w:val="22"/>
                <w:szCs w:val="22"/>
              </w:rPr>
              <w:t>1.2.</w:t>
            </w:r>
          </w:p>
        </w:tc>
        <w:tc>
          <w:tcPr>
            <w:tcW w:w="3573" w:type="dxa"/>
            <w:gridSpan w:val="2"/>
          </w:tcPr>
          <w:p w14:paraId="0C9A43B6" w14:textId="77777777" w:rsidR="001A64C7" w:rsidRDefault="00894D4A" w:rsidP="00F8368A">
            <w:pPr>
              <w:spacing w:before="60" w:after="60"/>
              <w:rPr>
                <w:b/>
                <w:sz w:val="22"/>
                <w:szCs w:val="22"/>
              </w:rPr>
            </w:pPr>
            <w:r>
              <w:rPr>
                <w:b/>
                <w:sz w:val="22"/>
                <w:szCs w:val="22"/>
              </w:rPr>
              <w:t>Didžiausia galima skirti finansavimo lėšų suma projektui įgyvendinti (tūkst. eurų)</w:t>
            </w:r>
          </w:p>
        </w:tc>
        <w:tc>
          <w:tcPr>
            <w:tcW w:w="5606" w:type="dxa"/>
            <w:gridSpan w:val="2"/>
          </w:tcPr>
          <w:p w14:paraId="15244FED" w14:textId="77777777" w:rsidR="001A64C7" w:rsidRPr="008A3D5E" w:rsidRDefault="008A3D5E" w:rsidP="00F8368A">
            <w:pPr>
              <w:spacing w:before="60" w:after="60"/>
              <w:rPr>
                <w:color w:val="000000"/>
                <w:sz w:val="22"/>
                <w:szCs w:val="22"/>
              </w:rPr>
            </w:pPr>
            <w:r w:rsidRPr="008A3D5E">
              <w:rPr>
                <w:color w:val="000000"/>
                <w:sz w:val="22"/>
                <w:szCs w:val="22"/>
              </w:rPr>
              <w:t>1 800 </w:t>
            </w:r>
          </w:p>
        </w:tc>
      </w:tr>
      <w:tr w:rsidR="001A64C7" w14:paraId="18EAD35F" w14:textId="77777777" w:rsidTr="00F8368A">
        <w:tc>
          <w:tcPr>
            <w:tcW w:w="675" w:type="dxa"/>
          </w:tcPr>
          <w:p w14:paraId="7B386F85" w14:textId="77777777" w:rsidR="001A64C7" w:rsidRDefault="001A64C7" w:rsidP="00F8368A">
            <w:pPr>
              <w:spacing w:before="60" w:after="60"/>
              <w:rPr>
                <w:sz w:val="4"/>
                <w:szCs w:val="4"/>
              </w:rPr>
            </w:pPr>
          </w:p>
          <w:p w14:paraId="3F1B47ED" w14:textId="7AFF5C70" w:rsidR="001A64C7" w:rsidRDefault="00894D4A" w:rsidP="00F8368A">
            <w:pPr>
              <w:keepNext/>
              <w:keepLines/>
              <w:spacing w:before="60" w:after="60"/>
              <w:ind w:left="576" w:hanging="576"/>
              <w:outlineLvl w:val="1"/>
              <w:rPr>
                <w:color w:val="2E74B5"/>
                <w:sz w:val="26"/>
                <w:szCs w:val="26"/>
              </w:rPr>
            </w:pPr>
            <w:r>
              <w:rPr>
                <w:b/>
                <w:color w:val="000000"/>
                <w:sz w:val="22"/>
                <w:szCs w:val="22"/>
              </w:rPr>
              <w:t>1.3.</w:t>
            </w:r>
          </w:p>
        </w:tc>
        <w:tc>
          <w:tcPr>
            <w:tcW w:w="3573" w:type="dxa"/>
            <w:gridSpan w:val="2"/>
          </w:tcPr>
          <w:p w14:paraId="14A3220C" w14:textId="77777777" w:rsidR="001A64C7" w:rsidRDefault="00894D4A" w:rsidP="00F8368A">
            <w:pPr>
              <w:spacing w:before="60" w:after="60"/>
              <w:rPr>
                <w:b/>
                <w:sz w:val="22"/>
                <w:szCs w:val="22"/>
              </w:rPr>
            </w:pPr>
            <w:r>
              <w:rPr>
                <w:b/>
                <w:sz w:val="22"/>
                <w:szCs w:val="22"/>
              </w:rPr>
              <w:t>Finansavimo forma</w:t>
            </w:r>
          </w:p>
        </w:tc>
        <w:tc>
          <w:tcPr>
            <w:tcW w:w="5606" w:type="dxa"/>
            <w:gridSpan w:val="2"/>
          </w:tcPr>
          <w:p w14:paraId="515DDCC2" w14:textId="77777777" w:rsidR="001A64C7" w:rsidRPr="008A3D5E" w:rsidRDefault="008A3D5E" w:rsidP="00F8368A">
            <w:pPr>
              <w:spacing w:before="60" w:after="60"/>
              <w:rPr>
                <w:color w:val="000000"/>
                <w:sz w:val="22"/>
                <w:szCs w:val="22"/>
              </w:rPr>
            </w:pPr>
            <w:r w:rsidRPr="008A3D5E">
              <w:rPr>
                <w:color w:val="000000"/>
                <w:sz w:val="22"/>
                <w:szCs w:val="22"/>
              </w:rPr>
              <w:t>Dotacija</w:t>
            </w:r>
          </w:p>
        </w:tc>
      </w:tr>
      <w:tr w:rsidR="001A64C7" w14:paraId="5352742B" w14:textId="77777777" w:rsidTr="00F8368A">
        <w:tc>
          <w:tcPr>
            <w:tcW w:w="675" w:type="dxa"/>
          </w:tcPr>
          <w:p w14:paraId="03BBB5A3" w14:textId="77777777" w:rsidR="001A64C7" w:rsidRDefault="001A64C7" w:rsidP="00F8368A">
            <w:pPr>
              <w:spacing w:before="60" w:after="60"/>
              <w:rPr>
                <w:sz w:val="4"/>
                <w:szCs w:val="4"/>
              </w:rPr>
            </w:pPr>
          </w:p>
          <w:p w14:paraId="5333E4B0" w14:textId="29C67B0C" w:rsidR="001A64C7" w:rsidRDefault="00894D4A" w:rsidP="00F8368A">
            <w:pPr>
              <w:keepNext/>
              <w:keepLines/>
              <w:spacing w:before="60" w:after="60"/>
              <w:ind w:left="576" w:hanging="576"/>
              <w:outlineLvl w:val="1"/>
              <w:rPr>
                <w:color w:val="000000"/>
                <w:sz w:val="22"/>
                <w:szCs w:val="22"/>
              </w:rPr>
            </w:pPr>
            <w:r>
              <w:rPr>
                <w:b/>
                <w:color w:val="000000"/>
                <w:sz w:val="22"/>
                <w:szCs w:val="22"/>
              </w:rPr>
              <w:t>1.4.</w:t>
            </w:r>
          </w:p>
        </w:tc>
        <w:tc>
          <w:tcPr>
            <w:tcW w:w="3573" w:type="dxa"/>
            <w:gridSpan w:val="2"/>
          </w:tcPr>
          <w:p w14:paraId="08D90FCE" w14:textId="77777777" w:rsidR="001A64C7" w:rsidRDefault="00894D4A" w:rsidP="00F8368A">
            <w:pPr>
              <w:spacing w:before="60" w:after="60"/>
              <w:rPr>
                <w:b/>
                <w:bCs/>
                <w:sz w:val="22"/>
                <w:szCs w:val="22"/>
              </w:rPr>
            </w:pPr>
            <w:r>
              <w:rPr>
                <w:b/>
                <w:bCs/>
                <w:sz w:val="22"/>
                <w:szCs w:val="22"/>
              </w:rPr>
              <w:t>Projektų atrankos būdas</w:t>
            </w:r>
          </w:p>
        </w:tc>
        <w:tc>
          <w:tcPr>
            <w:tcW w:w="5606" w:type="dxa"/>
            <w:gridSpan w:val="2"/>
          </w:tcPr>
          <w:p w14:paraId="0A3FF97A" w14:textId="77777777" w:rsidR="001A64C7" w:rsidRDefault="008A3D5E" w:rsidP="00F8368A">
            <w:pPr>
              <w:spacing w:before="60" w:after="60"/>
              <w:rPr>
                <w:i/>
                <w:color w:val="808080"/>
                <w:sz w:val="22"/>
                <w:szCs w:val="22"/>
              </w:rPr>
            </w:pPr>
            <w:r w:rsidRPr="007572F4">
              <w:rPr>
                <w:color w:val="000000"/>
                <w:sz w:val="22"/>
                <w:szCs w:val="22"/>
              </w:rPr>
              <w:t>Atranka vykdoma valstybės planavimo būdu.</w:t>
            </w:r>
          </w:p>
        </w:tc>
      </w:tr>
      <w:tr w:rsidR="001A64C7" w14:paraId="1BCA54DA" w14:textId="77777777" w:rsidTr="00F8368A">
        <w:tc>
          <w:tcPr>
            <w:tcW w:w="675" w:type="dxa"/>
          </w:tcPr>
          <w:p w14:paraId="1D3F6DF7" w14:textId="77777777" w:rsidR="001A64C7" w:rsidRDefault="001A64C7" w:rsidP="00F8368A">
            <w:pPr>
              <w:spacing w:before="60" w:after="60"/>
              <w:rPr>
                <w:sz w:val="4"/>
                <w:szCs w:val="4"/>
              </w:rPr>
            </w:pPr>
          </w:p>
          <w:p w14:paraId="256A5621" w14:textId="7B06FEF7" w:rsidR="001A64C7" w:rsidRDefault="00894D4A" w:rsidP="00F8368A">
            <w:pPr>
              <w:keepNext/>
              <w:keepLines/>
              <w:spacing w:before="60" w:after="60"/>
              <w:ind w:left="576" w:hanging="576"/>
              <w:outlineLvl w:val="1"/>
              <w:rPr>
                <w:color w:val="000000"/>
                <w:sz w:val="22"/>
                <w:szCs w:val="22"/>
              </w:rPr>
            </w:pPr>
            <w:r>
              <w:rPr>
                <w:b/>
                <w:color w:val="000000"/>
                <w:sz w:val="22"/>
                <w:szCs w:val="22"/>
              </w:rPr>
              <w:t>1.5.</w:t>
            </w:r>
          </w:p>
        </w:tc>
        <w:tc>
          <w:tcPr>
            <w:tcW w:w="9179" w:type="dxa"/>
            <w:gridSpan w:val="4"/>
          </w:tcPr>
          <w:p w14:paraId="7B76E8B5" w14:textId="77777777" w:rsidR="001A64C7" w:rsidRDefault="00894D4A" w:rsidP="00F8368A">
            <w:pPr>
              <w:spacing w:before="60" w:after="60"/>
              <w:rPr>
                <w:i/>
                <w:color w:val="808080"/>
                <w:sz w:val="22"/>
                <w:szCs w:val="22"/>
              </w:rPr>
            </w:pPr>
            <w:r>
              <w:rPr>
                <w:b/>
                <w:bCs/>
                <w:sz w:val="22"/>
                <w:szCs w:val="22"/>
              </w:rPr>
              <w:t>Projektų atrankos kriterijai</w:t>
            </w:r>
          </w:p>
        </w:tc>
      </w:tr>
      <w:tr w:rsidR="001A64C7" w14:paraId="7BABD7C8" w14:textId="77777777" w:rsidTr="00F8368A">
        <w:tc>
          <w:tcPr>
            <w:tcW w:w="675" w:type="dxa"/>
          </w:tcPr>
          <w:p w14:paraId="3C25F4A8" w14:textId="5DFCB330" w:rsidR="001A64C7" w:rsidRDefault="001A64C7" w:rsidP="00F8368A">
            <w:pPr>
              <w:rPr>
                <w:color w:val="000000"/>
                <w:sz w:val="22"/>
                <w:szCs w:val="22"/>
              </w:rPr>
            </w:pPr>
          </w:p>
        </w:tc>
        <w:tc>
          <w:tcPr>
            <w:tcW w:w="9179" w:type="dxa"/>
            <w:gridSpan w:val="4"/>
          </w:tcPr>
          <w:p w14:paraId="1727931F" w14:textId="49848A98" w:rsidR="00650CB0" w:rsidRPr="007572F4" w:rsidRDefault="00650CB0" w:rsidP="00650CB0">
            <w:pPr>
              <w:jc w:val="both"/>
              <w:rPr>
                <w:iCs/>
                <w:sz w:val="22"/>
                <w:szCs w:val="22"/>
              </w:rPr>
            </w:pPr>
            <w:r w:rsidRPr="007572F4">
              <w:rPr>
                <w:iCs/>
                <w:sz w:val="22"/>
                <w:szCs w:val="22"/>
              </w:rPr>
              <w:t xml:space="preserve">Projektai turi atitikti bendruosius projektų atrankos kriterijus, nurodytus </w:t>
            </w:r>
            <w:r w:rsidR="0092115C">
              <w:rPr>
                <w:iCs/>
                <w:sz w:val="22"/>
                <w:szCs w:val="22"/>
              </w:rPr>
              <w:t>Projektų administravimo ir finansavimo taisyklių</w:t>
            </w:r>
            <w:r w:rsidR="0092115C" w:rsidRPr="007572F4">
              <w:rPr>
                <w:color w:val="333333"/>
                <w:sz w:val="22"/>
                <w:szCs w:val="22"/>
                <w:shd w:val="clear" w:color="auto" w:fill="FFFFFF"/>
              </w:rPr>
              <w:t xml:space="preserve">, </w:t>
            </w:r>
            <w:r w:rsidR="0092115C" w:rsidRPr="007572F4">
              <w:rPr>
                <w:sz w:val="22"/>
                <w:szCs w:val="22"/>
                <w:shd w:val="clear" w:color="auto" w:fill="FFFFFF"/>
              </w:rPr>
              <w:t>patvirtint</w:t>
            </w:r>
            <w:r w:rsidR="0092115C">
              <w:rPr>
                <w:sz w:val="22"/>
                <w:szCs w:val="22"/>
                <w:shd w:val="clear" w:color="auto" w:fill="FFFFFF"/>
              </w:rPr>
              <w:t>ų</w:t>
            </w:r>
            <w:r w:rsidR="0092115C" w:rsidRPr="007572F4">
              <w:rPr>
                <w:sz w:val="22"/>
                <w:szCs w:val="22"/>
                <w:shd w:val="clear" w:color="auto" w:fill="FFFFFF"/>
              </w:rPr>
              <w:t xml:space="preserve"> Lietuvos Respublikos finansų ministro 202</w:t>
            </w:r>
            <w:r w:rsidR="0092115C">
              <w:rPr>
                <w:sz w:val="22"/>
                <w:szCs w:val="22"/>
                <w:shd w:val="clear" w:color="auto" w:fill="FFFFFF"/>
              </w:rPr>
              <w:t>2</w:t>
            </w:r>
            <w:r w:rsidR="0092115C" w:rsidRPr="007572F4">
              <w:rPr>
                <w:sz w:val="22"/>
                <w:szCs w:val="22"/>
                <w:shd w:val="clear" w:color="auto" w:fill="FFFFFF"/>
              </w:rPr>
              <w:t xml:space="preserve"> m. </w:t>
            </w:r>
            <w:r w:rsidR="0092115C">
              <w:rPr>
                <w:sz w:val="22"/>
                <w:szCs w:val="22"/>
                <w:shd w:val="clear" w:color="auto" w:fill="FFFFFF"/>
              </w:rPr>
              <w:t xml:space="preserve">birželio </w:t>
            </w:r>
            <w:r w:rsidR="0092115C">
              <w:rPr>
                <w:sz w:val="22"/>
                <w:szCs w:val="22"/>
                <w:shd w:val="clear" w:color="auto" w:fill="FFFFFF"/>
                <w:lang w:val="en-US"/>
              </w:rPr>
              <w:t>22</w:t>
            </w:r>
            <w:r w:rsidR="0092115C" w:rsidRPr="007572F4">
              <w:rPr>
                <w:sz w:val="22"/>
                <w:szCs w:val="22"/>
                <w:shd w:val="clear" w:color="auto" w:fill="FFFFFF"/>
              </w:rPr>
              <w:t xml:space="preserve"> d. įsakymu Nr. 1K-2</w:t>
            </w:r>
            <w:r w:rsidR="0092115C">
              <w:rPr>
                <w:sz w:val="22"/>
                <w:szCs w:val="22"/>
                <w:shd w:val="clear" w:color="auto" w:fill="FFFFFF"/>
              </w:rPr>
              <w:t>37</w:t>
            </w:r>
            <w:r w:rsidR="0092115C" w:rsidRPr="007572F4">
              <w:rPr>
                <w:sz w:val="22"/>
                <w:szCs w:val="22"/>
                <w:shd w:val="clear" w:color="auto" w:fill="FFFFFF"/>
              </w:rPr>
              <w:t xml:space="preserve"> „</w:t>
            </w:r>
            <w:r w:rsidR="0092115C" w:rsidRPr="007572F4">
              <w:rPr>
                <w:color w:val="333333"/>
                <w:sz w:val="22"/>
                <w:szCs w:val="22"/>
                <w:shd w:val="clear" w:color="auto" w:fill="FFFFFF"/>
              </w:rPr>
              <w:t>Dėl 2021–2027 metų Europos Sąjungos fondų</w:t>
            </w:r>
            <w:r w:rsidR="0092115C">
              <w:rPr>
                <w:color w:val="333333"/>
                <w:shd w:val="clear" w:color="auto" w:fill="FFFFFF"/>
              </w:rPr>
              <w:t xml:space="preserve"> investicijų programos</w:t>
            </w:r>
            <w:r w:rsidR="0092115C" w:rsidRPr="007572F4">
              <w:rPr>
                <w:color w:val="333333"/>
                <w:sz w:val="22"/>
                <w:szCs w:val="22"/>
                <w:shd w:val="clear" w:color="auto" w:fill="FFFFFF"/>
              </w:rPr>
              <w:t xml:space="preserve"> ir ekonomikos gaivinimo ir atsparumo didinimo</w:t>
            </w:r>
            <w:r w:rsidR="0092115C">
              <w:rPr>
                <w:color w:val="333333"/>
                <w:shd w:val="clear" w:color="auto" w:fill="FFFFFF"/>
              </w:rPr>
              <w:t xml:space="preserve"> plano „Naujos kartos Lietuva</w:t>
            </w:r>
            <w:r w:rsidR="0092115C" w:rsidRPr="007572F4">
              <w:rPr>
                <w:sz w:val="22"/>
                <w:szCs w:val="22"/>
                <w:shd w:val="clear" w:color="auto" w:fill="FFFFFF"/>
              </w:rPr>
              <w:t>“</w:t>
            </w:r>
            <w:r w:rsidR="0092115C">
              <w:rPr>
                <w:shd w:val="clear" w:color="auto" w:fill="FFFFFF"/>
              </w:rPr>
              <w:t xml:space="preserve"> įgyvendinimo“</w:t>
            </w:r>
            <w:r w:rsidR="0092115C">
              <w:t xml:space="preserve">, </w:t>
            </w:r>
            <w:r w:rsidR="0092115C">
              <w:rPr>
                <w:sz w:val="22"/>
                <w:szCs w:val="22"/>
                <w:shd w:val="clear" w:color="auto" w:fill="FFFFFF"/>
              </w:rPr>
              <w:t xml:space="preserve">(PAFT) </w:t>
            </w:r>
            <w:r w:rsidR="0092115C">
              <w:rPr>
                <w:sz w:val="22"/>
                <w:szCs w:val="22"/>
                <w:shd w:val="clear" w:color="auto" w:fill="FFFFFF"/>
                <w:lang w:val="en-US"/>
              </w:rPr>
              <w:t>2</w:t>
            </w:r>
            <w:r w:rsidR="0092115C" w:rsidRPr="007572F4">
              <w:rPr>
                <w:sz w:val="22"/>
                <w:szCs w:val="22"/>
                <w:shd w:val="clear" w:color="auto" w:fill="FFFFFF"/>
              </w:rPr>
              <w:t xml:space="preserve"> priede. </w:t>
            </w:r>
          </w:p>
          <w:p w14:paraId="6443C7AE" w14:textId="77777777" w:rsidR="00650CB0" w:rsidRPr="007572F4" w:rsidRDefault="00650CB0" w:rsidP="00650CB0">
            <w:pPr>
              <w:jc w:val="both"/>
              <w:rPr>
                <w:iCs/>
                <w:sz w:val="22"/>
                <w:szCs w:val="22"/>
              </w:rPr>
            </w:pPr>
          </w:p>
          <w:p w14:paraId="175039A0" w14:textId="77777777" w:rsidR="00650CB0" w:rsidRPr="007572F4" w:rsidRDefault="00650CB0" w:rsidP="00650CB0">
            <w:pPr>
              <w:jc w:val="both"/>
              <w:rPr>
                <w:iCs/>
                <w:sz w:val="22"/>
                <w:szCs w:val="22"/>
              </w:rPr>
            </w:pPr>
            <w:r w:rsidRPr="007572F4">
              <w:rPr>
                <w:iCs/>
                <w:sz w:val="22"/>
                <w:szCs w:val="22"/>
              </w:rPr>
              <w:t>Specialieji ir prioritetiniai projektų atrankos kriterijai nėra nustatomi.</w:t>
            </w:r>
          </w:p>
          <w:p w14:paraId="7BBF79AD" w14:textId="77777777" w:rsidR="001A64C7" w:rsidRDefault="001A64C7">
            <w:pPr>
              <w:rPr>
                <w:i/>
                <w:iCs/>
                <w:color w:val="808080"/>
                <w:sz w:val="22"/>
                <w:szCs w:val="22"/>
              </w:rPr>
            </w:pPr>
          </w:p>
        </w:tc>
      </w:tr>
      <w:tr w:rsidR="001A64C7" w14:paraId="2886DF0F" w14:textId="77777777" w:rsidTr="00F8368A">
        <w:trPr>
          <w:trHeight w:val="244"/>
        </w:trPr>
        <w:tc>
          <w:tcPr>
            <w:tcW w:w="675" w:type="dxa"/>
          </w:tcPr>
          <w:p w14:paraId="0A821044" w14:textId="77777777" w:rsidR="001A64C7" w:rsidRDefault="001A64C7">
            <w:pPr>
              <w:rPr>
                <w:sz w:val="4"/>
                <w:szCs w:val="4"/>
              </w:rPr>
            </w:pPr>
          </w:p>
          <w:p w14:paraId="3AB6B6E0" w14:textId="1A00F5B9" w:rsidR="001A64C7" w:rsidRDefault="00894D4A" w:rsidP="00F8368A">
            <w:pPr>
              <w:keepNext/>
              <w:keepLines/>
              <w:ind w:left="576" w:hanging="576"/>
              <w:outlineLvl w:val="1"/>
              <w:rPr>
                <w:color w:val="000000"/>
                <w:sz w:val="22"/>
                <w:szCs w:val="22"/>
              </w:rPr>
            </w:pPr>
            <w:r>
              <w:rPr>
                <w:b/>
                <w:color w:val="000000"/>
                <w:sz w:val="22"/>
                <w:szCs w:val="22"/>
              </w:rPr>
              <w:t>1.6.</w:t>
            </w:r>
          </w:p>
        </w:tc>
        <w:tc>
          <w:tcPr>
            <w:tcW w:w="9179" w:type="dxa"/>
            <w:gridSpan w:val="4"/>
          </w:tcPr>
          <w:p w14:paraId="0E9295BB" w14:textId="77777777" w:rsidR="001A64C7" w:rsidRDefault="00894D4A">
            <w:pPr>
              <w:jc w:val="both"/>
              <w:rPr>
                <w:i/>
                <w:color w:val="808080"/>
                <w:sz w:val="22"/>
                <w:szCs w:val="22"/>
              </w:rPr>
            </w:pPr>
            <w:r>
              <w:rPr>
                <w:b/>
                <w:bCs/>
                <w:sz w:val="22"/>
                <w:szCs w:val="22"/>
              </w:rPr>
              <w:t>Reikalavimai projektams</w:t>
            </w:r>
          </w:p>
        </w:tc>
      </w:tr>
      <w:tr w:rsidR="001A64C7" w14:paraId="3FE964A7" w14:textId="77777777" w:rsidTr="00F8368A">
        <w:trPr>
          <w:trHeight w:val="180"/>
        </w:trPr>
        <w:tc>
          <w:tcPr>
            <w:tcW w:w="675" w:type="dxa"/>
          </w:tcPr>
          <w:p w14:paraId="5927F7CC" w14:textId="63AE2055" w:rsidR="001A64C7" w:rsidRDefault="001A64C7" w:rsidP="00F8368A">
            <w:pPr>
              <w:rPr>
                <w:color w:val="000000"/>
                <w:sz w:val="22"/>
                <w:szCs w:val="22"/>
              </w:rPr>
            </w:pPr>
          </w:p>
        </w:tc>
        <w:tc>
          <w:tcPr>
            <w:tcW w:w="9179" w:type="dxa"/>
            <w:gridSpan w:val="4"/>
          </w:tcPr>
          <w:p w14:paraId="6D5A3389" w14:textId="77777777" w:rsidR="00953E5C" w:rsidRDefault="00953E5C" w:rsidP="00953E5C">
            <w:pPr>
              <w:widowControl w:val="0"/>
              <w:tabs>
                <w:tab w:val="left" w:pos="459"/>
                <w:tab w:val="left" w:pos="596"/>
              </w:tabs>
              <w:spacing w:line="259" w:lineRule="auto"/>
              <w:jc w:val="both"/>
              <w:rPr>
                <w:sz w:val="22"/>
                <w:szCs w:val="22"/>
              </w:rPr>
            </w:pPr>
            <w:r w:rsidRPr="007572F4">
              <w:rPr>
                <w:sz w:val="22"/>
                <w:szCs w:val="22"/>
              </w:rPr>
              <w:t xml:space="preserve">Pagal Aprašą finansuojama veikla – </w:t>
            </w:r>
            <w:r>
              <w:rPr>
                <w:sz w:val="22"/>
                <w:szCs w:val="22"/>
              </w:rPr>
              <w:t>r</w:t>
            </w:r>
            <w:r w:rsidRPr="005223D4">
              <w:rPr>
                <w:sz w:val="22"/>
                <w:szCs w:val="22"/>
              </w:rPr>
              <w:t xml:space="preserve">eorganizuoti </w:t>
            </w:r>
            <w:r w:rsidR="008171D4" w:rsidRPr="002C2FCA">
              <w:rPr>
                <w:sz w:val="22"/>
                <w:szCs w:val="22"/>
              </w:rPr>
              <w:t>Mokslo, inovacijų ir technologijų agentūrą</w:t>
            </w:r>
            <w:r w:rsidR="008171D4" w:rsidRPr="005223D4">
              <w:rPr>
                <w:sz w:val="22"/>
                <w:szCs w:val="22"/>
              </w:rPr>
              <w:t xml:space="preserve"> </w:t>
            </w:r>
            <w:r w:rsidR="008171D4">
              <w:rPr>
                <w:sz w:val="22"/>
                <w:szCs w:val="22"/>
              </w:rPr>
              <w:t>(</w:t>
            </w:r>
            <w:r w:rsidRPr="005223D4">
              <w:rPr>
                <w:sz w:val="22"/>
                <w:szCs w:val="22"/>
              </w:rPr>
              <w:t>MITA</w:t>
            </w:r>
            <w:r w:rsidR="008171D4">
              <w:rPr>
                <w:sz w:val="22"/>
                <w:szCs w:val="22"/>
              </w:rPr>
              <w:t>)</w:t>
            </w:r>
            <w:r w:rsidRPr="005223D4">
              <w:rPr>
                <w:sz w:val="22"/>
                <w:szCs w:val="22"/>
              </w:rPr>
              <w:t xml:space="preserve">, sukurti su nauju mandatu </w:t>
            </w:r>
            <w:r w:rsidR="008171D4">
              <w:rPr>
                <w:sz w:val="22"/>
                <w:szCs w:val="22"/>
              </w:rPr>
              <w:t>Lietuvos mokslo taryba (LMT)</w:t>
            </w:r>
            <w:r w:rsidRPr="005223D4">
              <w:rPr>
                <w:sz w:val="22"/>
                <w:szCs w:val="22"/>
              </w:rPr>
              <w:t xml:space="preserve"> (</w:t>
            </w:r>
            <w:r>
              <w:rPr>
                <w:sz w:val="22"/>
                <w:szCs w:val="22"/>
              </w:rPr>
              <w:t>LMT</w:t>
            </w:r>
            <w:r w:rsidRPr="005223D4">
              <w:rPr>
                <w:sz w:val="22"/>
                <w:szCs w:val="22"/>
              </w:rPr>
              <w:t xml:space="preserve"> ir </w:t>
            </w:r>
            <w:r>
              <w:rPr>
                <w:sz w:val="22"/>
                <w:szCs w:val="22"/>
              </w:rPr>
              <w:t>MITA</w:t>
            </w:r>
            <w:r w:rsidRPr="005223D4">
              <w:rPr>
                <w:sz w:val="22"/>
                <w:szCs w:val="22"/>
              </w:rPr>
              <w:t xml:space="preserve"> veiklų optimizavimas, reorganizuojant MITA jungimo</w:t>
            </w:r>
            <w:r>
              <w:rPr>
                <w:sz w:val="22"/>
                <w:szCs w:val="22"/>
              </w:rPr>
              <w:t xml:space="preserve"> būdu prijungiant ją</w:t>
            </w:r>
            <w:r w:rsidRPr="005223D4">
              <w:rPr>
                <w:sz w:val="22"/>
                <w:szCs w:val="22"/>
              </w:rPr>
              <w:t xml:space="preserve"> prie LMT</w:t>
            </w:r>
            <w:r>
              <w:rPr>
                <w:sz w:val="22"/>
                <w:szCs w:val="22"/>
              </w:rPr>
              <w:t xml:space="preserve"> </w:t>
            </w:r>
            <w:r w:rsidRPr="005223D4">
              <w:rPr>
                <w:sz w:val="22"/>
                <w:szCs w:val="22"/>
              </w:rPr>
              <w:t>ir užtikrinant su mokslo ir studijų politikos įgyvendinimu susijusių funkcijų vykdymą).</w:t>
            </w:r>
          </w:p>
          <w:p w14:paraId="3877F439" w14:textId="77777777" w:rsidR="00827960" w:rsidRDefault="00827960" w:rsidP="00953E5C">
            <w:pPr>
              <w:widowControl w:val="0"/>
              <w:tabs>
                <w:tab w:val="left" w:pos="459"/>
                <w:tab w:val="left" w:pos="596"/>
              </w:tabs>
              <w:spacing w:line="259" w:lineRule="auto"/>
              <w:jc w:val="both"/>
              <w:rPr>
                <w:sz w:val="22"/>
                <w:szCs w:val="22"/>
              </w:rPr>
            </w:pPr>
          </w:p>
          <w:p w14:paraId="6CE10672" w14:textId="77777777" w:rsidR="00827960" w:rsidRPr="005223D4" w:rsidRDefault="00827960" w:rsidP="00953E5C">
            <w:pPr>
              <w:widowControl w:val="0"/>
              <w:tabs>
                <w:tab w:val="left" w:pos="459"/>
                <w:tab w:val="left" w:pos="596"/>
              </w:tabs>
              <w:spacing w:line="259" w:lineRule="auto"/>
              <w:jc w:val="both"/>
              <w:rPr>
                <w:sz w:val="22"/>
                <w:szCs w:val="22"/>
              </w:rPr>
            </w:pPr>
            <w:r w:rsidRPr="00D549E6">
              <w:rPr>
                <w:sz w:val="22"/>
                <w:szCs w:val="22"/>
              </w:rPr>
              <w:t>Projekto tinkamų finansuoti išlaidų dalis, kurios nepadengia projektui skiriamo finansavimo lėšos, turi būti finansuojama iš projekto vykdytojo ir (ar) partnerio (-ių) lėšų.</w:t>
            </w:r>
          </w:p>
          <w:p w14:paraId="0FC13828" w14:textId="77777777" w:rsidR="00953E5C" w:rsidRPr="007572F4" w:rsidRDefault="00953E5C" w:rsidP="00953E5C">
            <w:pPr>
              <w:jc w:val="both"/>
              <w:rPr>
                <w:b/>
                <w:bCs/>
                <w:sz w:val="22"/>
                <w:szCs w:val="22"/>
              </w:rPr>
            </w:pPr>
          </w:p>
          <w:p w14:paraId="02940A03" w14:textId="77777777" w:rsidR="00953E5C" w:rsidRDefault="00953E5C" w:rsidP="00953E5C">
            <w:pPr>
              <w:tabs>
                <w:tab w:val="left" w:pos="601"/>
              </w:tabs>
              <w:jc w:val="both"/>
              <w:rPr>
                <w:sz w:val="22"/>
                <w:szCs w:val="22"/>
              </w:rPr>
            </w:pPr>
            <w:r w:rsidRPr="007572F4">
              <w:rPr>
                <w:sz w:val="22"/>
                <w:szCs w:val="22"/>
              </w:rPr>
              <w:t xml:space="preserve">Stebėsenos rodikliams skaičiuoti taikomas Stebėsenos rodiklių skaičiavimo aprašas (stebėsenos rodiklių kortelės), skelbiamas kartu su </w:t>
            </w:r>
            <w:r w:rsidRPr="007572F4">
              <w:rPr>
                <w:iCs/>
                <w:sz w:val="22"/>
                <w:szCs w:val="22"/>
              </w:rPr>
              <w:t>2021–2030 m. plėtros programos valdytojos Lietuvos Respublikos švietimo, mokslo ir sporto ministerijos švietimo</w:t>
            </w:r>
            <w:r w:rsidRPr="007572F4">
              <w:rPr>
                <w:sz w:val="22"/>
                <w:szCs w:val="22"/>
              </w:rPr>
              <w:t xml:space="preserve"> plėtros programos pažangos priemon</w:t>
            </w:r>
            <w:r>
              <w:rPr>
                <w:sz w:val="22"/>
                <w:szCs w:val="22"/>
              </w:rPr>
              <w:t>ės Nr. 12-003-03-04-02</w:t>
            </w:r>
            <w:r w:rsidRPr="007572F4">
              <w:rPr>
                <w:sz w:val="22"/>
                <w:szCs w:val="22"/>
              </w:rPr>
              <w:t xml:space="preserve"> „</w:t>
            </w:r>
            <w:r>
              <w:rPr>
                <w:iCs/>
                <w:szCs w:val="24"/>
              </w:rPr>
              <w:t>Užtikrinti efektyvų mokslo ir studijų sistemos valdymą</w:t>
            </w:r>
            <w:r w:rsidRPr="007572F4">
              <w:rPr>
                <w:sz w:val="22"/>
                <w:szCs w:val="22"/>
              </w:rPr>
              <w:t>“ apraše nurodytos informacijos pagrindimo aprašu Švietimo, mokslo ir sporto ministerijos interneto svetainėje.</w:t>
            </w:r>
          </w:p>
          <w:p w14:paraId="0450C067" w14:textId="77777777" w:rsidR="00953E5C" w:rsidRPr="007572F4" w:rsidRDefault="00953E5C" w:rsidP="00953E5C">
            <w:pPr>
              <w:tabs>
                <w:tab w:val="left" w:pos="601"/>
              </w:tabs>
              <w:jc w:val="both"/>
              <w:rPr>
                <w:sz w:val="22"/>
                <w:szCs w:val="22"/>
              </w:rPr>
            </w:pPr>
          </w:p>
          <w:p w14:paraId="37C44841" w14:textId="77777777" w:rsidR="0092115C" w:rsidRPr="007572F4" w:rsidRDefault="00953E5C" w:rsidP="0092115C">
            <w:pPr>
              <w:ind w:left="-57" w:right="-57"/>
              <w:jc w:val="both"/>
              <w:rPr>
                <w:rFonts w:asciiTheme="majorBidi" w:hAnsiTheme="majorBidi" w:cstheme="majorBidi"/>
                <w:i/>
                <w:iCs/>
                <w:sz w:val="22"/>
                <w:szCs w:val="22"/>
              </w:rPr>
            </w:pPr>
            <w:r w:rsidRPr="007572F4">
              <w:rPr>
                <w:sz w:val="22"/>
                <w:szCs w:val="22"/>
              </w:rPr>
              <w:t xml:space="preserve">Projektų </w:t>
            </w:r>
            <w:r w:rsidRPr="007572F4">
              <w:rPr>
                <w:color w:val="000000"/>
                <w:sz w:val="22"/>
                <w:szCs w:val="22"/>
              </w:rPr>
              <w:t xml:space="preserve">komunikacijos ir informavimo veiksmai turi būti atliekami vadovaujantis </w:t>
            </w:r>
            <w:r w:rsidR="0092115C" w:rsidRPr="007572F4">
              <w:rPr>
                <w:color w:val="000000"/>
                <w:sz w:val="22"/>
                <w:szCs w:val="22"/>
              </w:rPr>
              <w:t>P</w:t>
            </w:r>
            <w:r w:rsidR="0092115C">
              <w:rPr>
                <w:color w:val="000000"/>
                <w:sz w:val="22"/>
                <w:szCs w:val="22"/>
              </w:rPr>
              <w:t>AFT 339-343 punktuose nustatytais reikalavimais</w:t>
            </w:r>
            <w:r w:rsidR="0092115C" w:rsidRPr="007572F4">
              <w:rPr>
                <w:sz w:val="22"/>
                <w:szCs w:val="22"/>
              </w:rPr>
              <w:t xml:space="preserve">. </w:t>
            </w:r>
          </w:p>
          <w:p w14:paraId="628914A2" w14:textId="77777777" w:rsidR="001A64C7" w:rsidRDefault="001A64C7" w:rsidP="00834BFC">
            <w:pPr>
              <w:ind w:right="-57"/>
              <w:jc w:val="both"/>
              <w:rPr>
                <w:i/>
                <w:iCs/>
                <w:color w:val="808080"/>
                <w:sz w:val="22"/>
                <w:szCs w:val="22"/>
              </w:rPr>
            </w:pPr>
          </w:p>
        </w:tc>
      </w:tr>
      <w:tr w:rsidR="001A64C7" w14:paraId="7A5B567C" w14:textId="77777777" w:rsidTr="00F8368A">
        <w:trPr>
          <w:trHeight w:val="72"/>
        </w:trPr>
        <w:tc>
          <w:tcPr>
            <w:tcW w:w="675" w:type="dxa"/>
          </w:tcPr>
          <w:p w14:paraId="77C73C12" w14:textId="77777777" w:rsidR="001A64C7" w:rsidRDefault="001A64C7">
            <w:pPr>
              <w:rPr>
                <w:sz w:val="4"/>
                <w:szCs w:val="4"/>
              </w:rPr>
            </w:pPr>
          </w:p>
          <w:p w14:paraId="315883D6" w14:textId="77777777" w:rsidR="001A64C7" w:rsidRDefault="00894D4A">
            <w:pPr>
              <w:keepNext/>
              <w:keepLines/>
              <w:ind w:left="576" w:hanging="576"/>
              <w:outlineLvl w:val="1"/>
              <w:rPr>
                <w:color w:val="000000"/>
                <w:sz w:val="22"/>
                <w:szCs w:val="22"/>
              </w:rPr>
            </w:pPr>
            <w:r>
              <w:rPr>
                <w:b/>
                <w:color w:val="000000"/>
                <w:sz w:val="22"/>
                <w:szCs w:val="22"/>
              </w:rPr>
              <w:t>1.7.</w:t>
            </w:r>
            <w:r>
              <w:rPr>
                <w:b/>
                <w:color w:val="000000"/>
                <w:sz w:val="22"/>
                <w:szCs w:val="22"/>
              </w:rPr>
              <w:tab/>
            </w:r>
          </w:p>
        </w:tc>
        <w:tc>
          <w:tcPr>
            <w:tcW w:w="9179" w:type="dxa"/>
            <w:gridSpan w:val="4"/>
          </w:tcPr>
          <w:p w14:paraId="2BC687FA" w14:textId="77777777" w:rsidR="001A64C7" w:rsidRDefault="00894D4A">
            <w:pPr>
              <w:jc w:val="both"/>
              <w:rPr>
                <w:i/>
                <w:iCs/>
                <w:color w:val="808080"/>
                <w:sz w:val="22"/>
                <w:szCs w:val="22"/>
              </w:rPr>
            </w:pPr>
            <w:r>
              <w:rPr>
                <w:b/>
                <w:sz w:val="22"/>
                <w:szCs w:val="22"/>
              </w:rPr>
              <w:t xml:space="preserve">Horizontaliųjų principų ir su jais susijusių Europos Sąjungos pagrindinių teisių chartijos nuostatų laikymosi reikalavimai </w:t>
            </w:r>
          </w:p>
        </w:tc>
      </w:tr>
      <w:tr w:rsidR="001A64C7" w14:paraId="79822C55" w14:textId="77777777" w:rsidTr="00F8368A">
        <w:trPr>
          <w:trHeight w:val="72"/>
        </w:trPr>
        <w:tc>
          <w:tcPr>
            <w:tcW w:w="675" w:type="dxa"/>
          </w:tcPr>
          <w:p w14:paraId="1D11DCFE" w14:textId="77777777" w:rsidR="001A64C7" w:rsidRDefault="001A64C7">
            <w:pPr>
              <w:rPr>
                <w:sz w:val="4"/>
                <w:szCs w:val="4"/>
              </w:rPr>
            </w:pPr>
          </w:p>
          <w:p w14:paraId="5157BF2F" w14:textId="24463DA8" w:rsidR="001A64C7" w:rsidRDefault="001A64C7" w:rsidP="00F8368A">
            <w:pPr>
              <w:keepNext/>
              <w:keepLines/>
              <w:ind w:left="576" w:hanging="576"/>
              <w:outlineLvl w:val="1"/>
              <w:rPr>
                <w:color w:val="000000"/>
                <w:sz w:val="22"/>
                <w:szCs w:val="22"/>
              </w:rPr>
            </w:pPr>
          </w:p>
        </w:tc>
        <w:tc>
          <w:tcPr>
            <w:tcW w:w="9179" w:type="dxa"/>
            <w:gridSpan w:val="4"/>
          </w:tcPr>
          <w:p w14:paraId="2E4E4FC8" w14:textId="77777777" w:rsidR="006058D6" w:rsidRPr="00EE061A" w:rsidRDefault="006058D6" w:rsidP="006058D6">
            <w:pPr>
              <w:pStyle w:val="ListParagraph"/>
              <w:tabs>
                <w:tab w:val="left" w:pos="601"/>
              </w:tabs>
              <w:spacing w:before="120" w:after="120"/>
              <w:ind w:left="34"/>
              <w:jc w:val="both"/>
              <w:rPr>
                <w:sz w:val="22"/>
                <w:szCs w:val="22"/>
              </w:rPr>
            </w:pPr>
            <w:r w:rsidRPr="00EE061A">
              <w:rPr>
                <w:sz w:val="22"/>
                <w:szCs w:val="22"/>
              </w:rPr>
              <w:t>Projektuose negali būti numatyta:</w:t>
            </w:r>
          </w:p>
          <w:p w14:paraId="0D57801B" w14:textId="77777777" w:rsidR="006058D6" w:rsidRPr="00EE061A" w:rsidRDefault="006058D6" w:rsidP="006058D6">
            <w:pPr>
              <w:pStyle w:val="ListParagraph"/>
              <w:tabs>
                <w:tab w:val="left" w:pos="601"/>
              </w:tabs>
              <w:spacing w:before="120" w:after="120"/>
              <w:ind w:left="34"/>
              <w:jc w:val="both"/>
              <w:rPr>
                <w:sz w:val="22"/>
                <w:szCs w:val="22"/>
              </w:rPr>
            </w:pPr>
            <w:r>
              <w:rPr>
                <w:sz w:val="22"/>
                <w:szCs w:val="22"/>
              </w:rPr>
              <w:t xml:space="preserve">- </w:t>
            </w:r>
            <w:r w:rsidRPr="00EE061A">
              <w:rPr>
                <w:sz w:val="22"/>
                <w:szCs w:val="22"/>
              </w:rPr>
              <w:t>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0DA341E" w14:textId="77777777" w:rsidR="006058D6" w:rsidRDefault="006058D6" w:rsidP="006058D6">
            <w:pPr>
              <w:pStyle w:val="ListParagraph"/>
              <w:tabs>
                <w:tab w:val="left" w:pos="601"/>
              </w:tabs>
              <w:spacing w:before="120" w:after="120"/>
              <w:ind w:left="34"/>
              <w:jc w:val="both"/>
              <w:rPr>
                <w:sz w:val="22"/>
                <w:szCs w:val="22"/>
              </w:rPr>
            </w:pPr>
            <w:r>
              <w:rPr>
                <w:sz w:val="22"/>
                <w:szCs w:val="22"/>
              </w:rPr>
              <w:t xml:space="preserve">- </w:t>
            </w:r>
            <w:r w:rsidRPr="00EE061A">
              <w:rPr>
                <w:sz w:val="22"/>
                <w:szCs w:val="22"/>
              </w:rPr>
              <w:t>veiksmų, kurie turėtų neigiamą poveikį darnaus vystymosi principui įgyvendinti.</w:t>
            </w:r>
          </w:p>
          <w:p w14:paraId="7E0E5875" w14:textId="77777777" w:rsidR="006058D6" w:rsidRPr="00EE061A" w:rsidRDefault="006058D6" w:rsidP="006058D6">
            <w:pPr>
              <w:pStyle w:val="ListParagraph"/>
              <w:tabs>
                <w:tab w:val="left" w:pos="601"/>
              </w:tabs>
              <w:spacing w:before="120" w:after="120"/>
              <w:ind w:left="34"/>
              <w:jc w:val="both"/>
              <w:rPr>
                <w:sz w:val="22"/>
                <w:szCs w:val="22"/>
              </w:rPr>
            </w:pPr>
          </w:p>
          <w:p w14:paraId="0764808F" w14:textId="77777777" w:rsidR="006058D6" w:rsidRDefault="006058D6" w:rsidP="006058D6">
            <w:pPr>
              <w:pStyle w:val="ListParagraph"/>
              <w:tabs>
                <w:tab w:val="left" w:pos="601"/>
                <w:tab w:val="left" w:pos="1021"/>
              </w:tabs>
              <w:spacing w:before="120" w:after="120"/>
              <w:ind w:left="34"/>
              <w:jc w:val="both"/>
              <w:rPr>
                <w:sz w:val="22"/>
                <w:szCs w:val="22"/>
              </w:rPr>
            </w:pPr>
            <w:r w:rsidRPr="00EE061A">
              <w:rPr>
                <w:sz w:val="22"/>
                <w:szCs w:val="22"/>
              </w:rPr>
              <w:t>Projektų vykdytojai turi užtikrinti, kad projektų veiklomis būtų aktyviai prisidedama prie inovatyvumo (kūrybingumo) ir (ar) lygių galimybių visiems horizontaliųjų principų įgyvendinimo.</w:t>
            </w:r>
          </w:p>
          <w:p w14:paraId="35A4B1C3" w14:textId="77777777" w:rsidR="006058D6" w:rsidRDefault="006058D6" w:rsidP="006058D6">
            <w:pPr>
              <w:pStyle w:val="ListParagraph"/>
              <w:tabs>
                <w:tab w:val="left" w:pos="601"/>
                <w:tab w:val="left" w:pos="1021"/>
              </w:tabs>
              <w:spacing w:before="120" w:after="120"/>
              <w:ind w:left="34"/>
              <w:jc w:val="both"/>
              <w:rPr>
                <w:sz w:val="22"/>
                <w:szCs w:val="22"/>
              </w:rPr>
            </w:pPr>
          </w:p>
          <w:p w14:paraId="0A444814" w14:textId="77777777" w:rsidR="001A64C7" w:rsidRDefault="006058D6" w:rsidP="006058D6">
            <w:pPr>
              <w:pStyle w:val="ListParagraph"/>
              <w:tabs>
                <w:tab w:val="left" w:pos="601"/>
                <w:tab w:val="left" w:pos="1021"/>
              </w:tabs>
              <w:spacing w:before="120" w:after="120"/>
              <w:ind w:left="34"/>
              <w:jc w:val="both"/>
              <w:rPr>
                <w:sz w:val="22"/>
                <w:szCs w:val="22"/>
              </w:rPr>
            </w:pPr>
            <w:r w:rsidRPr="00EE061A">
              <w:rPr>
                <w:sz w:val="22"/>
                <w:szCs w:val="22"/>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Atitiktis šiam principui turi būti užtikrinta viso projekto įgyvendinimo metu.</w:t>
            </w:r>
          </w:p>
          <w:p w14:paraId="788DF09E" w14:textId="77777777" w:rsidR="00613C3A" w:rsidRDefault="00613C3A" w:rsidP="006058D6">
            <w:pPr>
              <w:pStyle w:val="ListParagraph"/>
              <w:tabs>
                <w:tab w:val="left" w:pos="601"/>
                <w:tab w:val="left" w:pos="1021"/>
              </w:tabs>
              <w:spacing w:before="120" w:after="120"/>
              <w:ind w:left="34"/>
              <w:jc w:val="both"/>
              <w:rPr>
                <w:sz w:val="22"/>
                <w:szCs w:val="22"/>
              </w:rPr>
            </w:pPr>
          </w:p>
          <w:p w14:paraId="7854D6EE" w14:textId="77777777" w:rsidR="00613C3A" w:rsidRDefault="00613C3A" w:rsidP="00613C3A">
            <w:pPr>
              <w:pStyle w:val="ListParagraph"/>
              <w:tabs>
                <w:tab w:val="left" w:pos="601"/>
                <w:tab w:val="left" w:pos="1021"/>
              </w:tabs>
              <w:spacing w:before="120" w:after="120"/>
              <w:ind w:left="34"/>
              <w:jc w:val="both"/>
              <w:rPr>
                <w:rFonts w:eastAsia="Calibri"/>
                <w:bCs/>
                <w:sz w:val="22"/>
                <w:szCs w:val="22"/>
              </w:rPr>
            </w:pPr>
            <w:r>
              <w:rPr>
                <w:rFonts w:eastAsia="Calibri"/>
                <w:bCs/>
                <w:sz w:val="22"/>
                <w:szCs w:val="22"/>
              </w:rPr>
              <w:t>Planuojama įsigyti įranga turi</w:t>
            </w:r>
            <w:r w:rsidRPr="00340CDF">
              <w:rPr>
                <w:rFonts w:eastAsia="Calibri"/>
                <w:bCs/>
                <w:sz w:val="22"/>
                <w:szCs w:val="22"/>
              </w:rPr>
              <w:t xml:space="preserve"> atitikti efektyvumo, tvarumo, ilgaamžiškumo reikalavimus pagal Direktyvą 2009/125/EC ir Direktyvą 2011/65/EU (taikoma, jeigu vykdant veiklas, yra numatoma įsigyti IT ir kt. įrangą).</w:t>
            </w:r>
          </w:p>
          <w:p w14:paraId="69C65A46" w14:textId="77777777" w:rsidR="00613C3A" w:rsidRPr="00613C3A" w:rsidRDefault="00613C3A" w:rsidP="00613C3A">
            <w:pPr>
              <w:pStyle w:val="ListParagraph"/>
              <w:tabs>
                <w:tab w:val="left" w:pos="601"/>
                <w:tab w:val="left" w:pos="1021"/>
              </w:tabs>
              <w:spacing w:before="120" w:after="120"/>
              <w:ind w:left="34"/>
              <w:jc w:val="both"/>
              <w:rPr>
                <w:rFonts w:eastAsia="Calibri"/>
                <w:bCs/>
                <w:sz w:val="22"/>
                <w:szCs w:val="22"/>
              </w:rPr>
            </w:pPr>
            <w:r w:rsidRPr="00613C3A">
              <w:rPr>
                <w:rFonts w:eastAsia="Calibri"/>
                <w:bCs/>
                <w:sz w:val="22"/>
                <w:szCs w:val="22"/>
              </w:rPr>
              <w:t>Pasibaigus įsigytos IT įrangos naudingo tarnavimo laikui, įrangos tiekėjai (pardavėjai) privalės (tai bus numatoma atitinkamuose įrangos įsigijimo dokumentuose). Įrangos atliekas sutvarkyti vadovaudamiesi Direktyvos 2012/19/EU reikalavimais ir Lietuvos Respublikos teisės aktais, reglamentuojančiais atliekų tvarkymą bei Valstybinio atliekų prevencijos ir tvarkymo plano nuostatomis.</w:t>
            </w:r>
          </w:p>
        </w:tc>
      </w:tr>
      <w:tr w:rsidR="001A64C7" w14:paraId="62EF2F80" w14:textId="77777777" w:rsidTr="00F8368A">
        <w:tc>
          <w:tcPr>
            <w:tcW w:w="675" w:type="dxa"/>
          </w:tcPr>
          <w:p w14:paraId="11EBB138" w14:textId="77777777" w:rsidR="001A64C7" w:rsidRDefault="001A64C7">
            <w:pPr>
              <w:rPr>
                <w:sz w:val="4"/>
                <w:szCs w:val="4"/>
              </w:rPr>
            </w:pPr>
          </w:p>
          <w:p w14:paraId="19FA5A08" w14:textId="77777777" w:rsidR="001A64C7" w:rsidRDefault="00894D4A">
            <w:pPr>
              <w:keepNext/>
              <w:keepLines/>
              <w:ind w:left="576" w:hanging="576"/>
              <w:outlineLvl w:val="1"/>
              <w:rPr>
                <w:color w:val="000000"/>
                <w:sz w:val="22"/>
                <w:szCs w:val="22"/>
              </w:rPr>
            </w:pPr>
            <w:r>
              <w:rPr>
                <w:b/>
                <w:color w:val="000000"/>
                <w:sz w:val="22"/>
                <w:szCs w:val="22"/>
              </w:rPr>
              <w:t>1.8.</w:t>
            </w:r>
            <w:r>
              <w:rPr>
                <w:b/>
                <w:color w:val="000000"/>
                <w:sz w:val="22"/>
                <w:szCs w:val="22"/>
              </w:rPr>
              <w:tab/>
            </w:r>
          </w:p>
        </w:tc>
        <w:tc>
          <w:tcPr>
            <w:tcW w:w="9179" w:type="dxa"/>
            <w:gridSpan w:val="4"/>
          </w:tcPr>
          <w:p w14:paraId="345CB096" w14:textId="77777777" w:rsidR="001A64C7" w:rsidRDefault="00894D4A">
            <w:pPr>
              <w:jc w:val="both"/>
              <w:rPr>
                <w:i/>
                <w:sz w:val="22"/>
                <w:szCs w:val="22"/>
              </w:rPr>
            </w:pPr>
            <w:r>
              <w:rPr>
                <w:b/>
                <w:bCs/>
                <w:sz w:val="22"/>
                <w:szCs w:val="22"/>
              </w:rPr>
              <w:t>Reikalavimai įgyvendinus projektų veiklas</w:t>
            </w:r>
          </w:p>
        </w:tc>
      </w:tr>
      <w:tr w:rsidR="001A64C7" w14:paraId="249F6A83" w14:textId="77777777" w:rsidTr="00F8368A">
        <w:tc>
          <w:tcPr>
            <w:tcW w:w="675" w:type="dxa"/>
          </w:tcPr>
          <w:p w14:paraId="0CFE2682" w14:textId="77777777" w:rsidR="001A64C7" w:rsidRDefault="001A64C7">
            <w:pPr>
              <w:rPr>
                <w:sz w:val="4"/>
                <w:szCs w:val="4"/>
              </w:rPr>
            </w:pPr>
          </w:p>
          <w:p w14:paraId="0D17F703" w14:textId="0287C139" w:rsidR="001A64C7" w:rsidRDefault="00894D4A">
            <w:pPr>
              <w:keepNext/>
              <w:keepLines/>
              <w:ind w:left="576" w:hanging="576"/>
              <w:outlineLvl w:val="1"/>
              <w:rPr>
                <w:color w:val="000000"/>
                <w:sz w:val="22"/>
                <w:szCs w:val="22"/>
              </w:rPr>
            </w:pPr>
            <w:r>
              <w:rPr>
                <w:b/>
                <w:color w:val="000000"/>
                <w:sz w:val="22"/>
                <w:szCs w:val="22"/>
              </w:rPr>
              <w:tab/>
            </w:r>
          </w:p>
        </w:tc>
        <w:tc>
          <w:tcPr>
            <w:tcW w:w="9179" w:type="dxa"/>
            <w:gridSpan w:val="4"/>
          </w:tcPr>
          <w:p w14:paraId="6B6BE0E4" w14:textId="6D166D26" w:rsidR="001A64C7" w:rsidRPr="006058D6" w:rsidRDefault="006058D6" w:rsidP="006058D6">
            <w:pPr>
              <w:tabs>
                <w:tab w:val="left" w:pos="589"/>
              </w:tabs>
              <w:rPr>
                <w:iCs/>
                <w:sz w:val="22"/>
                <w:szCs w:val="22"/>
              </w:rPr>
            </w:pPr>
            <w:r w:rsidRPr="007572F4">
              <w:rPr>
                <w:iCs/>
                <w:sz w:val="22"/>
                <w:szCs w:val="22"/>
              </w:rPr>
              <w:t xml:space="preserve">Pagal Aprašą įgyvendinamiems projektams papildomi tęstinumo reikalavimai, nei nustatyti </w:t>
            </w:r>
            <w:r w:rsidR="0092115C">
              <w:rPr>
                <w:sz w:val="22"/>
                <w:szCs w:val="22"/>
                <w:shd w:val="clear" w:color="auto" w:fill="FFFFFF"/>
              </w:rPr>
              <w:t>PAFT</w:t>
            </w:r>
            <w:r w:rsidRPr="007572F4">
              <w:rPr>
                <w:sz w:val="22"/>
                <w:szCs w:val="22"/>
                <w:shd w:val="clear" w:color="auto" w:fill="FFFFFF"/>
              </w:rPr>
              <w:t>,</w:t>
            </w:r>
            <w:r w:rsidRPr="007572F4">
              <w:rPr>
                <w:iCs/>
                <w:sz w:val="22"/>
                <w:szCs w:val="22"/>
              </w:rPr>
              <w:t xml:space="preserve"> netaikomi. </w:t>
            </w:r>
          </w:p>
        </w:tc>
      </w:tr>
      <w:tr w:rsidR="001A64C7" w14:paraId="3FDCF563" w14:textId="77777777" w:rsidTr="00F8368A">
        <w:tc>
          <w:tcPr>
            <w:tcW w:w="675" w:type="dxa"/>
          </w:tcPr>
          <w:p w14:paraId="12C5FBC9" w14:textId="77777777" w:rsidR="001A64C7" w:rsidRDefault="001A64C7">
            <w:pPr>
              <w:rPr>
                <w:sz w:val="4"/>
                <w:szCs w:val="4"/>
              </w:rPr>
            </w:pPr>
          </w:p>
          <w:p w14:paraId="5058F97A" w14:textId="77777777" w:rsidR="001A64C7" w:rsidRDefault="00894D4A">
            <w:pPr>
              <w:keepNext/>
              <w:keepLines/>
              <w:ind w:left="576" w:hanging="576"/>
              <w:outlineLvl w:val="1"/>
              <w:rPr>
                <w:color w:val="000000"/>
                <w:sz w:val="22"/>
                <w:szCs w:val="22"/>
              </w:rPr>
            </w:pPr>
            <w:r>
              <w:rPr>
                <w:b/>
                <w:color w:val="000000"/>
                <w:sz w:val="22"/>
                <w:szCs w:val="22"/>
              </w:rPr>
              <w:t>1.9.</w:t>
            </w:r>
            <w:r>
              <w:rPr>
                <w:b/>
                <w:color w:val="000000"/>
                <w:sz w:val="22"/>
                <w:szCs w:val="22"/>
              </w:rPr>
              <w:tab/>
            </w:r>
          </w:p>
        </w:tc>
        <w:tc>
          <w:tcPr>
            <w:tcW w:w="2864" w:type="dxa"/>
          </w:tcPr>
          <w:p w14:paraId="0067A4A7" w14:textId="77777777" w:rsidR="001A64C7" w:rsidRDefault="00894D4A">
            <w:pPr>
              <w:jc w:val="both"/>
              <w:rPr>
                <w:b/>
                <w:sz w:val="22"/>
                <w:szCs w:val="22"/>
              </w:rPr>
            </w:pPr>
            <w:r>
              <w:rPr>
                <w:b/>
                <w:sz w:val="22"/>
                <w:szCs w:val="22"/>
              </w:rPr>
              <w:t xml:space="preserve">Projektų įgyvendinimo trukmė </w:t>
            </w:r>
          </w:p>
        </w:tc>
        <w:tc>
          <w:tcPr>
            <w:tcW w:w="6315" w:type="dxa"/>
            <w:gridSpan w:val="3"/>
          </w:tcPr>
          <w:p w14:paraId="23243A4A" w14:textId="77777777" w:rsidR="001A64C7" w:rsidRDefault="006058D6">
            <w:pPr>
              <w:jc w:val="both"/>
              <w:rPr>
                <w:i/>
                <w:iCs/>
                <w:color w:val="808080"/>
                <w:sz w:val="22"/>
                <w:szCs w:val="22"/>
              </w:rPr>
            </w:pPr>
            <w:r w:rsidRPr="005223D4">
              <w:rPr>
                <w:sz w:val="22"/>
                <w:szCs w:val="22"/>
              </w:rPr>
              <w:t>2023 m. gruodžio 31 d.</w:t>
            </w:r>
          </w:p>
        </w:tc>
      </w:tr>
      <w:tr w:rsidR="001A64C7" w14:paraId="3F3C57C6" w14:textId="77777777" w:rsidTr="00F8368A">
        <w:tc>
          <w:tcPr>
            <w:tcW w:w="675" w:type="dxa"/>
          </w:tcPr>
          <w:p w14:paraId="1ABEAA4A" w14:textId="77777777" w:rsidR="001A64C7" w:rsidRDefault="001A64C7">
            <w:pPr>
              <w:rPr>
                <w:sz w:val="4"/>
                <w:szCs w:val="4"/>
              </w:rPr>
            </w:pPr>
          </w:p>
          <w:p w14:paraId="1F978BC3" w14:textId="77777777" w:rsidR="001A64C7" w:rsidRDefault="00894D4A">
            <w:pPr>
              <w:keepNext/>
              <w:keepLines/>
              <w:ind w:left="576" w:hanging="576"/>
              <w:outlineLvl w:val="1"/>
              <w:rPr>
                <w:color w:val="000000"/>
                <w:sz w:val="22"/>
                <w:szCs w:val="22"/>
              </w:rPr>
            </w:pPr>
            <w:r>
              <w:rPr>
                <w:b/>
                <w:color w:val="000000"/>
                <w:sz w:val="22"/>
                <w:szCs w:val="22"/>
              </w:rPr>
              <w:t>1.10.</w:t>
            </w:r>
            <w:r>
              <w:rPr>
                <w:b/>
                <w:color w:val="000000"/>
                <w:sz w:val="22"/>
                <w:szCs w:val="22"/>
              </w:rPr>
              <w:tab/>
            </w:r>
          </w:p>
        </w:tc>
        <w:tc>
          <w:tcPr>
            <w:tcW w:w="2864" w:type="dxa"/>
          </w:tcPr>
          <w:p w14:paraId="13D97822" w14:textId="77777777" w:rsidR="001A64C7" w:rsidRDefault="00894D4A">
            <w:pPr>
              <w:jc w:val="both"/>
              <w:rPr>
                <w:b/>
                <w:sz w:val="22"/>
                <w:szCs w:val="22"/>
              </w:rPr>
            </w:pPr>
            <w:r>
              <w:rPr>
                <w:b/>
                <w:sz w:val="22"/>
                <w:szCs w:val="22"/>
              </w:rPr>
              <w:t>Regionas, kuriam gali būti priskiriami projektai</w:t>
            </w:r>
          </w:p>
        </w:tc>
        <w:tc>
          <w:tcPr>
            <w:tcW w:w="6315" w:type="dxa"/>
            <w:gridSpan w:val="3"/>
          </w:tcPr>
          <w:p w14:paraId="18E25DFC" w14:textId="77777777" w:rsidR="001A64C7" w:rsidRDefault="006058D6">
            <w:pPr>
              <w:jc w:val="both"/>
              <w:rPr>
                <w:i/>
                <w:iCs/>
                <w:color w:val="808080"/>
                <w:sz w:val="22"/>
                <w:szCs w:val="22"/>
              </w:rPr>
            </w:pPr>
            <w:r>
              <w:rPr>
                <w:i/>
                <w:iCs/>
                <w:color w:val="808080"/>
                <w:sz w:val="22"/>
                <w:szCs w:val="22"/>
              </w:rPr>
              <w:t>-</w:t>
            </w:r>
          </w:p>
        </w:tc>
      </w:tr>
      <w:tr w:rsidR="001A64C7" w14:paraId="3012A61C" w14:textId="77777777" w:rsidTr="00F8368A">
        <w:tc>
          <w:tcPr>
            <w:tcW w:w="675" w:type="dxa"/>
          </w:tcPr>
          <w:p w14:paraId="09002EDC" w14:textId="77777777" w:rsidR="001A64C7" w:rsidRDefault="001A64C7">
            <w:pPr>
              <w:rPr>
                <w:sz w:val="4"/>
                <w:szCs w:val="4"/>
              </w:rPr>
            </w:pPr>
          </w:p>
          <w:p w14:paraId="67125EEC" w14:textId="77777777" w:rsidR="001A64C7" w:rsidRDefault="00894D4A">
            <w:pPr>
              <w:keepNext/>
              <w:keepLines/>
              <w:ind w:left="576" w:hanging="576"/>
              <w:outlineLvl w:val="1"/>
              <w:rPr>
                <w:color w:val="000000"/>
                <w:sz w:val="22"/>
                <w:szCs w:val="22"/>
              </w:rPr>
            </w:pPr>
            <w:r>
              <w:rPr>
                <w:b/>
                <w:color w:val="000000"/>
                <w:sz w:val="22"/>
                <w:szCs w:val="22"/>
              </w:rPr>
              <w:t>1.11.</w:t>
            </w:r>
            <w:r>
              <w:rPr>
                <w:b/>
                <w:color w:val="000000"/>
                <w:sz w:val="22"/>
                <w:szCs w:val="22"/>
              </w:rPr>
              <w:tab/>
            </w:r>
          </w:p>
        </w:tc>
        <w:tc>
          <w:tcPr>
            <w:tcW w:w="2864" w:type="dxa"/>
          </w:tcPr>
          <w:p w14:paraId="46D07BFF" w14:textId="77777777" w:rsidR="001A64C7" w:rsidRDefault="00894D4A">
            <w:pPr>
              <w:jc w:val="both"/>
              <w:rPr>
                <w:b/>
                <w:sz w:val="22"/>
                <w:szCs w:val="22"/>
              </w:rPr>
            </w:pPr>
            <w:r>
              <w:rPr>
                <w:b/>
                <w:sz w:val="22"/>
                <w:szCs w:val="22"/>
              </w:rPr>
              <w:t xml:space="preserve">Reikalavimai valstybės pagalbai </w:t>
            </w:r>
          </w:p>
        </w:tc>
        <w:tc>
          <w:tcPr>
            <w:tcW w:w="6315" w:type="dxa"/>
            <w:gridSpan w:val="3"/>
          </w:tcPr>
          <w:p w14:paraId="4731AD91" w14:textId="77777777" w:rsidR="006058D6" w:rsidRDefault="006058D6" w:rsidP="006058D6">
            <w:pPr>
              <w:tabs>
                <w:tab w:val="left" w:pos="459"/>
              </w:tabs>
              <w:jc w:val="both"/>
              <w:rPr>
                <w:sz w:val="22"/>
                <w:szCs w:val="22"/>
              </w:rPr>
            </w:pPr>
            <w:r>
              <w:rPr>
                <w:sz w:val="22"/>
                <w:szCs w:val="22"/>
              </w:rPr>
              <w:t>V</w:t>
            </w:r>
            <w:r w:rsidRPr="007A1E6A">
              <w:rPr>
                <w:sz w:val="22"/>
                <w:szCs w:val="22"/>
              </w:rPr>
              <w:t xml:space="preserve">alstybės pagalba, kaip ji apibrėžta Sutarties dėl Europos Sąjungos veikimo (OL 2010 C 83, p. 47) 107 straipsnyje ir </w:t>
            </w:r>
            <w:r w:rsidRPr="007A1E6A">
              <w:rPr>
                <w:i/>
                <w:sz w:val="22"/>
                <w:szCs w:val="22"/>
              </w:rPr>
              <w:t>de</w:t>
            </w:r>
            <w:r w:rsidRPr="007A1E6A">
              <w:rPr>
                <w:sz w:val="22"/>
                <w:szCs w:val="22"/>
              </w:rPr>
              <w:t xml:space="preserve"> </w:t>
            </w:r>
            <w:r w:rsidRPr="007A1E6A">
              <w:rPr>
                <w:i/>
                <w:sz w:val="22"/>
                <w:szCs w:val="22"/>
              </w:rPr>
              <w:t>minimis</w:t>
            </w:r>
            <w:r w:rsidRPr="007A1E6A">
              <w:rPr>
                <w:sz w:val="22"/>
                <w:szCs w:val="22"/>
              </w:rPr>
              <w:t xml:space="preserve"> pagalba, kuri atitinka 2013 m. gruodžio 18 d. Komisijos reglamento (ES) Nr. 1407/2013 dėl Sutarties dėl Europos Sąjungos veikimo 107 ir 108 straipsnių taikymo </w:t>
            </w:r>
            <w:r w:rsidRPr="007A1E6A">
              <w:rPr>
                <w:i/>
                <w:sz w:val="22"/>
                <w:szCs w:val="22"/>
              </w:rPr>
              <w:t>de</w:t>
            </w:r>
            <w:r w:rsidRPr="007A1E6A">
              <w:rPr>
                <w:sz w:val="22"/>
                <w:szCs w:val="22"/>
              </w:rPr>
              <w:t xml:space="preserve"> </w:t>
            </w:r>
            <w:r w:rsidRPr="007A1E6A">
              <w:rPr>
                <w:i/>
                <w:sz w:val="22"/>
                <w:szCs w:val="22"/>
              </w:rPr>
              <w:t>minimis</w:t>
            </w:r>
            <w:r w:rsidRPr="007A1E6A">
              <w:rPr>
                <w:sz w:val="22"/>
                <w:szCs w:val="22"/>
              </w:rPr>
              <w:t xml:space="preserve"> pagalbai (OL 2013 L 352, p. 1) nuostatas, neteikiama.</w:t>
            </w:r>
          </w:p>
          <w:p w14:paraId="57DC7BE6" w14:textId="77777777" w:rsidR="006058D6" w:rsidRPr="007A1E6A" w:rsidRDefault="006058D6" w:rsidP="006058D6">
            <w:pPr>
              <w:tabs>
                <w:tab w:val="left" w:pos="459"/>
              </w:tabs>
              <w:jc w:val="both"/>
              <w:rPr>
                <w:sz w:val="22"/>
                <w:szCs w:val="22"/>
              </w:rPr>
            </w:pPr>
          </w:p>
          <w:p w14:paraId="408A19CB" w14:textId="77777777" w:rsidR="006058D6" w:rsidRPr="007A1E6A" w:rsidRDefault="006058D6" w:rsidP="006058D6">
            <w:pPr>
              <w:tabs>
                <w:tab w:val="left" w:pos="459"/>
              </w:tabs>
              <w:jc w:val="both"/>
              <w:rPr>
                <w:sz w:val="22"/>
                <w:szCs w:val="22"/>
              </w:rPr>
            </w:pPr>
            <w:r>
              <w:rPr>
                <w:sz w:val="22"/>
                <w:szCs w:val="22"/>
              </w:rPr>
              <w:t>V</w:t>
            </w:r>
            <w:r w:rsidRPr="007A1E6A">
              <w:rPr>
                <w:sz w:val="22"/>
                <w:szCs w:val="22"/>
              </w:rPr>
              <w:t>alstybės pagalba, kuri atitinka 2014 m. birželio 17 d. Komisijos reglamento (ES) Nr. 651/2014, kuriuo tam tikrų kategorijų pagalba skelbiama suderinama su vidaus rinka taikant Sutarties 107 ir 108 straipsnius, neteikiama.</w:t>
            </w:r>
          </w:p>
          <w:p w14:paraId="0D0C6886" w14:textId="77777777" w:rsidR="001A64C7" w:rsidRDefault="001A64C7">
            <w:pPr>
              <w:spacing w:line="259" w:lineRule="auto"/>
              <w:jc w:val="both"/>
              <w:rPr>
                <w:i/>
                <w:iCs/>
                <w:color w:val="808080"/>
                <w:sz w:val="22"/>
                <w:szCs w:val="22"/>
              </w:rPr>
            </w:pPr>
          </w:p>
        </w:tc>
      </w:tr>
      <w:tr w:rsidR="001A64C7" w14:paraId="68062F09" w14:textId="77777777" w:rsidTr="00F8368A">
        <w:tc>
          <w:tcPr>
            <w:tcW w:w="675" w:type="dxa"/>
          </w:tcPr>
          <w:p w14:paraId="567B5A4F" w14:textId="77777777" w:rsidR="001A64C7" w:rsidRDefault="001A64C7">
            <w:pPr>
              <w:rPr>
                <w:sz w:val="4"/>
                <w:szCs w:val="4"/>
              </w:rPr>
            </w:pPr>
          </w:p>
          <w:p w14:paraId="5544763E" w14:textId="77777777" w:rsidR="001A64C7" w:rsidRDefault="00894D4A">
            <w:pPr>
              <w:keepNext/>
              <w:keepLines/>
              <w:ind w:left="576" w:hanging="576"/>
              <w:outlineLvl w:val="1"/>
              <w:rPr>
                <w:color w:val="000000"/>
                <w:sz w:val="22"/>
                <w:szCs w:val="22"/>
              </w:rPr>
            </w:pPr>
            <w:r>
              <w:rPr>
                <w:b/>
                <w:color w:val="000000"/>
                <w:sz w:val="22"/>
                <w:szCs w:val="22"/>
              </w:rPr>
              <w:t>1.12.</w:t>
            </w:r>
            <w:r>
              <w:rPr>
                <w:b/>
                <w:color w:val="000000"/>
                <w:sz w:val="22"/>
                <w:szCs w:val="22"/>
              </w:rPr>
              <w:tab/>
            </w:r>
          </w:p>
        </w:tc>
        <w:tc>
          <w:tcPr>
            <w:tcW w:w="2864" w:type="dxa"/>
          </w:tcPr>
          <w:p w14:paraId="3E7917CB" w14:textId="77777777" w:rsidR="001A64C7" w:rsidRDefault="00894D4A">
            <w:pPr>
              <w:rPr>
                <w:sz w:val="22"/>
                <w:szCs w:val="22"/>
              </w:rPr>
            </w:pPr>
            <w:r>
              <w:rPr>
                <w:b/>
                <w:sz w:val="22"/>
                <w:szCs w:val="22"/>
              </w:rPr>
              <w:t>Bendrieji teisės aktai</w:t>
            </w:r>
          </w:p>
        </w:tc>
        <w:tc>
          <w:tcPr>
            <w:tcW w:w="6315" w:type="dxa"/>
            <w:gridSpan w:val="3"/>
          </w:tcPr>
          <w:p w14:paraId="46929678" w14:textId="77777777" w:rsidR="002C1FAC" w:rsidRPr="00EE061A" w:rsidRDefault="0072305E" w:rsidP="0072305E">
            <w:pPr>
              <w:tabs>
                <w:tab w:val="left" w:pos="313"/>
              </w:tabs>
              <w:jc w:val="both"/>
              <w:rPr>
                <w:iCs/>
                <w:sz w:val="22"/>
                <w:szCs w:val="22"/>
              </w:rPr>
            </w:pPr>
            <w:r>
              <w:rPr>
                <w:iCs/>
                <w:sz w:val="22"/>
                <w:szCs w:val="22"/>
              </w:rPr>
              <w:t xml:space="preserve">1. </w:t>
            </w:r>
            <w:r w:rsidR="002C1FAC" w:rsidRPr="00EE061A">
              <w:rPr>
                <w:iCs/>
                <w:sz w:val="22"/>
                <w:szCs w:val="22"/>
              </w:rPr>
              <w:t xml:space="preserve">Lietuvos Respublikos mokslo ir studijų įstatymas; </w:t>
            </w:r>
          </w:p>
          <w:p w14:paraId="00A35DA1" w14:textId="77777777" w:rsidR="002C1FAC" w:rsidRPr="00EE061A" w:rsidRDefault="0072305E" w:rsidP="0072305E">
            <w:pPr>
              <w:tabs>
                <w:tab w:val="left" w:pos="313"/>
              </w:tabs>
              <w:jc w:val="both"/>
              <w:rPr>
                <w:iCs/>
                <w:sz w:val="22"/>
                <w:szCs w:val="22"/>
              </w:rPr>
            </w:pPr>
            <w:r>
              <w:rPr>
                <w:iCs/>
                <w:sz w:val="22"/>
                <w:szCs w:val="22"/>
              </w:rPr>
              <w:t>2.</w:t>
            </w:r>
            <w:r w:rsidR="002C1FAC" w:rsidRPr="00EE061A">
              <w:rPr>
                <w:iCs/>
                <w:sz w:val="22"/>
                <w:szCs w:val="22"/>
              </w:rPr>
              <w:t xml:space="preserve"> Lietuvos Respublikos </w:t>
            </w:r>
            <w:r w:rsidR="002C1FAC" w:rsidRPr="007A1E6A">
              <w:rPr>
                <w:sz w:val="22"/>
                <w:szCs w:val="22"/>
              </w:rPr>
              <w:t>technologijų ir inovacijų įstatymas</w:t>
            </w:r>
            <w:r w:rsidR="002C1FAC" w:rsidRPr="00EE061A">
              <w:rPr>
                <w:iCs/>
                <w:sz w:val="22"/>
                <w:szCs w:val="22"/>
              </w:rPr>
              <w:t>;</w:t>
            </w:r>
          </w:p>
          <w:p w14:paraId="164B8969" w14:textId="77777777" w:rsidR="002C1FAC" w:rsidRPr="00EE061A" w:rsidRDefault="0072305E" w:rsidP="0072305E">
            <w:pPr>
              <w:tabs>
                <w:tab w:val="left" w:pos="313"/>
              </w:tabs>
              <w:jc w:val="both"/>
              <w:rPr>
                <w:iCs/>
                <w:sz w:val="22"/>
                <w:szCs w:val="22"/>
              </w:rPr>
            </w:pPr>
            <w:r>
              <w:rPr>
                <w:iCs/>
                <w:sz w:val="22"/>
                <w:szCs w:val="22"/>
              </w:rPr>
              <w:t>3</w:t>
            </w:r>
            <w:r w:rsidR="002C1FAC" w:rsidRPr="00EE061A">
              <w:rPr>
                <w:iCs/>
                <w:sz w:val="22"/>
                <w:szCs w:val="22"/>
              </w:rPr>
              <w:t>.</w:t>
            </w:r>
            <w:r w:rsidR="002C1FAC" w:rsidRPr="00EE061A">
              <w:rPr>
                <w:iCs/>
                <w:sz w:val="22"/>
                <w:szCs w:val="22"/>
              </w:rPr>
              <w:tab/>
              <w:t>2021 m. vasario 12 d. Europos Parlamento ir Tarybos reglamentas (ES) 2021/241, kuriuo nustatoma ekonomikos gaivinimo ir atsparumo didinimo priemonė;</w:t>
            </w:r>
          </w:p>
          <w:p w14:paraId="6AE34328" w14:textId="77777777" w:rsidR="002C1FAC" w:rsidRPr="00EE061A" w:rsidRDefault="0072305E" w:rsidP="0072305E">
            <w:pPr>
              <w:tabs>
                <w:tab w:val="left" w:pos="313"/>
              </w:tabs>
              <w:jc w:val="both"/>
              <w:rPr>
                <w:iCs/>
                <w:sz w:val="22"/>
                <w:szCs w:val="22"/>
              </w:rPr>
            </w:pPr>
            <w:r>
              <w:rPr>
                <w:iCs/>
                <w:sz w:val="22"/>
                <w:szCs w:val="22"/>
              </w:rPr>
              <w:t>4</w:t>
            </w:r>
            <w:r w:rsidR="002C1FAC" w:rsidRPr="00EE061A">
              <w:rPr>
                <w:iCs/>
                <w:sz w:val="22"/>
                <w:szCs w:val="22"/>
              </w:rPr>
              <w:t>.</w:t>
            </w:r>
            <w:r w:rsidR="002C1FAC" w:rsidRPr="00EE061A">
              <w:rPr>
                <w:iCs/>
                <w:sz w:val="22"/>
                <w:szCs w:val="22"/>
              </w:rPr>
              <w:tab/>
              <w:t>2021 m. liepos 28 d. Tarybos įgyvendinimo sprendimo CM4171/21 dėl Lietuvos ekonomikos gaivinimo ir atsparumo didinimo plano įvertinimo patvirtinimo priedas;</w:t>
            </w:r>
          </w:p>
          <w:p w14:paraId="2B943BD9" w14:textId="77777777" w:rsidR="002C1FAC" w:rsidRPr="00EE061A" w:rsidRDefault="0072305E" w:rsidP="0072305E">
            <w:pPr>
              <w:tabs>
                <w:tab w:val="left" w:pos="313"/>
              </w:tabs>
              <w:jc w:val="both"/>
              <w:rPr>
                <w:iCs/>
                <w:sz w:val="22"/>
                <w:szCs w:val="22"/>
              </w:rPr>
            </w:pPr>
            <w:r>
              <w:rPr>
                <w:iCs/>
                <w:sz w:val="22"/>
                <w:szCs w:val="22"/>
              </w:rPr>
              <w:lastRenderedPageBreak/>
              <w:t>5</w:t>
            </w:r>
            <w:r w:rsidR="002C1FAC" w:rsidRPr="00EE061A">
              <w:rPr>
                <w:iCs/>
                <w:sz w:val="22"/>
                <w:szCs w:val="22"/>
              </w:rPr>
              <w:t>.</w:t>
            </w:r>
            <w:r w:rsidR="002C1FAC" w:rsidRPr="00EE061A">
              <w:rPr>
                <w:iCs/>
                <w:sz w:val="22"/>
                <w:szCs w:val="22"/>
              </w:rPr>
              <w:tab/>
              <w:t>„Naujos kartos Lietuva“ planas, priimtas 2021 m. liepos 28 d. Tarybos įgyvendinimo sprendimu dėl Lietuvos ekonomikos gaivinimo ir atsparumo didinimo plano patvirtinimo;</w:t>
            </w:r>
          </w:p>
          <w:p w14:paraId="70C8BBB0" w14:textId="77777777" w:rsidR="002C1FAC" w:rsidRPr="00EE061A" w:rsidRDefault="0072305E" w:rsidP="0072305E">
            <w:pPr>
              <w:tabs>
                <w:tab w:val="left" w:pos="313"/>
              </w:tabs>
              <w:jc w:val="both"/>
              <w:rPr>
                <w:sz w:val="22"/>
                <w:szCs w:val="22"/>
              </w:rPr>
            </w:pPr>
            <w:r>
              <w:rPr>
                <w:sz w:val="22"/>
                <w:szCs w:val="22"/>
              </w:rPr>
              <w:t>6</w:t>
            </w:r>
            <w:r w:rsidR="002C1FAC" w:rsidRPr="00EE061A">
              <w:rPr>
                <w:sz w:val="22"/>
                <w:szCs w:val="22"/>
              </w:rPr>
              <w:t>.</w:t>
            </w:r>
            <w:r w:rsidR="002C1FAC" w:rsidRPr="00EE061A">
              <w:rPr>
                <w:sz w:val="22"/>
                <w:szCs w:val="22"/>
              </w:rPr>
              <w:tab/>
              <w:t xml:space="preserve"> 2021–2030 m.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w:t>
            </w:r>
          </w:p>
          <w:p w14:paraId="5FD53031" w14:textId="59C2A4CE" w:rsidR="002C1FAC" w:rsidRDefault="0072305E" w:rsidP="0072305E">
            <w:pPr>
              <w:tabs>
                <w:tab w:val="left" w:pos="313"/>
              </w:tabs>
              <w:jc w:val="both"/>
              <w:rPr>
                <w:sz w:val="22"/>
                <w:szCs w:val="22"/>
                <w:shd w:val="clear" w:color="auto" w:fill="FFFFFF"/>
              </w:rPr>
            </w:pPr>
            <w:r>
              <w:rPr>
                <w:iCs/>
                <w:sz w:val="22"/>
                <w:szCs w:val="22"/>
              </w:rPr>
              <w:t>7.</w:t>
            </w:r>
            <w:r w:rsidR="002C1FAC" w:rsidRPr="00EE061A">
              <w:rPr>
                <w:iCs/>
                <w:sz w:val="22"/>
                <w:szCs w:val="22"/>
              </w:rPr>
              <w:tab/>
            </w:r>
            <w:r w:rsidR="0092115C" w:rsidRPr="006321C9">
              <w:rPr>
                <w:color w:val="333333"/>
                <w:sz w:val="22"/>
                <w:szCs w:val="22"/>
                <w:shd w:val="clear" w:color="auto" w:fill="FFFFFF"/>
              </w:rPr>
              <w:t>Projektų administravimo ir finansavimo taisyklės</w:t>
            </w:r>
            <w:r w:rsidR="0092115C" w:rsidRPr="00B90713">
              <w:rPr>
                <w:color w:val="333333"/>
                <w:sz w:val="22"/>
                <w:szCs w:val="22"/>
                <w:shd w:val="clear" w:color="auto" w:fill="FFFFFF"/>
              </w:rPr>
              <w:t xml:space="preserve">, </w:t>
            </w:r>
            <w:r w:rsidR="0092115C" w:rsidRPr="006321C9">
              <w:rPr>
                <w:sz w:val="22"/>
                <w:szCs w:val="22"/>
                <w:shd w:val="clear" w:color="auto" w:fill="FFFFFF"/>
              </w:rPr>
              <w:t>patvirtintos</w:t>
            </w:r>
            <w:r w:rsidR="0092115C" w:rsidRPr="00B90713">
              <w:rPr>
                <w:sz w:val="22"/>
                <w:szCs w:val="22"/>
                <w:shd w:val="clear" w:color="auto" w:fill="FFFFFF"/>
              </w:rPr>
              <w:t xml:space="preserve"> Lietuvos R</w:t>
            </w:r>
            <w:r w:rsidR="0092115C" w:rsidRPr="006321C9">
              <w:rPr>
                <w:sz w:val="22"/>
                <w:szCs w:val="22"/>
                <w:shd w:val="clear" w:color="auto" w:fill="FFFFFF"/>
              </w:rPr>
              <w:t>espublikos finansų ministro 2022 m. birželio 22 d. įsakymu Nr. 1K-237</w:t>
            </w:r>
            <w:r w:rsidR="0092115C" w:rsidRPr="00B90713">
              <w:rPr>
                <w:sz w:val="22"/>
                <w:szCs w:val="22"/>
                <w:shd w:val="clear" w:color="auto" w:fill="FFFFFF"/>
              </w:rPr>
              <w:t xml:space="preserve"> „</w:t>
            </w:r>
            <w:r w:rsidR="0092115C" w:rsidRPr="00B90713">
              <w:rPr>
                <w:color w:val="333333"/>
                <w:sz w:val="22"/>
                <w:szCs w:val="22"/>
                <w:shd w:val="clear" w:color="auto" w:fill="FFFFFF"/>
              </w:rPr>
              <w:t xml:space="preserve">Dėl 2021–2027 metų Europos Sąjungos fondų </w:t>
            </w:r>
            <w:r w:rsidR="0092115C" w:rsidRPr="006321C9">
              <w:rPr>
                <w:color w:val="333333"/>
                <w:sz w:val="22"/>
                <w:szCs w:val="22"/>
                <w:shd w:val="clear" w:color="auto" w:fill="FFFFFF"/>
              </w:rPr>
              <w:t xml:space="preserve">investicijų programos </w:t>
            </w:r>
            <w:r w:rsidR="0092115C" w:rsidRPr="00B90713">
              <w:rPr>
                <w:color w:val="333333"/>
                <w:sz w:val="22"/>
                <w:szCs w:val="22"/>
                <w:shd w:val="clear" w:color="auto" w:fill="FFFFFF"/>
              </w:rPr>
              <w:t>ir ekonomikos gaivinimo ir atsparumo didinimo</w:t>
            </w:r>
            <w:r w:rsidR="0092115C" w:rsidRPr="006321C9">
              <w:rPr>
                <w:color w:val="333333"/>
                <w:sz w:val="22"/>
                <w:szCs w:val="22"/>
                <w:shd w:val="clear" w:color="auto" w:fill="FFFFFF"/>
              </w:rPr>
              <w:t xml:space="preserve"> plano „Naujos kartos Lietuva</w:t>
            </w:r>
            <w:r w:rsidR="0092115C" w:rsidRPr="00B90713">
              <w:rPr>
                <w:sz w:val="22"/>
                <w:szCs w:val="22"/>
                <w:shd w:val="clear" w:color="auto" w:fill="FFFFFF"/>
              </w:rPr>
              <w:t>“</w:t>
            </w:r>
            <w:r w:rsidR="0092115C" w:rsidRPr="006321C9">
              <w:rPr>
                <w:sz w:val="22"/>
                <w:szCs w:val="22"/>
                <w:shd w:val="clear" w:color="auto" w:fill="FFFFFF"/>
              </w:rPr>
              <w:t xml:space="preserve"> įgyvendinimo“;</w:t>
            </w:r>
          </w:p>
          <w:p w14:paraId="10A6BF51" w14:textId="77777777" w:rsidR="001A64C7" w:rsidRPr="002C1FAC" w:rsidRDefault="0072305E" w:rsidP="0072305E">
            <w:pPr>
              <w:tabs>
                <w:tab w:val="left" w:pos="313"/>
              </w:tabs>
              <w:jc w:val="both"/>
              <w:rPr>
                <w:sz w:val="22"/>
                <w:szCs w:val="22"/>
              </w:rPr>
            </w:pPr>
            <w:r>
              <w:rPr>
                <w:sz w:val="22"/>
                <w:szCs w:val="22"/>
                <w:shd w:val="clear" w:color="auto" w:fill="FFFFFF"/>
              </w:rPr>
              <w:t>8</w:t>
            </w:r>
            <w:r w:rsidR="002C1FAC">
              <w:rPr>
                <w:sz w:val="22"/>
                <w:szCs w:val="22"/>
                <w:shd w:val="clear" w:color="auto" w:fill="FFFFFF"/>
              </w:rPr>
              <w:t xml:space="preserve">. </w:t>
            </w:r>
            <w:r w:rsidR="002C1FAC">
              <w:t xml:space="preserve">Strateginio valdymo metodika, patvirtinta </w:t>
            </w:r>
            <w:r w:rsidR="002C1FAC" w:rsidRPr="00EE061A">
              <w:rPr>
                <w:sz w:val="22"/>
                <w:szCs w:val="22"/>
              </w:rPr>
              <w:t xml:space="preserve">Lietuvos Respublikos Vyriausybės 2021 m. </w:t>
            </w:r>
            <w:r w:rsidR="002C1FAC">
              <w:rPr>
                <w:sz w:val="22"/>
                <w:szCs w:val="22"/>
              </w:rPr>
              <w:t>balandžio</w:t>
            </w:r>
            <w:r w:rsidR="002C1FAC" w:rsidRPr="00EE061A">
              <w:rPr>
                <w:sz w:val="22"/>
                <w:szCs w:val="22"/>
              </w:rPr>
              <w:t xml:space="preserve"> </w:t>
            </w:r>
            <w:r w:rsidR="002C1FAC">
              <w:rPr>
                <w:sz w:val="22"/>
                <w:szCs w:val="22"/>
              </w:rPr>
              <w:t>28</w:t>
            </w:r>
            <w:r w:rsidR="002C1FAC" w:rsidRPr="00EE061A">
              <w:rPr>
                <w:sz w:val="22"/>
                <w:szCs w:val="22"/>
              </w:rPr>
              <w:t xml:space="preserve"> d. nutarimu Nr. </w:t>
            </w:r>
            <w:r w:rsidR="002C1FAC">
              <w:rPr>
                <w:sz w:val="22"/>
                <w:szCs w:val="22"/>
              </w:rPr>
              <w:t>292 ,,D</w:t>
            </w:r>
            <w:r w:rsidR="002C1FAC" w:rsidRPr="00D11AD8">
              <w:rPr>
                <w:sz w:val="22"/>
                <w:szCs w:val="22"/>
              </w:rPr>
              <w:t xml:space="preserve">ėl </w:t>
            </w:r>
            <w:r w:rsidR="002C1FAC">
              <w:rPr>
                <w:sz w:val="22"/>
                <w:szCs w:val="22"/>
              </w:rPr>
              <w:t>L</w:t>
            </w:r>
            <w:r w:rsidR="002C1FAC" w:rsidRPr="00D11AD8">
              <w:rPr>
                <w:sz w:val="22"/>
                <w:szCs w:val="22"/>
              </w:rPr>
              <w:t xml:space="preserve">ietuvos </w:t>
            </w:r>
            <w:r w:rsidR="002C1FAC">
              <w:rPr>
                <w:sz w:val="22"/>
                <w:szCs w:val="22"/>
              </w:rPr>
              <w:t>R</w:t>
            </w:r>
            <w:r w:rsidR="002C1FAC" w:rsidRPr="00D11AD8">
              <w:rPr>
                <w:sz w:val="22"/>
                <w:szCs w:val="22"/>
              </w:rPr>
              <w:t xml:space="preserve">espublikos strateginio valdymo įstatymo, </w:t>
            </w:r>
            <w:r w:rsidR="002C1FAC">
              <w:rPr>
                <w:sz w:val="22"/>
                <w:szCs w:val="22"/>
              </w:rPr>
              <w:t>L</w:t>
            </w:r>
            <w:r w:rsidR="002C1FAC" w:rsidRPr="00D11AD8">
              <w:rPr>
                <w:sz w:val="22"/>
                <w:szCs w:val="22"/>
              </w:rPr>
              <w:t xml:space="preserve">ietuvos </w:t>
            </w:r>
            <w:r w:rsidR="002C1FAC">
              <w:rPr>
                <w:sz w:val="22"/>
                <w:szCs w:val="22"/>
              </w:rPr>
              <w:t>R</w:t>
            </w:r>
            <w:r w:rsidR="002C1FAC" w:rsidRPr="00D11AD8">
              <w:rPr>
                <w:sz w:val="22"/>
                <w:szCs w:val="22"/>
              </w:rPr>
              <w:t>espublikos regioninės plėtros įstatymo 4 straipsnio 3 ir 5 dalių, 7 straipsnio 1 ir 4 dalių ir</w:t>
            </w:r>
            <w:r w:rsidR="002C1FAC" w:rsidRPr="00DB372A">
              <w:rPr>
                <w:sz w:val="22"/>
                <w:szCs w:val="22"/>
              </w:rPr>
              <w:t xml:space="preserve"> </w:t>
            </w:r>
            <w:r w:rsidR="002C1FAC">
              <w:rPr>
                <w:sz w:val="22"/>
                <w:szCs w:val="22"/>
              </w:rPr>
              <w:t>L</w:t>
            </w:r>
            <w:r w:rsidR="002C1FAC" w:rsidRPr="00D11AD8">
              <w:rPr>
                <w:sz w:val="22"/>
                <w:szCs w:val="22"/>
              </w:rPr>
              <w:t xml:space="preserve">ietuvos </w:t>
            </w:r>
            <w:r w:rsidR="002C1FAC">
              <w:rPr>
                <w:sz w:val="22"/>
                <w:szCs w:val="22"/>
              </w:rPr>
              <w:t>R</w:t>
            </w:r>
            <w:r w:rsidR="002C1FAC" w:rsidRPr="00D11AD8">
              <w:rPr>
                <w:sz w:val="22"/>
                <w:szCs w:val="22"/>
              </w:rPr>
              <w:t>espublikos biudžeto sandaros įstatymo 14</w:t>
            </w:r>
            <w:r w:rsidR="002C1FAC" w:rsidRPr="00D11AD8">
              <w:rPr>
                <w:sz w:val="22"/>
                <w:szCs w:val="22"/>
                <w:vertAlign w:val="superscript"/>
              </w:rPr>
              <w:t>1</w:t>
            </w:r>
            <w:r w:rsidR="002C1FAC" w:rsidRPr="00D11AD8">
              <w:rPr>
                <w:sz w:val="22"/>
                <w:szCs w:val="22"/>
              </w:rPr>
              <w:t> straipsnio 3 dalies įgyvendinimo</w:t>
            </w:r>
            <w:r w:rsidR="002C1FAC">
              <w:rPr>
                <w:sz w:val="22"/>
                <w:szCs w:val="22"/>
              </w:rPr>
              <w:t>“.</w:t>
            </w:r>
          </w:p>
        </w:tc>
      </w:tr>
      <w:tr w:rsidR="001A64C7" w14:paraId="3E39E5B1" w14:textId="77777777" w:rsidTr="00F8368A">
        <w:tc>
          <w:tcPr>
            <w:tcW w:w="675" w:type="dxa"/>
          </w:tcPr>
          <w:p w14:paraId="50475757" w14:textId="77777777" w:rsidR="001A64C7" w:rsidRDefault="001A64C7">
            <w:pPr>
              <w:rPr>
                <w:sz w:val="4"/>
                <w:szCs w:val="4"/>
              </w:rPr>
            </w:pPr>
          </w:p>
          <w:p w14:paraId="5BEE9419" w14:textId="77777777" w:rsidR="001A64C7" w:rsidRDefault="00894D4A">
            <w:pPr>
              <w:keepNext/>
              <w:keepLines/>
              <w:ind w:left="576" w:hanging="576"/>
              <w:outlineLvl w:val="1"/>
              <w:rPr>
                <w:color w:val="000000"/>
                <w:sz w:val="22"/>
                <w:szCs w:val="22"/>
              </w:rPr>
            </w:pPr>
            <w:r>
              <w:rPr>
                <w:b/>
                <w:color w:val="000000"/>
                <w:sz w:val="22"/>
                <w:szCs w:val="22"/>
              </w:rPr>
              <w:t>1.13.</w:t>
            </w:r>
            <w:r>
              <w:rPr>
                <w:b/>
                <w:color w:val="000000"/>
                <w:sz w:val="22"/>
                <w:szCs w:val="22"/>
              </w:rPr>
              <w:tab/>
            </w:r>
          </w:p>
        </w:tc>
        <w:tc>
          <w:tcPr>
            <w:tcW w:w="2864" w:type="dxa"/>
          </w:tcPr>
          <w:p w14:paraId="6AB467B5" w14:textId="77777777" w:rsidR="001A64C7" w:rsidRDefault="00894D4A">
            <w:pPr>
              <w:rPr>
                <w:sz w:val="22"/>
                <w:szCs w:val="22"/>
              </w:rPr>
            </w:pPr>
            <w:r>
              <w:rPr>
                <w:b/>
                <w:sz w:val="22"/>
                <w:szCs w:val="22"/>
              </w:rPr>
              <w:t>Specialieji teisės aktai</w:t>
            </w:r>
          </w:p>
        </w:tc>
        <w:tc>
          <w:tcPr>
            <w:tcW w:w="6315" w:type="dxa"/>
            <w:gridSpan w:val="3"/>
          </w:tcPr>
          <w:p w14:paraId="25FB88C9" w14:textId="77777777" w:rsidR="002C1FAC" w:rsidRPr="002C1FAC" w:rsidRDefault="002C1FAC" w:rsidP="002C1FAC">
            <w:pPr>
              <w:pStyle w:val="ListParagraph"/>
              <w:numPr>
                <w:ilvl w:val="0"/>
                <w:numId w:val="1"/>
              </w:numPr>
              <w:tabs>
                <w:tab w:val="left" w:pos="313"/>
              </w:tabs>
              <w:ind w:left="29" w:firstLine="0"/>
              <w:jc w:val="both"/>
              <w:rPr>
                <w:iCs/>
                <w:sz w:val="22"/>
                <w:szCs w:val="22"/>
              </w:rPr>
            </w:pPr>
            <w:r w:rsidRPr="002C1FAC">
              <w:rPr>
                <w:sz w:val="22"/>
                <w:szCs w:val="22"/>
              </w:rPr>
              <w:t xml:space="preserve">Lietuvos Respublikos Vyriausybės 2022 m. kovo 23 d. nutarimas Nr. 256 ,,Dėl Lietuvos Respublikos Vyriausybės </w:t>
            </w:r>
            <w:r w:rsidRPr="002C1FAC">
              <w:rPr>
                <w:bCs/>
                <w:sz w:val="22"/>
                <w:szCs w:val="22"/>
              </w:rPr>
              <w:t xml:space="preserve">2017 m. kovo 1 d. </w:t>
            </w:r>
            <w:r w:rsidRPr="002C1FAC">
              <w:rPr>
                <w:sz w:val="22"/>
                <w:szCs w:val="22"/>
              </w:rPr>
              <w:t>nutarimo Nr. 149 ,,Dėl Lietuvos Respublikos Vyriausybės 2017 m. kovo 1 d. nutarimo Nr. 149 „Dėl Lietuvos Respublikos mokslo ir studijų įstatymo įgyvendinimo“ pakeitimo“;</w:t>
            </w:r>
          </w:p>
          <w:p w14:paraId="3DBB4E6D" w14:textId="77777777" w:rsidR="002C1FAC" w:rsidRPr="002C1FAC" w:rsidRDefault="002C1FAC" w:rsidP="002C1FAC">
            <w:pPr>
              <w:pStyle w:val="ListParagraph"/>
              <w:numPr>
                <w:ilvl w:val="0"/>
                <w:numId w:val="1"/>
              </w:numPr>
              <w:tabs>
                <w:tab w:val="left" w:pos="313"/>
              </w:tabs>
              <w:ind w:left="29" w:firstLine="0"/>
              <w:jc w:val="both"/>
              <w:rPr>
                <w:iCs/>
                <w:sz w:val="22"/>
                <w:szCs w:val="22"/>
              </w:rPr>
            </w:pPr>
            <w:r w:rsidRPr="002C1FAC">
              <w:rPr>
                <w:sz w:val="22"/>
                <w:szCs w:val="22"/>
              </w:rPr>
              <w:t xml:space="preserve">Lietuvos Respublikos Vyriausybės 2022 m. kovo 23 d. nutarimas Nr. 255 ,,Dėl Lietuvos Respublikos Vyriausybės </w:t>
            </w:r>
            <w:r w:rsidRPr="002C1FAC">
              <w:rPr>
                <w:bCs/>
                <w:sz w:val="22"/>
                <w:szCs w:val="22"/>
              </w:rPr>
              <w:t xml:space="preserve">2010 m. spalio 20 d. </w:t>
            </w:r>
            <w:r w:rsidRPr="002C1FAC">
              <w:rPr>
                <w:sz w:val="22"/>
                <w:szCs w:val="22"/>
              </w:rPr>
              <w:t>nutarimo Nr. 1517 ,,Dėl įstaigų prie ministerijų“ pakeitimo“</w:t>
            </w:r>
            <w:r>
              <w:rPr>
                <w:sz w:val="22"/>
                <w:szCs w:val="22"/>
              </w:rPr>
              <w:t>;</w:t>
            </w:r>
          </w:p>
          <w:p w14:paraId="55BC8968" w14:textId="77777777" w:rsidR="002C1FAC" w:rsidRPr="002C1FAC" w:rsidRDefault="002C1FAC" w:rsidP="002C1FAC">
            <w:pPr>
              <w:pStyle w:val="ListParagraph"/>
              <w:numPr>
                <w:ilvl w:val="0"/>
                <w:numId w:val="1"/>
              </w:numPr>
              <w:tabs>
                <w:tab w:val="left" w:pos="313"/>
              </w:tabs>
              <w:ind w:left="29" w:firstLine="0"/>
              <w:jc w:val="both"/>
              <w:rPr>
                <w:iCs/>
                <w:sz w:val="22"/>
                <w:szCs w:val="22"/>
              </w:rPr>
            </w:pPr>
            <w:r w:rsidRPr="002C1FAC">
              <w:rPr>
                <w:sz w:val="22"/>
                <w:szCs w:val="22"/>
              </w:rPr>
              <w:t xml:space="preserve">Lietuvos Respublikos Vyriausybės 2022 m. gegužės18 d. nutarimas Nr. 513 ,,Dėl </w:t>
            </w:r>
            <w:r w:rsidRPr="002C1FAC">
              <w:rPr>
                <w:rFonts w:eastAsia="Arial"/>
                <w:sz w:val="22"/>
                <w:szCs w:val="22"/>
                <w:lang w:val="lt" w:eastAsia="lt-LT"/>
              </w:rPr>
              <w:t>sutikimo reorganizuoti Mokslo, inovacijų ir technologijų agentūrą</w:t>
            </w:r>
            <w:r>
              <w:rPr>
                <w:sz w:val="22"/>
                <w:szCs w:val="22"/>
              </w:rPr>
              <w:t>“;</w:t>
            </w:r>
          </w:p>
          <w:p w14:paraId="3CF04481" w14:textId="77777777" w:rsidR="002C1FAC" w:rsidRPr="002C1FAC" w:rsidRDefault="002C1FAC" w:rsidP="002C1FAC">
            <w:pPr>
              <w:pStyle w:val="ListParagraph"/>
              <w:numPr>
                <w:ilvl w:val="0"/>
                <w:numId w:val="1"/>
              </w:numPr>
              <w:tabs>
                <w:tab w:val="left" w:pos="313"/>
              </w:tabs>
              <w:ind w:left="29" w:firstLine="0"/>
              <w:jc w:val="both"/>
              <w:rPr>
                <w:iCs/>
                <w:sz w:val="22"/>
                <w:szCs w:val="22"/>
              </w:rPr>
            </w:pPr>
            <w:r w:rsidRPr="002C1FAC">
              <w:rPr>
                <w:sz w:val="22"/>
                <w:szCs w:val="22"/>
              </w:rPr>
              <w:t>Lietuvos Respublikos Vyriausybės 2022 m. balandžio 20 d. nutarimas Nr. 375 ,,Dėl Lietuvos mokslo tarybos nuostatų pavirtinimo“</w:t>
            </w:r>
            <w:r>
              <w:rPr>
                <w:sz w:val="22"/>
                <w:szCs w:val="22"/>
              </w:rPr>
              <w:t>;</w:t>
            </w:r>
          </w:p>
          <w:p w14:paraId="6880EE04" w14:textId="77777777" w:rsidR="002C1FAC" w:rsidRPr="002C1FAC" w:rsidRDefault="002C1FAC" w:rsidP="002C1FAC">
            <w:pPr>
              <w:pStyle w:val="ListParagraph"/>
              <w:numPr>
                <w:ilvl w:val="0"/>
                <w:numId w:val="1"/>
              </w:numPr>
              <w:tabs>
                <w:tab w:val="left" w:pos="313"/>
              </w:tabs>
              <w:ind w:left="29" w:firstLine="0"/>
              <w:jc w:val="both"/>
              <w:rPr>
                <w:iCs/>
                <w:sz w:val="22"/>
                <w:szCs w:val="22"/>
              </w:rPr>
            </w:pPr>
            <w:r w:rsidRPr="002C1FAC">
              <w:rPr>
                <w:sz w:val="22"/>
                <w:szCs w:val="22"/>
              </w:rPr>
              <w:t>Lietuvos Respublikos Vyriausybės 2022 m. kovo 23 d. posėdžio protokolo Nr. 18 8 p.</w:t>
            </w:r>
          </w:p>
          <w:p w14:paraId="3537F189" w14:textId="77777777" w:rsidR="001A64C7" w:rsidRDefault="001A64C7">
            <w:pPr>
              <w:jc w:val="both"/>
              <w:rPr>
                <w:i/>
                <w:iCs/>
                <w:color w:val="808080"/>
                <w:sz w:val="22"/>
                <w:szCs w:val="22"/>
              </w:rPr>
            </w:pPr>
          </w:p>
        </w:tc>
      </w:tr>
      <w:tr w:rsidR="001A64C7" w14:paraId="695CC325" w14:textId="77777777" w:rsidTr="00F8368A">
        <w:trPr>
          <w:trHeight w:val="517"/>
        </w:trPr>
        <w:tc>
          <w:tcPr>
            <w:tcW w:w="9854" w:type="dxa"/>
            <w:gridSpan w:val="5"/>
          </w:tcPr>
          <w:p w14:paraId="41D37C85" w14:textId="28EA03A7" w:rsidR="001A64C7" w:rsidRPr="00F8368A" w:rsidRDefault="00894D4A" w:rsidP="00F8368A">
            <w:pPr>
              <w:keepNext/>
              <w:keepLines/>
              <w:spacing w:before="60"/>
              <w:ind w:left="431" w:hanging="431"/>
              <w:rPr>
                <w:b/>
                <w:color w:val="000000"/>
                <w:szCs w:val="32"/>
                <w:lang w:eastAsia="lt-LT"/>
              </w:rPr>
            </w:pPr>
            <w:r>
              <w:rPr>
                <w:b/>
                <w:color w:val="000000"/>
                <w:szCs w:val="32"/>
                <w:lang w:eastAsia="lt-LT"/>
              </w:rPr>
              <w:t>2.</w:t>
            </w:r>
            <w:r>
              <w:rPr>
                <w:b/>
                <w:color w:val="000000"/>
                <w:szCs w:val="32"/>
                <w:lang w:eastAsia="lt-LT"/>
              </w:rPr>
              <w:tab/>
              <w:t>Informacija apie projektų įgyvendinimo planų teikimą</w:t>
            </w:r>
          </w:p>
        </w:tc>
      </w:tr>
      <w:tr w:rsidR="001A64C7" w14:paraId="76DAA297" w14:textId="77777777" w:rsidTr="00F8368A">
        <w:tc>
          <w:tcPr>
            <w:tcW w:w="675" w:type="dxa"/>
          </w:tcPr>
          <w:p w14:paraId="26B75190" w14:textId="77777777" w:rsidR="001A64C7" w:rsidRDefault="00894D4A" w:rsidP="00FA775D">
            <w:pPr>
              <w:keepNext/>
              <w:keepLines/>
              <w:outlineLvl w:val="1"/>
              <w:rPr>
                <w:color w:val="2E74B5"/>
                <w:sz w:val="26"/>
                <w:szCs w:val="26"/>
              </w:rPr>
            </w:pPr>
            <w:r>
              <w:rPr>
                <w:b/>
                <w:color w:val="000000"/>
                <w:sz w:val="22"/>
                <w:szCs w:val="22"/>
              </w:rPr>
              <w:t>2.1.</w:t>
            </w:r>
            <w:r>
              <w:rPr>
                <w:b/>
                <w:color w:val="000000"/>
                <w:sz w:val="22"/>
                <w:szCs w:val="22"/>
              </w:rPr>
              <w:tab/>
            </w:r>
          </w:p>
        </w:tc>
        <w:tc>
          <w:tcPr>
            <w:tcW w:w="2864" w:type="dxa"/>
          </w:tcPr>
          <w:p w14:paraId="61C0C319" w14:textId="77777777" w:rsidR="001A64C7" w:rsidRDefault="00894D4A">
            <w:pPr>
              <w:jc w:val="both"/>
              <w:rPr>
                <w:b/>
                <w:sz w:val="22"/>
                <w:szCs w:val="22"/>
              </w:rPr>
            </w:pPr>
            <w:r>
              <w:rPr>
                <w:b/>
                <w:sz w:val="22"/>
                <w:szCs w:val="22"/>
              </w:rPr>
              <w:t>Atsakinga ministerija</w:t>
            </w:r>
          </w:p>
        </w:tc>
        <w:tc>
          <w:tcPr>
            <w:tcW w:w="6315" w:type="dxa"/>
            <w:gridSpan w:val="3"/>
          </w:tcPr>
          <w:p w14:paraId="3B09825B" w14:textId="77777777" w:rsidR="001A64C7" w:rsidRPr="00FA775D" w:rsidRDefault="002836E0">
            <w:pPr>
              <w:jc w:val="both"/>
              <w:rPr>
                <w:bCs/>
                <w:sz w:val="22"/>
                <w:szCs w:val="22"/>
              </w:rPr>
            </w:pPr>
            <w:r w:rsidRPr="007572F4">
              <w:rPr>
                <w:bCs/>
                <w:sz w:val="22"/>
                <w:szCs w:val="22"/>
              </w:rPr>
              <w:t>Lietuvos respublikos švietimo, mokslo ir sporto ministerija (Ministerija)</w:t>
            </w:r>
          </w:p>
        </w:tc>
      </w:tr>
      <w:tr w:rsidR="001A64C7" w14:paraId="723C975D" w14:textId="77777777" w:rsidTr="00F8368A">
        <w:tc>
          <w:tcPr>
            <w:tcW w:w="675" w:type="dxa"/>
          </w:tcPr>
          <w:p w14:paraId="3C9C6A46" w14:textId="77777777" w:rsidR="001A64C7" w:rsidRDefault="00894D4A" w:rsidP="00FA775D">
            <w:pPr>
              <w:keepNext/>
              <w:keepLines/>
              <w:outlineLvl w:val="1"/>
              <w:rPr>
                <w:color w:val="2E74B5"/>
                <w:sz w:val="26"/>
                <w:szCs w:val="26"/>
              </w:rPr>
            </w:pPr>
            <w:r>
              <w:rPr>
                <w:b/>
                <w:color w:val="000000"/>
                <w:sz w:val="22"/>
                <w:szCs w:val="22"/>
              </w:rPr>
              <w:t>2.2.</w:t>
            </w:r>
            <w:r>
              <w:rPr>
                <w:b/>
                <w:color w:val="000000"/>
                <w:sz w:val="22"/>
                <w:szCs w:val="22"/>
              </w:rPr>
              <w:tab/>
            </w:r>
          </w:p>
        </w:tc>
        <w:tc>
          <w:tcPr>
            <w:tcW w:w="2864" w:type="dxa"/>
          </w:tcPr>
          <w:p w14:paraId="57A5DD2A" w14:textId="77777777" w:rsidR="001A64C7" w:rsidRDefault="00894D4A">
            <w:pPr>
              <w:jc w:val="both"/>
              <w:rPr>
                <w:b/>
                <w:sz w:val="22"/>
                <w:szCs w:val="22"/>
              </w:rPr>
            </w:pPr>
            <w:r>
              <w:rPr>
                <w:b/>
                <w:sz w:val="22"/>
                <w:szCs w:val="22"/>
              </w:rPr>
              <w:t>Administruojančioji institucija</w:t>
            </w:r>
          </w:p>
        </w:tc>
        <w:tc>
          <w:tcPr>
            <w:tcW w:w="6315" w:type="dxa"/>
            <w:gridSpan w:val="3"/>
          </w:tcPr>
          <w:p w14:paraId="11227704" w14:textId="77777777" w:rsidR="001A64C7" w:rsidRPr="002836E0" w:rsidRDefault="002836E0">
            <w:pPr>
              <w:jc w:val="both"/>
              <w:rPr>
                <w:bCs/>
                <w:sz w:val="22"/>
                <w:szCs w:val="22"/>
              </w:rPr>
            </w:pPr>
            <w:r w:rsidRPr="007572F4">
              <w:rPr>
                <w:bCs/>
                <w:sz w:val="22"/>
                <w:szCs w:val="22"/>
              </w:rPr>
              <w:t>Viešoji įstaiga Centrinė projektų valdymo agentūra.</w:t>
            </w:r>
          </w:p>
        </w:tc>
      </w:tr>
      <w:tr w:rsidR="001A64C7" w14:paraId="53864E4E" w14:textId="77777777" w:rsidTr="00F8368A">
        <w:tc>
          <w:tcPr>
            <w:tcW w:w="675" w:type="dxa"/>
          </w:tcPr>
          <w:p w14:paraId="1987AC7F" w14:textId="77777777" w:rsidR="001A64C7" w:rsidRDefault="001A64C7">
            <w:pPr>
              <w:rPr>
                <w:sz w:val="4"/>
                <w:szCs w:val="4"/>
              </w:rPr>
            </w:pPr>
          </w:p>
          <w:p w14:paraId="04F13239" w14:textId="77777777" w:rsidR="001A64C7" w:rsidRDefault="00894D4A">
            <w:pPr>
              <w:keepNext/>
              <w:keepLines/>
              <w:ind w:left="576" w:hanging="576"/>
              <w:outlineLvl w:val="1"/>
              <w:rPr>
                <w:color w:val="2E74B5"/>
                <w:sz w:val="26"/>
                <w:szCs w:val="26"/>
              </w:rPr>
            </w:pPr>
            <w:r>
              <w:rPr>
                <w:b/>
                <w:color w:val="000000"/>
                <w:sz w:val="22"/>
                <w:szCs w:val="22"/>
              </w:rPr>
              <w:t>2.3.</w:t>
            </w:r>
            <w:r>
              <w:rPr>
                <w:b/>
                <w:color w:val="000000"/>
                <w:sz w:val="22"/>
                <w:szCs w:val="22"/>
              </w:rPr>
              <w:tab/>
            </w:r>
          </w:p>
        </w:tc>
        <w:tc>
          <w:tcPr>
            <w:tcW w:w="2864" w:type="dxa"/>
          </w:tcPr>
          <w:p w14:paraId="34205D05" w14:textId="77777777" w:rsidR="001A64C7" w:rsidRDefault="00894D4A">
            <w:pPr>
              <w:jc w:val="both"/>
              <w:rPr>
                <w:b/>
                <w:sz w:val="22"/>
                <w:szCs w:val="22"/>
              </w:rPr>
            </w:pPr>
            <w:r>
              <w:rPr>
                <w:b/>
                <w:sz w:val="22"/>
                <w:szCs w:val="22"/>
              </w:rPr>
              <w:t>Projektų įgyvendinimo planų pateikimo terminas</w:t>
            </w:r>
          </w:p>
        </w:tc>
        <w:tc>
          <w:tcPr>
            <w:tcW w:w="3002" w:type="dxa"/>
            <w:gridSpan w:val="2"/>
          </w:tcPr>
          <w:p w14:paraId="589D5804" w14:textId="77777777" w:rsidR="001A64C7" w:rsidRPr="002836E0" w:rsidRDefault="00894D4A" w:rsidP="002836E0">
            <w:pPr>
              <w:jc w:val="both"/>
              <w:rPr>
                <w:bCs/>
                <w:sz w:val="22"/>
                <w:szCs w:val="22"/>
              </w:rPr>
            </w:pPr>
            <w:r w:rsidRPr="002836E0">
              <w:rPr>
                <w:bCs/>
                <w:sz w:val="22"/>
                <w:szCs w:val="22"/>
              </w:rPr>
              <w:t>Nuo</w:t>
            </w:r>
            <w:r w:rsidR="002836E0" w:rsidRPr="002836E0">
              <w:rPr>
                <w:bCs/>
                <w:sz w:val="22"/>
                <w:szCs w:val="22"/>
              </w:rPr>
              <w:t xml:space="preserve"> 2022-07-19</w:t>
            </w:r>
            <w:r w:rsidRPr="002836E0">
              <w:rPr>
                <w:bCs/>
                <w:sz w:val="22"/>
                <w:szCs w:val="22"/>
              </w:rPr>
              <w:t xml:space="preserve"> </w:t>
            </w:r>
          </w:p>
        </w:tc>
        <w:tc>
          <w:tcPr>
            <w:tcW w:w="3313" w:type="dxa"/>
          </w:tcPr>
          <w:p w14:paraId="27466B12" w14:textId="77777777" w:rsidR="001A64C7" w:rsidRPr="002836E0" w:rsidRDefault="00894D4A" w:rsidP="002836E0">
            <w:pPr>
              <w:jc w:val="both"/>
              <w:rPr>
                <w:bCs/>
                <w:sz w:val="22"/>
                <w:szCs w:val="22"/>
              </w:rPr>
            </w:pPr>
            <w:r w:rsidRPr="002836E0">
              <w:rPr>
                <w:bCs/>
                <w:sz w:val="22"/>
                <w:szCs w:val="22"/>
              </w:rPr>
              <w:t xml:space="preserve">Iki </w:t>
            </w:r>
            <w:r w:rsidR="002836E0" w:rsidRPr="002836E0">
              <w:rPr>
                <w:bCs/>
                <w:sz w:val="22"/>
                <w:szCs w:val="22"/>
              </w:rPr>
              <w:t>2022-09-05</w:t>
            </w:r>
          </w:p>
        </w:tc>
      </w:tr>
      <w:tr w:rsidR="001A64C7" w14:paraId="152418CB" w14:textId="77777777" w:rsidTr="00F8368A">
        <w:tc>
          <w:tcPr>
            <w:tcW w:w="675" w:type="dxa"/>
          </w:tcPr>
          <w:p w14:paraId="6276EC16" w14:textId="77777777" w:rsidR="001A64C7" w:rsidRDefault="001A64C7">
            <w:pPr>
              <w:rPr>
                <w:sz w:val="4"/>
                <w:szCs w:val="4"/>
              </w:rPr>
            </w:pPr>
          </w:p>
          <w:p w14:paraId="074BFB76" w14:textId="77777777" w:rsidR="001A64C7" w:rsidRDefault="00894D4A">
            <w:pPr>
              <w:keepNext/>
              <w:keepLines/>
              <w:ind w:left="576" w:hanging="576"/>
              <w:outlineLvl w:val="1"/>
              <w:rPr>
                <w:color w:val="2E74B5"/>
                <w:sz w:val="26"/>
                <w:szCs w:val="26"/>
              </w:rPr>
            </w:pPr>
            <w:r>
              <w:rPr>
                <w:b/>
                <w:color w:val="000000"/>
                <w:sz w:val="22"/>
                <w:szCs w:val="22"/>
              </w:rPr>
              <w:t>2.4.</w:t>
            </w:r>
            <w:r>
              <w:rPr>
                <w:b/>
                <w:color w:val="000000"/>
                <w:sz w:val="22"/>
                <w:szCs w:val="22"/>
              </w:rPr>
              <w:tab/>
            </w:r>
          </w:p>
        </w:tc>
        <w:tc>
          <w:tcPr>
            <w:tcW w:w="2864" w:type="dxa"/>
          </w:tcPr>
          <w:p w14:paraId="08FA8DD3" w14:textId="77777777" w:rsidR="001A64C7" w:rsidRDefault="00894D4A">
            <w:pPr>
              <w:jc w:val="both"/>
              <w:rPr>
                <w:b/>
                <w:sz w:val="22"/>
                <w:szCs w:val="22"/>
              </w:rPr>
            </w:pPr>
            <w:r>
              <w:rPr>
                <w:b/>
                <w:sz w:val="22"/>
                <w:szCs w:val="22"/>
              </w:rPr>
              <w:t>Projektų įgyvendinimo planų rengimo ir teikimo tvarka</w:t>
            </w:r>
          </w:p>
        </w:tc>
        <w:tc>
          <w:tcPr>
            <w:tcW w:w="6315" w:type="dxa"/>
            <w:gridSpan w:val="3"/>
          </w:tcPr>
          <w:p w14:paraId="0F1F94B9" w14:textId="213B2712" w:rsidR="002C2FCA" w:rsidRPr="007572F4" w:rsidRDefault="002C2FCA" w:rsidP="002C2FCA">
            <w:pPr>
              <w:jc w:val="both"/>
              <w:rPr>
                <w:iCs/>
                <w:sz w:val="22"/>
                <w:szCs w:val="22"/>
              </w:rPr>
            </w:pPr>
            <w:r w:rsidRPr="007572F4">
              <w:rPr>
                <w:iCs/>
                <w:sz w:val="22"/>
                <w:szCs w:val="22"/>
              </w:rPr>
              <w:t xml:space="preserve">Projekto įgyvendinimo planas turi būti parengtas pagal </w:t>
            </w:r>
            <w:r w:rsidR="0092115C">
              <w:rPr>
                <w:iCs/>
                <w:sz w:val="22"/>
                <w:szCs w:val="22"/>
              </w:rPr>
              <w:t>PAFT 1</w:t>
            </w:r>
            <w:r w:rsidRPr="007519AC">
              <w:rPr>
                <w:iCs/>
                <w:sz w:val="22"/>
                <w:szCs w:val="22"/>
              </w:rPr>
              <w:t>priedo</w:t>
            </w:r>
            <w:r w:rsidRPr="007572F4">
              <w:rPr>
                <w:iCs/>
                <w:sz w:val="22"/>
                <w:szCs w:val="22"/>
              </w:rPr>
              <w:t xml:space="preserve"> formą (Kvietimo priedas PĮP forma).</w:t>
            </w:r>
          </w:p>
          <w:p w14:paraId="4999321B" w14:textId="77777777" w:rsidR="001A64C7" w:rsidRDefault="002C2FCA" w:rsidP="002C2FCA">
            <w:pPr>
              <w:spacing w:line="259" w:lineRule="auto"/>
              <w:jc w:val="both"/>
              <w:rPr>
                <w:i/>
                <w:sz w:val="22"/>
                <w:szCs w:val="22"/>
              </w:rPr>
            </w:pPr>
            <w:bookmarkStart w:id="1" w:name="_Hlk97040275"/>
            <w:bookmarkStart w:id="2" w:name="_Hlk97040444"/>
            <w:r w:rsidRPr="007572F4">
              <w:rPr>
                <w:iCs/>
                <w:sz w:val="22"/>
                <w:szCs w:val="22"/>
              </w:rPr>
              <w:t xml:space="preserve">Parengtas projekto įgyvendinimo planas (su visais privalomais priedais) pasirašomas kvalifikuotu elektroniniu parašu ir teikiamas </w:t>
            </w:r>
            <w:bookmarkEnd w:id="1"/>
            <w:r w:rsidRPr="007572F4">
              <w:rPr>
                <w:iCs/>
                <w:sz w:val="22"/>
                <w:szCs w:val="22"/>
              </w:rPr>
              <w:t>e</w:t>
            </w:r>
            <w:r w:rsidRPr="007572F4">
              <w:rPr>
                <w:color w:val="000000"/>
                <w:sz w:val="22"/>
                <w:szCs w:val="22"/>
              </w:rPr>
              <w:t xml:space="preserve">l. paštu </w:t>
            </w:r>
            <w:hyperlink r:id="rId11" w:history="1">
              <w:r w:rsidRPr="007572F4">
                <w:rPr>
                  <w:rStyle w:val="Hyperlink"/>
                  <w:sz w:val="22"/>
                  <w:szCs w:val="22"/>
                </w:rPr>
                <w:t>info@cpva.lt</w:t>
              </w:r>
            </w:hyperlink>
            <w:r w:rsidRPr="007572F4">
              <w:rPr>
                <w:color w:val="000000"/>
                <w:sz w:val="22"/>
                <w:szCs w:val="22"/>
              </w:rPr>
              <w:t>.</w:t>
            </w:r>
            <w:bookmarkEnd w:id="2"/>
          </w:p>
        </w:tc>
      </w:tr>
      <w:tr w:rsidR="001A64C7" w14:paraId="34CC3C45" w14:textId="77777777" w:rsidTr="00F8368A">
        <w:tc>
          <w:tcPr>
            <w:tcW w:w="675" w:type="dxa"/>
          </w:tcPr>
          <w:p w14:paraId="24D7D533" w14:textId="77777777" w:rsidR="001A64C7" w:rsidRDefault="001A64C7">
            <w:pPr>
              <w:rPr>
                <w:sz w:val="4"/>
                <w:szCs w:val="4"/>
              </w:rPr>
            </w:pPr>
          </w:p>
          <w:p w14:paraId="071ADAE0" w14:textId="77777777" w:rsidR="001A64C7" w:rsidRDefault="00894D4A">
            <w:pPr>
              <w:keepNext/>
              <w:keepLines/>
              <w:ind w:left="576" w:hanging="576"/>
              <w:outlineLvl w:val="1"/>
              <w:rPr>
                <w:color w:val="2E74B5"/>
                <w:sz w:val="26"/>
                <w:szCs w:val="26"/>
              </w:rPr>
            </w:pPr>
            <w:r>
              <w:rPr>
                <w:b/>
                <w:color w:val="000000"/>
                <w:sz w:val="22"/>
                <w:szCs w:val="22"/>
              </w:rPr>
              <w:t>2.5.</w:t>
            </w:r>
            <w:r>
              <w:rPr>
                <w:b/>
                <w:color w:val="000000"/>
                <w:sz w:val="22"/>
                <w:szCs w:val="22"/>
              </w:rPr>
              <w:tab/>
            </w:r>
          </w:p>
        </w:tc>
        <w:tc>
          <w:tcPr>
            <w:tcW w:w="2864" w:type="dxa"/>
          </w:tcPr>
          <w:p w14:paraId="2C4B7295" w14:textId="77777777" w:rsidR="001A64C7" w:rsidRDefault="00894D4A">
            <w:pPr>
              <w:jc w:val="both"/>
              <w:rPr>
                <w:b/>
                <w:sz w:val="22"/>
                <w:szCs w:val="22"/>
              </w:rPr>
            </w:pPr>
            <w:r>
              <w:rPr>
                <w:b/>
                <w:sz w:val="22"/>
                <w:szCs w:val="22"/>
              </w:rPr>
              <w:t>Projektų įgyvendinimo planų suderinimas su atsakinga ministerija</w:t>
            </w:r>
          </w:p>
        </w:tc>
        <w:tc>
          <w:tcPr>
            <w:tcW w:w="6315" w:type="dxa"/>
            <w:gridSpan w:val="3"/>
          </w:tcPr>
          <w:p w14:paraId="6577823D" w14:textId="77777777" w:rsidR="001A64C7" w:rsidRDefault="002C2FCA">
            <w:pPr>
              <w:jc w:val="both"/>
              <w:rPr>
                <w:i/>
                <w:sz w:val="22"/>
                <w:szCs w:val="22"/>
              </w:rPr>
            </w:pPr>
            <w:r w:rsidRPr="007572F4">
              <w:rPr>
                <w:iCs/>
                <w:sz w:val="22"/>
                <w:szCs w:val="22"/>
              </w:rPr>
              <w:t>Nereikalaujama.</w:t>
            </w:r>
          </w:p>
        </w:tc>
      </w:tr>
      <w:tr w:rsidR="001A64C7" w14:paraId="4326F7BA" w14:textId="77777777" w:rsidTr="00F8368A">
        <w:tc>
          <w:tcPr>
            <w:tcW w:w="675" w:type="dxa"/>
          </w:tcPr>
          <w:p w14:paraId="1A31024E" w14:textId="77777777" w:rsidR="001A64C7" w:rsidRDefault="001A64C7">
            <w:pPr>
              <w:rPr>
                <w:sz w:val="4"/>
                <w:szCs w:val="4"/>
              </w:rPr>
            </w:pPr>
          </w:p>
          <w:p w14:paraId="653218A4" w14:textId="77777777" w:rsidR="001A64C7" w:rsidRDefault="00894D4A">
            <w:pPr>
              <w:keepNext/>
              <w:keepLines/>
              <w:ind w:left="576" w:hanging="576"/>
              <w:outlineLvl w:val="1"/>
              <w:rPr>
                <w:color w:val="2E74B5"/>
                <w:sz w:val="26"/>
                <w:szCs w:val="26"/>
              </w:rPr>
            </w:pPr>
            <w:r>
              <w:rPr>
                <w:b/>
                <w:color w:val="000000"/>
                <w:sz w:val="22"/>
                <w:szCs w:val="22"/>
              </w:rPr>
              <w:t>2.6.</w:t>
            </w:r>
            <w:r>
              <w:rPr>
                <w:b/>
                <w:color w:val="000000"/>
                <w:sz w:val="22"/>
                <w:szCs w:val="22"/>
              </w:rPr>
              <w:tab/>
            </w:r>
          </w:p>
        </w:tc>
        <w:tc>
          <w:tcPr>
            <w:tcW w:w="2864" w:type="dxa"/>
          </w:tcPr>
          <w:p w14:paraId="4DE82F28" w14:textId="77777777" w:rsidR="001A64C7" w:rsidRDefault="00894D4A">
            <w:pPr>
              <w:jc w:val="both"/>
              <w:rPr>
                <w:b/>
                <w:sz w:val="22"/>
                <w:szCs w:val="22"/>
              </w:rPr>
            </w:pPr>
            <w:r>
              <w:rPr>
                <w:b/>
                <w:sz w:val="22"/>
                <w:szCs w:val="22"/>
              </w:rPr>
              <w:t>Projektų įgyvendinimo planų priedai</w:t>
            </w:r>
          </w:p>
        </w:tc>
        <w:tc>
          <w:tcPr>
            <w:tcW w:w="6315" w:type="dxa"/>
            <w:gridSpan w:val="3"/>
          </w:tcPr>
          <w:p w14:paraId="5F65FABB" w14:textId="77777777" w:rsidR="002C2FCA" w:rsidRPr="007572F4" w:rsidRDefault="002C2FCA" w:rsidP="002C2FCA">
            <w:pPr>
              <w:tabs>
                <w:tab w:val="left" w:pos="510"/>
                <w:tab w:val="left" w:pos="660"/>
              </w:tabs>
              <w:ind w:firstLine="22"/>
              <w:rPr>
                <w:iCs/>
                <w:sz w:val="22"/>
                <w:szCs w:val="22"/>
              </w:rPr>
            </w:pPr>
            <w:r w:rsidRPr="007572F4">
              <w:rPr>
                <w:iCs/>
                <w:sz w:val="22"/>
                <w:szCs w:val="22"/>
              </w:rPr>
              <w:t xml:space="preserve">Kartu su PĮP turi būti pateikta: </w:t>
            </w:r>
          </w:p>
          <w:p w14:paraId="6650B2AB" w14:textId="2F3A4F7F" w:rsidR="002C2FCA" w:rsidRPr="007572F4" w:rsidRDefault="002C2FCA" w:rsidP="002C2FCA">
            <w:pPr>
              <w:rPr>
                <w:sz w:val="22"/>
                <w:szCs w:val="22"/>
              </w:rPr>
            </w:pPr>
            <w:r w:rsidRPr="007572F4">
              <w:rPr>
                <w:sz w:val="22"/>
                <w:szCs w:val="22"/>
              </w:rPr>
              <w:t xml:space="preserve">- Partnerių deklaracijos pagal </w:t>
            </w:r>
            <w:r w:rsidR="0092115C">
              <w:rPr>
                <w:sz w:val="22"/>
                <w:szCs w:val="22"/>
                <w:shd w:val="clear" w:color="auto" w:fill="FFFFFF"/>
              </w:rPr>
              <w:t>PAFT</w:t>
            </w:r>
            <w:r w:rsidRPr="007572F4">
              <w:rPr>
                <w:iCs/>
                <w:sz w:val="22"/>
                <w:szCs w:val="22"/>
              </w:rPr>
              <w:t xml:space="preserve"> </w:t>
            </w:r>
            <w:r w:rsidR="0092115C">
              <w:rPr>
                <w:sz w:val="22"/>
                <w:szCs w:val="22"/>
              </w:rPr>
              <w:t>1 priedo 1</w:t>
            </w:r>
            <w:r w:rsidRPr="007572F4">
              <w:rPr>
                <w:sz w:val="22"/>
                <w:szCs w:val="22"/>
              </w:rPr>
              <w:t xml:space="preserve"> priedą (Kvietimo priedas Partnerio deklaracija); </w:t>
            </w:r>
          </w:p>
          <w:p w14:paraId="40E3490D" w14:textId="5D502AF9" w:rsidR="002C2FCA" w:rsidRPr="007572F4" w:rsidRDefault="002C2FCA" w:rsidP="002C2FCA">
            <w:pPr>
              <w:tabs>
                <w:tab w:val="left" w:pos="171"/>
              </w:tabs>
              <w:rPr>
                <w:sz w:val="22"/>
                <w:szCs w:val="22"/>
              </w:rPr>
            </w:pPr>
            <w:r w:rsidRPr="007572F4">
              <w:rPr>
                <w:sz w:val="22"/>
                <w:szCs w:val="22"/>
              </w:rPr>
              <w:lastRenderedPageBreak/>
              <w:t>- I</w:t>
            </w:r>
            <w:r w:rsidRPr="007572F4">
              <w:rPr>
                <w:bCs/>
                <w:sz w:val="22"/>
                <w:szCs w:val="22"/>
              </w:rPr>
              <w:t xml:space="preserve">nformacija apie projekto biudžeto paskirstymą pagal pareiškėjus ir partnerius pagal </w:t>
            </w:r>
            <w:r w:rsidR="0092115C">
              <w:rPr>
                <w:bCs/>
                <w:sz w:val="22"/>
                <w:szCs w:val="22"/>
              </w:rPr>
              <w:t>PAFT</w:t>
            </w:r>
            <w:r w:rsidR="0092115C">
              <w:rPr>
                <w:sz w:val="22"/>
                <w:szCs w:val="22"/>
                <w:lang w:val="en-US"/>
              </w:rPr>
              <w:t xml:space="preserve"> 1 priedo 2</w:t>
            </w:r>
            <w:r w:rsidRPr="007572F4">
              <w:rPr>
                <w:sz w:val="22"/>
                <w:szCs w:val="22"/>
              </w:rPr>
              <w:t xml:space="preserve"> priedą (Kvietimo priedas Biudžeto pasiskirstymas); </w:t>
            </w:r>
          </w:p>
          <w:p w14:paraId="566926E6" w14:textId="0D60C39B" w:rsidR="002C2FCA" w:rsidRPr="007572F4" w:rsidRDefault="002C2FCA" w:rsidP="002C2FCA">
            <w:pPr>
              <w:rPr>
                <w:sz w:val="22"/>
                <w:szCs w:val="22"/>
              </w:rPr>
            </w:pPr>
            <w:r w:rsidRPr="007572F4">
              <w:rPr>
                <w:sz w:val="22"/>
                <w:szCs w:val="22"/>
              </w:rPr>
              <w:t>-</w:t>
            </w:r>
            <w:r>
              <w:rPr>
                <w:sz w:val="22"/>
                <w:szCs w:val="22"/>
              </w:rPr>
              <w:t xml:space="preserve"> </w:t>
            </w:r>
            <w:r w:rsidRPr="007572F4">
              <w:rPr>
                <w:sz w:val="22"/>
                <w:szCs w:val="22"/>
              </w:rPr>
              <w:t xml:space="preserve">Projekto atitiktį bendriesiems projektų atrankos kriterijams, nurodytiems </w:t>
            </w:r>
            <w:r w:rsidR="0092115C">
              <w:rPr>
                <w:sz w:val="22"/>
                <w:szCs w:val="22"/>
              </w:rPr>
              <w:t>PAFT</w:t>
            </w:r>
            <w:r w:rsidR="00BE26D5">
              <w:rPr>
                <w:sz w:val="22"/>
                <w:szCs w:val="22"/>
              </w:rPr>
              <w:t xml:space="preserve"> </w:t>
            </w:r>
            <w:r w:rsidR="0092115C">
              <w:rPr>
                <w:sz w:val="22"/>
                <w:szCs w:val="22"/>
              </w:rPr>
              <w:t>2</w:t>
            </w:r>
            <w:r w:rsidRPr="007572F4">
              <w:rPr>
                <w:sz w:val="22"/>
                <w:szCs w:val="22"/>
              </w:rPr>
              <w:t xml:space="preserve"> priede, patvirtinantys dokumentai;</w:t>
            </w:r>
          </w:p>
          <w:p w14:paraId="1B0633C7" w14:textId="77777777" w:rsidR="002C2FCA" w:rsidRPr="007572F4" w:rsidRDefault="002C2FCA" w:rsidP="002C2FCA">
            <w:pPr>
              <w:rPr>
                <w:sz w:val="22"/>
                <w:szCs w:val="22"/>
              </w:rPr>
            </w:pPr>
            <w:r w:rsidRPr="007572F4">
              <w:rPr>
                <w:sz w:val="22"/>
                <w:szCs w:val="22"/>
              </w:rPr>
              <w:t>- Investicijų projektas kartu su investicijų skaičiuokle,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yra  http://www.ppplietuva.lt/ skiltyje „Viešųjų investicijų projektų rengimas“ prie „Rengimas ir vertinimas“ (</w:t>
            </w:r>
            <w:r w:rsidRPr="007572F4">
              <w:rPr>
                <w:iCs/>
                <w:sz w:val="22"/>
                <w:szCs w:val="22"/>
              </w:rPr>
              <w:t>taikoma tik tais atvejais,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w:t>
            </w:r>
            <w:r w:rsidRPr="007572F4">
              <w:rPr>
                <w:sz w:val="22"/>
                <w:szCs w:val="22"/>
              </w:rPr>
              <w:t>;</w:t>
            </w:r>
          </w:p>
          <w:p w14:paraId="57FD142F" w14:textId="77777777" w:rsidR="002C2FCA" w:rsidRPr="007572F4" w:rsidRDefault="002C2FCA" w:rsidP="002C2FCA">
            <w:pPr>
              <w:rPr>
                <w:sz w:val="22"/>
                <w:szCs w:val="22"/>
              </w:rPr>
            </w:pPr>
            <w:r w:rsidRPr="007572F4">
              <w:rPr>
                <w:sz w:val="22"/>
                <w:szCs w:val="22"/>
              </w:rPr>
              <w:t>- Dokumentai, pagrindžiantys projekto išlaidų pagrįstumą (sudarytos sutartys, komerciniai pasiūlymai, nuorodos į rinkoje esančias kainas), išlaidų skaičiavimai;</w:t>
            </w:r>
          </w:p>
          <w:p w14:paraId="22FC4670" w14:textId="77777777" w:rsidR="001A64C7" w:rsidRPr="002C2FCA" w:rsidRDefault="002C2FCA" w:rsidP="002C2FCA">
            <w:pPr>
              <w:rPr>
                <w:sz w:val="22"/>
                <w:szCs w:val="22"/>
              </w:rPr>
            </w:pPr>
            <w:r w:rsidRPr="007572F4">
              <w:rPr>
                <w:sz w:val="22"/>
                <w:szCs w:val="22"/>
              </w:rPr>
              <w:t xml:space="preserve">- Nuosavybės arba kitą valdymo ar naudojimo teisę patvirtinantys dokumentai, jei projekto metu vykdomos veiklos vykdomos ne nuosavybės teise valdomame statinyje / žemės sklype (jei taikoma). </w:t>
            </w:r>
          </w:p>
        </w:tc>
      </w:tr>
      <w:tr w:rsidR="001A64C7" w14:paraId="1F32E3F5" w14:textId="77777777" w:rsidTr="00F8368A">
        <w:tc>
          <w:tcPr>
            <w:tcW w:w="675" w:type="dxa"/>
          </w:tcPr>
          <w:p w14:paraId="48FA6785" w14:textId="77777777" w:rsidR="001A64C7" w:rsidRDefault="001A64C7">
            <w:pPr>
              <w:rPr>
                <w:sz w:val="4"/>
                <w:szCs w:val="4"/>
              </w:rPr>
            </w:pPr>
          </w:p>
          <w:p w14:paraId="4962480F" w14:textId="77777777" w:rsidR="001A64C7" w:rsidRDefault="00894D4A">
            <w:pPr>
              <w:keepNext/>
              <w:keepLines/>
              <w:ind w:left="576" w:hanging="576"/>
              <w:outlineLvl w:val="1"/>
              <w:rPr>
                <w:color w:val="2E74B5"/>
                <w:sz w:val="26"/>
                <w:szCs w:val="26"/>
              </w:rPr>
            </w:pPr>
            <w:r>
              <w:rPr>
                <w:b/>
                <w:color w:val="000000"/>
                <w:sz w:val="22"/>
                <w:szCs w:val="22"/>
              </w:rPr>
              <w:t>2.7.</w:t>
            </w:r>
            <w:r>
              <w:rPr>
                <w:b/>
                <w:color w:val="000000"/>
                <w:sz w:val="22"/>
                <w:szCs w:val="22"/>
              </w:rPr>
              <w:tab/>
            </w:r>
          </w:p>
        </w:tc>
        <w:tc>
          <w:tcPr>
            <w:tcW w:w="2864" w:type="dxa"/>
          </w:tcPr>
          <w:p w14:paraId="5A73531F" w14:textId="77777777" w:rsidR="001A64C7" w:rsidRDefault="00894D4A">
            <w:pPr>
              <w:jc w:val="both"/>
              <w:rPr>
                <w:b/>
                <w:sz w:val="22"/>
                <w:szCs w:val="22"/>
              </w:rPr>
            </w:pPr>
            <w:r>
              <w:rPr>
                <w:b/>
                <w:sz w:val="22"/>
                <w:szCs w:val="22"/>
              </w:rPr>
              <w:t>Kontaktiniai duomenys konsultacijoms</w:t>
            </w:r>
          </w:p>
        </w:tc>
        <w:tc>
          <w:tcPr>
            <w:tcW w:w="6315" w:type="dxa"/>
            <w:gridSpan w:val="3"/>
          </w:tcPr>
          <w:p w14:paraId="1548A6C7" w14:textId="77777777" w:rsidR="001A64C7" w:rsidRDefault="002C2FCA">
            <w:pPr>
              <w:jc w:val="both"/>
              <w:rPr>
                <w:i/>
                <w:color w:val="808080"/>
                <w:sz w:val="22"/>
                <w:szCs w:val="22"/>
              </w:rPr>
            </w:pPr>
            <w:r w:rsidRPr="007572F4">
              <w:rPr>
                <w:sz w:val="22"/>
                <w:szCs w:val="22"/>
              </w:rPr>
              <w:t xml:space="preserve">Centrinė projektų valdymo agentūros Struktūrinių ir investicijų fondų programos Švietimo projektų skyriaus vyresnioji projektų vadovė Marija Samavičiūtė, tel. +370 685 06392, el. p. </w:t>
            </w:r>
            <w:hyperlink r:id="rId12" w:history="1">
              <w:r w:rsidRPr="00460002">
                <w:rPr>
                  <w:rStyle w:val="Hyperlink"/>
                  <w:sz w:val="22"/>
                  <w:szCs w:val="22"/>
                </w:rPr>
                <w:t>m.samaviciute@cpva.lt</w:t>
              </w:r>
            </w:hyperlink>
          </w:p>
        </w:tc>
      </w:tr>
      <w:tr w:rsidR="001A64C7" w14:paraId="63D2F632" w14:textId="77777777" w:rsidTr="00F8368A">
        <w:trPr>
          <w:trHeight w:val="457"/>
        </w:trPr>
        <w:tc>
          <w:tcPr>
            <w:tcW w:w="675" w:type="dxa"/>
          </w:tcPr>
          <w:p w14:paraId="7E5FE24D" w14:textId="77777777" w:rsidR="001A64C7" w:rsidRDefault="001A64C7">
            <w:pPr>
              <w:rPr>
                <w:sz w:val="4"/>
                <w:szCs w:val="4"/>
              </w:rPr>
            </w:pPr>
          </w:p>
          <w:p w14:paraId="3F799BEF" w14:textId="77777777" w:rsidR="001A64C7" w:rsidRDefault="00894D4A">
            <w:pPr>
              <w:keepNext/>
              <w:keepLines/>
              <w:ind w:left="576" w:hanging="576"/>
              <w:outlineLvl w:val="1"/>
              <w:rPr>
                <w:color w:val="2E74B5"/>
                <w:sz w:val="26"/>
                <w:szCs w:val="26"/>
              </w:rPr>
            </w:pPr>
            <w:r>
              <w:rPr>
                <w:b/>
                <w:color w:val="000000"/>
                <w:sz w:val="22"/>
                <w:szCs w:val="22"/>
              </w:rPr>
              <w:t>2.8.</w:t>
            </w:r>
            <w:r>
              <w:rPr>
                <w:b/>
                <w:color w:val="000000"/>
                <w:sz w:val="22"/>
                <w:szCs w:val="22"/>
              </w:rPr>
              <w:tab/>
            </w:r>
          </w:p>
        </w:tc>
        <w:tc>
          <w:tcPr>
            <w:tcW w:w="2864" w:type="dxa"/>
          </w:tcPr>
          <w:p w14:paraId="375FF252" w14:textId="77777777" w:rsidR="001A64C7" w:rsidRDefault="00894D4A">
            <w:pPr>
              <w:rPr>
                <w:b/>
                <w:sz w:val="22"/>
                <w:szCs w:val="22"/>
              </w:rPr>
            </w:pPr>
            <w:r>
              <w:rPr>
                <w:b/>
                <w:sz w:val="22"/>
                <w:szCs w:val="22"/>
              </w:rPr>
              <w:t>Kita informacija</w:t>
            </w:r>
          </w:p>
          <w:p w14:paraId="76E00D1A" w14:textId="77777777" w:rsidR="001A64C7" w:rsidRDefault="001A64C7">
            <w:pPr>
              <w:rPr>
                <w:sz w:val="10"/>
                <w:szCs w:val="10"/>
              </w:rPr>
            </w:pPr>
          </w:p>
          <w:p w14:paraId="0C638C12" w14:textId="77777777" w:rsidR="001A64C7" w:rsidRDefault="001A64C7">
            <w:pPr>
              <w:jc w:val="both"/>
              <w:rPr>
                <w:b/>
                <w:sz w:val="22"/>
                <w:szCs w:val="22"/>
              </w:rPr>
            </w:pPr>
          </w:p>
        </w:tc>
        <w:tc>
          <w:tcPr>
            <w:tcW w:w="6315" w:type="dxa"/>
            <w:gridSpan w:val="3"/>
          </w:tcPr>
          <w:p w14:paraId="6201381F" w14:textId="77777777" w:rsidR="001A64C7" w:rsidRDefault="002C2FCA">
            <w:pPr>
              <w:jc w:val="both"/>
              <w:rPr>
                <w:i/>
                <w:color w:val="808080"/>
                <w:sz w:val="22"/>
                <w:szCs w:val="22"/>
              </w:rPr>
            </w:pPr>
            <w:r w:rsidRPr="007572F4">
              <w:rPr>
                <w:iCs/>
                <w:sz w:val="22"/>
                <w:szCs w:val="22"/>
              </w:rPr>
              <w:t xml:space="preserve">Daugiau informacijos apie aktualius dokumentus pateikiama </w:t>
            </w:r>
            <w:hyperlink r:id="rId13" w:history="1">
              <w:r w:rsidRPr="007572F4">
                <w:rPr>
                  <w:rStyle w:val="Hyperlink"/>
                  <w:iCs/>
                  <w:sz w:val="22"/>
                  <w:szCs w:val="22"/>
                </w:rPr>
                <w:t>https://2021.esinvesticijos.lt/</w:t>
              </w:r>
            </w:hyperlink>
            <w:r w:rsidRPr="007572F4">
              <w:rPr>
                <w:iCs/>
                <w:sz w:val="22"/>
                <w:szCs w:val="22"/>
              </w:rPr>
              <w:t xml:space="preserve">  kvietimų skiltyje.</w:t>
            </w:r>
          </w:p>
        </w:tc>
      </w:tr>
    </w:tbl>
    <w:p w14:paraId="2F3BBC73" w14:textId="77777777" w:rsidR="001A64C7" w:rsidRDefault="001A64C7">
      <w:pPr>
        <w:rPr>
          <w:sz w:val="4"/>
          <w:szCs w:val="4"/>
        </w:rPr>
      </w:pPr>
    </w:p>
    <w:p w14:paraId="21B94AEA" w14:textId="77777777" w:rsidR="001A64C7" w:rsidRDefault="001A64C7">
      <w:pPr>
        <w:keepNext/>
        <w:keepLines/>
        <w:spacing w:line="259" w:lineRule="auto"/>
        <w:outlineLvl w:val="2"/>
        <w:rPr>
          <w:i/>
          <w:color w:val="000000"/>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197"/>
        <w:gridCol w:w="795"/>
        <w:gridCol w:w="709"/>
        <w:gridCol w:w="992"/>
        <w:gridCol w:w="2127"/>
        <w:gridCol w:w="283"/>
        <w:gridCol w:w="2381"/>
      </w:tblGrid>
      <w:tr w:rsidR="001A64C7" w14:paraId="3954A9E3" w14:textId="77777777" w:rsidTr="00F8368A">
        <w:trPr>
          <w:trHeight w:val="471"/>
        </w:trPr>
        <w:tc>
          <w:tcPr>
            <w:tcW w:w="675" w:type="dxa"/>
          </w:tcPr>
          <w:p w14:paraId="12FE8310" w14:textId="77777777" w:rsidR="001A64C7" w:rsidRDefault="00894D4A">
            <w:pPr>
              <w:keepNext/>
              <w:keepLines/>
              <w:ind w:left="432" w:hanging="432"/>
              <w:rPr>
                <w:color w:val="2E74B5"/>
                <w:sz w:val="32"/>
                <w:szCs w:val="32"/>
              </w:rPr>
            </w:pPr>
            <w:r>
              <w:rPr>
                <w:b/>
                <w:color w:val="000000"/>
                <w:szCs w:val="32"/>
              </w:rPr>
              <w:t>3.</w:t>
            </w:r>
            <w:r>
              <w:rPr>
                <w:b/>
                <w:color w:val="000000"/>
                <w:szCs w:val="32"/>
              </w:rPr>
              <w:tab/>
            </w:r>
          </w:p>
        </w:tc>
        <w:tc>
          <w:tcPr>
            <w:tcW w:w="9214" w:type="dxa"/>
            <w:gridSpan w:val="8"/>
          </w:tcPr>
          <w:p w14:paraId="48F6A63F" w14:textId="77777777" w:rsidR="001A64C7" w:rsidRDefault="00894D4A" w:rsidP="002C2FCA">
            <w:pPr>
              <w:jc w:val="both"/>
              <w:rPr>
                <w:i/>
                <w:color w:val="808080"/>
                <w:sz w:val="22"/>
                <w:szCs w:val="22"/>
              </w:rPr>
            </w:pPr>
            <w:r>
              <w:rPr>
                <w:b/>
                <w:color w:val="000000"/>
                <w:szCs w:val="22"/>
              </w:rPr>
              <w:t xml:space="preserve">FINANSUOJAMOS VEIKLOS IR JOMS KELIAMI REIKALAVIMAI </w:t>
            </w:r>
          </w:p>
        </w:tc>
      </w:tr>
      <w:tr w:rsidR="001A64C7" w14:paraId="49F889B4" w14:textId="77777777">
        <w:trPr>
          <w:trHeight w:val="280"/>
        </w:trPr>
        <w:tc>
          <w:tcPr>
            <w:tcW w:w="675" w:type="dxa"/>
          </w:tcPr>
          <w:p w14:paraId="00062BA1" w14:textId="77777777" w:rsidR="001A64C7" w:rsidRDefault="001A64C7">
            <w:pPr>
              <w:rPr>
                <w:sz w:val="4"/>
                <w:szCs w:val="4"/>
              </w:rPr>
            </w:pPr>
          </w:p>
          <w:p w14:paraId="07C481E1" w14:textId="0BB4A50C" w:rsidR="001A64C7" w:rsidRDefault="00894D4A" w:rsidP="00F8368A">
            <w:pPr>
              <w:keepNext/>
              <w:keepLines/>
              <w:ind w:left="576" w:hanging="576"/>
              <w:outlineLvl w:val="1"/>
              <w:rPr>
                <w:color w:val="2E74B5"/>
                <w:sz w:val="26"/>
                <w:szCs w:val="26"/>
              </w:rPr>
            </w:pPr>
            <w:r>
              <w:rPr>
                <w:b/>
                <w:color w:val="000000"/>
                <w:sz w:val="22"/>
                <w:szCs w:val="22"/>
              </w:rPr>
              <w:t>3.1.</w:t>
            </w:r>
          </w:p>
        </w:tc>
        <w:tc>
          <w:tcPr>
            <w:tcW w:w="9214" w:type="dxa"/>
            <w:gridSpan w:val="8"/>
          </w:tcPr>
          <w:p w14:paraId="18B745AC" w14:textId="77777777" w:rsidR="001A64C7" w:rsidRDefault="00894D4A">
            <w:pPr>
              <w:jc w:val="both"/>
              <w:rPr>
                <w:b/>
                <w:sz w:val="22"/>
                <w:szCs w:val="22"/>
              </w:rPr>
            </w:pPr>
            <w:r>
              <w:rPr>
                <w:b/>
                <w:sz w:val="22"/>
                <w:szCs w:val="22"/>
              </w:rPr>
              <w:t>Finansuojamos projektų veiklos</w:t>
            </w:r>
          </w:p>
        </w:tc>
      </w:tr>
      <w:tr w:rsidR="001A64C7" w14:paraId="2A314E04" w14:textId="77777777" w:rsidTr="00F8368A">
        <w:trPr>
          <w:trHeight w:val="698"/>
        </w:trPr>
        <w:tc>
          <w:tcPr>
            <w:tcW w:w="675" w:type="dxa"/>
          </w:tcPr>
          <w:p w14:paraId="5EC7AB34" w14:textId="77777777" w:rsidR="001A64C7" w:rsidRDefault="00894D4A">
            <w:pPr>
              <w:ind w:left="357" w:hanging="357"/>
              <w:rPr>
                <w:sz w:val="22"/>
                <w:szCs w:val="22"/>
              </w:rPr>
            </w:pPr>
            <w:r>
              <w:rPr>
                <w:sz w:val="22"/>
                <w:szCs w:val="22"/>
              </w:rPr>
              <w:t>1.</w:t>
            </w:r>
            <w:r>
              <w:rPr>
                <w:sz w:val="22"/>
                <w:szCs w:val="22"/>
              </w:rPr>
              <w:tab/>
            </w:r>
          </w:p>
        </w:tc>
        <w:tc>
          <w:tcPr>
            <w:tcW w:w="1927" w:type="dxa"/>
            <w:gridSpan w:val="2"/>
          </w:tcPr>
          <w:p w14:paraId="2CFFD856" w14:textId="77777777" w:rsidR="001A64C7" w:rsidRDefault="00894D4A" w:rsidP="002C2FCA">
            <w:pPr>
              <w:jc w:val="both"/>
              <w:rPr>
                <w:i/>
                <w:color w:val="808080"/>
                <w:sz w:val="22"/>
                <w:szCs w:val="22"/>
              </w:rPr>
            </w:pPr>
            <w:r>
              <w:rPr>
                <w:i/>
                <w:color w:val="808080"/>
                <w:sz w:val="22"/>
                <w:szCs w:val="22"/>
              </w:rPr>
              <w:t xml:space="preserve"> </w:t>
            </w:r>
            <w:r w:rsidR="002C2FCA">
              <w:rPr>
                <w:sz w:val="22"/>
                <w:szCs w:val="22"/>
              </w:rPr>
              <w:t>12-003-03-04-02</w:t>
            </w:r>
          </w:p>
        </w:tc>
        <w:tc>
          <w:tcPr>
            <w:tcW w:w="7287" w:type="dxa"/>
            <w:gridSpan w:val="6"/>
          </w:tcPr>
          <w:p w14:paraId="234F09A2" w14:textId="5BA7A8F6" w:rsidR="001A64C7" w:rsidRDefault="002C2FCA" w:rsidP="00F8368A">
            <w:pPr>
              <w:jc w:val="both"/>
              <w:rPr>
                <w:i/>
                <w:color w:val="808080"/>
                <w:sz w:val="22"/>
                <w:szCs w:val="22"/>
              </w:rPr>
            </w:pPr>
            <w:r w:rsidRPr="002C2FCA">
              <w:rPr>
                <w:sz w:val="22"/>
                <w:szCs w:val="22"/>
              </w:rPr>
              <w:t>Reorganizuoti Mokslo, inovacijų ir technologijų agentūrą, sukurti su nauju mandatu Lietuvos mokslo tarybą</w:t>
            </w:r>
          </w:p>
        </w:tc>
      </w:tr>
      <w:tr w:rsidR="001A64C7" w14:paraId="6AA8B299" w14:textId="77777777" w:rsidTr="00F8368A">
        <w:trPr>
          <w:trHeight w:val="354"/>
        </w:trPr>
        <w:tc>
          <w:tcPr>
            <w:tcW w:w="675" w:type="dxa"/>
          </w:tcPr>
          <w:p w14:paraId="408AB1D7" w14:textId="77777777" w:rsidR="001A64C7" w:rsidRDefault="001A64C7">
            <w:pPr>
              <w:rPr>
                <w:sz w:val="4"/>
                <w:szCs w:val="4"/>
              </w:rPr>
            </w:pPr>
          </w:p>
          <w:p w14:paraId="23D55C66" w14:textId="037098E8" w:rsidR="001A64C7" w:rsidRDefault="00894D4A" w:rsidP="00F8368A">
            <w:pPr>
              <w:keepNext/>
              <w:keepLines/>
              <w:ind w:left="576" w:hanging="576"/>
              <w:outlineLvl w:val="1"/>
              <w:rPr>
                <w:color w:val="2E74B5"/>
                <w:sz w:val="26"/>
                <w:szCs w:val="26"/>
              </w:rPr>
            </w:pPr>
            <w:r>
              <w:rPr>
                <w:b/>
                <w:color w:val="000000"/>
                <w:sz w:val="22"/>
                <w:szCs w:val="22"/>
              </w:rPr>
              <w:t>3.2.</w:t>
            </w:r>
          </w:p>
        </w:tc>
        <w:tc>
          <w:tcPr>
            <w:tcW w:w="9214" w:type="dxa"/>
            <w:gridSpan w:val="8"/>
          </w:tcPr>
          <w:p w14:paraId="4B467FFC" w14:textId="77777777" w:rsidR="001A64C7" w:rsidRDefault="00894D4A">
            <w:pPr>
              <w:rPr>
                <w:sz w:val="22"/>
                <w:szCs w:val="22"/>
              </w:rPr>
            </w:pPr>
            <w:r>
              <w:rPr>
                <w:b/>
                <w:sz w:val="22"/>
                <w:szCs w:val="22"/>
              </w:rPr>
              <w:t>Tikslinės grupės</w:t>
            </w:r>
          </w:p>
        </w:tc>
      </w:tr>
      <w:tr w:rsidR="001A64C7" w14:paraId="5BC668A0" w14:textId="77777777" w:rsidTr="00F8368A">
        <w:trPr>
          <w:trHeight w:val="402"/>
        </w:trPr>
        <w:tc>
          <w:tcPr>
            <w:tcW w:w="675" w:type="dxa"/>
          </w:tcPr>
          <w:p w14:paraId="609D95B8" w14:textId="49C355CF" w:rsidR="001A64C7" w:rsidRDefault="001A64C7">
            <w:pPr>
              <w:keepNext/>
              <w:keepLines/>
              <w:ind w:left="576" w:hanging="576"/>
              <w:outlineLvl w:val="1"/>
              <w:rPr>
                <w:color w:val="2E74B5"/>
                <w:sz w:val="26"/>
                <w:szCs w:val="26"/>
              </w:rPr>
            </w:pPr>
          </w:p>
        </w:tc>
        <w:tc>
          <w:tcPr>
            <w:tcW w:w="9214" w:type="dxa"/>
            <w:gridSpan w:val="8"/>
          </w:tcPr>
          <w:p w14:paraId="1885B03A" w14:textId="77777777" w:rsidR="001A64C7" w:rsidRDefault="002C2FCA">
            <w:pPr>
              <w:jc w:val="both"/>
              <w:rPr>
                <w:i/>
                <w:color w:val="808080"/>
                <w:sz w:val="22"/>
                <w:szCs w:val="22"/>
              </w:rPr>
            </w:pPr>
            <w:r>
              <w:rPr>
                <w:sz w:val="22"/>
                <w:szCs w:val="22"/>
              </w:rPr>
              <w:t>MITA</w:t>
            </w:r>
            <w:r w:rsidRPr="00F247EC">
              <w:rPr>
                <w:sz w:val="22"/>
                <w:szCs w:val="22"/>
              </w:rPr>
              <w:t xml:space="preserve"> ir </w:t>
            </w:r>
            <w:r>
              <w:rPr>
                <w:sz w:val="22"/>
                <w:szCs w:val="22"/>
              </w:rPr>
              <w:t>LMT</w:t>
            </w:r>
            <w:r w:rsidRPr="00F247EC">
              <w:rPr>
                <w:sz w:val="22"/>
                <w:szCs w:val="22"/>
              </w:rPr>
              <w:t xml:space="preserve"> personalas, Lietuvos mokslo bendruomenė, mokslo ir studijų institucijos</w:t>
            </w:r>
          </w:p>
        </w:tc>
      </w:tr>
      <w:tr w:rsidR="001A64C7" w14:paraId="41251FE3" w14:textId="77777777" w:rsidTr="00F8368A">
        <w:trPr>
          <w:trHeight w:val="413"/>
        </w:trPr>
        <w:tc>
          <w:tcPr>
            <w:tcW w:w="675" w:type="dxa"/>
          </w:tcPr>
          <w:p w14:paraId="1323257F" w14:textId="035D3F6D" w:rsidR="001A64C7" w:rsidRDefault="00894D4A" w:rsidP="00F8368A">
            <w:pPr>
              <w:keepNext/>
              <w:keepLines/>
              <w:spacing w:before="120" w:after="120"/>
              <w:outlineLvl w:val="1"/>
              <w:rPr>
                <w:color w:val="2E74B5"/>
                <w:sz w:val="26"/>
                <w:szCs w:val="26"/>
              </w:rPr>
            </w:pPr>
            <w:r>
              <w:rPr>
                <w:b/>
                <w:color w:val="000000"/>
                <w:sz w:val="22"/>
                <w:szCs w:val="22"/>
              </w:rPr>
              <w:t>3.3.</w:t>
            </w:r>
          </w:p>
        </w:tc>
        <w:tc>
          <w:tcPr>
            <w:tcW w:w="9214" w:type="dxa"/>
            <w:gridSpan w:val="8"/>
          </w:tcPr>
          <w:p w14:paraId="466238AD" w14:textId="77777777" w:rsidR="001A64C7" w:rsidRDefault="00894D4A" w:rsidP="00F8368A">
            <w:pPr>
              <w:spacing w:before="120" w:after="120"/>
              <w:rPr>
                <w:color w:val="808080"/>
                <w:sz w:val="22"/>
                <w:szCs w:val="22"/>
              </w:rPr>
            </w:pPr>
            <w:r>
              <w:rPr>
                <w:b/>
                <w:bCs/>
                <w:sz w:val="22"/>
                <w:szCs w:val="22"/>
              </w:rPr>
              <w:t>Galimi pareiškėjai</w:t>
            </w:r>
          </w:p>
        </w:tc>
      </w:tr>
      <w:tr w:rsidR="001A64C7" w14:paraId="5708A24A" w14:textId="77777777">
        <w:tc>
          <w:tcPr>
            <w:tcW w:w="675" w:type="dxa"/>
          </w:tcPr>
          <w:p w14:paraId="4845158A" w14:textId="77777777" w:rsidR="001A64C7" w:rsidRDefault="001A64C7">
            <w:pPr>
              <w:rPr>
                <w:sz w:val="4"/>
                <w:szCs w:val="4"/>
              </w:rPr>
            </w:pPr>
          </w:p>
          <w:p w14:paraId="1D583350" w14:textId="2E5112F9" w:rsidR="001A64C7" w:rsidRDefault="001A64C7" w:rsidP="00F8368A">
            <w:pPr>
              <w:keepNext/>
              <w:keepLines/>
              <w:ind w:left="576" w:hanging="576"/>
              <w:outlineLvl w:val="1"/>
              <w:rPr>
                <w:color w:val="2E74B5"/>
                <w:sz w:val="26"/>
                <w:szCs w:val="26"/>
              </w:rPr>
            </w:pPr>
          </w:p>
        </w:tc>
        <w:tc>
          <w:tcPr>
            <w:tcW w:w="9214" w:type="dxa"/>
            <w:gridSpan w:val="8"/>
          </w:tcPr>
          <w:p w14:paraId="5BB55848" w14:textId="77777777" w:rsidR="001A64C7" w:rsidRDefault="002C2FCA">
            <w:pPr>
              <w:rPr>
                <w:i/>
                <w:color w:val="808080"/>
                <w:sz w:val="22"/>
                <w:szCs w:val="22"/>
              </w:rPr>
            </w:pPr>
            <w:r w:rsidRPr="002C2FCA">
              <w:rPr>
                <w:sz w:val="22"/>
                <w:szCs w:val="22"/>
              </w:rPr>
              <w:t>Lietuvos mokslo taryba</w:t>
            </w:r>
          </w:p>
        </w:tc>
      </w:tr>
      <w:tr w:rsidR="001A64C7" w14:paraId="3945F961" w14:textId="77777777" w:rsidTr="00F8368A">
        <w:trPr>
          <w:trHeight w:val="423"/>
        </w:trPr>
        <w:tc>
          <w:tcPr>
            <w:tcW w:w="675" w:type="dxa"/>
          </w:tcPr>
          <w:p w14:paraId="141E09E8" w14:textId="458B7A6B" w:rsidR="001A64C7" w:rsidRDefault="00894D4A" w:rsidP="00F8368A">
            <w:pPr>
              <w:keepNext/>
              <w:keepLines/>
              <w:spacing w:before="120" w:after="120"/>
              <w:outlineLvl w:val="1"/>
              <w:rPr>
                <w:color w:val="2E74B5"/>
                <w:sz w:val="26"/>
                <w:szCs w:val="26"/>
              </w:rPr>
            </w:pPr>
            <w:r>
              <w:rPr>
                <w:b/>
                <w:color w:val="000000"/>
                <w:sz w:val="22"/>
                <w:szCs w:val="22"/>
              </w:rPr>
              <w:t>3.4.</w:t>
            </w:r>
          </w:p>
        </w:tc>
        <w:tc>
          <w:tcPr>
            <w:tcW w:w="9214" w:type="dxa"/>
            <w:gridSpan w:val="8"/>
          </w:tcPr>
          <w:p w14:paraId="5F6ED09D" w14:textId="77777777" w:rsidR="001A64C7" w:rsidRDefault="00894D4A" w:rsidP="00F8368A">
            <w:pPr>
              <w:spacing w:before="120" w:after="120"/>
              <w:rPr>
                <w:color w:val="808080"/>
                <w:sz w:val="22"/>
                <w:szCs w:val="22"/>
              </w:rPr>
            </w:pPr>
            <w:r>
              <w:rPr>
                <w:b/>
                <w:bCs/>
                <w:sz w:val="22"/>
                <w:szCs w:val="22"/>
              </w:rPr>
              <w:t>Galimi partneriai</w:t>
            </w:r>
          </w:p>
        </w:tc>
      </w:tr>
      <w:tr w:rsidR="001A64C7" w14:paraId="0ED2B3F0" w14:textId="77777777" w:rsidTr="00F8368A">
        <w:trPr>
          <w:trHeight w:val="333"/>
        </w:trPr>
        <w:tc>
          <w:tcPr>
            <w:tcW w:w="675" w:type="dxa"/>
          </w:tcPr>
          <w:p w14:paraId="4C7CD468" w14:textId="77777777" w:rsidR="001A64C7" w:rsidRDefault="00894D4A">
            <w:pPr>
              <w:ind w:left="357" w:hanging="357"/>
              <w:rPr>
                <w:sz w:val="22"/>
                <w:szCs w:val="22"/>
              </w:rPr>
            </w:pPr>
            <w:r>
              <w:rPr>
                <w:sz w:val="22"/>
                <w:szCs w:val="22"/>
              </w:rPr>
              <w:t>1.</w:t>
            </w:r>
            <w:r>
              <w:rPr>
                <w:sz w:val="22"/>
                <w:szCs w:val="22"/>
              </w:rPr>
              <w:tab/>
            </w:r>
          </w:p>
        </w:tc>
        <w:tc>
          <w:tcPr>
            <w:tcW w:w="9214" w:type="dxa"/>
            <w:gridSpan w:val="8"/>
          </w:tcPr>
          <w:p w14:paraId="6BED6F46" w14:textId="77777777" w:rsidR="001A64C7" w:rsidRDefault="002C2FCA">
            <w:pPr>
              <w:rPr>
                <w:i/>
                <w:color w:val="808080"/>
                <w:sz w:val="22"/>
                <w:szCs w:val="22"/>
              </w:rPr>
            </w:pPr>
            <w:r>
              <w:rPr>
                <w:sz w:val="22"/>
                <w:szCs w:val="22"/>
              </w:rPr>
              <w:t>Mokslo, inovacijų ir technologijų agentūra</w:t>
            </w:r>
          </w:p>
        </w:tc>
      </w:tr>
      <w:tr w:rsidR="001A64C7" w14:paraId="74E789F1" w14:textId="77777777">
        <w:tc>
          <w:tcPr>
            <w:tcW w:w="9889" w:type="dxa"/>
            <w:gridSpan w:val="9"/>
          </w:tcPr>
          <w:p w14:paraId="444DBA0E" w14:textId="77777777" w:rsidR="001A64C7" w:rsidRDefault="00894D4A">
            <w:pPr>
              <w:rPr>
                <w:b/>
                <w:sz w:val="22"/>
                <w:szCs w:val="22"/>
              </w:rPr>
            </w:pPr>
            <w:r>
              <w:rPr>
                <w:b/>
                <w:sz w:val="22"/>
                <w:szCs w:val="22"/>
              </w:rPr>
              <w:t>FINANSAVIMO ŠALTINIAI IR SUMOS</w:t>
            </w:r>
          </w:p>
        </w:tc>
      </w:tr>
      <w:tr w:rsidR="001A64C7" w14:paraId="5DEC054F" w14:textId="77777777" w:rsidTr="00F8368A">
        <w:tc>
          <w:tcPr>
            <w:tcW w:w="675" w:type="dxa"/>
            <w:vMerge w:val="restart"/>
          </w:tcPr>
          <w:p w14:paraId="71A3E11A" w14:textId="77777777" w:rsidR="001A64C7" w:rsidRDefault="001A64C7">
            <w:pPr>
              <w:rPr>
                <w:sz w:val="4"/>
                <w:szCs w:val="4"/>
              </w:rPr>
            </w:pPr>
          </w:p>
          <w:p w14:paraId="36FF9AB5" w14:textId="77777777" w:rsidR="001A64C7" w:rsidRDefault="00894D4A">
            <w:pPr>
              <w:keepNext/>
              <w:keepLines/>
              <w:ind w:left="576" w:hanging="576"/>
              <w:outlineLvl w:val="1"/>
              <w:rPr>
                <w:color w:val="2E74B5"/>
                <w:sz w:val="26"/>
                <w:szCs w:val="26"/>
              </w:rPr>
            </w:pPr>
            <w:r>
              <w:rPr>
                <w:b/>
                <w:color w:val="000000"/>
                <w:sz w:val="22"/>
                <w:szCs w:val="22"/>
              </w:rPr>
              <w:t>3.5.</w:t>
            </w:r>
            <w:r>
              <w:rPr>
                <w:b/>
                <w:color w:val="000000"/>
                <w:sz w:val="22"/>
                <w:szCs w:val="22"/>
              </w:rPr>
              <w:tab/>
            </w:r>
          </w:p>
        </w:tc>
        <w:tc>
          <w:tcPr>
            <w:tcW w:w="4423" w:type="dxa"/>
            <w:gridSpan w:val="5"/>
          </w:tcPr>
          <w:p w14:paraId="06DED9C4" w14:textId="77777777" w:rsidR="001A64C7" w:rsidRDefault="00894D4A">
            <w:pPr>
              <w:rPr>
                <w:b/>
                <w:sz w:val="22"/>
                <w:szCs w:val="22"/>
              </w:rPr>
            </w:pPr>
            <w:r>
              <w:rPr>
                <w:b/>
                <w:sz w:val="22"/>
                <w:szCs w:val="22"/>
              </w:rPr>
              <w:t>Finansavimo šaltinis ir fondas</w:t>
            </w:r>
          </w:p>
        </w:tc>
        <w:tc>
          <w:tcPr>
            <w:tcW w:w="2410" w:type="dxa"/>
            <w:gridSpan w:val="2"/>
          </w:tcPr>
          <w:p w14:paraId="2E54D6AC" w14:textId="77777777" w:rsidR="001A64C7" w:rsidRDefault="00894D4A">
            <w:pPr>
              <w:rPr>
                <w:i/>
                <w:sz w:val="22"/>
                <w:szCs w:val="22"/>
              </w:rPr>
            </w:pPr>
            <w:r>
              <w:rPr>
                <w:b/>
                <w:sz w:val="22"/>
                <w:szCs w:val="22"/>
              </w:rPr>
              <w:t>Skiriama finansavimo lėšų suma</w:t>
            </w:r>
          </w:p>
        </w:tc>
        <w:tc>
          <w:tcPr>
            <w:tcW w:w="2381" w:type="dxa"/>
            <w:shd w:val="clear" w:color="auto" w:fill="auto"/>
          </w:tcPr>
          <w:p w14:paraId="07BC4D3E" w14:textId="77777777" w:rsidR="001A64C7" w:rsidRDefault="00894D4A">
            <w:pPr>
              <w:rPr>
                <w:i/>
                <w:sz w:val="22"/>
                <w:szCs w:val="22"/>
              </w:rPr>
            </w:pPr>
            <w:r>
              <w:rPr>
                <w:b/>
                <w:sz w:val="22"/>
                <w:szCs w:val="22"/>
              </w:rPr>
              <w:t>Nuosavo įnašo dydis (jei taikoma)</w:t>
            </w:r>
          </w:p>
        </w:tc>
      </w:tr>
      <w:tr w:rsidR="001A64C7" w14:paraId="380984BF" w14:textId="77777777" w:rsidTr="00F8368A">
        <w:trPr>
          <w:trHeight w:val="776"/>
        </w:trPr>
        <w:tc>
          <w:tcPr>
            <w:tcW w:w="675" w:type="dxa"/>
            <w:vMerge/>
          </w:tcPr>
          <w:p w14:paraId="429493F9" w14:textId="77777777" w:rsidR="001A64C7" w:rsidRDefault="001A64C7">
            <w:pPr>
              <w:rPr>
                <w:sz w:val="22"/>
                <w:szCs w:val="22"/>
              </w:rPr>
            </w:pPr>
          </w:p>
        </w:tc>
        <w:tc>
          <w:tcPr>
            <w:tcW w:w="4423" w:type="dxa"/>
            <w:gridSpan w:val="5"/>
          </w:tcPr>
          <w:p w14:paraId="0FB0E555" w14:textId="40F2FDD8" w:rsidR="001A64C7" w:rsidRPr="00893120" w:rsidRDefault="00894D4A" w:rsidP="00F8368A">
            <w:pPr>
              <w:rPr>
                <w:sz w:val="22"/>
                <w:szCs w:val="22"/>
              </w:rPr>
            </w:pPr>
            <w:r w:rsidRPr="00893120">
              <w:rPr>
                <w:sz w:val="22"/>
                <w:szCs w:val="22"/>
              </w:rPr>
              <w:t>Ekonomikos gaivinimo ir atsp</w:t>
            </w:r>
            <w:r w:rsidR="00893120" w:rsidRPr="00893120">
              <w:rPr>
                <w:sz w:val="22"/>
                <w:szCs w:val="22"/>
              </w:rPr>
              <w:t>arumo didinimo priemonės lėšos</w:t>
            </w:r>
          </w:p>
        </w:tc>
        <w:tc>
          <w:tcPr>
            <w:tcW w:w="2410" w:type="dxa"/>
            <w:gridSpan w:val="2"/>
          </w:tcPr>
          <w:p w14:paraId="105AA52E" w14:textId="77777777" w:rsidR="001A64C7" w:rsidRPr="00893120" w:rsidRDefault="00894D4A" w:rsidP="00893120">
            <w:pPr>
              <w:rPr>
                <w:sz w:val="22"/>
                <w:szCs w:val="22"/>
              </w:rPr>
            </w:pPr>
            <w:r w:rsidRPr="00893120">
              <w:rPr>
                <w:sz w:val="22"/>
                <w:szCs w:val="22"/>
              </w:rPr>
              <w:t xml:space="preserve"> </w:t>
            </w:r>
            <w:r w:rsidR="00893120" w:rsidRPr="00893120">
              <w:rPr>
                <w:sz w:val="22"/>
                <w:szCs w:val="22"/>
              </w:rPr>
              <w:t xml:space="preserve">1 500 </w:t>
            </w:r>
            <w:r w:rsidRPr="00893120">
              <w:rPr>
                <w:sz w:val="22"/>
                <w:szCs w:val="22"/>
              </w:rPr>
              <w:t xml:space="preserve">(tūkst. eurų). </w:t>
            </w:r>
          </w:p>
        </w:tc>
        <w:tc>
          <w:tcPr>
            <w:tcW w:w="2381" w:type="dxa"/>
            <w:vMerge w:val="restart"/>
          </w:tcPr>
          <w:p w14:paraId="007F8B24" w14:textId="77777777" w:rsidR="001A64C7" w:rsidRPr="00893120" w:rsidRDefault="00893120">
            <w:pPr>
              <w:rPr>
                <w:sz w:val="22"/>
                <w:szCs w:val="22"/>
              </w:rPr>
            </w:pPr>
            <w:r w:rsidRPr="00893120">
              <w:rPr>
                <w:sz w:val="22"/>
                <w:szCs w:val="22"/>
              </w:rPr>
              <w:t>Netaikoma</w:t>
            </w:r>
          </w:p>
        </w:tc>
      </w:tr>
      <w:tr w:rsidR="001A64C7" w14:paraId="1D7485CE" w14:textId="77777777" w:rsidTr="00F8368A">
        <w:trPr>
          <w:trHeight w:val="185"/>
        </w:trPr>
        <w:tc>
          <w:tcPr>
            <w:tcW w:w="675" w:type="dxa"/>
            <w:vMerge/>
          </w:tcPr>
          <w:p w14:paraId="603674B8" w14:textId="77777777" w:rsidR="001A64C7" w:rsidRDefault="001A64C7">
            <w:pPr>
              <w:rPr>
                <w:sz w:val="22"/>
                <w:szCs w:val="22"/>
              </w:rPr>
            </w:pPr>
          </w:p>
        </w:tc>
        <w:tc>
          <w:tcPr>
            <w:tcW w:w="4423" w:type="dxa"/>
            <w:gridSpan w:val="5"/>
          </w:tcPr>
          <w:p w14:paraId="24289A47" w14:textId="77777777" w:rsidR="001A64C7" w:rsidRPr="00893120" w:rsidRDefault="00894D4A">
            <w:pPr>
              <w:rPr>
                <w:sz w:val="22"/>
                <w:szCs w:val="22"/>
              </w:rPr>
            </w:pPr>
            <w:r w:rsidRPr="00893120">
              <w:rPr>
                <w:sz w:val="22"/>
                <w:szCs w:val="22"/>
              </w:rPr>
              <w:t xml:space="preserve">Lietuvos Respublikos valstybės biudžeto lėšos </w:t>
            </w:r>
          </w:p>
        </w:tc>
        <w:tc>
          <w:tcPr>
            <w:tcW w:w="2410" w:type="dxa"/>
            <w:gridSpan w:val="2"/>
          </w:tcPr>
          <w:p w14:paraId="44B34AB1" w14:textId="77777777" w:rsidR="001A64C7" w:rsidRPr="00893120" w:rsidRDefault="00893120">
            <w:pPr>
              <w:rPr>
                <w:sz w:val="22"/>
                <w:szCs w:val="22"/>
              </w:rPr>
            </w:pPr>
            <w:r w:rsidRPr="00893120">
              <w:rPr>
                <w:sz w:val="22"/>
                <w:szCs w:val="22"/>
              </w:rPr>
              <w:t>300</w:t>
            </w:r>
            <w:r w:rsidR="00894D4A" w:rsidRPr="00893120">
              <w:rPr>
                <w:sz w:val="22"/>
                <w:szCs w:val="22"/>
              </w:rPr>
              <w:t xml:space="preserve"> (tūkst. eurų). </w:t>
            </w:r>
          </w:p>
          <w:p w14:paraId="2D454B48" w14:textId="77777777" w:rsidR="001A64C7" w:rsidRPr="00893120" w:rsidRDefault="001A64C7">
            <w:pPr>
              <w:rPr>
                <w:sz w:val="22"/>
                <w:szCs w:val="22"/>
              </w:rPr>
            </w:pPr>
          </w:p>
        </w:tc>
        <w:tc>
          <w:tcPr>
            <w:tcW w:w="2381" w:type="dxa"/>
            <w:vMerge/>
          </w:tcPr>
          <w:p w14:paraId="5665E0F9" w14:textId="77777777" w:rsidR="001A64C7" w:rsidRDefault="001A64C7">
            <w:pPr>
              <w:rPr>
                <w:i/>
                <w:color w:val="808080"/>
                <w:sz w:val="22"/>
                <w:szCs w:val="22"/>
              </w:rPr>
            </w:pPr>
          </w:p>
        </w:tc>
      </w:tr>
      <w:tr w:rsidR="001A64C7" w14:paraId="52A26D1B" w14:textId="77777777">
        <w:tc>
          <w:tcPr>
            <w:tcW w:w="9889" w:type="dxa"/>
            <w:gridSpan w:val="9"/>
          </w:tcPr>
          <w:p w14:paraId="1A3DDF0B" w14:textId="77777777" w:rsidR="001A64C7" w:rsidRDefault="00894D4A">
            <w:pPr>
              <w:rPr>
                <w:b/>
                <w:sz w:val="22"/>
                <w:szCs w:val="22"/>
              </w:rPr>
            </w:pPr>
            <w:r>
              <w:rPr>
                <w:b/>
                <w:sz w:val="22"/>
                <w:szCs w:val="22"/>
              </w:rPr>
              <w:t>SIEKIAMI STEBĖSENOS RODIKLIAI</w:t>
            </w:r>
          </w:p>
        </w:tc>
      </w:tr>
      <w:tr w:rsidR="001A64C7" w14:paraId="70E30F55" w14:textId="77777777" w:rsidTr="00F8368A">
        <w:tc>
          <w:tcPr>
            <w:tcW w:w="675" w:type="dxa"/>
            <w:vMerge w:val="restart"/>
          </w:tcPr>
          <w:p w14:paraId="3C4082EB" w14:textId="77777777" w:rsidR="001A64C7" w:rsidRDefault="001A64C7">
            <w:pPr>
              <w:rPr>
                <w:sz w:val="4"/>
                <w:szCs w:val="4"/>
              </w:rPr>
            </w:pPr>
          </w:p>
          <w:p w14:paraId="11EB509C" w14:textId="77777777" w:rsidR="001A64C7" w:rsidRDefault="00894D4A">
            <w:pPr>
              <w:keepNext/>
              <w:keepLines/>
              <w:ind w:left="576" w:hanging="576"/>
              <w:outlineLvl w:val="1"/>
              <w:rPr>
                <w:color w:val="2E74B5"/>
                <w:sz w:val="26"/>
                <w:szCs w:val="26"/>
              </w:rPr>
            </w:pPr>
            <w:r>
              <w:rPr>
                <w:b/>
                <w:color w:val="000000"/>
                <w:sz w:val="22"/>
                <w:szCs w:val="22"/>
              </w:rPr>
              <w:t>3.6.</w:t>
            </w:r>
            <w:r>
              <w:rPr>
                <w:b/>
                <w:color w:val="000000"/>
                <w:sz w:val="22"/>
                <w:szCs w:val="22"/>
              </w:rPr>
              <w:tab/>
            </w:r>
          </w:p>
        </w:tc>
        <w:tc>
          <w:tcPr>
            <w:tcW w:w="2722" w:type="dxa"/>
            <w:gridSpan w:val="3"/>
          </w:tcPr>
          <w:p w14:paraId="0B801EFB" w14:textId="77777777" w:rsidR="001A64C7" w:rsidRDefault="00894D4A">
            <w:pPr>
              <w:rPr>
                <w:b/>
                <w:bCs/>
                <w:sz w:val="22"/>
                <w:szCs w:val="22"/>
                <w:highlight w:val="yellow"/>
              </w:rPr>
            </w:pPr>
            <w:r>
              <w:rPr>
                <w:b/>
                <w:sz w:val="22"/>
                <w:szCs w:val="22"/>
              </w:rPr>
              <w:t xml:space="preserve">Rodiklio pavadinimas </w:t>
            </w:r>
          </w:p>
        </w:tc>
        <w:tc>
          <w:tcPr>
            <w:tcW w:w="1701" w:type="dxa"/>
            <w:gridSpan w:val="2"/>
          </w:tcPr>
          <w:p w14:paraId="4D314066" w14:textId="77777777" w:rsidR="001A64C7" w:rsidRDefault="00894D4A">
            <w:pPr>
              <w:rPr>
                <w:b/>
                <w:bCs/>
                <w:sz w:val="22"/>
                <w:szCs w:val="22"/>
                <w:highlight w:val="yellow"/>
              </w:rPr>
            </w:pPr>
            <w:r>
              <w:rPr>
                <w:b/>
                <w:bCs/>
                <w:sz w:val="22"/>
                <w:szCs w:val="22"/>
              </w:rPr>
              <w:t>Rodiklio kodas</w:t>
            </w:r>
          </w:p>
        </w:tc>
        <w:tc>
          <w:tcPr>
            <w:tcW w:w="2410" w:type="dxa"/>
            <w:gridSpan w:val="2"/>
          </w:tcPr>
          <w:p w14:paraId="75807240" w14:textId="77777777" w:rsidR="001A64C7" w:rsidRDefault="00894D4A">
            <w:pPr>
              <w:rPr>
                <w:i/>
                <w:sz w:val="22"/>
                <w:szCs w:val="22"/>
              </w:rPr>
            </w:pPr>
            <w:r>
              <w:rPr>
                <w:b/>
                <w:sz w:val="22"/>
                <w:szCs w:val="22"/>
              </w:rPr>
              <w:t>Matavimo vienetai</w:t>
            </w:r>
          </w:p>
        </w:tc>
        <w:tc>
          <w:tcPr>
            <w:tcW w:w="2381" w:type="dxa"/>
          </w:tcPr>
          <w:p w14:paraId="5BAC025A" w14:textId="77777777" w:rsidR="001A64C7" w:rsidRDefault="00894D4A">
            <w:pPr>
              <w:rPr>
                <w:b/>
                <w:sz w:val="22"/>
                <w:szCs w:val="22"/>
              </w:rPr>
            </w:pPr>
            <w:r>
              <w:rPr>
                <w:b/>
                <w:sz w:val="22"/>
                <w:szCs w:val="22"/>
              </w:rPr>
              <w:t>Siektina reikšmė</w:t>
            </w:r>
          </w:p>
        </w:tc>
      </w:tr>
      <w:tr w:rsidR="001A64C7" w14:paraId="4E91A1E4" w14:textId="77777777" w:rsidTr="00F8368A">
        <w:trPr>
          <w:trHeight w:val="1140"/>
        </w:trPr>
        <w:tc>
          <w:tcPr>
            <w:tcW w:w="675" w:type="dxa"/>
            <w:vMerge/>
          </w:tcPr>
          <w:p w14:paraId="51D02B83" w14:textId="77777777" w:rsidR="001A64C7" w:rsidRDefault="001A64C7">
            <w:pPr>
              <w:rPr>
                <w:sz w:val="22"/>
                <w:szCs w:val="22"/>
              </w:rPr>
            </w:pPr>
          </w:p>
        </w:tc>
        <w:tc>
          <w:tcPr>
            <w:tcW w:w="2722" w:type="dxa"/>
            <w:gridSpan w:val="3"/>
          </w:tcPr>
          <w:p w14:paraId="3A220F57" w14:textId="77777777" w:rsidR="001A64C7" w:rsidRPr="00B91606" w:rsidRDefault="00B91606">
            <w:pPr>
              <w:rPr>
                <w:sz w:val="22"/>
                <w:szCs w:val="22"/>
              </w:rPr>
            </w:pPr>
            <w:r w:rsidRPr="00B91606">
              <w:rPr>
                <w:sz w:val="22"/>
                <w:szCs w:val="22"/>
              </w:rPr>
              <w:t>Sukurta mokslo politikai įgyvendinti reikalinga Lietuvos mokslo tarybos infrastruktūra</w:t>
            </w:r>
          </w:p>
        </w:tc>
        <w:tc>
          <w:tcPr>
            <w:tcW w:w="1701" w:type="dxa"/>
            <w:gridSpan w:val="2"/>
          </w:tcPr>
          <w:p w14:paraId="47B352C6" w14:textId="77777777" w:rsidR="001A64C7" w:rsidRPr="00B91606" w:rsidRDefault="00B91606">
            <w:pPr>
              <w:rPr>
                <w:sz w:val="22"/>
                <w:szCs w:val="22"/>
              </w:rPr>
            </w:pPr>
            <w:r w:rsidRPr="00B91606">
              <w:rPr>
                <w:sz w:val="22"/>
                <w:szCs w:val="22"/>
              </w:rPr>
              <w:t>R-12-003-03-04-02-03</w:t>
            </w:r>
          </w:p>
        </w:tc>
        <w:tc>
          <w:tcPr>
            <w:tcW w:w="2410" w:type="dxa"/>
            <w:gridSpan w:val="2"/>
          </w:tcPr>
          <w:p w14:paraId="457B4B6C" w14:textId="77777777" w:rsidR="001A64C7" w:rsidRPr="00B91606" w:rsidRDefault="00B91606">
            <w:pPr>
              <w:rPr>
                <w:sz w:val="22"/>
                <w:szCs w:val="22"/>
              </w:rPr>
            </w:pPr>
            <w:r w:rsidRPr="00B91606">
              <w:rPr>
                <w:sz w:val="22"/>
                <w:szCs w:val="22"/>
              </w:rPr>
              <w:t>Skaičius</w:t>
            </w:r>
          </w:p>
        </w:tc>
        <w:tc>
          <w:tcPr>
            <w:tcW w:w="2381" w:type="dxa"/>
          </w:tcPr>
          <w:p w14:paraId="260951BE" w14:textId="77777777" w:rsidR="001A64C7" w:rsidRPr="00B91606" w:rsidRDefault="00B91606">
            <w:pPr>
              <w:rPr>
                <w:sz w:val="22"/>
                <w:szCs w:val="22"/>
              </w:rPr>
            </w:pPr>
            <w:r w:rsidRPr="00B91606">
              <w:rPr>
                <w:sz w:val="22"/>
                <w:szCs w:val="22"/>
              </w:rPr>
              <w:t>1</w:t>
            </w:r>
          </w:p>
        </w:tc>
      </w:tr>
      <w:tr w:rsidR="001A64C7" w14:paraId="49C7E621" w14:textId="77777777">
        <w:tc>
          <w:tcPr>
            <w:tcW w:w="9889" w:type="dxa"/>
            <w:gridSpan w:val="9"/>
          </w:tcPr>
          <w:p w14:paraId="43FC86B0" w14:textId="77777777" w:rsidR="001A64C7" w:rsidRDefault="00894D4A">
            <w:pPr>
              <w:rPr>
                <w:b/>
                <w:sz w:val="22"/>
                <w:szCs w:val="22"/>
              </w:rPr>
            </w:pPr>
            <w:r>
              <w:rPr>
                <w:b/>
                <w:sz w:val="22"/>
                <w:szCs w:val="22"/>
              </w:rPr>
              <w:t>IŠLAIDŲ TINKAMUMO FINANSUOTI REIKALAVIMAI</w:t>
            </w:r>
          </w:p>
        </w:tc>
      </w:tr>
      <w:tr w:rsidR="001A64C7" w14:paraId="3D57170C" w14:textId="77777777">
        <w:tc>
          <w:tcPr>
            <w:tcW w:w="675" w:type="dxa"/>
          </w:tcPr>
          <w:p w14:paraId="30535987" w14:textId="5FE0E3C5" w:rsidR="001A64C7" w:rsidRDefault="00894D4A" w:rsidP="00F8368A">
            <w:pPr>
              <w:keepNext/>
              <w:keepLines/>
              <w:spacing w:before="120" w:after="120"/>
              <w:outlineLvl w:val="1"/>
              <w:rPr>
                <w:color w:val="2E74B5"/>
                <w:sz w:val="26"/>
                <w:szCs w:val="26"/>
              </w:rPr>
            </w:pPr>
            <w:r>
              <w:rPr>
                <w:b/>
                <w:color w:val="000000"/>
                <w:sz w:val="22"/>
                <w:szCs w:val="22"/>
              </w:rPr>
              <w:t>3.7.</w:t>
            </w:r>
          </w:p>
        </w:tc>
        <w:tc>
          <w:tcPr>
            <w:tcW w:w="9214" w:type="dxa"/>
            <w:gridSpan w:val="8"/>
          </w:tcPr>
          <w:p w14:paraId="089E5608" w14:textId="77777777" w:rsidR="001A64C7" w:rsidRDefault="00894D4A" w:rsidP="00F8368A">
            <w:pPr>
              <w:spacing w:before="120" w:after="120"/>
              <w:jc w:val="both"/>
              <w:rPr>
                <w:b/>
                <w:sz w:val="22"/>
                <w:szCs w:val="22"/>
              </w:rPr>
            </w:pPr>
            <w:r>
              <w:rPr>
                <w:b/>
                <w:sz w:val="22"/>
                <w:szCs w:val="22"/>
              </w:rPr>
              <w:t>Išlaidų tinkamumo finansuoti reikalavimai</w:t>
            </w:r>
          </w:p>
        </w:tc>
      </w:tr>
      <w:tr w:rsidR="001A64C7" w14:paraId="14F8519A" w14:textId="77777777">
        <w:tc>
          <w:tcPr>
            <w:tcW w:w="675" w:type="dxa"/>
          </w:tcPr>
          <w:p w14:paraId="511BEC4B" w14:textId="77777777" w:rsidR="001A64C7" w:rsidRDefault="001A64C7">
            <w:pPr>
              <w:rPr>
                <w:sz w:val="4"/>
                <w:szCs w:val="4"/>
              </w:rPr>
            </w:pPr>
          </w:p>
          <w:p w14:paraId="3744D748" w14:textId="32FA0E3A" w:rsidR="001A64C7" w:rsidRDefault="00894D4A">
            <w:pPr>
              <w:keepNext/>
              <w:keepLines/>
              <w:ind w:left="576" w:hanging="576"/>
              <w:outlineLvl w:val="1"/>
              <w:rPr>
                <w:color w:val="2E74B5"/>
                <w:sz w:val="26"/>
                <w:szCs w:val="26"/>
              </w:rPr>
            </w:pPr>
            <w:r>
              <w:rPr>
                <w:b/>
                <w:color w:val="000000"/>
                <w:sz w:val="22"/>
                <w:szCs w:val="22"/>
              </w:rPr>
              <w:tab/>
            </w:r>
          </w:p>
        </w:tc>
        <w:tc>
          <w:tcPr>
            <w:tcW w:w="9214" w:type="dxa"/>
            <w:gridSpan w:val="8"/>
          </w:tcPr>
          <w:p w14:paraId="6703BD6B" w14:textId="393F6E61" w:rsidR="000A5646" w:rsidRPr="007572F4" w:rsidRDefault="000A5646" w:rsidP="000A5646">
            <w:pPr>
              <w:jc w:val="both"/>
              <w:rPr>
                <w:iCs/>
                <w:sz w:val="22"/>
                <w:szCs w:val="22"/>
              </w:rPr>
            </w:pPr>
            <w:r w:rsidRPr="007572F4">
              <w:rPr>
                <w:iCs/>
                <w:sz w:val="22"/>
                <w:szCs w:val="22"/>
              </w:rPr>
              <w:t xml:space="preserve">Planuojamos išlaidos turi atitikti </w:t>
            </w:r>
            <w:r w:rsidR="0092115C">
              <w:rPr>
                <w:iCs/>
                <w:sz w:val="22"/>
                <w:szCs w:val="22"/>
              </w:rPr>
              <w:t>PAFT VII skyriuje</w:t>
            </w:r>
            <w:r w:rsidRPr="007572F4">
              <w:rPr>
                <w:iCs/>
                <w:sz w:val="22"/>
                <w:szCs w:val="22"/>
              </w:rPr>
              <w:t xml:space="preserve"> išdėstytus projektų išlaidoms taikomus reikalavimus.</w:t>
            </w:r>
          </w:p>
          <w:p w14:paraId="1586B107" w14:textId="77777777" w:rsidR="000A5646" w:rsidRPr="007572F4" w:rsidRDefault="000A5646" w:rsidP="000A5646">
            <w:pPr>
              <w:tabs>
                <w:tab w:val="left" w:pos="344"/>
              </w:tabs>
              <w:spacing w:line="259" w:lineRule="auto"/>
              <w:jc w:val="both"/>
              <w:rPr>
                <w:iCs/>
                <w:sz w:val="22"/>
                <w:szCs w:val="22"/>
              </w:rPr>
            </w:pPr>
            <w:r w:rsidRPr="007572F4">
              <w:rPr>
                <w:iCs/>
                <w:sz w:val="22"/>
                <w:szCs w:val="22"/>
              </w:rPr>
              <w:t>Projekto įgyvendinimo plano parengimo išlaidos nėra finansuojamos</w:t>
            </w:r>
            <w:r w:rsidRPr="007572F4">
              <w:rPr>
                <w:sz w:val="22"/>
                <w:szCs w:val="22"/>
              </w:rPr>
              <w:t xml:space="preserve"> (</w:t>
            </w:r>
            <w:r w:rsidRPr="007572F4">
              <w:rPr>
                <w:iCs/>
                <w:sz w:val="22"/>
                <w:szCs w:val="22"/>
              </w:rPr>
              <w:t xml:space="preserve">išskyrus investicijų projekto rengimo išlaidos). </w:t>
            </w:r>
          </w:p>
          <w:p w14:paraId="6B421662" w14:textId="73108232" w:rsidR="000A5646" w:rsidRPr="007572F4" w:rsidRDefault="000A5646" w:rsidP="000A5646">
            <w:pPr>
              <w:tabs>
                <w:tab w:val="left" w:pos="344"/>
                <w:tab w:val="left" w:pos="420"/>
              </w:tabs>
              <w:jc w:val="both"/>
              <w:rPr>
                <w:bCs/>
                <w:sz w:val="22"/>
                <w:szCs w:val="22"/>
              </w:rPr>
            </w:pPr>
            <w:r w:rsidRPr="007572F4">
              <w:rPr>
                <w:bCs/>
                <w:sz w:val="22"/>
                <w:szCs w:val="22"/>
              </w:rPr>
              <w:t xml:space="preserve">Projektų išlaidos gali būti patirtos iki projekto sutarties pasirašymo, neprieštaraujant </w:t>
            </w:r>
            <w:r w:rsidR="0092115C">
              <w:rPr>
                <w:bCs/>
                <w:sz w:val="22"/>
                <w:szCs w:val="22"/>
              </w:rPr>
              <w:t xml:space="preserve">PAFT </w:t>
            </w:r>
            <w:r w:rsidRPr="007572F4">
              <w:rPr>
                <w:bCs/>
                <w:sz w:val="22"/>
                <w:szCs w:val="22"/>
              </w:rPr>
              <w:t>nuostatoms.</w:t>
            </w:r>
          </w:p>
          <w:p w14:paraId="61619A52" w14:textId="77777777" w:rsidR="000A5646" w:rsidRPr="007572F4" w:rsidRDefault="000A5646" w:rsidP="000A5646">
            <w:pPr>
              <w:tabs>
                <w:tab w:val="left" w:pos="344"/>
                <w:tab w:val="left" w:pos="540"/>
              </w:tabs>
              <w:jc w:val="both"/>
              <w:rPr>
                <w:sz w:val="22"/>
                <w:szCs w:val="22"/>
              </w:rPr>
            </w:pPr>
            <w:r w:rsidRPr="007572F4">
              <w:rPr>
                <w:sz w:val="22"/>
                <w:szCs w:val="22"/>
              </w:rPr>
              <w:t>Didžiausia galima projektų finansuojamoji dalis sudaro 100 proc. visų tinkamų finansuoti projekto išlaidų. Nuosavas įnašas neprivalomas. Pareiškėjas savo iniciatyva ir savo ir (arba) kitų šaltinių lėšomis gali prisidėti prie projekto įgyvendinimo.</w:t>
            </w:r>
          </w:p>
          <w:p w14:paraId="786A2B34" w14:textId="56A38FEB" w:rsidR="000A5646" w:rsidRDefault="000A5646" w:rsidP="000A5646">
            <w:pPr>
              <w:tabs>
                <w:tab w:val="left" w:pos="344"/>
              </w:tabs>
              <w:jc w:val="both"/>
              <w:rPr>
                <w:iCs/>
                <w:sz w:val="22"/>
                <w:szCs w:val="22"/>
              </w:rPr>
            </w:pPr>
            <w:r w:rsidRPr="007572F4">
              <w:rPr>
                <w:iCs/>
                <w:sz w:val="22"/>
                <w:szCs w:val="22"/>
              </w:rPr>
              <w:t xml:space="preserve">Projekto vykdytojui gali būti mokamas avansas, laikantis </w:t>
            </w:r>
            <w:r w:rsidRPr="007572F4">
              <w:rPr>
                <w:sz w:val="22"/>
                <w:szCs w:val="22"/>
                <w:shd w:val="clear" w:color="auto" w:fill="FFFFFF"/>
              </w:rPr>
              <w:t>P</w:t>
            </w:r>
            <w:r w:rsidR="0092115C">
              <w:rPr>
                <w:iCs/>
                <w:sz w:val="22"/>
                <w:szCs w:val="22"/>
              </w:rPr>
              <w:t>AFT</w:t>
            </w:r>
            <w:r w:rsidR="00827960">
              <w:rPr>
                <w:iCs/>
                <w:sz w:val="22"/>
                <w:szCs w:val="22"/>
              </w:rPr>
              <w:t xml:space="preserve"> </w:t>
            </w:r>
            <w:r w:rsidR="0092115C">
              <w:rPr>
                <w:iCs/>
                <w:sz w:val="22"/>
                <w:szCs w:val="22"/>
              </w:rPr>
              <w:t>155</w:t>
            </w:r>
            <w:r w:rsidR="00827960">
              <w:rPr>
                <w:iCs/>
                <w:sz w:val="22"/>
                <w:szCs w:val="22"/>
              </w:rPr>
              <w:t xml:space="preserve"> punkte</w:t>
            </w:r>
            <w:r w:rsidRPr="007572F4">
              <w:rPr>
                <w:sz w:val="22"/>
                <w:szCs w:val="22"/>
              </w:rPr>
              <w:t xml:space="preserve"> </w:t>
            </w:r>
            <w:r w:rsidRPr="007572F4">
              <w:rPr>
                <w:iCs/>
                <w:sz w:val="22"/>
                <w:szCs w:val="22"/>
              </w:rPr>
              <w:t>nustatytų reikalavimų.</w:t>
            </w:r>
          </w:p>
          <w:p w14:paraId="1C086DEB" w14:textId="77777777" w:rsidR="00827960" w:rsidRPr="007572F4" w:rsidRDefault="00827960" w:rsidP="000A5646">
            <w:pPr>
              <w:tabs>
                <w:tab w:val="left" w:pos="344"/>
              </w:tabs>
              <w:jc w:val="both"/>
              <w:rPr>
                <w:iCs/>
                <w:sz w:val="22"/>
                <w:szCs w:val="22"/>
              </w:rPr>
            </w:pPr>
          </w:p>
          <w:p w14:paraId="0A6D85F3" w14:textId="77777777" w:rsidR="000A5646" w:rsidRDefault="000A5646" w:rsidP="000A5646">
            <w:pPr>
              <w:tabs>
                <w:tab w:val="left" w:pos="344"/>
              </w:tabs>
              <w:jc w:val="both"/>
              <w:rPr>
                <w:iCs/>
                <w:sz w:val="22"/>
                <w:szCs w:val="22"/>
              </w:rPr>
            </w:pPr>
            <w:r w:rsidRPr="007572F4">
              <w:rPr>
                <w:iCs/>
                <w:sz w:val="22"/>
                <w:szCs w:val="22"/>
              </w:rPr>
              <w:t>Tinkamų fi</w:t>
            </w:r>
            <w:r w:rsidR="00827960">
              <w:rPr>
                <w:iCs/>
                <w:sz w:val="22"/>
                <w:szCs w:val="22"/>
              </w:rPr>
              <w:t>nansuoti išlaidų kategorijos yra</w:t>
            </w:r>
            <w:r w:rsidRPr="007572F4">
              <w:rPr>
                <w:iCs/>
                <w:sz w:val="22"/>
                <w:szCs w:val="22"/>
              </w:rPr>
              <w:t xml:space="preserve"> šios:</w:t>
            </w:r>
          </w:p>
          <w:p w14:paraId="26B869E2" w14:textId="77777777" w:rsidR="00827960" w:rsidRPr="007572F4" w:rsidRDefault="00827960" w:rsidP="000A5646">
            <w:pPr>
              <w:tabs>
                <w:tab w:val="left" w:pos="344"/>
              </w:tabs>
              <w:jc w:val="both"/>
              <w:rPr>
                <w:iCs/>
                <w:color w:val="808080"/>
                <w:sz w:val="22"/>
                <w:szCs w:val="22"/>
              </w:rPr>
            </w:pPr>
          </w:p>
          <w:p w14:paraId="0BC2DC32" w14:textId="77777777" w:rsidR="000A5646" w:rsidRPr="007572F4" w:rsidRDefault="000A5646" w:rsidP="000A5646">
            <w:pPr>
              <w:pStyle w:val="ListParagraph"/>
              <w:numPr>
                <w:ilvl w:val="0"/>
                <w:numId w:val="2"/>
              </w:numPr>
              <w:tabs>
                <w:tab w:val="left" w:pos="344"/>
              </w:tabs>
              <w:spacing w:line="259" w:lineRule="auto"/>
              <w:ind w:left="0" w:firstLine="0"/>
              <w:jc w:val="both"/>
              <w:rPr>
                <w:sz w:val="22"/>
                <w:szCs w:val="22"/>
              </w:rPr>
            </w:pPr>
            <w:r w:rsidRPr="007572F4">
              <w:rPr>
                <w:sz w:val="22"/>
                <w:szCs w:val="22"/>
                <w:lang w:eastAsia="lt-LT"/>
              </w:rPr>
              <w:t>Statyba, rekonstr</w:t>
            </w:r>
            <w:r w:rsidR="007F6F34">
              <w:rPr>
                <w:sz w:val="22"/>
                <w:szCs w:val="22"/>
                <w:lang w:eastAsia="lt-LT"/>
              </w:rPr>
              <w:t>avimas, remontas ir kiti darbai</w:t>
            </w:r>
            <w:r w:rsidRPr="007572F4">
              <w:rPr>
                <w:rFonts w:eastAsia="SimSun"/>
                <w:sz w:val="22"/>
                <w:szCs w:val="22"/>
              </w:rPr>
              <w:t>;</w:t>
            </w:r>
          </w:p>
          <w:p w14:paraId="4D861C84" w14:textId="77777777" w:rsidR="000A5646" w:rsidRPr="007572F4" w:rsidRDefault="000A5646" w:rsidP="000A5646">
            <w:pPr>
              <w:pStyle w:val="ListParagraph"/>
              <w:numPr>
                <w:ilvl w:val="0"/>
                <w:numId w:val="2"/>
              </w:numPr>
              <w:tabs>
                <w:tab w:val="left" w:pos="344"/>
              </w:tabs>
              <w:spacing w:line="259" w:lineRule="auto"/>
              <w:ind w:left="0" w:firstLine="0"/>
              <w:jc w:val="both"/>
              <w:rPr>
                <w:sz w:val="22"/>
                <w:szCs w:val="22"/>
              </w:rPr>
            </w:pPr>
            <w:r w:rsidRPr="007572F4">
              <w:rPr>
                <w:sz w:val="22"/>
                <w:szCs w:val="22"/>
                <w:lang w:eastAsia="lt-LT"/>
              </w:rPr>
              <w:t>Įranga, įrenginiai ir kitas turtas</w:t>
            </w:r>
            <w:r w:rsidR="007F6F34">
              <w:rPr>
                <w:sz w:val="22"/>
                <w:szCs w:val="22"/>
                <w:lang w:eastAsia="lt-LT"/>
              </w:rPr>
              <w:t xml:space="preserve">: </w:t>
            </w:r>
            <w:r w:rsidR="007F6F34">
              <w:rPr>
                <w:sz w:val="22"/>
                <w:szCs w:val="22"/>
              </w:rPr>
              <w:t>p</w:t>
            </w:r>
            <w:r w:rsidR="007F6F34" w:rsidRPr="00460705">
              <w:rPr>
                <w:sz w:val="22"/>
                <w:szCs w:val="22"/>
              </w:rPr>
              <w:t>rojekto veikloms vykdyti būtino materialaus / nematerialaus trumpalaikio / ilgalaikio turto (baldų, kompiuterinės technikos, programinės įrangos, duomenų bazių, kitos įrangos, įrenginių, licencijų ir kito ilgalaikio ar trumpalaikio turto įsigijimo, nuomos ir lizingo (finansinės nuomos) išlaidos, taip pat programinės įrangos kūrimo, informacinių sistemų kūrimo ir (ar) modernizavimo, įskaitant informacinių sistemų projektavimo, techninės priežiūros ir kitas susijusias išlaidas) išlaidos prekėms ir paslaugoms.</w:t>
            </w:r>
            <w:r w:rsidR="007F6F34" w:rsidRPr="00460705">
              <w:t xml:space="preserve"> Taip pat k</w:t>
            </w:r>
            <w:r w:rsidR="007F6F34" w:rsidRPr="00460705">
              <w:rPr>
                <w:sz w:val="22"/>
                <w:szCs w:val="22"/>
              </w:rPr>
              <w:t>itos įstaigų reorganizavi</w:t>
            </w:r>
            <w:r w:rsidR="007F6F34">
              <w:rPr>
                <w:sz w:val="22"/>
                <w:szCs w:val="22"/>
              </w:rPr>
              <w:t>mui būtinos prekės ir paslaugos</w:t>
            </w:r>
            <w:r w:rsidRPr="007572F4">
              <w:rPr>
                <w:sz w:val="22"/>
                <w:szCs w:val="22"/>
                <w:lang w:eastAsia="lt-LT"/>
              </w:rPr>
              <w:t>;</w:t>
            </w:r>
          </w:p>
          <w:p w14:paraId="2D00D031" w14:textId="77777777" w:rsidR="000A5646" w:rsidRPr="007572F4" w:rsidRDefault="000A5646" w:rsidP="000A5646">
            <w:pPr>
              <w:pStyle w:val="ListParagraph"/>
              <w:numPr>
                <w:ilvl w:val="0"/>
                <w:numId w:val="2"/>
              </w:numPr>
              <w:tabs>
                <w:tab w:val="left" w:pos="344"/>
              </w:tabs>
              <w:spacing w:line="259" w:lineRule="auto"/>
              <w:ind w:left="0" w:firstLine="0"/>
              <w:jc w:val="both"/>
              <w:rPr>
                <w:sz w:val="22"/>
                <w:szCs w:val="22"/>
                <w:lang w:eastAsia="lt-LT"/>
              </w:rPr>
            </w:pPr>
            <w:r w:rsidRPr="007572F4">
              <w:rPr>
                <w:sz w:val="22"/>
                <w:szCs w:val="22"/>
                <w:lang w:eastAsia="lt-LT"/>
              </w:rPr>
              <w:t>Projekto vykdymas (paslaugos ir darbo užmokestis)</w:t>
            </w:r>
            <w:r w:rsidR="007F6F34">
              <w:rPr>
                <w:sz w:val="22"/>
                <w:szCs w:val="22"/>
                <w:lang w:eastAsia="lt-LT"/>
              </w:rPr>
              <w:t xml:space="preserve">: </w:t>
            </w:r>
            <w:r w:rsidR="007F6F34">
              <w:rPr>
                <w:sz w:val="22"/>
                <w:szCs w:val="22"/>
              </w:rPr>
              <w:t>i</w:t>
            </w:r>
            <w:r w:rsidR="007F6F34" w:rsidRPr="00460705">
              <w:rPr>
                <w:sz w:val="22"/>
                <w:szCs w:val="22"/>
              </w:rPr>
              <w:t xml:space="preserve">šeitinės </w:t>
            </w:r>
            <w:r w:rsidR="007F6F34" w:rsidRPr="008078A1">
              <w:rPr>
                <w:sz w:val="22"/>
                <w:szCs w:val="22"/>
              </w:rPr>
              <w:t>išmokos MITA ir LMT valstybės</w:t>
            </w:r>
            <w:r w:rsidR="007F6F34">
              <w:rPr>
                <w:sz w:val="22"/>
                <w:szCs w:val="22"/>
              </w:rPr>
              <w:t xml:space="preserve"> tarnautojams ir </w:t>
            </w:r>
            <w:r w:rsidR="007F6F34" w:rsidRPr="00460705">
              <w:rPr>
                <w:sz w:val="22"/>
                <w:szCs w:val="22"/>
              </w:rPr>
              <w:t xml:space="preserve">darbuotojams, nesutikusiems tęsti </w:t>
            </w:r>
            <w:r w:rsidR="007F6F34">
              <w:rPr>
                <w:sz w:val="22"/>
                <w:szCs w:val="22"/>
              </w:rPr>
              <w:t xml:space="preserve">valstybės tarnybos ir </w:t>
            </w:r>
            <w:r w:rsidR="007F6F34" w:rsidRPr="00460705">
              <w:rPr>
                <w:sz w:val="22"/>
                <w:szCs w:val="22"/>
              </w:rPr>
              <w:t xml:space="preserve">darbo santykių Lietuvos mokslo taryboje po </w:t>
            </w:r>
            <w:r w:rsidR="007F6F34">
              <w:rPr>
                <w:sz w:val="22"/>
                <w:szCs w:val="22"/>
              </w:rPr>
              <w:t xml:space="preserve">MITA </w:t>
            </w:r>
            <w:r w:rsidR="007F6F34" w:rsidRPr="00460705">
              <w:rPr>
                <w:sz w:val="22"/>
                <w:szCs w:val="22"/>
              </w:rPr>
              <w:t>reorganizacijos, taip pat ilgalaikio darbo išmokos, apskaičiuotos pagal Lietuvos Respublikos garantijų darbuotojams jų darbdaviui tapus nemokiu ir ilgalaikio darbo išmokų įstatymo nuostatas. Darbuotojų kompetencijų k</w:t>
            </w:r>
            <w:r w:rsidR="007F6F34">
              <w:rPr>
                <w:sz w:val="22"/>
                <w:szCs w:val="22"/>
              </w:rPr>
              <w:t>ėlimo ir komandiruočių išlaidos</w:t>
            </w:r>
            <w:r w:rsidRPr="007572F4">
              <w:rPr>
                <w:sz w:val="22"/>
                <w:szCs w:val="22"/>
                <w:lang w:eastAsia="lt-LT"/>
              </w:rPr>
              <w:t>;</w:t>
            </w:r>
          </w:p>
          <w:p w14:paraId="133FB248" w14:textId="68265FCC" w:rsidR="000A5646" w:rsidRPr="007572F4" w:rsidRDefault="000A5646" w:rsidP="000A5646">
            <w:pPr>
              <w:pStyle w:val="ListParagraph"/>
              <w:numPr>
                <w:ilvl w:val="0"/>
                <w:numId w:val="2"/>
              </w:numPr>
              <w:tabs>
                <w:tab w:val="left" w:pos="344"/>
              </w:tabs>
              <w:ind w:left="0" w:firstLine="0"/>
              <w:jc w:val="both"/>
              <w:rPr>
                <w:bCs/>
                <w:sz w:val="22"/>
                <w:szCs w:val="22"/>
              </w:rPr>
            </w:pPr>
            <w:r w:rsidRPr="007572F4">
              <w:rPr>
                <w:sz w:val="22"/>
                <w:szCs w:val="22"/>
                <w:lang w:eastAsia="lt-LT"/>
              </w:rPr>
              <w:t xml:space="preserve">Informavimas apie projektą: </w:t>
            </w:r>
            <w:r w:rsidRPr="007572F4">
              <w:rPr>
                <w:bCs/>
                <w:sz w:val="22"/>
                <w:szCs w:val="22"/>
              </w:rPr>
              <w:t>Privalomos pr</w:t>
            </w:r>
            <w:r w:rsidRPr="008D0EA9">
              <w:rPr>
                <w:bCs/>
                <w:sz w:val="22"/>
                <w:szCs w:val="22"/>
              </w:rPr>
              <w:t xml:space="preserve">ojektų matomumo ir informavimo apie projektus priemonės pagal </w:t>
            </w:r>
            <w:r w:rsidR="008D0EA9" w:rsidRPr="008D0EA9">
              <w:rPr>
                <w:bCs/>
                <w:sz w:val="22"/>
                <w:szCs w:val="22"/>
              </w:rPr>
              <w:t>PAFT 341.1-341.5</w:t>
            </w:r>
            <w:r w:rsidR="00BE26D5">
              <w:rPr>
                <w:bCs/>
                <w:sz w:val="22"/>
                <w:szCs w:val="22"/>
              </w:rPr>
              <w:t xml:space="preserve"> </w:t>
            </w:r>
            <w:r w:rsidRPr="008D0EA9">
              <w:rPr>
                <w:bCs/>
                <w:sz w:val="22"/>
                <w:szCs w:val="22"/>
              </w:rPr>
              <w:t xml:space="preserve">papunkčius. Išlaidos aptartos </w:t>
            </w:r>
            <w:r w:rsidRPr="008D0EA9">
              <w:rPr>
                <w:bCs/>
                <w:sz w:val="22"/>
                <w:szCs w:val="22"/>
                <w:lang w:val="en-US"/>
              </w:rPr>
              <w:t>3.9</w:t>
            </w:r>
            <w:r w:rsidRPr="008D0EA9">
              <w:rPr>
                <w:bCs/>
                <w:sz w:val="22"/>
                <w:szCs w:val="22"/>
              </w:rPr>
              <w:t xml:space="preserve"> papunktyje.</w:t>
            </w:r>
          </w:p>
          <w:p w14:paraId="0DA73CC4" w14:textId="77777777" w:rsidR="000A5646" w:rsidRPr="007572F4" w:rsidRDefault="000A5646" w:rsidP="000A5646">
            <w:pPr>
              <w:pStyle w:val="ListParagraph"/>
              <w:numPr>
                <w:ilvl w:val="0"/>
                <w:numId w:val="2"/>
              </w:numPr>
              <w:tabs>
                <w:tab w:val="left" w:pos="344"/>
              </w:tabs>
              <w:spacing w:line="259" w:lineRule="auto"/>
              <w:ind w:left="0" w:firstLine="0"/>
              <w:jc w:val="both"/>
              <w:rPr>
                <w:bCs/>
                <w:sz w:val="22"/>
                <w:szCs w:val="22"/>
              </w:rPr>
            </w:pPr>
            <w:r w:rsidRPr="007572F4">
              <w:rPr>
                <w:sz w:val="22"/>
                <w:szCs w:val="22"/>
                <w:lang w:eastAsia="lt-LT"/>
              </w:rPr>
              <w:t xml:space="preserve">Netiesioginės išlaidos ir kitos išlaidos pagal fiksuotąją projekto išlaidų normą. </w:t>
            </w:r>
            <w:r w:rsidRPr="007572F4">
              <w:rPr>
                <w:bCs/>
                <w:sz w:val="22"/>
                <w:szCs w:val="22"/>
              </w:rPr>
              <w:t xml:space="preserve">Tinkama finansuoti. Išlaidos aptartos </w:t>
            </w:r>
            <w:r w:rsidRPr="007572F4">
              <w:rPr>
                <w:bCs/>
                <w:sz w:val="22"/>
                <w:szCs w:val="22"/>
                <w:lang w:val="en-US"/>
              </w:rPr>
              <w:t>3.9</w:t>
            </w:r>
            <w:r w:rsidRPr="007572F4">
              <w:rPr>
                <w:bCs/>
                <w:sz w:val="22"/>
                <w:szCs w:val="22"/>
              </w:rPr>
              <w:t xml:space="preserve"> papunktyje.</w:t>
            </w:r>
          </w:p>
          <w:p w14:paraId="63D2DF0D" w14:textId="77777777" w:rsidR="000A5646" w:rsidRPr="007572F4" w:rsidRDefault="000A5646" w:rsidP="000A5646">
            <w:pPr>
              <w:tabs>
                <w:tab w:val="left" w:pos="344"/>
              </w:tabs>
              <w:spacing w:line="259" w:lineRule="auto"/>
              <w:jc w:val="both"/>
              <w:rPr>
                <w:bCs/>
                <w:sz w:val="22"/>
                <w:szCs w:val="22"/>
              </w:rPr>
            </w:pPr>
          </w:p>
          <w:p w14:paraId="2BC3EA3D" w14:textId="39074AF6" w:rsidR="000A5646" w:rsidRPr="007572F4" w:rsidRDefault="000A5646" w:rsidP="000A5646">
            <w:pPr>
              <w:tabs>
                <w:tab w:val="left" w:pos="344"/>
                <w:tab w:val="left" w:pos="825"/>
              </w:tabs>
              <w:jc w:val="both"/>
              <w:rPr>
                <w:sz w:val="22"/>
                <w:szCs w:val="22"/>
              </w:rPr>
            </w:pPr>
            <w:r w:rsidRPr="007572F4">
              <w:rPr>
                <w:sz w:val="22"/>
                <w:szCs w:val="22"/>
              </w:rPr>
              <w:t xml:space="preserve">Netiesioginės išlaidos apmokamos, taikant fiksuotąją normą pagal </w:t>
            </w:r>
            <w:r w:rsidR="00C809E5">
              <w:rPr>
                <w:sz w:val="22"/>
                <w:szCs w:val="22"/>
              </w:rPr>
              <w:t>PAFT 332.1</w:t>
            </w:r>
            <w:r w:rsidR="00BE26D5">
              <w:rPr>
                <w:sz w:val="22"/>
                <w:szCs w:val="22"/>
              </w:rPr>
              <w:t xml:space="preserve"> </w:t>
            </w:r>
            <w:r w:rsidRPr="007572F4">
              <w:rPr>
                <w:sz w:val="22"/>
                <w:szCs w:val="22"/>
              </w:rPr>
              <w:t>papunktį.</w:t>
            </w:r>
          </w:p>
          <w:p w14:paraId="15FDEAF2" w14:textId="77777777" w:rsidR="000A5646" w:rsidRPr="007572F4" w:rsidRDefault="000A5646" w:rsidP="000A5646">
            <w:pPr>
              <w:tabs>
                <w:tab w:val="left" w:pos="344"/>
              </w:tabs>
              <w:jc w:val="both"/>
              <w:rPr>
                <w:sz w:val="22"/>
                <w:szCs w:val="22"/>
              </w:rPr>
            </w:pPr>
            <w:r w:rsidRPr="007572F4">
              <w:rPr>
                <w:sz w:val="22"/>
                <w:szCs w:val="22"/>
              </w:rPr>
              <w:t>Projektų įgyvendinimo metu Administruojančiajai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492B1603" w14:textId="77777777" w:rsidR="001A64C7" w:rsidRDefault="001A64C7">
            <w:pPr>
              <w:jc w:val="both"/>
              <w:rPr>
                <w:i/>
                <w:iCs/>
                <w:color w:val="808080"/>
                <w:sz w:val="22"/>
                <w:szCs w:val="22"/>
              </w:rPr>
            </w:pPr>
          </w:p>
        </w:tc>
      </w:tr>
      <w:tr w:rsidR="001A64C7" w14:paraId="17DA1CD9" w14:textId="77777777" w:rsidTr="00F8368A">
        <w:trPr>
          <w:trHeight w:val="331"/>
        </w:trPr>
        <w:tc>
          <w:tcPr>
            <w:tcW w:w="675" w:type="dxa"/>
          </w:tcPr>
          <w:p w14:paraId="155F32A0" w14:textId="77777777" w:rsidR="001A64C7" w:rsidRDefault="001A64C7">
            <w:pPr>
              <w:rPr>
                <w:sz w:val="4"/>
                <w:szCs w:val="4"/>
              </w:rPr>
            </w:pPr>
          </w:p>
          <w:p w14:paraId="0025E804" w14:textId="07AB95AB" w:rsidR="001A64C7" w:rsidRDefault="00894D4A" w:rsidP="00F8368A">
            <w:pPr>
              <w:keepNext/>
              <w:keepLines/>
              <w:ind w:left="576" w:hanging="576"/>
              <w:outlineLvl w:val="1"/>
              <w:rPr>
                <w:color w:val="2E74B5"/>
                <w:sz w:val="26"/>
                <w:szCs w:val="26"/>
              </w:rPr>
            </w:pPr>
            <w:r>
              <w:rPr>
                <w:b/>
                <w:color w:val="000000"/>
                <w:sz w:val="22"/>
                <w:szCs w:val="22"/>
              </w:rPr>
              <w:t>3.8.</w:t>
            </w:r>
          </w:p>
        </w:tc>
        <w:tc>
          <w:tcPr>
            <w:tcW w:w="9214" w:type="dxa"/>
            <w:gridSpan w:val="8"/>
          </w:tcPr>
          <w:p w14:paraId="4942844B" w14:textId="77777777" w:rsidR="001A64C7" w:rsidRDefault="00894D4A">
            <w:pPr>
              <w:jc w:val="both"/>
              <w:rPr>
                <w:i/>
                <w:iCs/>
                <w:color w:val="808080"/>
                <w:sz w:val="22"/>
                <w:szCs w:val="22"/>
              </w:rPr>
            </w:pPr>
            <w:r>
              <w:rPr>
                <w:b/>
                <w:sz w:val="22"/>
                <w:szCs w:val="22"/>
              </w:rPr>
              <w:t>Kryžminis finansavimas</w:t>
            </w:r>
          </w:p>
        </w:tc>
      </w:tr>
      <w:tr w:rsidR="001A64C7" w14:paraId="6DB0BF0A" w14:textId="77777777">
        <w:tc>
          <w:tcPr>
            <w:tcW w:w="675" w:type="dxa"/>
          </w:tcPr>
          <w:p w14:paraId="25916C67" w14:textId="77777777" w:rsidR="001A64C7" w:rsidRDefault="001A64C7">
            <w:pPr>
              <w:rPr>
                <w:sz w:val="4"/>
                <w:szCs w:val="4"/>
              </w:rPr>
            </w:pPr>
          </w:p>
          <w:p w14:paraId="56F86E67" w14:textId="06808E18" w:rsidR="001A64C7" w:rsidRDefault="00894D4A">
            <w:pPr>
              <w:keepNext/>
              <w:keepLines/>
              <w:ind w:left="576" w:hanging="576"/>
              <w:outlineLvl w:val="1"/>
              <w:rPr>
                <w:color w:val="2E74B5"/>
                <w:sz w:val="26"/>
                <w:szCs w:val="26"/>
              </w:rPr>
            </w:pPr>
            <w:r>
              <w:rPr>
                <w:b/>
                <w:color w:val="000000"/>
                <w:sz w:val="22"/>
                <w:szCs w:val="22"/>
              </w:rPr>
              <w:tab/>
            </w:r>
          </w:p>
        </w:tc>
        <w:tc>
          <w:tcPr>
            <w:tcW w:w="9214" w:type="dxa"/>
            <w:gridSpan w:val="8"/>
          </w:tcPr>
          <w:p w14:paraId="13B04E19" w14:textId="77777777" w:rsidR="001A64C7" w:rsidRDefault="000A5646">
            <w:pPr>
              <w:jc w:val="both"/>
              <w:rPr>
                <w:i/>
                <w:iCs/>
                <w:color w:val="808080"/>
                <w:sz w:val="22"/>
                <w:szCs w:val="22"/>
              </w:rPr>
            </w:pPr>
            <w:r w:rsidRPr="000A5646">
              <w:rPr>
                <w:sz w:val="22"/>
                <w:szCs w:val="22"/>
              </w:rPr>
              <w:t>Netaikomas</w:t>
            </w:r>
          </w:p>
        </w:tc>
      </w:tr>
      <w:tr w:rsidR="001A64C7" w14:paraId="34352679" w14:textId="77777777" w:rsidTr="00F8368A">
        <w:trPr>
          <w:trHeight w:val="447"/>
        </w:trPr>
        <w:tc>
          <w:tcPr>
            <w:tcW w:w="675" w:type="dxa"/>
          </w:tcPr>
          <w:p w14:paraId="309DD80C" w14:textId="77777777" w:rsidR="001A64C7" w:rsidRDefault="001A64C7">
            <w:pPr>
              <w:rPr>
                <w:sz w:val="4"/>
                <w:szCs w:val="4"/>
              </w:rPr>
            </w:pPr>
          </w:p>
          <w:p w14:paraId="3276101D" w14:textId="34C0DDC4" w:rsidR="001A64C7" w:rsidRDefault="00894D4A" w:rsidP="00F8368A">
            <w:pPr>
              <w:keepNext/>
              <w:keepLines/>
              <w:ind w:left="576" w:hanging="576"/>
              <w:outlineLvl w:val="1"/>
              <w:rPr>
                <w:color w:val="2E74B5"/>
                <w:sz w:val="26"/>
                <w:szCs w:val="26"/>
              </w:rPr>
            </w:pPr>
            <w:r>
              <w:rPr>
                <w:b/>
                <w:color w:val="000000"/>
                <w:sz w:val="22"/>
                <w:szCs w:val="22"/>
              </w:rPr>
              <w:t>3.9.</w:t>
            </w:r>
          </w:p>
        </w:tc>
        <w:tc>
          <w:tcPr>
            <w:tcW w:w="9214" w:type="dxa"/>
            <w:gridSpan w:val="8"/>
          </w:tcPr>
          <w:p w14:paraId="7654F482" w14:textId="77777777" w:rsidR="001A64C7" w:rsidRDefault="00894D4A">
            <w:pPr>
              <w:rPr>
                <w:sz w:val="22"/>
                <w:szCs w:val="22"/>
              </w:rPr>
            </w:pPr>
            <w:r>
              <w:rPr>
                <w:b/>
                <w:sz w:val="22"/>
                <w:szCs w:val="22"/>
              </w:rPr>
              <w:t>Projektų veiklų įgyvendinimui taikomi supaprastintai apmokamų išlaidų dydžiai</w:t>
            </w:r>
          </w:p>
        </w:tc>
      </w:tr>
      <w:tr w:rsidR="001A64C7" w14:paraId="1C903E6B" w14:textId="77777777">
        <w:tc>
          <w:tcPr>
            <w:tcW w:w="675" w:type="dxa"/>
            <w:vMerge w:val="restart"/>
          </w:tcPr>
          <w:p w14:paraId="7611C48C" w14:textId="77777777" w:rsidR="001A64C7" w:rsidRDefault="001A64C7">
            <w:pPr>
              <w:rPr>
                <w:sz w:val="4"/>
                <w:szCs w:val="4"/>
              </w:rPr>
            </w:pPr>
          </w:p>
          <w:p w14:paraId="22AE31D6" w14:textId="125CBD7F" w:rsidR="001A64C7" w:rsidRDefault="00894D4A">
            <w:pPr>
              <w:keepNext/>
              <w:keepLines/>
              <w:ind w:left="576" w:hanging="576"/>
              <w:outlineLvl w:val="1"/>
              <w:rPr>
                <w:color w:val="2E74B5"/>
                <w:sz w:val="26"/>
                <w:szCs w:val="26"/>
              </w:rPr>
            </w:pPr>
            <w:r>
              <w:rPr>
                <w:b/>
                <w:color w:val="000000"/>
                <w:sz w:val="22"/>
                <w:szCs w:val="22"/>
              </w:rPr>
              <w:tab/>
            </w:r>
          </w:p>
        </w:tc>
        <w:tc>
          <w:tcPr>
            <w:tcW w:w="9214" w:type="dxa"/>
            <w:gridSpan w:val="8"/>
          </w:tcPr>
          <w:p w14:paraId="0FBAA5B4" w14:textId="77777777" w:rsidR="001A64C7" w:rsidRDefault="000A5646">
            <w:pPr>
              <w:rPr>
                <w:b/>
                <w:sz w:val="22"/>
                <w:szCs w:val="22"/>
              </w:rPr>
            </w:pPr>
            <w:r>
              <w:rPr>
                <w:rFonts w:ascii="MS Gothic" w:eastAsia="MS Gothic" w:hAnsi="MS Gothic" w:hint="eastAsia"/>
                <w:b/>
                <w:sz w:val="22"/>
                <w:szCs w:val="22"/>
              </w:rPr>
              <w:t>×</w:t>
            </w:r>
            <w:r w:rsidR="00894D4A">
              <w:rPr>
                <w:b/>
                <w:sz w:val="22"/>
                <w:szCs w:val="22"/>
              </w:rPr>
              <w:t>Indeksuojama</w:t>
            </w:r>
          </w:p>
          <w:p w14:paraId="06739E65" w14:textId="77777777" w:rsidR="001A64C7" w:rsidRDefault="00894D4A">
            <w:pPr>
              <w:rPr>
                <w:b/>
                <w:sz w:val="22"/>
                <w:szCs w:val="22"/>
              </w:rPr>
            </w:pPr>
            <w:r>
              <w:rPr>
                <w:rFonts w:ascii="MS Gothic" w:eastAsia="MS Gothic" w:hAnsi="MS Gothic"/>
                <w:b/>
                <w:sz w:val="22"/>
                <w:szCs w:val="22"/>
              </w:rPr>
              <w:t>☐</w:t>
            </w:r>
            <w:r>
              <w:rPr>
                <w:b/>
                <w:sz w:val="22"/>
                <w:szCs w:val="22"/>
              </w:rPr>
              <w:t xml:space="preserve"> Neindeksuojama</w:t>
            </w:r>
          </w:p>
        </w:tc>
      </w:tr>
      <w:tr w:rsidR="001A64C7" w14:paraId="19915D15" w14:textId="77777777" w:rsidTr="00F8368A">
        <w:tc>
          <w:tcPr>
            <w:tcW w:w="675" w:type="dxa"/>
            <w:vMerge/>
          </w:tcPr>
          <w:p w14:paraId="64B74B69" w14:textId="77777777" w:rsidR="001A64C7" w:rsidRDefault="001A64C7">
            <w:pPr>
              <w:rPr>
                <w:sz w:val="22"/>
                <w:szCs w:val="22"/>
              </w:rPr>
            </w:pPr>
          </w:p>
        </w:tc>
        <w:tc>
          <w:tcPr>
            <w:tcW w:w="1730" w:type="dxa"/>
          </w:tcPr>
          <w:p w14:paraId="66D4F25A" w14:textId="77777777" w:rsidR="001A64C7" w:rsidRDefault="00894D4A">
            <w:pPr>
              <w:rPr>
                <w:b/>
                <w:sz w:val="22"/>
                <w:szCs w:val="22"/>
              </w:rPr>
            </w:pPr>
            <w:r>
              <w:rPr>
                <w:b/>
                <w:sz w:val="22"/>
                <w:szCs w:val="22"/>
              </w:rPr>
              <w:t>Supaprastintai apmokamų išlaidų dydžio kodas</w:t>
            </w:r>
          </w:p>
        </w:tc>
        <w:tc>
          <w:tcPr>
            <w:tcW w:w="1701" w:type="dxa"/>
            <w:gridSpan w:val="3"/>
          </w:tcPr>
          <w:p w14:paraId="12626687" w14:textId="77777777" w:rsidR="001A64C7" w:rsidRDefault="00894D4A">
            <w:pPr>
              <w:rPr>
                <w:b/>
                <w:sz w:val="22"/>
                <w:szCs w:val="22"/>
              </w:rPr>
            </w:pPr>
            <w:r>
              <w:rPr>
                <w:b/>
                <w:sz w:val="22"/>
                <w:szCs w:val="22"/>
              </w:rPr>
              <w:t>Supaprastintai apmokamų išlaidų dydžio versija</w:t>
            </w:r>
          </w:p>
        </w:tc>
        <w:tc>
          <w:tcPr>
            <w:tcW w:w="3119" w:type="dxa"/>
            <w:gridSpan w:val="2"/>
          </w:tcPr>
          <w:p w14:paraId="6403F7DF" w14:textId="77777777" w:rsidR="001A64C7" w:rsidRDefault="00894D4A">
            <w:pPr>
              <w:rPr>
                <w:b/>
                <w:sz w:val="22"/>
                <w:szCs w:val="22"/>
              </w:rPr>
            </w:pPr>
            <w:r>
              <w:rPr>
                <w:b/>
                <w:sz w:val="22"/>
                <w:szCs w:val="22"/>
              </w:rPr>
              <w:t>Supaprastintai apmokamų išlaidų dydžio pavadinimas</w:t>
            </w:r>
          </w:p>
        </w:tc>
        <w:tc>
          <w:tcPr>
            <w:tcW w:w="2664" w:type="dxa"/>
            <w:gridSpan w:val="2"/>
          </w:tcPr>
          <w:p w14:paraId="07491403" w14:textId="77777777" w:rsidR="001A64C7" w:rsidRDefault="00894D4A">
            <w:pPr>
              <w:rPr>
                <w:b/>
                <w:sz w:val="22"/>
                <w:szCs w:val="22"/>
              </w:rPr>
            </w:pPr>
            <w:r>
              <w:rPr>
                <w:b/>
                <w:sz w:val="22"/>
                <w:szCs w:val="22"/>
              </w:rPr>
              <w:t xml:space="preserve">Supaprastintai apmokamų išlaidų dydžio nustatymo aprašas </w:t>
            </w:r>
          </w:p>
        </w:tc>
      </w:tr>
      <w:tr w:rsidR="00FD44BC" w14:paraId="33A674CF" w14:textId="77777777" w:rsidTr="00F8368A">
        <w:trPr>
          <w:trHeight w:val="451"/>
        </w:trPr>
        <w:tc>
          <w:tcPr>
            <w:tcW w:w="675" w:type="dxa"/>
            <w:vMerge/>
          </w:tcPr>
          <w:p w14:paraId="78ACA5A0" w14:textId="77777777" w:rsidR="00FD44BC" w:rsidRDefault="00FD44BC" w:rsidP="00FD44BC">
            <w:pPr>
              <w:rPr>
                <w:sz w:val="22"/>
                <w:szCs w:val="22"/>
              </w:rPr>
            </w:pPr>
          </w:p>
        </w:tc>
        <w:tc>
          <w:tcPr>
            <w:tcW w:w="1730" w:type="dxa"/>
          </w:tcPr>
          <w:p w14:paraId="125AD168" w14:textId="77777777" w:rsidR="00FD44BC" w:rsidRPr="007572F4" w:rsidRDefault="00FD44BC" w:rsidP="00FD44BC">
            <w:pPr>
              <w:rPr>
                <w:iCs/>
                <w:sz w:val="22"/>
                <w:szCs w:val="22"/>
              </w:rPr>
            </w:pPr>
            <w:r w:rsidRPr="007572F4">
              <w:rPr>
                <w:iCs/>
                <w:sz w:val="22"/>
                <w:szCs w:val="22"/>
              </w:rPr>
              <w:t>FN-01</w:t>
            </w:r>
          </w:p>
        </w:tc>
        <w:tc>
          <w:tcPr>
            <w:tcW w:w="1701" w:type="dxa"/>
            <w:gridSpan w:val="3"/>
          </w:tcPr>
          <w:p w14:paraId="41203402" w14:textId="77777777" w:rsidR="00FD44BC" w:rsidRPr="007572F4" w:rsidRDefault="00FD44BC" w:rsidP="00FD44BC">
            <w:pPr>
              <w:rPr>
                <w:sz w:val="22"/>
                <w:szCs w:val="22"/>
                <w:lang w:val="en-US"/>
              </w:rPr>
            </w:pPr>
            <w:r w:rsidRPr="007572F4">
              <w:rPr>
                <w:sz w:val="22"/>
                <w:szCs w:val="22"/>
              </w:rPr>
              <w:t>01</w:t>
            </w:r>
          </w:p>
        </w:tc>
        <w:tc>
          <w:tcPr>
            <w:tcW w:w="3119" w:type="dxa"/>
            <w:gridSpan w:val="2"/>
          </w:tcPr>
          <w:p w14:paraId="0B781788" w14:textId="77777777" w:rsidR="00FD44BC" w:rsidRPr="007572F4" w:rsidRDefault="00FD44BC" w:rsidP="00FD44BC">
            <w:pPr>
              <w:rPr>
                <w:iCs/>
                <w:sz w:val="22"/>
                <w:szCs w:val="22"/>
              </w:rPr>
            </w:pPr>
            <w:r w:rsidRPr="007572F4">
              <w:rPr>
                <w:sz w:val="22"/>
                <w:szCs w:val="22"/>
                <w:lang w:eastAsia="lt-LT"/>
              </w:rPr>
              <w:t>7 proc. netiesioginių išlaidų fiksuotoji norma</w:t>
            </w:r>
          </w:p>
        </w:tc>
        <w:tc>
          <w:tcPr>
            <w:tcW w:w="2664" w:type="dxa"/>
            <w:gridSpan w:val="2"/>
          </w:tcPr>
          <w:p w14:paraId="192B77FA" w14:textId="77777777" w:rsidR="00FD44BC" w:rsidRPr="007572F4" w:rsidRDefault="00FD44BC" w:rsidP="00FD44BC">
            <w:pPr>
              <w:jc w:val="both"/>
              <w:rPr>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0DEA7689" w14:textId="77777777" w:rsidTr="00F8368A">
        <w:trPr>
          <w:trHeight w:val="451"/>
        </w:trPr>
        <w:tc>
          <w:tcPr>
            <w:tcW w:w="675" w:type="dxa"/>
            <w:vMerge/>
          </w:tcPr>
          <w:p w14:paraId="13DBEB84" w14:textId="77777777" w:rsidR="00FD44BC" w:rsidRDefault="00FD44BC" w:rsidP="00FD44BC">
            <w:pPr>
              <w:rPr>
                <w:sz w:val="22"/>
                <w:szCs w:val="22"/>
              </w:rPr>
            </w:pPr>
          </w:p>
        </w:tc>
        <w:tc>
          <w:tcPr>
            <w:tcW w:w="1730" w:type="dxa"/>
          </w:tcPr>
          <w:p w14:paraId="76E6D0E9" w14:textId="77777777" w:rsidR="00FD44BC" w:rsidRPr="007572F4" w:rsidRDefault="00FD44BC" w:rsidP="00FD44BC">
            <w:pPr>
              <w:rPr>
                <w:iCs/>
                <w:sz w:val="22"/>
                <w:szCs w:val="22"/>
              </w:rPr>
            </w:pPr>
            <w:r w:rsidRPr="007572F4">
              <w:rPr>
                <w:sz w:val="22"/>
                <w:szCs w:val="22"/>
                <w:lang w:eastAsia="lt-LT"/>
              </w:rPr>
              <w:t>FS-01-03</w:t>
            </w:r>
          </w:p>
        </w:tc>
        <w:tc>
          <w:tcPr>
            <w:tcW w:w="1701" w:type="dxa"/>
            <w:gridSpan w:val="3"/>
          </w:tcPr>
          <w:p w14:paraId="0FE9700F" w14:textId="77777777" w:rsidR="00FD44BC" w:rsidRPr="007572F4" w:rsidRDefault="00FD44BC" w:rsidP="00FD44BC">
            <w:pPr>
              <w:rPr>
                <w:sz w:val="22"/>
                <w:szCs w:val="22"/>
              </w:rPr>
            </w:pPr>
            <w:r w:rsidRPr="007572F4">
              <w:rPr>
                <w:sz w:val="22"/>
                <w:szCs w:val="22"/>
              </w:rPr>
              <w:t>01</w:t>
            </w:r>
          </w:p>
        </w:tc>
        <w:tc>
          <w:tcPr>
            <w:tcW w:w="3119" w:type="dxa"/>
            <w:gridSpan w:val="2"/>
          </w:tcPr>
          <w:p w14:paraId="097CBB35" w14:textId="77777777" w:rsidR="00FD44BC" w:rsidRPr="007572F4" w:rsidRDefault="00FD44BC" w:rsidP="00FD44BC">
            <w:pPr>
              <w:rPr>
                <w:iCs/>
                <w:sz w:val="22"/>
                <w:szCs w:val="22"/>
              </w:rPr>
            </w:pPr>
            <w:r w:rsidRPr="007572F4">
              <w:rPr>
                <w:sz w:val="22"/>
                <w:szCs w:val="22"/>
              </w:rPr>
              <w:t xml:space="preserve">Įgyvendintų privalomų matomumo ir informavimo priemonių apie ES fondų investicijų veiklas fiksuotoji suma, antrojo rinkinio FS be PVM  </w:t>
            </w:r>
          </w:p>
        </w:tc>
        <w:tc>
          <w:tcPr>
            <w:tcW w:w="2664" w:type="dxa"/>
            <w:gridSpan w:val="2"/>
          </w:tcPr>
          <w:p w14:paraId="112685DF" w14:textId="77777777" w:rsidR="00FD44BC" w:rsidRPr="007572F4" w:rsidRDefault="00FD44BC" w:rsidP="00FD44BC">
            <w:pPr>
              <w:jc w:val="both"/>
              <w:rPr>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2D6FC411" w14:textId="77777777" w:rsidTr="00F8368A">
        <w:trPr>
          <w:trHeight w:val="451"/>
        </w:trPr>
        <w:tc>
          <w:tcPr>
            <w:tcW w:w="675" w:type="dxa"/>
            <w:vMerge/>
          </w:tcPr>
          <w:p w14:paraId="76D213EC" w14:textId="77777777" w:rsidR="00FD44BC" w:rsidRDefault="00FD44BC" w:rsidP="00FD44BC">
            <w:pPr>
              <w:rPr>
                <w:sz w:val="22"/>
                <w:szCs w:val="22"/>
              </w:rPr>
            </w:pPr>
          </w:p>
        </w:tc>
        <w:tc>
          <w:tcPr>
            <w:tcW w:w="1730" w:type="dxa"/>
          </w:tcPr>
          <w:p w14:paraId="745340BD" w14:textId="77777777" w:rsidR="00FD44BC" w:rsidRPr="007572F4" w:rsidRDefault="00FD44BC" w:rsidP="00FD44BC">
            <w:pPr>
              <w:rPr>
                <w:iCs/>
                <w:sz w:val="22"/>
                <w:szCs w:val="22"/>
              </w:rPr>
            </w:pPr>
            <w:r w:rsidRPr="007572F4">
              <w:rPr>
                <w:sz w:val="22"/>
                <w:szCs w:val="22"/>
                <w:lang w:eastAsia="lt-LT"/>
              </w:rPr>
              <w:t>FS-01-04</w:t>
            </w:r>
          </w:p>
        </w:tc>
        <w:tc>
          <w:tcPr>
            <w:tcW w:w="1701" w:type="dxa"/>
            <w:gridSpan w:val="3"/>
          </w:tcPr>
          <w:p w14:paraId="38E7842D" w14:textId="77777777" w:rsidR="00FD44BC" w:rsidRPr="007572F4" w:rsidRDefault="00FD44BC" w:rsidP="00FD44BC">
            <w:pPr>
              <w:rPr>
                <w:sz w:val="22"/>
                <w:szCs w:val="22"/>
              </w:rPr>
            </w:pPr>
            <w:r w:rsidRPr="007572F4">
              <w:rPr>
                <w:sz w:val="22"/>
                <w:szCs w:val="22"/>
              </w:rPr>
              <w:t>01</w:t>
            </w:r>
          </w:p>
        </w:tc>
        <w:tc>
          <w:tcPr>
            <w:tcW w:w="3119" w:type="dxa"/>
            <w:gridSpan w:val="2"/>
          </w:tcPr>
          <w:p w14:paraId="24C69362" w14:textId="77777777" w:rsidR="00FD44BC" w:rsidRPr="007572F4" w:rsidRDefault="00FD44BC" w:rsidP="00FD44BC">
            <w:pPr>
              <w:rPr>
                <w:iCs/>
                <w:sz w:val="22"/>
                <w:szCs w:val="22"/>
              </w:rPr>
            </w:pPr>
            <w:r w:rsidRPr="007572F4">
              <w:rPr>
                <w:sz w:val="22"/>
                <w:szCs w:val="22"/>
              </w:rPr>
              <w:t>Įgyvendintų privalomų matomumo ir informavimo priemonių apie ES fondų investicijų veiklas fiksuotoji suma, antrojo rinkinio FS su PVM</w:t>
            </w:r>
          </w:p>
        </w:tc>
        <w:tc>
          <w:tcPr>
            <w:tcW w:w="2664" w:type="dxa"/>
            <w:gridSpan w:val="2"/>
          </w:tcPr>
          <w:p w14:paraId="7110D2B1" w14:textId="77777777" w:rsidR="00FD44BC" w:rsidRPr="007572F4" w:rsidRDefault="00FD44BC" w:rsidP="00FD44BC">
            <w:pPr>
              <w:jc w:val="both"/>
              <w:rPr>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4DDEB5E8" w14:textId="77777777" w:rsidTr="00F8368A">
        <w:trPr>
          <w:trHeight w:val="451"/>
        </w:trPr>
        <w:tc>
          <w:tcPr>
            <w:tcW w:w="675" w:type="dxa"/>
            <w:vMerge/>
          </w:tcPr>
          <w:p w14:paraId="33C18C14" w14:textId="77777777" w:rsidR="00FD44BC" w:rsidRDefault="00FD44BC" w:rsidP="00FD44BC">
            <w:pPr>
              <w:rPr>
                <w:sz w:val="22"/>
                <w:szCs w:val="22"/>
              </w:rPr>
            </w:pPr>
          </w:p>
        </w:tc>
        <w:tc>
          <w:tcPr>
            <w:tcW w:w="1730" w:type="dxa"/>
          </w:tcPr>
          <w:p w14:paraId="2327B52F" w14:textId="77777777" w:rsidR="00FD44BC" w:rsidRPr="007572F4" w:rsidRDefault="00FD44BC" w:rsidP="00FD44BC">
            <w:pPr>
              <w:rPr>
                <w:iCs/>
                <w:sz w:val="22"/>
                <w:szCs w:val="22"/>
              </w:rPr>
            </w:pPr>
            <w:r w:rsidRPr="007572F4">
              <w:rPr>
                <w:sz w:val="22"/>
                <w:szCs w:val="22"/>
              </w:rPr>
              <w:t>FN-05-01</w:t>
            </w:r>
          </w:p>
        </w:tc>
        <w:tc>
          <w:tcPr>
            <w:tcW w:w="1701" w:type="dxa"/>
            <w:gridSpan w:val="3"/>
          </w:tcPr>
          <w:p w14:paraId="455E7E5A" w14:textId="77777777" w:rsidR="00FD44BC" w:rsidRPr="007572F4" w:rsidRDefault="00FD44BC" w:rsidP="00FD44BC">
            <w:pPr>
              <w:rPr>
                <w:sz w:val="22"/>
                <w:szCs w:val="22"/>
              </w:rPr>
            </w:pPr>
            <w:r w:rsidRPr="007572F4">
              <w:rPr>
                <w:sz w:val="22"/>
                <w:szCs w:val="22"/>
              </w:rPr>
              <w:t>01</w:t>
            </w:r>
          </w:p>
        </w:tc>
        <w:tc>
          <w:tcPr>
            <w:tcW w:w="3119" w:type="dxa"/>
            <w:gridSpan w:val="2"/>
          </w:tcPr>
          <w:p w14:paraId="552217F6"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17FE2D55" w14:textId="77777777" w:rsidR="00FD44BC" w:rsidRPr="007572F4" w:rsidRDefault="00FD44BC" w:rsidP="00FD44BC">
            <w:pPr>
              <w:rPr>
                <w:iCs/>
                <w:sz w:val="22"/>
                <w:szCs w:val="22"/>
              </w:rPr>
            </w:pPr>
            <w:r w:rsidRPr="007572F4">
              <w:rPr>
                <w:sz w:val="22"/>
                <w:szCs w:val="22"/>
              </w:rPr>
              <w:t>Fiksuotoji norma, taikoma, kai priklauso 20 d. d. (jeigu dirbama 5 d. d. per savaitę) arba 24 d. d. (jeigu dirbama 6 d. d. per savaitę) kasmetinės atostogos.</w:t>
            </w:r>
          </w:p>
        </w:tc>
        <w:tc>
          <w:tcPr>
            <w:tcW w:w="2664" w:type="dxa"/>
            <w:gridSpan w:val="2"/>
          </w:tcPr>
          <w:p w14:paraId="0D1DDE1D" w14:textId="77777777" w:rsidR="00FD44BC" w:rsidRPr="007572F4" w:rsidRDefault="00FD44BC" w:rsidP="00FD44BC">
            <w:pPr>
              <w:jc w:val="both"/>
              <w:rPr>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3873AC06" w14:textId="77777777" w:rsidTr="00F8368A">
        <w:trPr>
          <w:trHeight w:val="451"/>
        </w:trPr>
        <w:tc>
          <w:tcPr>
            <w:tcW w:w="675" w:type="dxa"/>
            <w:vMerge/>
          </w:tcPr>
          <w:p w14:paraId="73F56809" w14:textId="77777777" w:rsidR="00FD44BC" w:rsidRDefault="00FD44BC" w:rsidP="00FD44BC">
            <w:pPr>
              <w:rPr>
                <w:sz w:val="22"/>
                <w:szCs w:val="22"/>
              </w:rPr>
            </w:pPr>
          </w:p>
        </w:tc>
        <w:tc>
          <w:tcPr>
            <w:tcW w:w="1730" w:type="dxa"/>
          </w:tcPr>
          <w:p w14:paraId="28A50A8C" w14:textId="77777777" w:rsidR="00FD44BC" w:rsidRPr="007572F4" w:rsidRDefault="00FD44BC" w:rsidP="00FD44BC">
            <w:pPr>
              <w:rPr>
                <w:iCs/>
                <w:sz w:val="22"/>
                <w:szCs w:val="22"/>
              </w:rPr>
            </w:pPr>
            <w:r w:rsidRPr="007572F4">
              <w:rPr>
                <w:sz w:val="22"/>
                <w:szCs w:val="22"/>
              </w:rPr>
              <w:t>FN-05-02</w:t>
            </w:r>
          </w:p>
        </w:tc>
        <w:tc>
          <w:tcPr>
            <w:tcW w:w="1701" w:type="dxa"/>
            <w:gridSpan w:val="3"/>
          </w:tcPr>
          <w:p w14:paraId="5E925847" w14:textId="77777777" w:rsidR="00FD44BC" w:rsidRPr="007572F4" w:rsidRDefault="00FD44BC" w:rsidP="00FD44BC">
            <w:pPr>
              <w:rPr>
                <w:sz w:val="22"/>
                <w:szCs w:val="22"/>
              </w:rPr>
            </w:pPr>
            <w:r w:rsidRPr="007572F4">
              <w:rPr>
                <w:sz w:val="22"/>
                <w:szCs w:val="22"/>
              </w:rPr>
              <w:t>01</w:t>
            </w:r>
          </w:p>
        </w:tc>
        <w:tc>
          <w:tcPr>
            <w:tcW w:w="3119" w:type="dxa"/>
            <w:gridSpan w:val="2"/>
          </w:tcPr>
          <w:p w14:paraId="2F517735"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6356F6CE" w14:textId="77777777" w:rsidR="00FD44BC" w:rsidRPr="007572F4" w:rsidRDefault="00FD44BC" w:rsidP="00FD44BC">
            <w:pPr>
              <w:rPr>
                <w:iCs/>
                <w:sz w:val="22"/>
                <w:szCs w:val="22"/>
              </w:rPr>
            </w:pPr>
            <w:r w:rsidRPr="007572F4">
              <w:rPr>
                <w:sz w:val="22"/>
                <w:szCs w:val="22"/>
              </w:rPr>
              <w:t>Fiksuotoji norma, taikoma, kai priklauso nuo 21 iki 25 d. d. (jeigu dirbama 5 d. d. per savaitę) arba nuo 25 iki 30 d. d. (jeigu dirbama 6 d. d. per savaitę) kasmetinės atostogos.</w:t>
            </w:r>
          </w:p>
        </w:tc>
        <w:tc>
          <w:tcPr>
            <w:tcW w:w="2664" w:type="dxa"/>
            <w:gridSpan w:val="2"/>
          </w:tcPr>
          <w:p w14:paraId="1A4732C7" w14:textId="77777777" w:rsidR="00FD44BC" w:rsidRPr="007572F4" w:rsidRDefault="00FD44BC" w:rsidP="00FD44BC">
            <w:pPr>
              <w:jc w:val="both"/>
              <w:rPr>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751B9D7C" w14:textId="77777777" w:rsidTr="00F8368A">
        <w:trPr>
          <w:trHeight w:val="451"/>
        </w:trPr>
        <w:tc>
          <w:tcPr>
            <w:tcW w:w="675" w:type="dxa"/>
            <w:vMerge/>
          </w:tcPr>
          <w:p w14:paraId="489B30B4" w14:textId="77777777" w:rsidR="00FD44BC" w:rsidRDefault="00FD44BC" w:rsidP="00FD44BC">
            <w:pPr>
              <w:rPr>
                <w:sz w:val="22"/>
                <w:szCs w:val="22"/>
              </w:rPr>
            </w:pPr>
          </w:p>
        </w:tc>
        <w:tc>
          <w:tcPr>
            <w:tcW w:w="1730" w:type="dxa"/>
          </w:tcPr>
          <w:p w14:paraId="04A85105" w14:textId="77777777" w:rsidR="00FD44BC" w:rsidRPr="007572F4" w:rsidRDefault="00FD44BC" w:rsidP="00FD44BC">
            <w:pPr>
              <w:rPr>
                <w:i/>
                <w:iCs/>
                <w:color w:val="808080"/>
                <w:sz w:val="22"/>
                <w:szCs w:val="22"/>
              </w:rPr>
            </w:pPr>
            <w:r w:rsidRPr="007572F4">
              <w:rPr>
                <w:sz w:val="22"/>
                <w:szCs w:val="22"/>
              </w:rPr>
              <w:t>FN-05-03</w:t>
            </w:r>
          </w:p>
        </w:tc>
        <w:tc>
          <w:tcPr>
            <w:tcW w:w="1701" w:type="dxa"/>
            <w:gridSpan w:val="3"/>
          </w:tcPr>
          <w:p w14:paraId="4838E84F" w14:textId="77777777" w:rsidR="00FD44BC" w:rsidRPr="007572F4" w:rsidRDefault="00FD44BC" w:rsidP="00FD44BC">
            <w:pPr>
              <w:rPr>
                <w:sz w:val="22"/>
                <w:szCs w:val="22"/>
              </w:rPr>
            </w:pPr>
            <w:r w:rsidRPr="007572F4">
              <w:rPr>
                <w:sz w:val="22"/>
                <w:szCs w:val="22"/>
              </w:rPr>
              <w:t>01</w:t>
            </w:r>
          </w:p>
        </w:tc>
        <w:tc>
          <w:tcPr>
            <w:tcW w:w="3119" w:type="dxa"/>
            <w:gridSpan w:val="2"/>
          </w:tcPr>
          <w:p w14:paraId="4A350114"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6E77490F" w14:textId="77777777" w:rsidR="00FD44BC" w:rsidRPr="007572F4" w:rsidRDefault="00FD44BC" w:rsidP="00FD44BC">
            <w:pPr>
              <w:rPr>
                <w:i/>
                <w:iCs/>
                <w:color w:val="808080"/>
                <w:sz w:val="22"/>
                <w:szCs w:val="22"/>
              </w:rPr>
            </w:pPr>
            <w:r w:rsidRPr="007572F4">
              <w:rPr>
                <w:sz w:val="22"/>
                <w:szCs w:val="22"/>
              </w:rPr>
              <w:t xml:space="preserve">Fiksuotoji norma, taikoma, kai priklauso nuo 26 iki 30 d. d. (jeigu dirbama 5 d. d. per savaitę) arba nuo 31 iki 36 d. d. </w:t>
            </w:r>
            <w:r w:rsidRPr="007572F4">
              <w:rPr>
                <w:sz w:val="22"/>
                <w:szCs w:val="22"/>
              </w:rPr>
              <w:lastRenderedPageBreak/>
              <w:t>(jeigu dirbama 6 d. d. per savaitę) kasmetinės atostogos.</w:t>
            </w:r>
          </w:p>
        </w:tc>
        <w:tc>
          <w:tcPr>
            <w:tcW w:w="2664" w:type="dxa"/>
            <w:gridSpan w:val="2"/>
          </w:tcPr>
          <w:p w14:paraId="713ABAC2" w14:textId="77777777" w:rsidR="00FD44BC" w:rsidRPr="007572F4" w:rsidRDefault="00FD44BC" w:rsidP="00FD44BC">
            <w:pPr>
              <w:jc w:val="both"/>
              <w:rPr>
                <w:i/>
                <w:color w:val="808080"/>
                <w:sz w:val="22"/>
                <w:szCs w:val="22"/>
              </w:rPr>
            </w:pPr>
            <w:r w:rsidRPr="007572F4">
              <w:rPr>
                <w:sz w:val="22"/>
                <w:szCs w:val="22"/>
              </w:rPr>
              <w:lastRenderedPageBreak/>
              <w:t>Supaprastintai apmokamų išlaidų dydžio nustatymo aprašas pateikiamas Europos socialinio fondo agentūros svetainės Metodinės pagalbos centro skiltyje adresu www.esfa.lt.</w:t>
            </w:r>
          </w:p>
        </w:tc>
      </w:tr>
      <w:tr w:rsidR="00FD44BC" w14:paraId="4FA08C1F" w14:textId="77777777" w:rsidTr="00F8368A">
        <w:trPr>
          <w:trHeight w:val="451"/>
        </w:trPr>
        <w:tc>
          <w:tcPr>
            <w:tcW w:w="675" w:type="dxa"/>
            <w:vMerge/>
          </w:tcPr>
          <w:p w14:paraId="3F758560" w14:textId="77777777" w:rsidR="00FD44BC" w:rsidRDefault="00FD44BC" w:rsidP="00FD44BC">
            <w:pPr>
              <w:rPr>
                <w:sz w:val="22"/>
                <w:szCs w:val="22"/>
              </w:rPr>
            </w:pPr>
          </w:p>
        </w:tc>
        <w:tc>
          <w:tcPr>
            <w:tcW w:w="1730" w:type="dxa"/>
          </w:tcPr>
          <w:p w14:paraId="1A8A79F0" w14:textId="77777777" w:rsidR="00FD44BC" w:rsidRPr="007572F4" w:rsidRDefault="00FD44BC" w:rsidP="00FD44BC">
            <w:pPr>
              <w:rPr>
                <w:i/>
                <w:iCs/>
                <w:color w:val="808080"/>
                <w:sz w:val="22"/>
                <w:szCs w:val="22"/>
              </w:rPr>
            </w:pPr>
            <w:r w:rsidRPr="007572F4">
              <w:rPr>
                <w:sz w:val="22"/>
                <w:szCs w:val="22"/>
              </w:rPr>
              <w:t>FN-05-04</w:t>
            </w:r>
          </w:p>
        </w:tc>
        <w:tc>
          <w:tcPr>
            <w:tcW w:w="1701" w:type="dxa"/>
            <w:gridSpan w:val="3"/>
          </w:tcPr>
          <w:p w14:paraId="4D74994B" w14:textId="77777777" w:rsidR="00FD44BC" w:rsidRPr="007572F4" w:rsidRDefault="00FD44BC" w:rsidP="00FD44BC">
            <w:pPr>
              <w:rPr>
                <w:sz w:val="22"/>
                <w:szCs w:val="22"/>
              </w:rPr>
            </w:pPr>
            <w:r w:rsidRPr="007572F4">
              <w:rPr>
                <w:sz w:val="22"/>
                <w:szCs w:val="22"/>
              </w:rPr>
              <w:t>01</w:t>
            </w:r>
          </w:p>
        </w:tc>
        <w:tc>
          <w:tcPr>
            <w:tcW w:w="3119" w:type="dxa"/>
            <w:gridSpan w:val="2"/>
          </w:tcPr>
          <w:p w14:paraId="0D29B96D"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14BB42A6" w14:textId="77777777" w:rsidR="00FD44BC" w:rsidRPr="007572F4" w:rsidRDefault="00FD44BC" w:rsidP="00FD44BC">
            <w:pPr>
              <w:rPr>
                <w:i/>
                <w:iCs/>
                <w:color w:val="808080"/>
                <w:sz w:val="22"/>
                <w:szCs w:val="22"/>
              </w:rPr>
            </w:pPr>
            <w:r w:rsidRPr="007572F4">
              <w:rPr>
                <w:sz w:val="22"/>
                <w:szCs w:val="22"/>
              </w:rPr>
              <w:t>Fiksuotoji norma, taikoma, kai priklauso nuo 31 iki 36 d. d. (jeigu dirbama 5 d. d. per savaitę) arba nuo 37 iki 42 d. d. (jeigu dirbama 6 d. d. per savaitę) kasmetinės atostogos.</w:t>
            </w:r>
          </w:p>
        </w:tc>
        <w:tc>
          <w:tcPr>
            <w:tcW w:w="2664" w:type="dxa"/>
            <w:gridSpan w:val="2"/>
          </w:tcPr>
          <w:p w14:paraId="6EF888AF" w14:textId="77777777" w:rsidR="00FD44BC" w:rsidRPr="007572F4" w:rsidRDefault="00FD44BC" w:rsidP="00FD44BC">
            <w:pPr>
              <w:jc w:val="both"/>
              <w:rPr>
                <w:i/>
                <w:color w:val="808080"/>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70012542" w14:textId="77777777" w:rsidTr="00F8368A">
        <w:trPr>
          <w:trHeight w:val="451"/>
        </w:trPr>
        <w:tc>
          <w:tcPr>
            <w:tcW w:w="675" w:type="dxa"/>
            <w:vMerge/>
          </w:tcPr>
          <w:p w14:paraId="5D2C667D" w14:textId="77777777" w:rsidR="00FD44BC" w:rsidRDefault="00FD44BC" w:rsidP="00FD44BC">
            <w:pPr>
              <w:rPr>
                <w:sz w:val="22"/>
                <w:szCs w:val="22"/>
              </w:rPr>
            </w:pPr>
          </w:p>
        </w:tc>
        <w:tc>
          <w:tcPr>
            <w:tcW w:w="1730" w:type="dxa"/>
          </w:tcPr>
          <w:p w14:paraId="0B64B277" w14:textId="77777777" w:rsidR="00FD44BC" w:rsidRPr="007572F4" w:rsidRDefault="00FD44BC" w:rsidP="00FD44BC">
            <w:pPr>
              <w:rPr>
                <w:i/>
                <w:iCs/>
                <w:color w:val="808080"/>
                <w:sz w:val="22"/>
                <w:szCs w:val="22"/>
              </w:rPr>
            </w:pPr>
            <w:r w:rsidRPr="007572F4">
              <w:rPr>
                <w:sz w:val="22"/>
                <w:szCs w:val="22"/>
              </w:rPr>
              <w:t>FN-05-05</w:t>
            </w:r>
          </w:p>
        </w:tc>
        <w:tc>
          <w:tcPr>
            <w:tcW w:w="1701" w:type="dxa"/>
            <w:gridSpan w:val="3"/>
          </w:tcPr>
          <w:p w14:paraId="311F25AC" w14:textId="77777777" w:rsidR="00FD44BC" w:rsidRPr="007572F4" w:rsidRDefault="00FD44BC" w:rsidP="00FD44BC">
            <w:pPr>
              <w:rPr>
                <w:sz w:val="22"/>
                <w:szCs w:val="22"/>
              </w:rPr>
            </w:pPr>
            <w:r w:rsidRPr="007572F4">
              <w:rPr>
                <w:sz w:val="22"/>
                <w:szCs w:val="22"/>
              </w:rPr>
              <w:t>01</w:t>
            </w:r>
          </w:p>
        </w:tc>
        <w:tc>
          <w:tcPr>
            <w:tcW w:w="3119" w:type="dxa"/>
            <w:gridSpan w:val="2"/>
          </w:tcPr>
          <w:p w14:paraId="12F4F1EE"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59F20503" w14:textId="77777777" w:rsidR="00FD44BC" w:rsidRPr="007572F4" w:rsidRDefault="00FD44BC" w:rsidP="00FD44BC">
            <w:pPr>
              <w:rPr>
                <w:i/>
                <w:iCs/>
                <w:color w:val="808080"/>
                <w:sz w:val="22"/>
                <w:szCs w:val="22"/>
              </w:rPr>
            </w:pPr>
            <w:r w:rsidRPr="007572F4">
              <w:rPr>
                <w:sz w:val="22"/>
                <w:szCs w:val="22"/>
              </w:rPr>
              <w:t>Fiksuotoji norma, taikoma, kai priklauso nuo 37 iki 39 d. d. (jeigu dirbama 5 d. d. per savaitę) arba nuo 43 iki 47 d. d. (jeigu dirbama 6 d. d. per savaitę) kasmetinės atostogos.</w:t>
            </w:r>
          </w:p>
        </w:tc>
        <w:tc>
          <w:tcPr>
            <w:tcW w:w="2664" w:type="dxa"/>
            <w:gridSpan w:val="2"/>
          </w:tcPr>
          <w:p w14:paraId="34B71DDB" w14:textId="77777777" w:rsidR="00FD44BC" w:rsidRPr="007572F4" w:rsidRDefault="00FD44BC" w:rsidP="00FD44BC">
            <w:pPr>
              <w:jc w:val="both"/>
              <w:rPr>
                <w:i/>
                <w:color w:val="808080"/>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3E7758AD" w14:textId="77777777" w:rsidTr="00F8368A">
        <w:trPr>
          <w:trHeight w:val="451"/>
        </w:trPr>
        <w:tc>
          <w:tcPr>
            <w:tcW w:w="675" w:type="dxa"/>
            <w:vMerge/>
          </w:tcPr>
          <w:p w14:paraId="76FF58D9" w14:textId="77777777" w:rsidR="00FD44BC" w:rsidRDefault="00FD44BC" w:rsidP="00FD44BC">
            <w:pPr>
              <w:rPr>
                <w:sz w:val="22"/>
                <w:szCs w:val="22"/>
              </w:rPr>
            </w:pPr>
          </w:p>
        </w:tc>
        <w:tc>
          <w:tcPr>
            <w:tcW w:w="1730" w:type="dxa"/>
          </w:tcPr>
          <w:p w14:paraId="3D00710C" w14:textId="77777777" w:rsidR="00FD44BC" w:rsidRPr="007572F4" w:rsidRDefault="00FD44BC" w:rsidP="00FD44BC">
            <w:pPr>
              <w:rPr>
                <w:i/>
                <w:iCs/>
                <w:color w:val="808080"/>
                <w:sz w:val="22"/>
                <w:szCs w:val="22"/>
              </w:rPr>
            </w:pPr>
            <w:r w:rsidRPr="007572F4">
              <w:rPr>
                <w:sz w:val="22"/>
                <w:szCs w:val="22"/>
              </w:rPr>
              <w:t>FN-05-06</w:t>
            </w:r>
          </w:p>
        </w:tc>
        <w:tc>
          <w:tcPr>
            <w:tcW w:w="1701" w:type="dxa"/>
            <w:gridSpan w:val="3"/>
          </w:tcPr>
          <w:p w14:paraId="54FDA8B5" w14:textId="77777777" w:rsidR="00FD44BC" w:rsidRPr="007572F4" w:rsidRDefault="00FD44BC" w:rsidP="00FD44BC">
            <w:pPr>
              <w:rPr>
                <w:sz w:val="22"/>
                <w:szCs w:val="22"/>
              </w:rPr>
            </w:pPr>
            <w:r w:rsidRPr="007572F4">
              <w:rPr>
                <w:sz w:val="22"/>
                <w:szCs w:val="22"/>
              </w:rPr>
              <w:t>01</w:t>
            </w:r>
          </w:p>
        </w:tc>
        <w:tc>
          <w:tcPr>
            <w:tcW w:w="3119" w:type="dxa"/>
            <w:gridSpan w:val="2"/>
          </w:tcPr>
          <w:p w14:paraId="223E0F4F"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41DDFE39" w14:textId="77777777" w:rsidR="00FD44BC" w:rsidRPr="007572F4" w:rsidRDefault="00FD44BC" w:rsidP="00FD44BC">
            <w:pPr>
              <w:rPr>
                <w:i/>
                <w:iCs/>
                <w:color w:val="808080"/>
                <w:sz w:val="22"/>
                <w:szCs w:val="22"/>
              </w:rPr>
            </w:pPr>
            <w:r w:rsidRPr="007572F4">
              <w:rPr>
                <w:sz w:val="22"/>
                <w:szCs w:val="22"/>
              </w:rPr>
              <w:t>Fiksuotoji norma, taikoma, kai priklauso 40 d. d. (jeigu dirbama 5 d. d. per savaitę) arba 48 d. d. (jeigu dirbama 6 d. d. per savaitę) kasmetinės atostogos.</w:t>
            </w:r>
          </w:p>
        </w:tc>
        <w:tc>
          <w:tcPr>
            <w:tcW w:w="2664" w:type="dxa"/>
            <w:gridSpan w:val="2"/>
          </w:tcPr>
          <w:p w14:paraId="7C6EB735" w14:textId="77777777" w:rsidR="00FD44BC" w:rsidRPr="007572F4" w:rsidRDefault="00FD44BC" w:rsidP="00FD44BC">
            <w:pPr>
              <w:jc w:val="both"/>
              <w:rPr>
                <w:i/>
                <w:color w:val="808080"/>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5E9E9A75" w14:textId="77777777" w:rsidTr="00F8368A">
        <w:trPr>
          <w:trHeight w:val="451"/>
        </w:trPr>
        <w:tc>
          <w:tcPr>
            <w:tcW w:w="675" w:type="dxa"/>
            <w:vMerge/>
          </w:tcPr>
          <w:p w14:paraId="0391B866" w14:textId="77777777" w:rsidR="00FD44BC" w:rsidRDefault="00FD44BC" w:rsidP="00FD44BC">
            <w:pPr>
              <w:rPr>
                <w:sz w:val="22"/>
                <w:szCs w:val="22"/>
              </w:rPr>
            </w:pPr>
          </w:p>
        </w:tc>
        <w:tc>
          <w:tcPr>
            <w:tcW w:w="1730" w:type="dxa"/>
          </w:tcPr>
          <w:p w14:paraId="085BC27A" w14:textId="77777777" w:rsidR="00FD44BC" w:rsidRPr="007572F4" w:rsidRDefault="00FD44BC" w:rsidP="00FD44BC">
            <w:pPr>
              <w:rPr>
                <w:color w:val="808080"/>
                <w:sz w:val="22"/>
                <w:szCs w:val="22"/>
              </w:rPr>
            </w:pPr>
            <w:r w:rsidRPr="007572F4">
              <w:rPr>
                <w:sz w:val="22"/>
                <w:szCs w:val="22"/>
              </w:rPr>
              <w:t>FN-05-07</w:t>
            </w:r>
          </w:p>
        </w:tc>
        <w:tc>
          <w:tcPr>
            <w:tcW w:w="1701" w:type="dxa"/>
            <w:gridSpan w:val="3"/>
          </w:tcPr>
          <w:p w14:paraId="4340763F" w14:textId="77777777" w:rsidR="00FD44BC" w:rsidRPr="007572F4" w:rsidRDefault="00FD44BC" w:rsidP="00FD44BC">
            <w:pPr>
              <w:rPr>
                <w:sz w:val="22"/>
                <w:szCs w:val="22"/>
              </w:rPr>
            </w:pPr>
            <w:r w:rsidRPr="007572F4">
              <w:rPr>
                <w:sz w:val="22"/>
                <w:szCs w:val="22"/>
              </w:rPr>
              <w:t>01</w:t>
            </w:r>
          </w:p>
        </w:tc>
        <w:tc>
          <w:tcPr>
            <w:tcW w:w="3119" w:type="dxa"/>
            <w:gridSpan w:val="2"/>
          </w:tcPr>
          <w:p w14:paraId="1B052402" w14:textId="77777777" w:rsidR="00FD44BC" w:rsidRPr="007572F4" w:rsidRDefault="00FD44BC" w:rsidP="00FD44BC">
            <w:pPr>
              <w:jc w:val="both"/>
              <w:rPr>
                <w:sz w:val="22"/>
                <w:szCs w:val="22"/>
              </w:rPr>
            </w:pPr>
            <w:r w:rsidRPr="007572F4">
              <w:rPr>
                <w:sz w:val="22"/>
                <w:szCs w:val="22"/>
              </w:rPr>
              <w:t>Projektą vykdančio personalo darbo užmokesčio išlaidų dalis per mėnesį, skirta kasmetinėms atostogoms, kuri apskaičiuojama nuo tinkamų finansuoti faktiškai patirtų darbo užmokesčio išlaidų už faktiškai dirbtą laiką.</w:t>
            </w:r>
          </w:p>
          <w:p w14:paraId="2F432164" w14:textId="77777777" w:rsidR="00FD44BC" w:rsidRPr="007572F4" w:rsidRDefault="00FD44BC" w:rsidP="00FD44BC">
            <w:pPr>
              <w:rPr>
                <w:color w:val="808080"/>
                <w:sz w:val="22"/>
                <w:szCs w:val="22"/>
              </w:rPr>
            </w:pPr>
            <w:r w:rsidRPr="007572F4">
              <w:rPr>
                <w:sz w:val="22"/>
                <w:szCs w:val="22"/>
              </w:rPr>
              <w:t>Fiksuotoji norma, taikoma, kai priklauso nuo 41 d. d. (jeigu dirbama 5 d. d. per savaitę) arba nuo 49 d. d. (jeigu dirbama 6 d. d. per savaitę) kasmetinės atostogos.</w:t>
            </w:r>
          </w:p>
        </w:tc>
        <w:tc>
          <w:tcPr>
            <w:tcW w:w="2664" w:type="dxa"/>
            <w:gridSpan w:val="2"/>
          </w:tcPr>
          <w:p w14:paraId="3D64C9CD" w14:textId="77777777" w:rsidR="00FD44BC" w:rsidRPr="007572F4" w:rsidRDefault="00FD44BC" w:rsidP="00FD44BC">
            <w:pPr>
              <w:jc w:val="both"/>
              <w:rPr>
                <w:i/>
                <w:color w:val="808080"/>
                <w:sz w:val="22"/>
                <w:szCs w:val="22"/>
              </w:rPr>
            </w:pPr>
            <w:r w:rsidRPr="007572F4">
              <w:rPr>
                <w:sz w:val="22"/>
                <w:szCs w:val="22"/>
              </w:rPr>
              <w:t>Supaprastintai apmokamų išlaidų dydžio nustatymo aprašas pateikiamas Europos socialinio fondo agentūros svetainės Metodinės pagalbos centro skiltyje adresu www.esfa.lt.</w:t>
            </w:r>
          </w:p>
        </w:tc>
      </w:tr>
      <w:tr w:rsidR="00FD44BC" w14:paraId="282BAC99" w14:textId="77777777" w:rsidTr="00F8368A">
        <w:trPr>
          <w:trHeight w:val="451"/>
        </w:trPr>
        <w:tc>
          <w:tcPr>
            <w:tcW w:w="675" w:type="dxa"/>
          </w:tcPr>
          <w:p w14:paraId="0598644E" w14:textId="77777777" w:rsidR="00FD44BC" w:rsidRDefault="00FD44BC" w:rsidP="00FD44BC">
            <w:pPr>
              <w:rPr>
                <w:b/>
                <w:sz w:val="22"/>
                <w:szCs w:val="22"/>
              </w:rPr>
            </w:pPr>
            <w:r>
              <w:rPr>
                <w:b/>
                <w:sz w:val="22"/>
                <w:szCs w:val="22"/>
              </w:rPr>
              <w:t>4.</w:t>
            </w:r>
          </w:p>
        </w:tc>
        <w:tc>
          <w:tcPr>
            <w:tcW w:w="1730" w:type="dxa"/>
          </w:tcPr>
          <w:p w14:paraId="424CCA18" w14:textId="77777777" w:rsidR="00FD44BC" w:rsidRDefault="00FD44BC" w:rsidP="00FD44BC">
            <w:pPr>
              <w:rPr>
                <w:b/>
                <w:iCs/>
                <w:color w:val="808080"/>
                <w:sz w:val="22"/>
                <w:szCs w:val="22"/>
              </w:rPr>
            </w:pPr>
            <w:r>
              <w:rPr>
                <w:b/>
                <w:iCs/>
                <w:sz w:val="22"/>
                <w:szCs w:val="22"/>
              </w:rPr>
              <w:t>PRIDEDAMA</w:t>
            </w:r>
          </w:p>
        </w:tc>
        <w:tc>
          <w:tcPr>
            <w:tcW w:w="7484" w:type="dxa"/>
            <w:gridSpan w:val="7"/>
          </w:tcPr>
          <w:p w14:paraId="16F1D8AF" w14:textId="231D9EDD" w:rsidR="00FD44BC" w:rsidRPr="007572F4" w:rsidRDefault="00FD44BC" w:rsidP="00FD44BC">
            <w:pPr>
              <w:jc w:val="both"/>
              <w:rPr>
                <w:sz w:val="22"/>
                <w:szCs w:val="22"/>
              </w:rPr>
            </w:pPr>
            <w:r w:rsidRPr="007572F4">
              <w:rPr>
                <w:sz w:val="22"/>
                <w:szCs w:val="22"/>
              </w:rPr>
              <w:t xml:space="preserve">Projekto įgyvendinimo plano forma </w:t>
            </w:r>
            <w:r w:rsidRPr="007572F4">
              <w:rPr>
                <w:iCs/>
                <w:sz w:val="22"/>
                <w:szCs w:val="22"/>
              </w:rPr>
              <w:t>(Kvietimo priedas PĮP forma)</w:t>
            </w:r>
            <w:r>
              <w:rPr>
                <w:iCs/>
                <w:sz w:val="22"/>
                <w:szCs w:val="22"/>
              </w:rPr>
              <w:t>, 3</w:t>
            </w:r>
            <w:r w:rsidR="0033438B">
              <w:rPr>
                <w:iCs/>
                <w:sz w:val="22"/>
                <w:szCs w:val="22"/>
              </w:rPr>
              <w:t>2</w:t>
            </w:r>
            <w:r>
              <w:rPr>
                <w:iCs/>
                <w:sz w:val="22"/>
                <w:szCs w:val="22"/>
              </w:rPr>
              <w:t xml:space="preserve"> lapa</w:t>
            </w:r>
            <w:r w:rsidR="0033438B">
              <w:rPr>
                <w:iCs/>
                <w:sz w:val="22"/>
                <w:szCs w:val="22"/>
              </w:rPr>
              <w:t>i</w:t>
            </w:r>
            <w:r w:rsidRPr="007572F4">
              <w:rPr>
                <w:sz w:val="22"/>
                <w:szCs w:val="22"/>
              </w:rPr>
              <w:t xml:space="preserve">;  </w:t>
            </w:r>
          </w:p>
          <w:p w14:paraId="57125C82" w14:textId="77777777" w:rsidR="00FD44BC" w:rsidRPr="007572F4" w:rsidRDefault="00FD44BC" w:rsidP="00FD44BC">
            <w:pPr>
              <w:jc w:val="both"/>
              <w:rPr>
                <w:sz w:val="22"/>
                <w:szCs w:val="22"/>
              </w:rPr>
            </w:pPr>
            <w:r w:rsidRPr="007572F4">
              <w:rPr>
                <w:sz w:val="22"/>
                <w:szCs w:val="22"/>
              </w:rPr>
              <w:t>Projekto tinkamumo finansuoti vertinimo patikros lapas (Kvietimo priedas Projekto TFV PL)</w:t>
            </w:r>
            <w:r>
              <w:rPr>
                <w:sz w:val="22"/>
                <w:szCs w:val="22"/>
              </w:rPr>
              <w:t>, 9 lapai</w:t>
            </w:r>
            <w:r w:rsidRPr="007572F4">
              <w:rPr>
                <w:sz w:val="22"/>
                <w:szCs w:val="22"/>
              </w:rPr>
              <w:t>;</w:t>
            </w:r>
          </w:p>
          <w:p w14:paraId="7673C422" w14:textId="77777777" w:rsidR="00FD44BC" w:rsidRPr="007572F4" w:rsidRDefault="00FD44BC" w:rsidP="00FD44BC">
            <w:pPr>
              <w:jc w:val="both"/>
              <w:rPr>
                <w:sz w:val="22"/>
                <w:szCs w:val="22"/>
              </w:rPr>
            </w:pPr>
            <w:r w:rsidRPr="007572F4">
              <w:rPr>
                <w:sz w:val="22"/>
                <w:szCs w:val="22"/>
              </w:rPr>
              <w:t>Partnerio deklaracijos forma (Kvietimo priedas Partnerio deklaracija)</w:t>
            </w:r>
            <w:r>
              <w:rPr>
                <w:sz w:val="22"/>
                <w:szCs w:val="22"/>
              </w:rPr>
              <w:t>, 5 lapai</w:t>
            </w:r>
            <w:r w:rsidRPr="007572F4">
              <w:rPr>
                <w:sz w:val="22"/>
                <w:szCs w:val="22"/>
              </w:rPr>
              <w:t>;</w:t>
            </w:r>
          </w:p>
          <w:p w14:paraId="5238558B" w14:textId="77777777" w:rsidR="00FD44BC" w:rsidRPr="007572F4" w:rsidRDefault="00FD44BC" w:rsidP="00FD44BC">
            <w:pPr>
              <w:jc w:val="both"/>
              <w:rPr>
                <w:sz w:val="22"/>
                <w:szCs w:val="22"/>
              </w:rPr>
            </w:pPr>
            <w:r w:rsidRPr="007572F4">
              <w:rPr>
                <w:sz w:val="22"/>
                <w:szCs w:val="22"/>
              </w:rPr>
              <w:lastRenderedPageBreak/>
              <w:t>Informacija apie projekto biudžeto paskirstymą pagal pareiškėjus ir partnerius (Kvietimo priedas Biudžeto pasiskirstymas)</w:t>
            </w:r>
            <w:r>
              <w:rPr>
                <w:sz w:val="22"/>
                <w:szCs w:val="22"/>
              </w:rPr>
              <w:t>, 2 lapai</w:t>
            </w:r>
            <w:r w:rsidRPr="007572F4">
              <w:rPr>
                <w:sz w:val="22"/>
                <w:szCs w:val="22"/>
              </w:rPr>
              <w:t>;</w:t>
            </w:r>
          </w:p>
          <w:p w14:paraId="0984011F" w14:textId="4F86ECAB" w:rsidR="00FD44BC" w:rsidRDefault="00FD44BC" w:rsidP="00FD44BC">
            <w:pPr>
              <w:rPr>
                <w:sz w:val="22"/>
                <w:szCs w:val="22"/>
              </w:rPr>
            </w:pPr>
            <w:r w:rsidRPr="007572F4">
              <w:rPr>
                <w:sz w:val="22"/>
                <w:szCs w:val="22"/>
              </w:rPr>
              <w:t>Projekto sutarties forma (Kvietimo priedas Projekto sutarties forma)</w:t>
            </w:r>
            <w:r>
              <w:rPr>
                <w:sz w:val="22"/>
                <w:szCs w:val="22"/>
              </w:rPr>
              <w:t>, 3</w:t>
            </w:r>
            <w:r w:rsidR="0033438B">
              <w:rPr>
                <w:sz w:val="22"/>
                <w:szCs w:val="22"/>
                <w:lang w:val="en-US"/>
              </w:rPr>
              <w:t>7</w:t>
            </w:r>
            <w:r>
              <w:rPr>
                <w:sz w:val="22"/>
                <w:szCs w:val="22"/>
              </w:rPr>
              <w:t xml:space="preserve"> lapai. </w:t>
            </w:r>
          </w:p>
        </w:tc>
      </w:tr>
    </w:tbl>
    <w:p w14:paraId="2E89351C" w14:textId="77777777" w:rsidR="001A64C7" w:rsidRDefault="001A64C7">
      <w:pPr>
        <w:spacing w:line="259" w:lineRule="auto"/>
        <w:rPr>
          <w:sz w:val="22"/>
          <w:szCs w:val="22"/>
        </w:rPr>
      </w:pPr>
    </w:p>
    <w:p w14:paraId="60C7509B" w14:textId="77777777" w:rsidR="001A64C7" w:rsidRDefault="001A64C7">
      <w:pPr>
        <w:rPr>
          <w:sz w:val="14"/>
          <w:szCs w:val="14"/>
        </w:rPr>
      </w:pPr>
    </w:p>
    <w:p w14:paraId="596C378E" w14:textId="77777777" w:rsidR="001A64C7" w:rsidRDefault="00894D4A">
      <w:pPr>
        <w:spacing w:line="259" w:lineRule="auto"/>
        <w:jc w:val="center"/>
        <w:rPr>
          <w:sz w:val="22"/>
          <w:szCs w:val="22"/>
        </w:rPr>
      </w:pPr>
      <w:r>
        <w:rPr>
          <w:sz w:val="22"/>
          <w:szCs w:val="22"/>
        </w:rPr>
        <w:t>____________________</w:t>
      </w:r>
    </w:p>
    <w:sectPr w:rsidR="001A64C7" w:rsidSect="00F8368A">
      <w:headerReference w:type="default" r:id="rId14"/>
      <w:pgSz w:w="11906" w:h="16838"/>
      <w:pgMar w:top="1134" w:right="567" w:bottom="1134" w:left="1418" w:header="397" w:footer="283"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F8CEF" w16cex:dateUtc="2022-08-23T14: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38538" w16cid:durableId="26AF8C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1118B" w14:textId="77777777" w:rsidR="009732D9" w:rsidRDefault="009732D9">
      <w:pPr>
        <w:rPr>
          <w:sz w:val="22"/>
          <w:szCs w:val="22"/>
        </w:rPr>
      </w:pPr>
      <w:r>
        <w:rPr>
          <w:sz w:val="22"/>
          <w:szCs w:val="22"/>
        </w:rPr>
        <w:separator/>
      </w:r>
    </w:p>
  </w:endnote>
  <w:endnote w:type="continuationSeparator" w:id="0">
    <w:p w14:paraId="5BD04924" w14:textId="77777777" w:rsidR="009732D9" w:rsidRDefault="009732D9">
      <w:pPr>
        <w:rPr>
          <w:sz w:val="22"/>
          <w:szCs w:val="22"/>
        </w:rPr>
      </w:pPr>
      <w:r>
        <w:rPr>
          <w:sz w:val="22"/>
          <w:szCs w:val="22"/>
        </w:rPr>
        <w:continuationSeparator/>
      </w:r>
    </w:p>
  </w:endnote>
  <w:endnote w:type="continuationNotice" w:id="1">
    <w:p w14:paraId="7DC58E40" w14:textId="77777777" w:rsidR="009732D9" w:rsidRDefault="009732D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F91C" w14:textId="77777777" w:rsidR="009732D9" w:rsidRDefault="009732D9">
      <w:pPr>
        <w:rPr>
          <w:sz w:val="22"/>
          <w:szCs w:val="22"/>
        </w:rPr>
      </w:pPr>
      <w:r>
        <w:rPr>
          <w:sz w:val="22"/>
          <w:szCs w:val="22"/>
        </w:rPr>
        <w:separator/>
      </w:r>
    </w:p>
  </w:footnote>
  <w:footnote w:type="continuationSeparator" w:id="0">
    <w:p w14:paraId="60247F28" w14:textId="77777777" w:rsidR="009732D9" w:rsidRDefault="009732D9">
      <w:pPr>
        <w:rPr>
          <w:sz w:val="22"/>
          <w:szCs w:val="22"/>
        </w:rPr>
      </w:pPr>
      <w:r>
        <w:rPr>
          <w:sz w:val="22"/>
          <w:szCs w:val="22"/>
        </w:rPr>
        <w:continuationSeparator/>
      </w:r>
    </w:p>
  </w:footnote>
  <w:footnote w:type="continuationNotice" w:id="1">
    <w:p w14:paraId="70427115" w14:textId="77777777" w:rsidR="009732D9" w:rsidRDefault="009732D9">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66229"/>
      <w:docPartObj>
        <w:docPartGallery w:val="Page Numbers (Top of Page)"/>
        <w:docPartUnique/>
      </w:docPartObj>
    </w:sdtPr>
    <w:sdtEndPr>
      <w:rPr>
        <w:noProof/>
      </w:rPr>
    </w:sdtEndPr>
    <w:sdtContent>
      <w:p w14:paraId="03307199" w14:textId="0EBB0CD2" w:rsidR="00F8368A" w:rsidRDefault="00F8368A">
        <w:pPr>
          <w:pStyle w:val="Header"/>
          <w:jc w:val="center"/>
        </w:pPr>
        <w:r>
          <w:fldChar w:fldCharType="begin"/>
        </w:r>
        <w:r>
          <w:instrText xml:space="preserve"> PAGE   \* MERGEFORMAT </w:instrText>
        </w:r>
        <w:r>
          <w:fldChar w:fldCharType="separate"/>
        </w:r>
        <w:r w:rsidR="00D053F8">
          <w:rPr>
            <w:noProof/>
          </w:rPr>
          <w:t>8</w:t>
        </w:r>
        <w:r>
          <w:rPr>
            <w:noProof/>
          </w:rPr>
          <w:fldChar w:fldCharType="end"/>
        </w:r>
      </w:p>
    </w:sdtContent>
  </w:sdt>
  <w:p w14:paraId="2A041E65" w14:textId="77777777" w:rsidR="001A64C7" w:rsidRDefault="001A64C7">
    <w:pPr>
      <w:spacing w:after="160" w:line="259" w:lineRule="auto"/>
      <w:ind w:left="5103"/>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956981"/>
    <w:multiLevelType w:val="hybridMultilevel"/>
    <w:tmpl w:val="DB027D36"/>
    <w:lvl w:ilvl="0" w:tplc="FF7E22C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0386044"/>
    <w:multiLevelType w:val="hybridMultilevel"/>
    <w:tmpl w:val="1CA67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47FD3"/>
    <w:rsid w:val="000748C0"/>
    <w:rsid w:val="000A5646"/>
    <w:rsid w:val="000E71CC"/>
    <w:rsid w:val="001A64C7"/>
    <w:rsid w:val="00203FAB"/>
    <w:rsid w:val="002078BA"/>
    <w:rsid w:val="002836E0"/>
    <w:rsid w:val="002C1FAC"/>
    <w:rsid w:val="002C2FCA"/>
    <w:rsid w:val="0033438B"/>
    <w:rsid w:val="00381FFA"/>
    <w:rsid w:val="004638D8"/>
    <w:rsid w:val="004D43C1"/>
    <w:rsid w:val="00525E3F"/>
    <w:rsid w:val="006058D6"/>
    <w:rsid w:val="0060604A"/>
    <w:rsid w:val="00613C3A"/>
    <w:rsid w:val="00650CB0"/>
    <w:rsid w:val="00671203"/>
    <w:rsid w:val="006F1389"/>
    <w:rsid w:val="007105D4"/>
    <w:rsid w:val="0072305E"/>
    <w:rsid w:val="007F6F34"/>
    <w:rsid w:val="008171D4"/>
    <w:rsid w:val="00827960"/>
    <w:rsid w:val="00834BFC"/>
    <w:rsid w:val="00893120"/>
    <w:rsid w:val="00894D4A"/>
    <w:rsid w:val="008A3D5E"/>
    <w:rsid w:val="008D0EA9"/>
    <w:rsid w:val="0092115C"/>
    <w:rsid w:val="00953E5C"/>
    <w:rsid w:val="009732D9"/>
    <w:rsid w:val="009A31B4"/>
    <w:rsid w:val="009C04DA"/>
    <w:rsid w:val="00A10645"/>
    <w:rsid w:val="00A51753"/>
    <w:rsid w:val="00B14764"/>
    <w:rsid w:val="00B91606"/>
    <w:rsid w:val="00BE26D5"/>
    <w:rsid w:val="00C05623"/>
    <w:rsid w:val="00C809E5"/>
    <w:rsid w:val="00D053F8"/>
    <w:rsid w:val="00D41DE2"/>
    <w:rsid w:val="00D87F6F"/>
    <w:rsid w:val="00F8368A"/>
    <w:rsid w:val="00F86C5E"/>
    <w:rsid w:val="00F90B47"/>
    <w:rsid w:val="00FA775D"/>
    <w:rsid w:val="00FD44B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E636EF"/>
  <w15:docId w15:val="{08E8DF8A-44F1-4017-8CEE-E5967DC2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6058D6"/>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99"/>
    <w:qFormat/>
    <w:rsid w:val="006058D6"/>
  </w:style>
  <w:style w:type="paragraph" w:customStyle="1" w:styleId="Default">
    <w:name w:val="Default"/>
    <w:rsid w:val="00613C3A"/>
    <w:pPr>
      <w:autoSpaceDE w:val="0"/>
      <w:autoSpaceDN w:val="0"/>
      <w:adjustRightInd w:val="0"/>
    </w:pPr>
    <w:rPr>
      <w:rFonts w:ascii="Arial Narrow" w:hAnsi="Arial Narrow" w:cs="Arial Narrow"/>
      <w:color w:val="000000"/>
      <w:szCs w:val="24"/>
      <w:lang w:val="en-GB"/>
    </w:rPr>
  </w:style>
  <w:style w:type="character" w:styleId="Hyperlink">
    <w:name w:val="Hyperlink"/>
    <w:basedOn w:val="DefaultParagraphFont"/>
    <w:unhideWhenUsed/>
    <w:rsid w:val="002C2FCA"/>
    <w:rPr>
      <w:color w:val="0563C1" w:themeColor="hyperlink"/>
      <w:u w:val="single"/>
    </w:rPr>
  </w:style>
  <w:style w:type="character" w:customStyle="1" w:styleId="cf01">
    <w:name w:val="cf01"/>
    <w:basedOn w:val="DefaultParagraphFont"/>
    <w:rsid w:val="002C2FCA"/>
    <w:rPr>
      <w:rFonts w:ascii="Segoe UI" w:hAnsi="Segoe UI" w:cs="Segoe UI" w:hint="default"/>
      <w:sz w:val="18"/>
      <w:szCs w:val="18"/>
    </w:rPr>
  </w:style>
  <w:style w:type="character" w:customStyle="1" w:styleId="apple-converted-space">
    <w:name w:val="apple-converted-space"/>
    <w:basedOn w:val="DefaultParagraphFont"/>
    <w:rsid w:val="00B91606"/>
  </w:style>
  <w:style w:type="character" w:customStyle="1" w:styleId="s18">
    <w:name w:val="s18"/>
    <w:basedOn w:val="DefaultParagraphFont"/>
    <w:rsid w:val="00B91606"/>
  </w:style>
  <w:style w:type="character" w:customStyle="1" w:styleId="s2">
    <w:name w:val="s2"/>
    <w:basedOn w:val="DefaultParagraphFont"/>
    <w:rsid w:val="00B91606"/>
  </w:style>
  <w:style w:type="paragraph" w:styleId="Header">
    <w:name w:val="header"/>
    <w:basedOn w:val="Normal"/>
    <w:link w:val="HeaderChar"/>
    <w:uiPriority w:val="99"/>
    <w:unhideWhenUsed/>
    <w:rsid w:val="00F8368A"/>
    <w:pPr>
      <w:tabs>
        <w:tab w:val="center" w:pos="4819"/>
        <w:tab w:val="right" w:pos="9638"/>
      </w:tabs>
    </w:pPr>
  </w:style>
  <w:style w:type="character" w:customStyle="1" w:styleId="HeaderChar">
    <w:name w:val="Header Char"/>
    <w:basedOn w:val="DefaultParagraphFont"/>
    <w:link w:val="Header"/>
    <w:uiPriority w:val="99"/>
    <w:rsid w:val="00F8368A"/>
  </w:style>
  <w:style w:type="paragraph" w:styleId="Footer">
    <w:name w:val="footer"/>
    <w:basedOn w:val="Normal"/>
    <w:link w:val="FooterChar"/>
    <w:unhideWhenUsed/>
    <w:rsid w:val="00F8368A"/>
    <w:pPr>
      <w:tabs>
        <w:tab w:val="center" w:pos="4819"/>
        <w:tab w:val="right" w:pos="9638"/>
      </w:tabs>
    </w:pPr>
  </w:style>
  <w:style w:type="character" w:customStyle="1" w:styleId="FooterChar">
    <w:name w:val="Footer Char"/>
    <w:basedOn w:val="DefaultParagraphFont"/>
    <w:link w:val="Footer"/>
    <w:rsid w:val="00F8368A"/>
  </w:style>
  <w:style w:type="paragraph" w:styleId="BalloonText">
    <w:name w:val="Balloon Text"/>
    <w:basedOn w:val="Normal"/>
    <w:link w:val="BalloonTextChar"/>
    <w:semiHidden/>
    <w:unhideWhenUsed/>
    <w:rsid w:val="0092115C"/>
    <w:rPr>
      <w:rFonts w:ascii="Segoe UI" w:hAnsi="Segoe UI" w:cs="Segoe UI"/>
      <w:sz w:val="18"/>
      <w:szCs w:val="18"/>
    </w:rPr>
  </w:style>
  <w:style w:type="character" w:customStyle="1" w:styleId="BalloonTextChar">
    <w:name w:val="Balloon Text Char"/>
    <w:basedOn w:val="DefaultParagraphFont"/>
    <w:link w:val="BalloonText"/>
    <w:semiHidden/>
    <w:rsid w:val="0092115C"/>
    <w:rPr>
      <w:rFonts w:ascii="Segoe UI" w:hAnsi="Segoe UI" w:cs="Segoe UI"/>
      <w:sz w:val="18"/>
      <w:szCs w:val="18"/>
    </w:rPr>
  </w:style>
  <w:style w:type="paragraph" w:styleId="Revision">
    <w:name w:val="Revision"/>
    <w:hidden/>
    <w:semiHidden/>
    <w:rsid w:val="002078BA"/>
  </w:style>
  <w:style w:type="character" w:styleId="CommentReference">
    <w:name w:val="annotation reference"/>
    <w:basedOn w:val="DefaultParagraphFont"/>
    <w:semiHidden/>
    <w:unhideWhenUsed/>
    <w:rsid w:val="002078BA"/>
    <w:rPr>
      <w:sz w:val="16"/>
      <w:szCs w:val="16"/>
    </w:rPr>
  </w:style>
  <w:style w:type="paragraph" w:styleId="CommentText">
    <w:name w:val="annotation text"/>
    <w:basedOn w:val="Normal"/>
    <w:link w:val="CommentTextChar"/>
    <w:unhideWhenUsed/>
    <w:rsid w:val="002078BA"/>
    <w:rPr>
      <w:sz w:val="20"/>
    </w:rPr>
  </w:style>
  <w:style w:type="character" w:customStyle="1" w:styleId="CommentTextChar">
    <w:name w:val="Comment Text Char"/>
    <w:basedOn w:val="DefaultParagraphFont"/>
    <w:link w:val="CommentText"/>
    <w:rsid w:val="002078BA"/>
    <w:rPr>
      <w:sz w:val="20"/>
    </w:rPr>
  </w:style>
  <w:style w:type="paragraph" w:styleId="CommentSubject">
    <w:name w:val="annotation subject"/>
    <w:basedOn w:val="CommentText"/>
    <w:next w:val="CommentText"/>
    <w:link w:val="CommentSubjectChar"/>
    <w:semiHidden/>
    <w:unhideWhenUsed/>
    <w:rsid w:val="002078BA"/>
    <w:rPr>
      <w:b/>
      <w:bCs/>
    </w:rPr>
  </w:style>
  <w:style w:type="character" w:customStyle="1" w:styleId="CommentSubjectChar">
    <w:name w:val="Comment Subject Char"/>
    <w:basedOn w:val="CommentTextChar"/>
    <w:link w:val="CommentSubject"/>
    <w:semiHidden/>
    <w:rsid w:val="002078B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amaviciute@cpva.lt"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4c9bf40351b236492682a2d3473eac02">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9b6eb721e51d17af17b6113f417a729"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Marija Samavičiūtė</DisplayName>
        <AccountId>827</AccountId>
        <AccountType/>
      </UserInfo>
      <UserInfo>
        <DisplayName>Zita Markevičienė</DisplayName>
        <AccountId>754</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0F935-9ED1-4A7B-A23F-92DE62C90C84}"/>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95682BC8-8A08-4453-817B-629C22886E2A}"/>
</file>

<file path=docProps/app.xml><?xml version="1.0" encoding="utf-8"?>
<Properties xmlns="http://schemas.openxmlformats.org/officeDocument/2006/extended-properties" xmlns:vt="http://schemas.openxmlformats.org/officeDocument/2006/docPropsVTypes">
  <Template>Normal</Template>
  <TotalTime>53</TotalTime>
  <Pages>8</Pages>
  <Words>12871</Words>
  <Characters>7337</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ŠMSM-V-007</vt:lpstr>
      <vt:lpstr/>
    </vt:vector>
  </TitlesOfParts>
  <Company>HP Inc.</Company>
  <LinksUpToDate>false</LinksUpToDate>
  <CharactersWithSpaces>20168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ŠMSM-V-007</dc:title>
  <dc:creator>Virginija Levinskienė</dc:creator>
  <cp:lastModifiedBy>Marija Samavičiūtė</cp:lastModifiedBy>
  <cp:revision>45</cp:revision>
  <dcterms:created xsi:type="dcterms:W3CDTF">2022-08-22T06:44:00Z</dcterms:created>
  <dcterms:modified xsi:type="dcterms:W3CDTF">2022-08-23T16:55:00Z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skyrius|4d6950ba-bddb-4d59-b4f2-90fff673db9b;#3308;#Procesų valdymo skyrius|1d2453fc-c175-46b4-b9fe-6151c1a059d8</vt:lpwstr>
  </property>
  <property fmtid="{D5CDD505-2E9C-101B-9397-08002B2CF9AE}" pid="6" name="DmsPermissionsUsers">
    <vt:lpwstr>827;#Marija Samavičiūtė;#754;#Zita Markevičienė;#120;#Ričardas Šokaitis</vt:lpwstr>
  </property>
  <property fmtid="{D5CDD505-2E9C-101B-9397-08002B2CF9AE}" pid="7" name="DmsWaitingForSign">
    <vt:bool>true</vt:bool>
  </property>
</Properties>
</file>