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customXmlProperties+xml" PartName="/customXml/itemProps7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3E2C6D" w:rsidRPr="00E5449F" w:rsidRDefault="00F46C22">
      <w:pPr>
        <w:widowControl w:val="0"/>
        <w:ind w:left="9639"/>
        <w:jc w:val="both"/>
        <w:textAlignment w:val="baseline"/>
        <w:rPr>
          <w:sz w:val="22"/>
          <w:szCs w:val="22"/>
        </w:rPr>
      </w:pPr>
      <w:r w:rsidRPr="00E5449F">
        <w:rPr>
          <w:bCs/>
          <w:sz w:val="22"/>
          <w:szCs w:val="22"/>
        </w:rPr>
        <w:t>2021–2027 metų Europos Sąjungos fondų investicijų programos</w:t>
      </w:r>
      <w:r w:rsidRPr="00E5449F">
        <w:rPr>
          <w:sz w:val="22"/>
          <w:szCs w:val="22"/>
        </w:rPr>
        <w:t xml:space="preserve"> ir</w:t>
      </w:r>
      <w:r w:rsidRPr="00E5449F">
        <w:rPr>
          <w:bCs/>
          <w:sz w:val="22"/>
          <w:szCs w:val="22"/>
        </w:rPr>
        <w:t xml:space="preserve"> </w:t>
      </w:r>
      <w:r w:rsidRPr="00E5449F">
        <w:rPr>
          <w:sz w:val="22"/>
          <w:szCs w:val="22"/>
        </w:rPr>
        <w:t>Ekonomikos gaivinimo ir atsparumo didinimo plano „Naujos kartos Lietuva“ administravimo taisyklių</w:t>
      </w:r>
    </w:p>
    <w:p w14:paraId="681455F1" w14:textId="77777777" w:rsidR="003E2C6D" w:rsidRPr="00E5449F" w:rsidRDefault="00F46C22">
      <w:pPr>
        <w:widowControl w:val="0"/>
        <w:ind w:left="9639"/>
        <w:jc w:val="both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6 priedas</w:t>
      </w:r>
    </w:p>
    <w:p w14:paraId="6F31F7B5" w14:textId="77777777" w:rsidR="003E2C6D" w:rsidRPr="00E5449F" w:rsidRDefault="003E2C6D">
      <w:pPr>
        <w:widowControl w:val="0"/>
        <w:jc w:val="right"/>
        <w:textAlignment w:val="baseline"/>
        <w:rPr>
          <w:sz w:val="22"/>
          <w:szCs w:val="22"/>
        </w:rPr>
      </w:pPr>
    </w:p>
    <w:p w14:paraId="664E2DAF" w14:textId="61D3E5F3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5AE29B7C" w14:textId="55306202" w:rsidR="003E2C6D" w:rsidRPr="00E5449F" w:rsidRDefault="00552948">
      <w:pPr>
        <w:widowControl w:val="0"/>
        <w:jc w:val="center"/>
        <w:textAlignment w:val="baseline"/>
        <w:rPr>
          <w:b/>
          <w:bCs/>
          <w:sz w:val="22"/>
          <w:szCs w:val="22"/>
        </w:rPr>
      </w:pPr>
      <w:r w:rsidRPr="00E5449F">
        <w:rPr>
          <w:b/>
          <w:bCs/>
          <w:sz w:val="22"/>
          <w:szCs w:val="22"/>
        </w:rPr>
        <w:t>LIETUVOS RESPUBLIKOS APLINKOS MINISTERIJA</w:t>
      </w:r>
    </w:p>
    <w:p w14:paraId="06A2625F" w14:textId="77777777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2706FAD6" w14:textId="565C61F6" w:rsidR="003E2C6D" w:rsidRPr="00E5449F" w:rsidRDefault="00113A1F">
      <w:pPr>
        <w:widowControl w:val="0"/>
        <w:ind w:left="1276"/>
        <w:textAlignment w:val="baseline"/>
        <w:rPr>
          <w:sz w:val="22"/>
          <w:szCs w:val="22"/>
        </w:rPr>
      </w:pPr>
      <w:r>
        <w:rPr>
          <w:sz w:val="22"/>
          <w:szCs w:val="22"/>
        </w:rPr>
        <w:t>LR finansų ministerija</w:t>
      </w:r>
    </w:p>
    <w:p w14:paraId="51D1B5B7" w14:textId="77777777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7534FC61" w14:textId="4C2F64DB" w:rsidR="003E2C6D" w:rsidRPr="00E5449F" w:rsidRDefault="00F46C22">
      <w:pPr>
        <w:widowControl w:val="0"/>
        <w:jc w:val="center"/>
        <w:textAlignment w:val="baseline"/>
        <w:rPr>
          <w:b/>
          <w:sz w:val="22"/>
          <w:szCs w:val="22"/>
        </w:rPr>
      </w:pPr>
      <w:r w:rsidRPr="00E5449F">
        <w:rPr>
          <w:b/>
          <w:sz w:val="22"/>
          <w:szCs w:val="22"/>
        </w:rPr>
        <w:t>PASIŪLYMAS DĖL PROJEKTŲ SPECIALIŲJŲ IR PRIORITETINIŲ ATRANKOS KRITERIJŲ NUSTATYMO IR (ARBA) KEITIMO BEI VERTINIMO METODIKA</w:t>
      </w:r>
    </w:p>
    <w:p w14:paraId="0CC2F959" w14:textId="77777777" w:rsidR="003E2C6D" w:rsidRPr="00E5449F" w:rsidRDefault="003E2C6D">
      <w:pPr>
        <w:widowControl w:val="0"/>
        <w:jc w:val="center"/>
        <w:textAlignment w:val="baseline"/>
        <w:rPr>
          <w:sz w:val="22"/>
          <w:szCs w:val="22"/>
        </w:rPr>
      </w:pPr>
    </w:p>
    <w:p w14:paraId="2EE47239" w14:textId="5A988DD6" w:rsidR="003E2C6D" w:rsidRPr="00E5449F" w:rsidRDefault="00F46C22">
      <w:pPr>
        <w:widowControl w:val="0"/>
        <w:jc w:val="center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20</w:t>
      </w:r>
      <w:r w:rsidR="00113A1F">
        <w:rPr>
          <w:sz w:val="22"/>
          <w:szCs w:val="22"/>
        </w:rPr>
        <w:t>24</w:t>
      </w:r>
      <w:r w:rsidRPr="00E5449F">
        <w:rPr>
          <w:sz w:val="22"/>
          <w:szCs w:val="22"/>
        </w:rPr>
        <w:t xml:space="preserve"> m</w:t>
      </w:r>
      <w:r w:rsidR="00D00475">
        <w:rPr>
          <w:sz w:val="22"/>
          <w:szCs w:val="22"/>
        </w:rPr>
        <w:t xml:space="preserve">.                               </w:t>
      </w:r>
      <w:r w:rsidR="00113A1F">
        <w:rPr>
          <w:sz w:val="22"/>
          <w:szCs w:val="22"/>
        </w:rPr>
        <w:t xml:space="preserve"> </w:t>
      </w:r>
      <w:r w:rsidRPr="00E5449F">
        <w:rPr>
          <w:sz w:val="22"/>
          <w:szCs w:val="22"/>
        </w:rPr>
        <w:t>d.</w:t>
      </w:r>
    </w:p>
    <w:p w14:paraId="0CFEB29A" w14:textId="77777777" w:rsidR="003E2C6D" w:rsidRPr="00E5449F" w:rsidRDefault="003E2C6D">
      <w:pPr>
        <w:widowControl w:val="0"/>
        <w:jc w:val="center"/>
        <w:textAlignment w:val="baseline"/>
        <w:rPr>
          <w:sz w:val="22"/>
          <w:szCs w:val="22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9462"/>
      </w:tblGrid>
      <w:tr w:rsidR="003E2C6D" w:rsidRPr="00E5449F" w14:paraId="77188082" w14:textId="77777777" w:rsidTr="00113A1F">
        <w:tc>
          <w:tcPr>
            <w:tcW w:w="5665" w:type="dxa"/>
            <w:shd w:val="clear" w:color="auto" w:fill="auto"/>
            <w:vAlign w:val="center"/>
          </w:tcPr>
          <w:p w14:paraId="27B7C8B4" w14:textId="26D73FFD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509B765C" w14:textId="6069F351" w:rsidR="003E2C6D" w:rsidRPr="00E5449F" w:rsidRDefault="00347857">
            <w:pPr>
              <w:widowControl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E5449F">
              <w:rPr>
                <w:iCs/>
                <w:sz w:val="22"/>
                <w:szCs w:val="22"/>
              </w:rPr>
              <w:t>Lietuvos Respublikos aplinkos ministerija</w:t>
            </w:r>
          </w:p>
        </w:tc>
      </w:tr>
      <w:tr w:rsidR="003E2C6D" w:rsidRPr="00E5449F" w14:paraId="5BE1F7E2" w14:textId="77777777" w:rsidTr="00113A1F">
        <w:tc>
          <w:tcPr>
            <w:tcW w:w="5665" w:type="dxa"/>
            <w:shd w:val="clear" w:color="auto" w:fill="auto"/>
            <w:vAlign w:val="center"/>
          </w:tcPr>
          <w:p w14:paraId="0206FA4F" w14:textId="4BEED8B3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Pažangos priemonės veiklos (poveiklės) pavadinimas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60BD5E92" w14:textId="05F00332" w:rsidR="00347857" w:rsidRPr="00E5449F" w:rsidRDefault="00262D0A" w:rsidP="00347857">
            <w:pPr>
              <w:widowControl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E5449F">
              <w:rPr>
                <w:iCs/>
                <w:sz w:val="22"/>
                <w:szCs w:val="22"/>
              </w:rPr>
              <w:t>2022–2030 metų plėtros programos valdytojos Lietuvos Respublikos aplinkos ministerijos aplinkos apsaugos ir klimato kaitos valdymo plėtros programos pažangos priemonės Nr. 02-001-06-10-02 „Skatinti atliekų perdirbimo ir antrinių žaliavų naudojimą“</w:t>
            </w:r>
            <w:r w:rsidRPr="00E5449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5449F">
              <w:rPr>
                <w:iCs/>
                <w:sz w:val="22"/>
                <w:szCs w:val="22"/>
              </w:rPr>
              <w:t>veikla</w:t>
            </w:r>
            <w:r w:rsidRPr="00E5449F">
              <w:rPr>
                <w:b/>
                <w:bCs/>
                <w:iCs/>
                <w:sz w:val="22"/>
                <w:szCs w:val="22"/>
              </w:rPr>
              <w:t xml:space="preserve"> „</w:t>
            </w:r>
            <w:r w:rsidR="00D00475">
              <w:rPr>
                <w:iCs/>
                <w:sz w:val="22"/>
                <w:szCs w:val="22"/>
              </w:rPr>
              <w:t>Žaliųjų</w:t>
            </w:r>
            <w:r w:rsidR="00347857" w:rsidRPr="00E5449F">
              <w:rPr>
                <w:iCs/>
                <w:sz w:val="22"/>
                <w:szCs w:val="22"/>
              </w:rPr>
              <w:t xml:space="preserve"> atliekų perdirbimo pajėgumų plėtra</w:t>
            </w:r>
            <w:r w:rsidR="000A7322" w:rsidRPr="00E5449F">
              <w:rPr>
                <w:iCs/>
                <w:sz w:val="22"/>
                <w:szCs w:val="22"/>
              </w:rPr>
              <w:t>“</w:t>
            </w:r>
          </w:p>
        </w:tc>
      </w:tr>
      <w:tr w:rsidR="003E2C6D" w:rsidRPr="00E5449F" w14:paraId="31AE92AE" w14:textId="77777777" w:rsidTr="00113A1F">
        <w:tc>
          <w:tcPr>
            <w:tcW w:w="5665" w:type="dxa"/>
            <w:shd w:val="clear" w:color="auto" w:fill="auto"/>
            <w:vAlign w:val="center"/>
          </w:tcPr>
          <w:p w14:paraId="06EF78B7" w14:textId="77C8EE32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Pažangos priemonės veiklai (poveiklei) skirta finansavimo suma (mln. eurų)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2BF6AF44" w14:textId="789FD147" w:rsidR="00347857" w:rsidRPr="00E5449F" w:rsidRDefault="00D00475">
            <w:pPr>
              <w:widowControl w:val="0"/>
              <w:jc w:val="both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20,4</w:t>
            </w:r>
            <w:r w:rsidR="00347857" w:rsidRPr="00E5449F">
              <w:rPr>
                <w:iCs/>
                <w:sz w:val="22"/>
                <w:szCs w:val="22"/>
              </w:rPr>
              <w:t xml:space="preserve"> mln. eurų</w:t>
            </w:r>
          </w:p>
        </w:tc>
      </w:tr>
      <w:tr w:rsidR="003E2C6D" w:rsidRPr="00E5449F" w14:paraId="390279EA" w14:textId="77777777" w:rsidTr="00113A1F">
        <w:tc>
          <w:tcPr>
            <w:tcW w:w="5665" w:type="dxa"/>
            <w:shd w:val="clear" w:color="auto" w:fill="auto"/>
            <w:vAlign w:val="center"/>
          </w:tcPr>
          <w:p w14:paraId="113DE1EC" w14:textId="78882A84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Finansavimo šaltinis (-iai)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0E10E3DE" w14:textId="4E9A1D6A" w:rsidR="003E2C6D" w:rsidRPr="00E5449F" w:rsidRDefault="00347857">
            <w:pPr>
              <w:jc w:val="both"/>
              <w:rPr>
                <w:iCs/>
                <w:sz w:val="22"/>
                <w:szCs w:val="22"/>
              </w:rPr>
            </w:pPr>
            <w:r w:rsidRPr="00E5449F">
              <w:rPr>
                <w:iCs/>
                <w:sz w:val="22"/>
                <w:szCs w:val="22"/>
              </w:rPr>
              <w:t>2021–2027 m. Sanglaudos fondo ir bendrojo finansavimo lėšos</w:t>
            </w:r>
          </w:p>
        </w:tc>
      </w:tr>
      <w:tr w:rsidR="003E2C6D" w:rsidRPr="00E5449F" w14:paraId="4C57846C" w14:textId="77777777" w:rsidTr="00113A1F">
        <w:tc>
          <w:tcPr>
            <w:tcW w:w="5665" w:type="dxa"/>
            <w:shd w:val="clear" w:color="auto" w:fill="auto"/>
            <w:vAlign w:val="center"/>
          </w:tcPr>
          <w:p w14:paraId="2F0BDDAD" w14:textId="74EBD4D1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bCs/>
                <w:sz w:val="22"/>
                <w:szCs w:val="22"/>
              </w:rPr>
              <w:t xml:space="preserve">Prioritetas ir konkretus uždavinys arba komponentas 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523C9D26" w14:textId="77777777" w:rsidR="003E2C6D" w:rsidRPr="00E5449F" w:rsidRDefault="00347857" w:rsidP="0034785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2 Žalesnė Lietuva</w:t>
            </w:r>
          </w:p>
          <w:p w14:paraId="7543FD40" w14:textId="42426EED" w:rsidR="00347857" w:rsidRPr="00E5449F" w:rsidRDefault="00347857" w:rsidP="0034785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2.6 Skatinti perėjimą prie žiedinės ir efektyvaus išteklių naudojimo ekonomikos</w:t>
            </w:r>
          </w:p>
        </w:tc>
      </w:tr>
      <w:tr w:rsidR="003E2C6D" w:rsidRPr="00E5449F" w14:paraId="336BAD4A" w14:textId="77777777" w:rsidTr="00113A1F">
        <w:tc>
          <w:tcPr>
            <w:tcW w:w="5665" w:type="dxa"/>
            <w:shd w:val="clear" w:color="auto" w:fill="auto"/>
            <w:vAlign w:val="center"/>
          </w:tcPr>
          <w:p w14:paraId="3F00C7BD" w14:textId="4D595484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Projektų atrankos būdas (finansavimo forma, kai įgyvendinamos finansinės priemonės)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1BFB854A" w14:textId="77777777" w:rsidR="003E2C6D" w:rsidRPr="00E5449F" w:rsidRDefault="00F46C22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>□</w:t>
            </w:r>
            <w:r w:rsidRPr="00E5449F">
              <w:rPr>
                <w:sz w:val="22"/>
                <w:szCs w:val="22"/>
              </w:rPr>
              <w:t xml:space="preserve"> Planavimo</w:t>
            </w:r>
          </w:p>
          <w:p w14:paraId="1B352361" w14:textId="703F5DC5" w:rsidR="003E2C6D" w:rsidRPr="00E5449F" w:rsidRDefault="00D00475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D00475">
              <w:rPr>
                <w:bCs/>
                <w:sz w:val="22"/>
                <w:szCs w:val="22"/>
                <w:lang w:eastAsia="lt-LT"/>
              </w:rPr>
              <w:t>□</w:t>
            </w:r>
            <w:r w:rsidR="00F46C22" w:rsidRPr="00E5449F">
              <w:rPr>
                <w:sz w:val="22"/>
                <w:szCs w:val="22"/>
              </w:rPr>
              <w:t xml:space="preserve"> Konkurso</w:t>
            </w:r>
          </w:p>
          <w:p w14:paraId="609AFC41" w14:textId="25168101" w:rsidR="003E2C6D" w:rsidRPr="00E5449F" w:rsidRDefault="00D00475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x</w:t>
            </w:r>
            <w:r w:rsidR="00F46C22" w:rsidRPr="00E5449F">
              <w:rPr>
                <w:sz w:val="22"/>
                <w:szCs w:val="22"/>
              </w:rPr>
              <w:t xml:space="preserve"> Tęstinės projektų atrankos</w:t>
            </w:r>
          </w:p>
          <w:p w14:paraId="19502A19" w14:textId="70AC3B28" w:rsidR="003E2C6D" w:rsidRPr="00E5449F" w:rsidRDefault="00F46C22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>□ Finansinė priemonė</w:t>
            </w:r>
          </w:p>
        </w:tc>
      </w:tr>
    </w:tbl>
    <w:p w14:paraId="1A665828" w14:textId="77777777" w:rsidR="00347857" w:rsidRPr="00E5449F" w:rsidRDefault="0034785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2"/>
        <w:gridCol w:w="8855"/>
      </w:tblGrid>
      <w:tr w:rsidR="00552948" w:rsidRPr="00E5449F" w14:paraId="477B7D0C" w14:textId="77777777" w:rsidTr="0AE0E5E1"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1ADDEA" w14:textId="77777777" w:rsidR="00552948" w:rsidRPr="00E5449F" w:rsidRDefault="0055294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sz w:val="22"/>
                <w:szCs w:val="22"/>
              </w:rPr>
              <w:br w:type="page"/>
            </w:r>
            <w:r w:rsidRPr="00E5449F">
              <w:rPr>
                <w:b/>
                <w:bCs/>
                <w:sz w:val="22"/>
                <w:szCs w:val="22"/>
                <w:lang w:eastAsia="lt-LT"/>
              </w:rPr>
              <w:t>Teikiamas tvirtinti:</w:t>
            </w:r>
          </w:p>
          <w:p w14:paraId="79C030D9" w14:textId="765C3CB6" w:rsidR="00552948" w:rsidRPr="00E5449F" w:rsidRDefault="00EC650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C6508">
              <w:rPr>
                <w:b/>
                <w:bCs/>
                <w:sz w:val="22"/>
                <w:szCs w:val="22"/>
                <w:lang w:eastAsia="lt-LT"/>
              </w:rPr>
              <w:t>X</w:t>
            </w:r>
            <w:r w:rsidR="00552948" w:rsidRPr="00E5449F"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           </w:t>
            </w:r>
          </w:p>
          <w:p w14:paraId="5D1EE2AD" w14:textId="53157A2C" w:rsidR="00552948" w:rsidRPr="00E5449F" w:rsidRDefault="00EC650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C6508">
              <w:rPr>
                <w:b/>
                <w:bCs/>
                <w:sz w:val="22"/>
                <w:szCs w:val="22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552948" w:rsidRPr="00E5449F"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8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63FE78" w14:textId="77777777" w:rsidR="00552948" w:rsidRPr="00E5449F" w:rsidRDefault="00552948" w:rsidP="005334ED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X Nustatymas</w:t>
            </w:r>
          </w:p>
          <w:p w14:paraId="6E261EE1" w14:textId="77777777" w:rsidR="00552948" w:rsidRPr="00E5449F" w:rsidRDefault="00552948" w:rsidP="005334E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 xml:space="preserve">□ Keitimas </w:t>
            </w:r>
          </w:p>
        </w:tc>
      </w:tr>
      <w:tr w:rsidR="00552948" w:rsidRPr="00E5449F" w14:paraId="20C1104C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910FF" w14:textId="77777777" w:rsidR="00552948" w:rsidRPr="00E5449F" w:rsidRDefault="0055294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Projektų atrankos kriterijaus numeris ir pavadinimas: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A8DE619" w14:textId="08A055C2" w:rsidR="00552948" w:rsidRPr="00E5449F" w:rsidRDefault="0021251B" w:rsidP="008B21EA">
            <w:pPr>
              <w:spacing w:before="120" w:after="120"/>
              <w:ind w:firstLine="287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552948" w:rsidRPr="0AE0E5E1">
              <w:rPr>
                <w:sz w:val="22"/>
                <w:szCs w:val="22"/>
                <w:lang w:eastAsia="lt-LT"/>
              </w:rPr>
              <w:t xml:space="preserve">. 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Už 1 suteiktos dotacijos eurą turi būti </w:t>
            </w:r>
            <w:r w:rsidR="67148F8E" w:rsidRPr="0AE0E5E1">
              <w:rPr>
                <w:sz w:val="22"/>
                <w:szCs w:val="22"/>
                <w:lang w:eastAsia="lt-LT"/>
              </w:rPr>
              <w:t xml:space="preserve">įsipareigojama </w:t>
            </w:r>
            <w:r w:rsidR="4924F7D6" w:rsidRPr="0AE0E5E1">
              <w:rPr>
                <w:sz w:val="22"/>
                <w:szCs w:val="22"/>
                <w:lang w:eastAsia="lt-LT"/>
              </w:rPr>
              <w:t>sukurti papildom</w:t>
            </w:r>
            <w:r w:rsidR="00F66630">
              <w:rPr>
                <w:sz w:val="22"/>
                <w:szCs w:val="22"/>
                <w:lang w:eastAsia="lt-LT"/>
              </w:rPr>
              <w:t>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žaliųjų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atliekų perdirbimo pajėgum</w:t>
            </w:r>
            <w:r w:rsidR="00F66630">
              <w:rPr>
                <w:sz w:val="22"/>
                <w:szCs w:val="22"/>
                <w:lang w:eastAsia="lt-LT"/>
              </w:rPr>
              <w:t>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ne mažiau </w:t>
            </w:r>
            <w:r w:rsidR="4924F7D6" w:rsidRPr="00A310FA">
              <w:rPr>
                <w:sz w:val="22"/>
                <w:szCs w:val="22"/>
                <w:lang w:eastAsia="lt-LT"/>
              </w:rPr>
              <w:t>kaip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kilogram</w:t>
            </w:r>
            <w:r w:rsidR="0093704B">
              <w:rPr>
                <w:sz w:val="22"/>
                <w:szCs w:val="22"/>
                <w:lang w:eastAsia="lt-LT"/>
              </w:rPr>
              <w:t>ą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(</w:t>
            </w:r>
            <w:r w:rsidR="4924F7D6" w:rsidRPr="00A310FA">
              <w:rPr>
                <w:sz w:val="22"/>
                <w:szCs w:val="22"/>
                <w:lang w:eastAsia="lt-LT"/>
              </w:rPr>
              <w:t>0,00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4924F7D6" w:rsidRPr="00A310FA">
              <w:rPr>
                <w:sz w:val="22"/>
                <w:szCs w:val="22"/>
                <w:lang w:eastAsia="lt-LT"/>
              </w:rPr>
              <w:t xml:space="preserve"> tonų</w:t>
            </w:r>
            <w:r w:rsidR="15AA36E2" w:rsidRPr="00A310FA">
              <w:rPr>
                <w:sz w:val="22"/>
                <w:szCs w:val="22"/>
                <w:lang w:eastAsia="lt-LT"/>
              </w:rPr>
              <w:t>)</w:t>
            </w:r>
            <w:r w:rsidR="15AA36E2" w:rsidRPr="0AE0E5E1">
              <w:rPr>
                <w:sz w:val="22"/>
                <w:szCs w:val="22"/>
                <w:lang w:eastAsia="lt-LT"/>
              </w:rPr>
              <w:t xml:space="preserve"> </w:t>
            </w:r>
            <w:r w:rsidR="4924F7D6" w:rsidRPr="0AE0E5E1">
              <w:rPr>
                <w:sz w:val="22"/>
                <w:szCs w:val="22"/>
                <w:lang w:eastAsia="lt-LT"/>
              </w:rPr>
              <w:t>per metus.</w:t>
            </w:r>
          </w:p>
        </w:tc>
      </w:tr>
      <w:tr w:rsidR="00552948" w:rsidRPr="00E5449F" w14:paraId="20D8C0FA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9AE477" w14:textId="57C57C8E" w:rsidR="00552948" w:rsidRPr="00E5449F" w:rsidRDefault="00552948" w:rsidP="00552948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9DBEDB" w14:textId="274AED93" w:rsidR="00FC0341" w:rsidRDefault="743A2172" w:rsidP="0AE0E5E1">
            <w:pPr>
              <w:ind w:firstLine="287"/>
              <w:jc w:val="both"/>
              <w:rPr>
                <w:sz w:val="22"/>
                <w:szCs w:val="22"/>
              </w:rPr>
            </w:pPr>
            <w:r w:rsidRPr="0AE0E5E1">
              <w:rPr>
                <w:sz w:val="22"/>
                <w:szCs w:val="22"/>
              </w:rPr>
              <w:t xml:space="preserve">Vertinamas </w:t>
            </w:r>
            <w:r w:rsidR="5E453756" w:rsidRPr="0AE0E5E1">
              <w:rPr>
                <w:sz w:val="22"/>
                <w:szCs w:val="22"/>
              </w:rPr>
              <w:t>E</w:t>
            </w:r>
            <w:r w:rsidR="0021251B">
              <w:rPr>
                <w:sz w:val="22"/>
                <w:szCs w:val="22"/>
              </w:rPr>
              <w:t xml:space="preserve">uropos </w:t>
            </w:r>
            <w:r w:rsidR="5E453756" w:rsidRPr="0AE0E5E1">
              <w:rPr>
                <w:sz w:val="22"/>
                <w:szCs w:val="22"/>
              </w:rPr>
              <w:t>S</w:t>
            </w:r>
            <w:r w:rsidR="0021251B">
              <w:rPr>
                <w:sz w:val="22"/>
                <w:szCs w:val="22"/>
              </w:rPr>
              <w:t>ąjungos</w:t>
            </w:r>
            <w:r w:rsidR="5E453756" w:rsidRPr="0AE0E5E1">
              <w:rPr>
                <w:sz w:val="22"/>
                <w:szCs w:val="22"/>
              </w:rPr>
              <w:t xml:space="preserve"> investicijų fondų lėšų panaudojimo efektyvumas</w:t>
            </w:r>
            <w:r w:rsidRPr="0AE0E5E1">
              <w:rPr>
                <w:sz w:val="22"/>
                <w:szCs w:val="22"/>
              </w:rPr>
              <w:t>.</w:t>
            </w:r>
            <w:r w:rsidR="5E453756" w:rsidRPr="0AE0E5E1">
              <w:rPr>
                <w:sz w:val="22"/>
                <w:szCs w:val="22"/>
              </w:rPr>
              <w:t xml:space="preserve"> Už 1 suteiktos dotacijos eurą turi būti sukurti papildomi </w:t>
            </w:r>
            <w:r w:rsidR="002453B4">
              <w:rPr>
                <w:sz w:val="22"/>
                <w:szCs w:val="22"/>
              </w:rPr>
              <w:t>žaliųjų</w:t>
            </w:r>
            <w:r w:rsidR="11F6858F" w:rsidRPr="0AE0E5E1">
              <w:rPr>
                <w:sz w:val="22"/>
                <w:szCs w:val="22"/>
              </w:rPr>
              <w:t xml:space="preserve"> </w:t>
            </w:r>
            <w:r w:rsidR="5E453756" w:rsidRPr="0AE0E5E1">
              <w:rPr>
                <w:sz w:val="22"/>
                <w:szCs w:val="22"/>
              </w:rPr>
              <w:t xml:space="preserve">atliekų perdirbimo pajėgumai ne mažiau kaip 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3AA57292" w:rsidRPr="0AE0E5E1">
              <w:rPr>
                <w:sz w:val="22"/>
                <w:szCs w:val="22"/>
                <w:lang w:eastAsia="lt-LT"/>
              </w:rPr>
              <w:t xml:space="preserve"> kilograma</w:t>
            </w:r>
            <w:r w:rsidR="0093704B">
              <w:rPr>
                <w:sz w:val="22"/>
                <w:szCs w:val="22"/>
                <w:lang w:eastAsia="lt-LT"/>
              </w:rPr>
              <w:t>s</w:t>
            </w:r>
            <w:r w:rsidR="3AA57292" w:rsidRPr="0AE0E5E1">
              <w:rPr>
                <w:sz w:val="22"/>
                <w:szCs w:val="22"/>
                <w:lang w:eastAsia="lt-LT"/>
              </w:rPr>
              <w:t xml:space="preserve"> (</w:t>
            </w:r>
            <w:r w:rsidR="5E453756" w:rsidRPr="0AE0E5E1">
              <w:rPr>
                <w:sz w:val="22"/>
                <w:szCs w:val="22"/>
              </w:rPr>
              <w:t>0,00</w:t>
            </w:r>
            <w:r w:rsidR="0093704B">
              <w:rPr>
                <w:sz w:val="22"/>
                <w:szCs w:val="22"/>
              </w:rPr>
              <w:t>1</w:t>
            </w:r>
            <w:r w:rsidR="5E453756" w:rsidRPr="0AE0E5E1">
              <w:rPr>
                <w:sz w:val="22"/>
                <w:szCs w:val="22"/>
              </w:rPr>
              <w:t xml:space="preserve"> tonų</w:t>
            </w:r>
            <w:r w:rsidR="76A664CA" w:rsidRPr="0AE0E5E1">
              <w:rPr>
                <w:sz w:val="22"/>
                <w:szCs w:val="22"/>
              </w:rPr>
              <w:t>)</w:t>
            </w:r>
            <w:r w:rsidR="5E453756" w:rsidRPr="0AE0E5E1">
              <w:rPr>
                <w:sz w:val="22"/>
                <w:szCs w:val="22"/>
              </w:rPr>
              <w:t xml:space="preserve"> per metus.</w:t>
            </w:r>
          </w:p>
          <w:p w14:paraId="343B3BD1" w14:textId="4CEB09DA" w:rsidR="00E77642" w:rsidRPr="00E77642" w:rsidRDefault="00E77642" w:rsidP="00E77642">
            <w:pPr>
              <w:ind w:firstLine="287"/>
              <w:jc w:val="both"/>
              <w:rPr>
                <w:bCs/>
                <w:iCs/>
                <w:sz w:val="22"/>
                <w:szCs w:val="22"/>
              </w:rPr>
            </w:pPr>
            <w:r w:rsidRPr="00E77642">
              <w:rPr>
                <w:bCs/>
                <w:iCs/>
                <w:sz w:val="22"/>
                <w:szCs w:val="22"/>
              </w:rPr>
              <w:t xml:space="preserve">Vertinimas atliekamas pagal </w:t>
            </w:r>
            <w:r w:rsidR="00F66630">
              <w:rPr>
                <w:bCs/>
                <w:iCs/>
                <w:sz w:val="22"/>
                <w:szCs w:val="22"/>
              </w:rPr>
              <w:t xml:space="preserve">projekto įgyvendinimo plane </w:t>
            </w:r>
            <w:r w:rsidRPr="00E77642">
              <w:rPr>
                <w:bCs/>
                <w:iCs/>
                <w:sz w:val="22"/>
                <w:szCs w:val="22"/>
              </w:rPr>
              <w:t xml:space="preserve">pateiktas planuojamų sukurti papildomų </w:t>
            </w:r>
            <w:r w:rsidR="0021251B" w:rsidRPr="0021251B">
              <w:rPr>
                <w:bCs/>
                <w:iCs/>
                <w:sz w:val="22"/>
                <w:szCs w:val="22"/>
              </w:rPr>
              <w:t xml:space="preserve">žaliųjų </w:t>
            </w:r>
            <w:r w:rsidRPr="00E77642">
              <w:rPr>
                <w:bCs/>
                <w:iCs/>
                <w:sz w:val="22"/>
                <w:szCs w:val="22"/>
              </w:rPr>
              <w:t>atliekų perdirbimo pajėgumų technines specifikacijas bei pareiškėjo pateiktą numatomos vykdyti veiklos aprašymą apie numatomus sukurti papildomus atliekų perdirbimo pajėgumus ir įsipareigojimus juos sukurti gavus finansavimą.</w:t>
            </w:r>
          </w:p>
          <w:p w14:paraId="594AF643" w14:textId="77777777" w:rsidR="00E77642" w:rsidRPr="00E5449F" w:rsidRDefault="00E77642" w:rsidP="00B74330">
            <w:pPr>
              <w:ind w:firstLine="287"/>
              <w:jc w:val="both"/>
              <w:rPr>
                <w:bCs/>
                <w:sz w:val="22"/>
                <w:szCs w:val="22"/>
              </w:rPr>
            </w:pPr>
          </w:p>
          <w:p w14:paraId="363B6D31" w14:textId="354FC2B6" w:rsidR="00852EAA" w:rsidRPr="00E5449F" w:rsidRDefault="00852EAA" w:rsidP="00B74330">
            <w:pPr>
              <w:ind w:firstLine="287"/>
              <w:jc w:val="both"/>
              <w:rPr>
                <w:sz w:val="22"/>
                <w:szCs w:val="22"/>
              </w:rPr>
            </w:pPr>
            <w:r w:rsidRPr="00852EAA">
              <w:rPr>
                <w:sz w:val="22"/>
                <w:szCs w:val="22"/>
              </w:rPr>
              <w:t>Atitiktis kriterijui tikrinama projekto vertinimo metu.</w:t>
            </w:r>
          </w:p>
        </w:tc>
      </w:tr>
      <w:tr w:rsidR="00552948" w:rsidRPr="00E5449F" w14:paraId="5A4D33FD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FF7EF" w14:textId="41CCE2BA" w:rsidR="00552948" w:rsidRPr="00E5449F" w:rsidRDefault="00552948" w:rsidP="00552948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Projektų atrankos kriterijaus pasirinkimo pagrindimas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0E6A5" w14:textId="64168445" w:rsidR="00552948" w:rsidRPr="00E5449F" w:rsidRDefault="00E97934" w:rsidP="008B21EA">
            <w:pPr>
              <w:spacing w:before="120" w:after="120"/>
              <w:ind w:firstLine="287"/>
              <w:jc w:val="both"/>
              <w:rPr>
                <w:bCs/>
                <w:sz w:val="22"/>
                <w:szCs w:val="22"/>
                <w:lang w:eastAsia="lt-LT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 xml:space="preserve">Nustatytas kriterijus leis užtikrinti efektyvų </w:t>
            </w:r>
            <w:r w:rsidR="00FC0341" w:rsidRPr="00E578BA">
              <w:rPr>
                <w:bCs/>
                <w:sz w:val="22"/>
                <w:szCs w:val="22"/>
                <w:lang w:eastAsia="lt-LT"/>
              </w:rPr>
              <w:t xml:space="preserve">Europos Sąjungos </w:t>
            </w:r>
            <w:r w:rsidRPr="00E5449F">
              <w:rPr>
                <w:bCs/>
                <w:sz w:val="22"/>
                <w:szCs w:val="22"/>
                <w:lang w:eastAsia="lt-LT"/>
              </w:rPr>
              <w:t>investicijų fondų lėšų panaudojimą.</w:t>
            </w:r>
            <w:r w:rsidRPr="00E5449F">
              <w:rPr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B33D47" w:rsidRPr="00E5449F">
              <w:rPr>
                <w:bCs/>
                <w:sz w:val="22"/>
                <w:szCs w:val="22"/>
                <w:lang w:eastAsia="lt-LT"/>
              </w:rPr>
              <w:t>Pagal šį kriterijų atrinkti projektai padės siekti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 xml:space="preserve"> </w:t>
            </w:r>
            <w:hyperlink r:id="rId14" w:history="1">
              <w:r w:rsidR="00A02DD4" w:rsidRPr="00E5449F">
                <w:rPr>
                  <w:rStyle w:val="Hipersaitas"/>
                  <w:bCs/>
                  <w:iCs/>
                  <w:sz w:val="22"/>
                  <w:szCs w:val="22"/>
                </w:rPr>
                <w:t>2021–2027 metų Europos Sąjungos fondų investicijų veiksmų programos</w:t>
              </w:r>
            </w:hyperlink>
            <w:r w:rsidR="00212A15" w:rsidRPr="00E5449F">
              <w:rPr>
                <w:iCs/>
                <w:sz w:val="22"/>
                <w:szCs w:val="22"/>
              </w:rPr>
              <w:t xml:space="preserve"> 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 xml:space="preserve">produkto stebėsenos rodiklio </w:t>
            </w:r>
            <w:r w:rsidR="00212A15" w:rsidRPr="00E5449F">
              <w:rPr>
                <w:bCs/>
                <w:sz w:val="22"/>
                <w:szCs w:val="22"/>
                <w:lang w:eastAsia="lt-LT"/>
              </w:rPr>
              <w:t xml:space="preserve">P.B.2.0034 / RCO34 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>„</w:t>
            </w:r>
            <w:r w:rsidR="00212A15" w:rsidRPr="00E5449F">
              <w:rPr>
                <w:bCs/>
                <w:sz w:val="22"/>
                <w:szCs w:val="22"/>
                <w:lang w:eastAsia="lt-LT"/>
              </w:rPr>
              <w:t>Papildomi atliekų perdirbimo pajėgumai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>“.</w:t>
            </w:r>
          </w:p>
        </w:tc>
      </w:tr>
    </w:tbl>
    <w:p w14:paraId="5ED0535D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5EBA60D5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31100040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007CE80A" w14:textId="6D5F8649" w:rsidR="0AE0E5E1" w:rsidRDefault="0AE0E5E1" w:rsidP="0AE0E5E1">
      <w:pPr>
        <w:spacing w:line="240" w:lineRule="exact"/>
        <w:ind w:firstLine="720"/>
        <w:rPr>
          <w:sz w:val="22"/>
          <w:szCs w:val="22"/>
        </w:rPr>
      </w:pPr>
    </w:p>
    <w:p w14:paraId="1F41BB10" w14:textId="77777777" w:rsidR="00212A15" w:rsidRPr="00E5449F" w:rsidRDefault="00212A15">
      <w:pPr>
        <w:widowControl w:val="0"/>
        <w:spacing w:line="240" w:lineRule="exact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1534"/>
        <w:gridCol w:w="3496"/>
        <w:gridCol w:w="1657"/>
        <w:gridCol w:w="3032"/>
      </w:tblGrid>
      <w:tr w:rsidR="003E2C6D" w:rsidRPr="00E5449F" w14:paraId="148A9663" w14:textId="77777777">
        <w:tc>
          <w:tcPr>
            <w:tcW w:w="5495" w:type="dxa"/>
          </w:tcPr>
          <w:p w14:paraId="76C2560D" w14:textId="7FBF7DAC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A8F3AFC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92B1327" w14:textId="6474BC70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E2C6D" w:rsidRPr="00E5449F" w14:paraId="0BE1540A" w14:textId="77777777">
        <w:tc>
          <w:tcPr>
            <w:tcW w:w="5495" w:type="dxa"/>
          </w:tcPr>
          <w:p w14:paraId="23B817ED" w14:textId="654D43C2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3E2C6D" w:rsidRPr="00E5449F" w:rsidRDefault="003E2C6D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5A2D18B" w14:textId="1467188A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3E2C6D" w:rsidRPr="00E5449F" w:rsidRDefault="003E2C6D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569EE21" w14:textId="25222BA0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3E2C6D" w:rsidRPr="00E5449F" w:rsidRDefault="003E2C6D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2"/>
        </w:rPr>
      </w:pPr>
    </w:p>
    <w:p w14:paraId="1221B249" w14:textId="03BC4E18" w:rsidR="003E2C6D" w:rsidRPr="00E5449F" w:rsidRDefault="00F46C22">
      <w:pPr>
        <w:widowControl w:val="0"/>
        <w:spacing w:line="240" w:lineRule="exact"/>
        <w:jc w:val="center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_____________________________________________</w:t>
      </w:r>
    </w:p>
    <w:sectPr w:rsidR="003E2C6D" w:rsidRPr="00E5449F" w:rsidSect="00113A1F">
      <w:headerReference w:type="default" r:id="rId15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F3BE" w14:textId="77777777" w:rsidR="00113A1F" w:rsidRDefault="00113A1F" w:rsidP="00113A1F">
      <w:r>
        <w:separator/>
      </w:r>
    </w:p>
  </w:endnote>
  <w:endnote w:type="continuationSeparator" w:id="0">
    <w:p w14:paraId="2FBF8308" w14:textId="77777777" w:rsidR="00113A1F" w:rsidRDefault="00113A1F" w:rsidP="0011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47DA" w14:textId="77777777" w:rsidR="00113A1F" w:rsidRDefault="00113A1F" w:rsidP="00113A1F">
      <w:r>
        <w:separator/>
      </w:r>
    </w:p>
  </w:footnote>
  <w:footnote w:type="continuationSeparator" w:id="0">
    <w:p w14:paraId="5E7E76E8" w14:textId="77777777" w:rsidR="00113A1F" w:rsidRDefault="00113A1F" w:rsidP="0011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807342"/>
      <w:docPartObj>
        <w:docPartGallery w:val="Page Numbers (Top of Page)"/>
        <w:docPartUnique/>
      </w:docPartObj>
    </w:sdtPr>
    <w:sdtEndPr/>
    <w:sdtContent>
      <w:p w14:paraId="6149156D" w14:textId="1FFBA24E" w:rsidR="00113A1F" w:rsidRDefault="00113A1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54029B" w14:textId="77777777" w:rsidR="00113A1F" w:rsidRDefault="00113A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50A2"/>
    <w:multiLevelType w:val="hybridMultilevel"/>
    <w:tmpl w:val="BB564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3BFB0"/>
    <w:multiLevelType w:val="hybridMultilevel"/>
    <w:tmpl w:val="A8E4CAA0"/>
    <w:lvl w:ilvl="0" w:tplc="0786F4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C41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E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4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8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E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07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E8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25082"/>
    <w:multiLevelType w:val="hybridMultilevel"/>
    <w:tmpl w:val="211CA9A4"/>
    <w:lvl w:ilvl="0" w:tplc="4F166A22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7" w:hanging="360"/>
      </w:pPr>
    </w:lvl>
    <w:lvl w:ilvl="2" w:tplc="0427001B" w:tentative="1">
      <w:start w:val="1"/>
      <w:numFmt w:val="lowerRoman"/>
      <w:lvlText w:val="%3."/>
      <w:lvlJc w:val="right"/>
      <w:pPr>
        <w:ind w:left="2087" w:hanging="180"/>
      </w:pPr>
    </w:lvl>
    <w:lvl w:ilvl="3" w:tplc="0427000F" w:tentative="1">
      <w:start w:val="1"/>
      <w:numFmt w:val="decimal"/>
      <w:lvlText w:val="%4."/>
      <w:lvlJc w:val="left"/>
      <w:pPr>
        <w:ind w:left="2807" w:hanging="360"/>
      </w:pPr>
    </w:lvl>
    <w:lvl w:ilvl="4" w:tplc="04270019" w:tentative="1">
      <w:start w:val="1"/>
      <w:numFmt w:val="lowerLetter"/>
      <w:lvlText w:val="%5."/>
      <w:lvlJc w:val="left"/>
      <w:pPr>
        <w:ind w:left="3527" w:hanging="360"/>
      </w:pPr>
    </w:lvl>
    <w:lvl w:ilvl="5" w:tplc="0427001B" w:tentative="1">
      <w:start w:val="1"/>
      <w:numFmt w:val="lowerRoman"/>
      <w:lvlText w:val="%6."/>
      <w:lvlJc w:val="right"/>
      <w:pPr>
        <w:ind w:left="4247" w:hanging="180"/>
      </w:pPr>
    </w:lvl>
    <w:lvl w:ilvl="6" w:tplc="0427000F" w:tentative="1">
      <w:start w:val="1"/>
      <w:numFmt w:val="decimal"/>
      <w:lvlText w:val="%7."/>
      <w:lvlJc w:val="left"/>
      <w:pPr>
        <w:ind w:left="4967" w:hanging="360"/>
      </w:pPr>
    </w:lvl>
    <w:lvl w:ilvl="7" w:tplc="04270019" w:tentative="1">
      <w:start w:val="1"/>
      <w:numFmt w:val="lowerLetter"/>
      <w:lvlText w:val="%8."/>
      <w:lvlJc w:val="left"/>
      <w:pPr>
        <w:ind w:left="5687" w:hanging="360"/>
      </w:pPr>
    </w:lvl>
    <w:lvl w:ilvl="8" w:tplc="0427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73C5546B"/>
    <w:multiLevelType w:val="hybridMultilevel"/>
    <w:tmpl w:val="6E5C3496"/>
    <w:lvl w:ilvl="0" w:tplc="EC063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26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A8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2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6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7149">
    <w:abstractNumId w:val="4"/>
  </w:num>
  <w:num w:numId="2" w16cid:durableId="63770421">
    <w:abstractNumId w:val="2"/>
  </w:num>
  <w:num w:numId="3" w16cid:durableId="1932080086">
    <w:abstractNumId w:val="1"/>
  </w:num>
  <w:num w:numId="4" w16cid:durableId="965699499">
    <w:abstractNumId w:val="0"/>
  </w:num>
  <w:num w:numId="5" w16cid:durableId="38595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60A5E"/>
    <w:rsid w:val="00073864"/>
    <w:rsid w:val="000A7322"/>
    <w:rsid w:val="000E5986"/>
    <w:rsid w:val="00113A1F"/>
    <w:rsid w:val="001148A4"/>
    <w:rsid w:val="001240DC"/>
    <w:rsid w:val="00150EE1"/>
    <w:rsid w:val="00193B8E"/>
    <w:rsid w:val="001BB636"/>
    <w:rsid w:val="001D2184"/>
    <w:rsid w:val="001F34E8"/>
    <w:rsid w:val="001F7985"/>
    <w:rsid w:val="0021251B"/>
    <w:rsid w:val="00212A15"/>
    <w:rsid w:val="00226DD7"/>
    <w:rsid w:val="00241C13"/>
    <w:rsid w:val="002453B4"/>
    <w:rsid w:val="00262D0A"/>
    <w:rsid w:val="00263749"/>
    <w:rsid w:val="00293EC6"/>
    <w:rsid w:val="002C0E5D"/>
    <w:rsid w:val="00347857"/>
    <w:rsid w:val="00351990"/>
    <w:rsid w:val="00363442"/>
    <w:rsid w:val="003B2B15"/>
    <w:rsid w:val="003C51A4"/>
    <w:rsid w:val="003E2C6D"/>
    <w:rsid w:val="00412C18"/>
    <w:rsid w:val="00417924"/>
    <w:rsid w:val="0045137B"/>
    <w:rsid w:val="004E6429"/>
    <w:rsid w:val="005021A9"/>
    <w:rsid w:val="005334ED"/>
    <w:rsid w:val="00541ACD"/>
    <w:rsid w:val="005420EC"/>
    <w:rsid w:val="00552948"/>
    <w:rsid w:val="00564CAE"/>
    <w:rsid w:val="0058088A"/>
    <w:rsid w:val="005C15C6"/>
    <w:rsid w:val="005F529F"/>
    <w:rsid w:val="00670306"/>
    <w:rsid w:val="006F490A"/>
    <w:rsid w:val="00723D33"/>
    <w:rsid w:val="00724796"/>
    <w:rsid w:val="00724AD2"/>
    <w:rsid w:val="007A6C56"/>
    <w:rsid w:val="008117F6"/>
    <w:rsid w:val="00831E18"/>
    <w:rsid w:val="00852EAA"/>
    <w:rsid w:val="008815AC"/>
    <w:rsid w:val="008A3232"/>
    <w:rsid w:val="008B21EA"/>
    <w:rsid w:val="0093704B"/>
    <w:rsid w:val="00991811"/>
    <w:rsid w:val="00A02DD4"/>
    <w:rsid w:val="00A11F36"/>
    <w:rsid w:val="00A310FA"/>
    <w:rsid w:val="00A36D84"/>
    <w:rsid w:val="00A42EB7"/>
    <w:rsid w:val="00AC2845"/>
    <w:rsid w:val="00AF3E24"/>
    <w:rsid w:val="00B33D47"/>
    <w:rsid w:val="00B6427F"/>
    <w:rsid w:val="00B74330"/>
    <w:rsid w:val="00BA6794"/>
    <w:rsid w:val="00BC353A"/>
    <w:rsid w:val="00C415CA"/>
    <w:rsid w:val="00C95896"/>
    <w:rsid w:val="00CC59AF"/>
    <w:rsid w:val="00D00475"/>
    <w:rsid w:val="00D3385B"/>
    <w:rsid w:val="00D511C3"/>
    <w:rsid w:val="00D53AAE"/>
    <w:rsid w:val="00D555FF"/>
    <w:rsid w:val="00D840DB"/>
    <w:rsid w:val="00D91CE5"/>
    <w:rsid w:val="00DA63D7"/>
    <w:rsid w:val="00DA7C3F"/>
    <w:rsid w:val="00DF77F6"/>
    <w:rsid w:val="00E17ECA"/>
    <w:rsid w:val="00E26BF2"/>
    <w:rsid w:val="00E5449F"/>
    <w:rsid w:val="00E578BA"/>
    <w:rsid w:val="00E77642"/>
    <w:rsid w:val="00E97934"/>
    <w:rsid w:val="00EA4A29"/>
    <w:rsid w:val="00EA5113"/>
    <w:rsid w:val="00EC6508"/>
    <w:rsid w:val="00F06A66"/>
    <w:rsid w:val="00F11781"/>
    <w:rsid w:val="00F26DB7"/>
    <w:rsid w:val="00F27A50"/>
    <w:rsid w:val="00F35903"/>
    <w:rsid w:val="00F46C22"/>
    <w:rsid w:val="00F66630"/>
    <w:rsid w:val="00FC0341"/>
    <w:rsid w:val="019C8D7D"/>
    <w:rsid w:val="025D1429"/>
    <w:rsid w:val="028DD8CB"/>
    <w:rsid w:val="02FF9643"/>
    <w:rsid w:val="034D3A61"/>
    <w:rsid w:val="03632B9C"/>
    <w:rsid w:val="03C2AE7A"/>
    <w:rsid w:val="0684DB23"/>
    <w:rsid w:val="068693BC"/>
    <w:rsid w:val="06D34E70"/>
    <w:rsid w:val="074F8784"/>
    <w:rsid w:val="079942C4"/>
    <w:rsid w:val="07DA969F"/>
    <w:rsid w:val="07E41067"/>
    <w:rsid w:val="084B4EAC"/>
    <w:rsid w:val="0A05690A"/>
    <w:rsid w:val="0A7D0519"/>
    <w:rsid w:val="0AE0E5E1"/>
    <w:rsid w:val="0B2EFC2E"/>
    <w:rsid w:val="0D14CCE8"/>
    <w:rsid w:val="0DEDC7AD"/>
    <w:rsid w:val="0E43D864"/>
    <w:rsid w:val="0E8FED08"/>
    <w:rsid w:val="0EC4CDC6"/>
    <w:rsid w:val="0F23FD18"/>
    <w:rsid w:val="0FDFA8C5"/>
    <w:rsid w:val="101D2105"/>
    <w:rsid w:val="102BBD69"/>
    <w:rsid w:val="11F2EEED"/>
    <w:rsid w:val="11F6858F"/>
    <w:rsid w:val="120B55C9"/>
    <w:rsid w:val="126863D7"/>
    <w:rsid w:val="12B3A5A3"/>
    <w:rsid w:val="12DF6A0F"/>
    <w:rsid w:val="1337D7C5"/>
    <w:rsid w:val="13635E2B"/>
    <w:rsid w:val="14FE6F52"/>
    <w:rsid w:val="15111FC9"/>
    <w:rsid w:val="1530A7AB"/>
    <w:rsid w:val="15AA36E2"/>
    <w:rsid w:val="15D6E17C"/>
    <w:rsid w:val="17FFBA32"/>
    <w:rsid w:val="18598551"/>
    <w:rsid w:val="187FFDC7"/>
    <w:rsid w:val="18B08870"/>
    <w:rsid w:val="19223DF4"/>
    <w:rsid w:val="19225335"/>
    <w:rsid w:val="19ED9811"/>
    <w:rsid w:val="1B01E6F7"/>
    <w:rsid w:val="1C20CF6D"/>
    <w:rsid w:val="1CD80824"/>
    <w:rsid w:val="1E1D1E90"/>
    <w:rsid w:val="1E9EB138"/>
    <w:rsid w:val="1EE8EB26"/>
    <w:rsid w:val="1F03D0A7"/>
    <w:rsid w:val="1F04A236"/>
    <w:rsid w:val="1F04F658"/>
    <w:rsid w:val="22794988"/>
    <w:rsid w:val="227DF39E"/>
    <w:rsid w:val="23554741"/>
    <w:rsid w:val="235BE4BE"/>
    <w:rsid w:val="24F7B51F"/>
    <w:rsid w:val="2507A5DF"/>
    <w:rsid w:val="257BF5A5"/>
    <w:rsid w:val="25ECF4CD"/>
    <w:rsid w:val="26EEB0B0"/>
    <w:rsid w:val="26FFEB87"/>
    <w:rsid w:val="2708EA16"/>
    <w:rsid w:val="283CBC98"/>
    <w:rsid w:val="289BBBE8"/>
    <w:rsid w:val="2AD9295B"/>
    <w:rsid w:val="2AED08BC"/>
    <w:rsid w:val="2B687720"/>
    <w:rsid w:val="2B842B6F"/>
    <w:rsid w:val="2BEAE395"/>
    <w:rsid w:val="2CE70D31"/>
    <w:rsid w:val="2DA4EF98"/>
    <w:rsid w:val="2E866548"/>
    <w:rsid w:val="2E9B5514"/>
    <w:rsid w:val="2EF0D314"/>
    <w:rsid w:val="2EFDFDA3"/>
    <w:rsid w:val="2F9EBCB8"/>
    <w:rsid w:val="2FA4D94F"/>
    <w:rsid w:val="2FA8C06F"/>
    <w:rsid w:val="2FAACC90"/>
    <w:rsid w:val="2FEF9C41"/>
    <w:rsid w:val="3057781D"/>
    <w:rsid w:val="30F27AB7"/>
    <w:rsid w:val="311D31DE"/>
    <w:rsid w:val="312F2F8F"/>
    <w:rsid w:val="327DF4A7"/>
    <w:rsid w:val="341B4CB3"/>
    <w:rsid w:val="357DE108"/>
    <w:rsid w:val="35A5C19C"/>
    <w:rsid w:val="35CEFB9A"/>
    <w:rsid w:val="3649B168"/>
    <w:rsid w:val="368F837E"/>
    <w:rsid w:val="36CE8770"/>
    <w:rsid w:val="370151C2"/>
    <w:rsid w:val="378120FF"/>
    <w:rsid w:val="3803578E"/>
    <w:rsid w:val="385D57F1"/>
    <w:rsid w:val="3887AF4F"/>
    <w:rsid w:val="391AF338"/>
    <w:rsid w:val="3AA57292"/>
    <w:rsid w:val="3B469A7D"/>
    <w:rsid w:val="3B4F7357"/>
    <w:rsid w:val="3B98B3E4"/>
    <w:rsid w:val="3DC2B586"/>
    <w:rsid w:val="3F48CB3F"/>
    <w:rsid w:val="3F5CB583"/>
    <w:rsid w:val="3F70DE97"/>
    <w:rsid w:val="3F8F55C5"/>
    <w:rsid w:val="40978FED"/>
    <w:rsid w:val="42555C14"/>
    <w:rsid w:val="42DD8CB3"/>
    <w:rsid w:val="42F1A209"/>
    <w:rsid w:val="431EA4AD"/>
    <w:rsid w:val="432B8105"/>
    <w:rsid w:val="437319B0"/>
    <w:rsid w:val="442831E9"/>
    <w:rsid w:val="450EEA11"/>
    <w:rsid w:val="45570D78"/>
    <w:rsid w:val="458EF45D"/>
    <w:rsid w:val="45BDBA89"/>
    <w:rsid w:val="460017C6"/>
    <w:rsid w:val="4612268B"/>
    <w:rsid w:val="46AABA72"/>
    <w:rsid w:val="46D21929"/>
    <w:rsid w:val="47D25078"/>
    <w:rsid w:val="4924F7D6"/>
    <w:rsid w:val="493E4476"/>
    <w:rsid w:val="495D0FAB"/>
    <w:rsid w:val="498BC8E4"/>
    <w:rsid w:val="4A5426F6"/>
    <w:rsid w:val="4B63EEFB"/>
    <w:rsid w:val="4BB8EB92"/>
    <w:rsid w:val="4C335AA8"/>
    <w:rsid w:val="4EBB249F"/>
    <w:rsid w:val="4FAB8B0A"/>
    <w:rsid w:val="5052B1FC"/>
    <w:rsid w:val="513BEE57"/>
    <w:rsid w:val="519FC05C"/>
    <w:rsid w:val="51F4EC53"/>
    <w:rsid w:val="52B26795"/>
    <w:rsid w:val="52F10495"/>
    <w:rsid w:val="531F4FF5"/>
    <w:rsid w:val="53912B00"/>
    <w:rsid w:val="5490C8F8"/>
    <w:rsid w:val="54A96E3B"/>
    <w:rsid w:val="553ABB2F"/>
    <w:rsid w:val="553F4044"/>
    <w:rsid w:val="55767D36"/>
    <w:rsid w:val="5597FDD1"/>
    <w:rsid w:val="56F9156B"/>
    <w:rsid w:val="57F85A1A"/>
    <w:rsid w:val="58881DA0"/>
    <w:rsid w:val="58B0B0C7"/>
    <w:rsid w:val="59993631"/>
    <w:rsid w:val="59A473BA"/>
    <w:rsid w:val="5AF351CA"/>
    <w:rsid w:val="5B599ACE"/>
    <w:rsid w:val="5B7CED55"/>
    <w:rsid w:val="5B928E0F"/>
    <w:rsid w:val="5BD7CE2B"/>
    <w:rsid w:val="5C6AF1F2"/>
    <w:rsid w:val="5D380D46"/>
    <w:rsid w:val="5E443B82"/>
    <w:rsid w:val="5E453756"/>
    <w:rsid w:val="5F3CBB95"/>
    <w:rsid w:val="61B4EC19"/>
    <w:rsid w:val="62524C63"/>
    <w:rsid w:val="634003E3"/>
    <w:rsid w:val="635338FF"/>
    <w:rsid w:val="64EC8CDB"/>
    <w:rsid w:val="67148F8E"/>
    <w:rsid w:val="68059EC6"/>
    <w:rsid w:val="69A16F27"/>
    <w:rsid w:val="6AF689A7"/>
    <w:rsid w:val="6C5F0618"/>
    <w:rsid w:val="6CD90FE9"/>
    <w:rsid w:val="6E070C66"/>
    <w:rsid w:val="6E4515A9"/>
    <w:rsid w:val="6FFB13AF"/>
    <w:rsid w:val="70591871"/>
    <w:rsid w:val="7171DF20"/>
    <w:rsid w:val="726C74FF"/>
    <w:rsid w:val="728A4A5D"/>
    <w:rsid w:val="72DC3C2A"/>
    <w:rsid w:val="73552BF8"/>
    <w:rsid w:val="73852C22"/>
    <w:rsid w:val="743A2172"/>
    <w:rsid w:val="74A8BE63"/>
    <w:rsid w:val="74FE4007"/>
    <w:rsid w:val="75A4CAB9"/>
    <w:rsid w:val="75D77C46"/>
    <w:rsid w:val="75DD4B3B"/>
    <w:rsid w:val="762A2EB5"/>
    <w:rsid w:val="7647A616"/>
    <w:rsid w:val="76A664CA"/>
    <w:rsid w:val="77DAC0A9"/>
    <w:rsid w:val="786E3C4C"/>
    <w:rsid w:val="7874B08C"/>
    <w:rsid w:val="7914EBFD"/>
    <w:rsid w:val="7916F848"/>
    <w:rsid w:val="796CC115"/>
    <w:rsid w:val="7CB7583E"/>
    <w:rsid w:val="7D5C1815"/>
    <w:rsid w:val="7E5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62D0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0A"/>
    <w:rPr>
      <w:color w:val="605E5C"/>
      <w:shd w:val="clear" w:color="auto" w:fill="E1DFDD"/>
    </w:rPr>
  </w:style>
  <w:style w:type="paragraph" w:customStyle="1" w:styleId="Default">
    <w:name w:val="Default"/>
    <w:rsid w:val="008815AC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6F490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semiHidden/>
    <w:rsid w:val="00F35903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35903"/>
    <w:rPr>
      <w:rFonts w:ascii="Tahoma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59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59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59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C59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C59AF"/>
    <w:rPr>
      <w:b/>
      <w:bCs/>
      <w:sz w:val="20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pPr>
      <w:ind w:left="720"/>
      <w:contextualSpacing/>
    </w:pPr>
  </w:style>
  <w:style w:type="paragraph" w:styleId="Pataisymai">
    <w:name w:val="Revision"/>
    <w:hidden/>
    <w:semiHidden/>
    <w:rsid w:val="00D840DB"/>
  </w:style>
  <w:style w:type="character" w:customStyle="1" w:styleId="fontstyle01">
    <w:name w:val="fontstyle01"/>
    <w:basedOn w:val="Numatytasispastraiposriftas"/>
    <w:rsid w:val="0036344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7A6C56"/>
    <w:rPr>
      <w:rFonts w:asciiTheme="minorHAnsi" w:eastAsiaTheme="minorHAnsi" w:hAnsiTheme="minorHAnsi" w:cstheme="minorBidi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7A6C56"/>
  </w:style>
  <w:style w:type="paragraph" w:customStyle="1" w:styleId="pf0">
    <w:name w:val="pf0"/>
    <w:basedOn w:val="prastasis"/>
    <w:rsid w:val="007A6C56"/>
    <w:pPr>
      <w:spacing w:before="100" w:beforeAutospacing="1" w:after="100" w:afterAutospacing="1"/>
    </w:pPr>
    <w:rPr>
      <w:szCs w:val="24"/>
      <w:lang w:eastAsia="lt-LT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113A1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3A1F"/>
  </w:style>
  <w:style w:type="paragraph" w:styleId="Porat">
    <w:name w:val="footer"/>
    <w:basedOn w:val="prastasis"/>
    <w:link w:val="PoratDiagrama"/>
    <w:unhideWhenUsed/>
    <w:rsid w:val="00113A1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1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settings.xml"
                 Type="http://schemas.openxmlformats.org/officeDocument/2006/relationships/settings"/>
   <Relationship Id="rId11" Target="webSettings.xml"
                 Type="http://schemas.openxmlformats.org/officeDocument/2006/relationships/webSettings"/>
   <Relationship Id="rId12" Target="footnotes.xml"
                 Type="http://schemas.openxmlformats.org/officeDocument/2006/relationships/footnotes"/>
   <Relationship Id="rId13" Target="endnotes.xml"
                 Type="http://schemas.openxmlformats.org/officeDocument/2006/relationships/endnotes"/>
   <Relationship Id="rId14"
                 Target="https://2021.esinvesticijos.lt/dokumentai/2021-2027-metu-europos-sajungos-fondu-investiciju-programa"
                 TargetMode="External"
                 Type="http://schemas.openxmlformats.org/officeDocument/2006/relationships/hyperlink"/>
   <Relationship Id="rId15" Target="header1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../customXml/item7.xml"
                 Type="http://schemas.openxmlformats.org/officeDocument/2006/relationships/customXml"/>
   <Relationship Id="rId8" Target="numbering.xml"
                 Type="http://schemas.openxmlformats.org/officeDocument/2006/relationships/numbering"/>
   <Relationship Id="rId9" Target="styles.xml"
                 Type="http://schemas.openxmlformats.org/officeDocument/2006/relationships/styl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_rels/item7.xml.rels><?xml version="1.0" encoding="UTF-8" standalone="yes"?>
<Relationships xmlns="http://schemas.openxmlformats.org/package/2006/relationships">
   <Relationship Id="rId1" Target="itemProps7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f2287e-65cc-4f33-8e9c-2a57e05138f6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2CE487E1434BA7C65037F3629A6F" ma:contentTypeVersion="7" ma:contentTypeDescription="Create a new document." ma:contentTypeScope="" ma:versionID="d55fb0a0fc47596bfc1b76b0b5ee82d8">
  <xsd:schema xmlns:xsd="http://www.w3.org/2001/XMLSchema" xmlns:xs="http://www.w3.org/2001/XMLSchema" xmlns:p="http://schemas.microsoft.com/office/2006/metadata/properties" xmlns:ns3="c2f2287e-65cc-4f33-8e9c-2a57e05138f6" xmlns:ns4="58cd7124-d831-4c62-8023-65babfdb474e" targetNamespace="http://schemas.microsoft.com/office/2006/metadata/properties" ma:root="true" ma:fieldsID="cb312a0019ecf7a20367b072c0e9a190" ns3:_="" ns4:_="">
    <xsd:import namespace="c2f2287e-65cc-4f33-8e9c-2a57e05138f6"/>
    <xsd:import namespace="58cd7124-d831-4c62-8023-65babfdb4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287e-65cc-4f33-8e9c-2a57e051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7124-d831-4c62-8023-65babfdb4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2169F-F1E6-4FEF-A9B3-1B15DE4D7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EBE561-DBA1-41B9-9837-97536C5BD3C6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8cd7124-d831-4c62-8023-65babfdb474e"/>
    <ds:schemaRef ds:uri="c2f2287e-65cc-4f33-8e9c-2a57e05138f6"/>
  </ds:schemaRefs>
</ds:datastoreItem>
</file>

<file path=customXml/itemProps7.xml><?xml version="1.0" encoding="utf-8"?>
<ds:datastoreItem xmlns:ds="http://schemas.openxmlformats.org/officeDocument/2006/customXml" ds:itemID="{CBA7D552-8516-49C2-B993-45F66B596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2287e-65cc-4f33-8e9c-2a57e05138f6"/>
    <ds:schemaRef ds:uri="58cd7124-d831-4c62-8023-65babfd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3060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2024-01-25T08:29:00Z</dcterms:created>
  <dc:creator>FM</dc:creator>
  <cp:lastModifiedBy>Deniza Leontjeva</cp:lastModifiedBy>
  <cp:lastPrinted>2017-02-13T08:49:00Z</cp:lastPrinted>
  <dcterms:modified xsi:type="dcterms:W3CDTF">2024-01-25T11:46:00Z</dcterms:modified>
  <cp:revision>8</cp:revision>
  <dc:title>Veiksmų programų administravimo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0x01010047952CE487E1434BA7C65037F3629A6F</vt:lpwstr>
  </property>
  <property fmtid="{D5CDD505-2E9C-101B-9397-08002B2CF9AE}" pid="3" name="MediaServiceImageTags">
    <vt:lpwstr/>
  </property>
</Properties>
</file>