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126A3" w14:textId="77777777" w:rsidR="00EF6097" w:rsidRDefault="00EF6097" w:rsidP="00135C46">
      <w:pPr>
        <w:ind w:left="-180"/>
        <w:jc w:val="center"/>
        <w:outlineLvl w:val="0"/>
        <w:rPr>
          <w:b/>
        </w:rPr>
      </w:pPr>
    </w:p>
    <w:p w14:paraId="366878FC" w14:textId="4934DBCD" w:rsidR="00C50E0F" w:rsidRPr="00395FD9" w:rsidRDefault="00C50E0F" w:rsidP="00135C46">
      <w:pPr>
        <w:ind w:left="-180"/>
        <w:jc w:val="center"/>
        <w:outlineLvl w:val="0"/>
        <w:rPr>
          <w:b/>
        </w:rPr>
      </w:pPr>
      <w:r w:rsidRPr="00395FD9">
        <w:rPr>
          <w:b/>
        </w:rPr>
        <w:t xml:space="preserve">2021–2027 METŲ EUROPOS SĄJUNGOS FONDŲ INVESTICIJŲ PROGRAMOS STEBĖSENOS KOMITETO </w:t>
      </w:r>
    </w:p>
    <w:p w14:paraId="60F6226D" w14:textId="06FE0E93" w:rsidR="00C50E0F" w:rsidRPr="00395FD9" w:rsidRDefault="00135C46" w:rsidP="00C50E0F">
      <w:pPr>
        <w:ind w:left="-180"/>
        <w:jc w:val="center"/>
        <w:outlineLvl w:val="0"/>
        <w:rPr>
          <w:b/>
        </w:rPr>
      </w:pPr>
      <w:r>
        <w:rPr>
          <w:b/>
        </w:rPr>
        <w:t xml:space="preserve">2023 M. LIEPOS 27 D. </w:t>
      </w:r>
      <w:r w:rsidR="00C50E0F" w:rsidRPr="00395FD9">
        <w:rPr>
          <w:b/>
        </w:rPr>
        <w:t>PROTOKOLINI</w:t>
      </w:r>
      <w:r>
        <w:rPr>
          <w:b/>
        </w:rPr>
        <w:t>O</w:t>
      </w:r>
      <w:r w:rsidR="00C50E0F" w:rsidRPr="00395FD9">
        <w:rPr>
          <w:b/>
        </w:rPr>
        <w:t xml:space="preserve"> SPRENDIM</w:t>
      </w:r>
      <w:r>
        <w:rPr>
          <w:b/>
        </w:rPr>
        <w:t>O</w:t>
      </w:r>
    </w:p>
    <w:p w14:paraId="5D93A95B" w14:textId="77777777" w:rsidR="00C50E0F" w:rsidRPr="00395FD9" w:rsidRDefault="00C50E0F" w:rsidP="005971AD">
      <w:pPr>
        <w:ind w:left="-180"/>
        <w:jc w:val="center"/>
        <w:outlineLvl w:val="0"/>
        <w:rPr>
          <w:b/>
        </w:rPr>
      </w:pPr>
    </w:p>
    <w:p w14:paraId="04D4E845" w14:textId="25B52744" w:rsidR="00C50E0F" w:rsidRPr="00395FD9" w:rsidRDefault="00135C46" w:rsidP="005971AD">
      <w:pPr>
        <w:jc w:val="center"/>
        <w:rPr>
          <w:b/>
        </w:rPr>
      </w:pPr>
      <w:r>
        <w:rPr>
          <w:b/>
        </w:rPr>
        <w:t>TECHNINIŲ KLAIDŲ IŠTAISYMAS</w:t>
      </w:r>
    </w:p>
    <w:p w14:paraId="76DF5B3B" w14:textId="77777777" w:rsidR="00C50E0F" w:rsidRPr="00395FD9" w:rsidRDefault="00C50E0F" w:rsidP="00C50E0F">
      <w:pPr>
        <w:jc w:val="center"/>
        <w:outlineLvl w:val="0"/>
        <w:rPr>
          <w:b/>
        </w:rPr>
      </w:pPr>
    </w:p>
    <w:p w14:paraId="71BBE12A" w14:textId="339CFDFA" w:rsidR="00C50E0F" w:rsidRDefault="00135C46" w:rsidP="00C50E0F">
      <w:pPr>
        <w:jc w:val="center"/>
        <w:outlineLvl w:val="0"/>
        <w:rPr>
          <w:bCs/>
        </w:rPr>
      </w:pPr>
      <w:r>
        <w:rPr>
          <w:bCs/>
        </w:rPr>
        <w:t>2024-0</w:t>
      </w:r>
      <w:r w:rsidR="00FA7130">
        <w:rPr>
          <w:bCs/>
        </w:rPr>
        <w:t>3</w:t>
      </w:r>
      <w:r>
        <w:rPr>
          <w:bCs/>
        </w:rPr>
        <w:t>-</w:t>
      </w:r>
      <w:r w:rsidR="00FA7130">
        <w:rPr>
          <w:bCs/>
        </w:rPr>
        <w:t>04</w:t>
      </w:r>
    </w:p>
    <w:p w14:paraId="5FAFDE59" w14:textId="0657F41F" w:rsidR="00135C46" w:rsidRPr="00395FD9" w:rsidRDefault="00135C46" w:rsidP="00C50E0F">
      <w:pPr>
        <w:jc w:val="center"/>
        <w:outlineLvl w:val="0"/>
        <w:rPr>
          <w:bCs/>
        </w:rPr>
      </w:pPr>
      <w:r>
        <w:rPr>
          <w:bCs/>
        </w:rPr>
        <w:t>Vilnius</w:t>
      </w:r>
    </w:p>
    <w:p w14:paraId="17C4CF16" w14:textId="77777777" w:rsidR="00DB2240" w:rsidRDefault="00DB2240">
      <w:pPr>
        <w:rPr>
          <w:b/>
          <w:bCs/>
          <w:u w:val="single"/>
        </w:rPr>
      </w:pPr>
    </w:p>
    <w:p w14:paraId="00AE3EF8" w14:textId="77777777" w:rsidR="00E405F6" w:rsidRDefault="00E405F6">
      <w:pPr>
        <w:rPr>
          <w:b/>
          <w:bCs/>
          <w:u w:val="single"/>
        </w:rPr>
      </w:pPr>
    </w:p>
    <w:p w14:paraId="1713D8A9" w14:textId="1F5436DD" w:rsidR="00E405F6" w:rsidRDefault="00135C46" w:rsidP="00272629">
      <w:pPr>
        <w:ind w:firstLine="567"/>
        <w:jc w:val="both"/>
      </w:pPr>
      <w:r w:rsidRPr="00135C46">
        <w:t>Atsižvelg</w:t>
      </w:r>
      <w:r w:rsidR="00A81B10">
        <w:t>iant</w:t>
      </w:r>
      <w:r>
        <w:t xml:space="preserve"> į Švietimo, mokslo ir sporto ministerijos informaciją, kad</w:t>
      </w:r>
      <w:r w:rsidR="00470AD0">
        <w:t xml:space="preserve"> 2023 m. liepos 27 d. Stebėsenos komitet</w:t>
      </w:r>
      <w:r w:rsidR="00FF7520">
        <w:t>o posėdžiui pateiktame</w:t>
      </w:r>
      <w:r w:rsidR="00470AD0">
        <w:t xml:space="preserve"> pasiūlym</w:t>
      </w:r>
      <w:r w:rsidR="00FF7520">
        <w:t>e</w:t>
      </w:r>
      <w:r w:rsidR="00470AD0">
        <w:t xml:space="preserve"> dėl</w:t>
      </w:r>
      <w:r w:rsidR="00470AD0" w:rsidRPr="00470AD0">
        <w:t xml:space="preserve"> </w:t>
      </w:r>
      <w:r w:rsidR="00272629" w:rsidRPr="004334DD">
        <w:t>Investicijų programos 4 prioriteto „Socialiai atsakingesnė Lietuva“ 4.3 uždavinio „Skatinti, kad visi, visų pirma palankių sąlygų neturinčios grupės, turėtų vienodas galimybes gauti kokybiškas ir įtraukias švietimo ir mokymo paslaugas ir užbaigti mokslą, pradedant ikimokykliniu ugdymu ir priežiūra, taip pat bendruoju ugdymu ir profesiniu mokymu, baigiant tretiniu išsilavinimu ir suaugusiųjų švietimu ir mokymusi, be kita ko, visiems sudaryti palankesnes sąlygas judumui mokymosi tikslais ir užtikrinant prieinamumą neįgaliesiems“</w:t>
      </w:r>
      <w:r w:rsidR="00272629">
        <w:t xml:space="preserve"> </w:t>
      </w:r>
      <w:r w:rsidR="00272629" w:rsidRPr="00303B9E">
        <w:t xml:space="preserve">2021–2030 m. plėtros programos valdytojos Lietuvos Respublikos švietimo, mokslo ir sporto ministerijos švietimo plėtros programos pažangos priemonės Nr. 12-003-03-02-01 „Įgyvendinti įtraukųjį švietimą“ </w:t>
      </w:r>
      <w:r w:rsidR="00272629" w:rsidRPr="00272629">
        <w:t xml:space="preserve">veiklų 3.2. </w:t>
      </w:r>
      <w:r w:rsidR="00272629">
        <w:t>„</w:t>
      </w:r>
      <w:r w:rsidR="00272629" w:rsidRPr="00272629">
        <w:t>Didinti koordinuotai teikiamų švietimo pagalbos, socialinės, sveikatos priežiūros paslaugų ikimokyklinio ir priešmokyklinio amžiaus vaikams ir jų tėvams bei bendrojo ugdymo mokyklų ir profesinio mokymo įstaigų mokiniams ir jų tėvams pasiūlą, prieinamumą pasitelkiant nevalstybinio sektoriaus paslaugų teikėjus Sostinės regione</w:t>
      </w:r>
      <w:r w:rsidR="00272629">
        <w:t>“</w:t>
      </w:r>
      <w:r w:rsidR="00272629" w:rsidRPr="00272629">
        <w:t xml:space="preserve"> ir 3.3. </w:t>
      </w:r>
      <w:r w:rsidR="00272629">
        <w:t>„</w:t>
      </w:r>
      <w:r w:rsidR="00272629" w:rsidRPr="00272629">
        <w:t>Didinti koordinuotai teikiamų švietimo pagalbos, socialinės, sveikatos priežiūros paslaugų ikimokyklinio ir priešmokyklinio amžiaus vaikams ir jų tėvams bei bendrojo ugdymo mokyklų ir profesinio mokymo įstaigų mokiniams ir jų tėvams pasiūlą, prieinamumą pasitelkiant nevalstybinio sektoriaus paslaugų teikėjus Vidurio ir vakarų Lietuvos regione</w:t>
      </w:r>
      <w:r w:rsidR="00272629">
        <w:t xml:space="preserve">“ </w:t>
      </w:r>
      <w:r w:rsidR="00272629" w:rsidRPr="005547BB">
        <w:t>projektų atrankos kriterijų nustatymo</w:t>
      </w:r>
      <w:r w:rsidR="00272629">
        <w:t xml:space="preserve"> </w:t>
      </w:r>
      <w:r w:rsidR="00470AD0">
        <w:t>buvo padaryta techninė klaida</w:t>
      </w:r>
      <w:r w:rsidR="00272629">
        <w:t xml:space="preserve"> antro</w:t>
      </w:r>
      <w:r w:rsidR="003C2D96">
        <w:t>jo prioritetinio</w:t>
      </w:r>
      <w:r w:rsidR="00272629">
        <w:t xml:space="preserve"> kriterijaus </w:t>
      </w:r>
      <w:r w:rsidR="006A4A44">
        <w:t>taikymo aprašyme</w:t>
      </w:r>
      <w:r w:rsidR="00470AD0">
        <w:t xml:space="preserve">, </w:t>
      </w:r>
      <w:r>
        <w:t>tikslinamas 2023 m. liepos 27 d. protokolini</w:t>
      </w:r>
      <w:r w:rsidR="00A81B10">
        <w:t>s</w:t>
      </w:r>
      <w:r>
        <w:t xml:space="preserve"> sprendim</w:t>
      </w:r>
      <w:r w:rsidR="00A81B10">
        <w:t>as</w:t>
      </w:r>
      <w:r>
        <w:t xml:space="preserve"> Nr. </w:t>
      </w:r>
      <w:r w:rsidRPr="00135C46">
        <w:t>46P-8 (14)</w:t>
      </w:r>
      <w:r w:rsidR="00272629">
        <w:t>, išdėstant 2 punktą taip:</w:t>
      </w:r>
    </w:p>
    <w:p w14:paraId="71D465B9" w14:textId="77777777" w:rsidR="00272629" w:rsidRPr="00272629" w:rsidRDefault="00272629" w:rsidP="00272629">
      <w:pPr>
        <w:ind w:firstLine="567"/>
        <w:jc w:val="both"/>
      </w:pPr>
    </w:p>
    <w:tbl>
      <w:tblPr>
        <w:tblStyle w:val="TableGrid"/>
        <w:tblW w:w="0" w:type="auto"/>
        <w:tblLook w:val="04A0" w:firstRow="1" w:lastRow="0" w:firstColumn="1" w:lastColumn="0" w:noHBand="0" w:noVBand="1"/>
      </w:tblPr>
      <w:tblGrid>
        <w:gridCol w:w="9628"/>
      </w:tblGrid>
      <w:tr w:rsidR="007D7520" w:rsidRPr="00395FD9" w14:paraId="10A341A1" w14:textId="77777777" w:rsidTr="00A32082">
        <w:tc>
          <w:tcPr>
            <w:tcW w:w="9628" w:type="dxa"/>
          </w:tcPr>
          <w:p w14:paraId="023399E3" w14:textId="6A3EC2D0" w:rsidR="007D7520" w:rsidRPr="00E5389D" w:rsidRDefault="007D7520" w:rsidP="00A32082">
            <w:pPr>
              <w:jc w:val="both"/>
            </w:pPr>
            <w:r>
              <w:t>2</w:t>
            </w:r>
            <w:r w:rsidRPr="00395FD9">
              <w:t xml:space="preserve">. </w:t>
            </w:r>
            <w:r>
              <w:t xml:space="preserve">Prioritetinis </w:t>
            </w:r>
            <w:r w:rsidRPr="00395FD9">
              <w:t>projektų atrankos kriterijus.</w:t>
            </w:r>
            <w:r>
              <w:t xml:space="preserve"> </w:t>
            </w:r>
            <w:r w:rsidR="00B90BCE" w:rsidRPr="00B90BCE">
              <w:t>Projekto metu planuojamo diegti koordinuotai teikiamos švietimo pagalbos, socialinių ir sveikatos priežiūros paslaugų modelio aktualumas.</w:t>
            </w:r>
            <w:r w:rsidR="00B90BCE">
              <w:t>*</w:t>
            </w:r>
          </w:p>
        </w:tc>
      </w:tr>
      <w:tr w:rsidR="007D7520" w:rsidRPr="00395FD9" w14:paraId="6DCD0A2A" w14:textId="77777777" w:rsidTr="00A32082">
        <w:tc>
          <w:tcPr>
            <w:tcW w:w="9628" w:type="dxa"/>
          </w:tcPr>
          <w:p w14:paraId="34E3F5FE" w14:textId="264E015D" w:rsidR="00B90BCE" w:rsidRPr="00B90BCE" w:rsidRDefault="007D7520" w:rsidP="00B90BCE">
            <w:pPr>
              <w:widowControl w:val="0"/>
              <w:jc w:val="both"/>
              <w:textAlignment w:val="baseline"/>
              <w:rPr>
                <w:i/>
                <w:color w:val="0563C1" w:themeColor="hyperlink"/>
                <w:u w:val="single"/>
              </w:rPr>
            </w:pPr>
            <w:r w:rsidRPr="00395FD9">
              <w:t>*</w:t>
            </w:r>
            <w:r w:rsidRPr="007D7520">
              <w:rPr>
                <w:i/>
              </w:rPr>
              <w:t xml:space="preserve"> </w:t>
            </w:r>
            <w:r w:rsidR="00B90BCE" w:rsidRPr="00B90BCE">
              <w:rPr>
                <w:i/>
              </w:rPr>
              <w:t xml:space="preserve">Projektuose turi būti numatyta diegti inovatyvius ugdymo ir koordinuotai teikiamos švietimo pagalbos, socialinės ir sveikatos priežiūros paslaugų organizavimo modelius, skirtus vaikams nuo gimimo iki 18 metų (turintiems didelių ir labai didelių specialiųjų ugdymosi poreikių – iki 21 metų, o jei asmuo dėl ligos mokėsi su pertraukomis iki 23 metų) ir jų tėvams (globėjams, rūpintojams) (toliau – Modelis), kuriuos įgyvendinus bus plėtojama įtrauktis švietime, mažinama socialinė atskirtis dėl asmens specialiųjų ugdymosi poreikių, neigiamos nepalankios (kultūrinės, kalbinės, pedagoginės, socialinės – ekonominės ir kt.) aplinkos įtakos. Tikslinė grupė apibrėžta   Švietimo įstatymo 23 str. 3 d. </w:t>
            </w:r>
            <w:r w:rsidR="00B90BCE" w:rsidRPr="00135C46">
              <w:rPr>
                <w:i/>
                <w:strike/>
              </w:rPr>
              <w:t>2 p</w:t>
            </w:r>
            <w:r w:rsidR="00B90BCE" w:rsidRPr="00B90BCE">
              <w:rPr>
                <w:i/>
              </w:rPr>
              <w:t xml:space="preserve">.: </w:t>
            </w:r>
            <w:hyperlink r:id="rId8" w:history="1">
              <w:r w:rsidR="00B90BCE" w:rsidRPr="00B90BCE">
                <w:rPr>
                  <w:rStyle w:val="Hyperlink"/>
                  <w:i/>
                </w:rPr>
                <w:t>https://e-seimas.lrs.lt/portal/legalAct/lt/TAD/TAIS.1480/asr</w:t>
              </w:r>
            </w:hyperlink>
          </w:p>
          <w:p w14:paraId="25D88F5C" w14:textId="3029E86C" w:rsidR="00B90BCE" w:rsidRPr="00B90BCE" w:rsidRDefault="00B90BCE" w:rsidP="00B90BCE">
            <w:pPr>
              <w:autoSpaceDE w:val="0"/>
              <w:autoSpaceDN w:val="0"/>
              <w:contextualSpacing/>
              <w:jc w:val="both"/>
              <w:rPr>
                <w:i/>
              </w:rPr>
            </w:pPr>
            <w:r w:rsidRPr="00B90BCE">
              <w:rPr>
                <w:i/>
              </w:rPr>
              <w:t>Vertinant projekto įgyvendinimo planą atsižvelgiama į šiuos aspektus ir skiriami balai atsižvelgiant į numatomas priemones:</w:t>
            </w:r>
          </w:p>
          <w:p w14:paraId="000089E7" w14:textId="77777777" w:rsidR="00B90BCE" w:rsidRPr="00B90BCE" w:rsidRDefault="00B90BCE" w:rsidP="00B90BCE">
            <w:pPr>
              <w:autoSpaceDE w:val="0"/>
              <w:autoSpaceDN w:val="0"/>
              <w:contextualSpacing/>
              <w:jc w:val="both"/>
              <w:rPr>
                <w:i/>
              </w:rPr>
            </w:pPr>
            <w:r w:rsidRPr="00B90BCE">
              <w:rPr>
                <w:i/>
              </w:rPr>
              <w:t>2.1. Balai skiriami projektams, kuriais numatoma plėtoti įtrauktį švietime, t.y. skatinti ugdymo ir švietimo pagalbos teikimo formų įvairovę, atsižvelgiant į Plane identifikuotų trūkstamų ir savivaldybės teritorijoje neteikiamų / neprieinamų, tačiau reikalingų, paslaugų numatytą įtraukimą.</w:t>
            </w:r>
          </w:p>
          <w:p w14:paraId="2FB70F5A" w14:textId="77777777" w:rsidR="00B90BCE" w:rsidRPr="00B90BCE" w:rsidRDefault="00B90BCE" w:rsidP="00B90BCE">
            <w:pPr>
              <w:autoSpaceDE w:val="0"/>
              <w:autoSpaceDN w:val="0"/>
              <w:contextualSpacing/>
              <w:jc w:val="both"/>
              <w:rPr>
                <w:i/>
              </w:rPr>
            </w:pPr>
            <w:r w:rsidRPr="00B90BCE">
              <w:rPr>
                <w:i/>
              </w:rPr>
              <w:t>2.2. Daugiau balų skiriama projektams:</w:t>
            </w:r>
          </w:p>
          <w:p w14:paraId="1CD4BE86" w14:textId="77777777" w:rsidR="00B90BCE" w:rsidRPr="00B90BCE" w:rsidRDefault="00B90BCE" w:rsidP="00B90BCE">
            <w:pPr>
              <w:autoSpaceDE w:val="0"/>
              <w:autoSpaceDN w:val="0"/>
              <w:contextualSpacing/>
              <w:jc w:val="both"/>
              <w:rPr>
                <w:i/>
              </w:rPr>
            </w:pPr>
            <w:r w:rsidRPr="00B90BCE">
              <w:rPr>
                <w:i/>
              </w:rPr>
              <w:t>2.2.1. kurie įgyvendina moksliniais tyrimais, šalies ir užsienio patirtimi grįstus Modelius;</w:t>
            </w:r>
          </w:p>
          <w:p w14:paraId="289DDF3E" w14:textId="77777777" w:rsidR="00B90BCE" w:rsidRPr="00B90BCE" w:rsidRDefault="00B90BCE" w:rsidP="00B90BCE">
            <w:pPr>
              <w:autoSpaceDE w:val="0"/>
              <w:autoSpaceDN w:val="0"/>
              <w:contextualSpacing/>
              <w:jc w:val="both"/>
              <w:rPr>
                <w:i/>
              </w:rPr>
            </w:pPr>
            <w:r w:rsidRPr="00B90BCE">
              <w:rPr>
                <w:i/>
              </w:rPr>
              <w:lastRenderedPageBreak/>
              <w:t>2.2.2. veiklose taikantiems meno, judesio, gyvūnų, sensorinės integracijos ar kitas terapijas, kai paslaugos tiekėjai turi didesnę nei 1 metų patirtį ir/arba turi licenciją teikti paslaugas;</w:t>
            </w:r>
          </w:p>
          <w:p w14:paraId="058C2DFE" w14:textId="6ACB0EFA" w:rsidR="007D7520" w:rsidRPr="007D7520" w:rsidRDefault="00B90BCE" w:rsidP="00B90BCE">
            <w:pPr>
              <w:autoSpaceDE w:val="0"/>
              <w:autoSpaceDN w:val="0"/>
              <w:contextualSpacing/>
              <w:jc w:val="both"/>
              <w:rPr>
                <w:iCs/>
              </w:rPr>
            </w:pPr>
            <w:r w:rsidRPr="00B90BCE">
              <w:rPr>
                <w:i/>
              </w:rPr>
              <w:t>2.2.3. už veiklas, kurios anksčiau pareiškėjo ar partnerio savivaldybėje nebuvo teikta.</w:t>
            </w:r>
          </w:p>
        </w:tc>
      </w:tr>
    </w:tbl>
    <w:p w14:paraId="229A2F7B" w14:textId="77777777" w:rsidR="006E1554" w:rsidRDefault="006E1554" w:rsidP="006E1554"/>
    <w:p w14:paraId="1909CD60" w14:textId="77777777" w:rsidR="00135C46" w:rsidRDefault="00135C46" w:rsidP="006E1554">
      <w:pPr>
        <w:pStyle w:val="NormalWeb"/>
        <w:spacing w:before="0" w:beforeAutospacing="0" w:after="0" w:afterAutospacing="0"/>
        <w:jc w:val="both"/>
      </w:pPr>
    </w:p>
    <w:p w14:paraId="531A8C07" w14:textId="77777777" w:rsidR="00135C46" w:rsidRDefault="00135C46" w:rsidP="006E1554">
      <w:pPr>
        <w:pStyle w:val="NormalWeb"/>
        <w:spacing w:before="0" w:beforeAutospacing="0" w:after="0" w:afterAutospacing="0"/>
        <w:jc w:val="both"/>
      </w:pPr>
    </w:p>
    <w:p w14:paraId="4E0409D0" w14:textId="77777777" w:rsidR="00135C46" w:rsidRDefault="00135C46" w:rsidP="006E1554">
      <w:pPr>
        <w:pStyle w:val="NormalWeb"/>
        <w:spacing w:before="0" w:beforeAutospacing="0" w:after="0" w:afterAutospacing="0"/>
        <w:jc w:val="both"/>
      </w:pPr>
    </w:p>
    <w:p w14:paraId="105603F9" w14:textId="3C7ACC7F" w:rsidR="006E1554" w:rsidRDefault="006E1554" w:rsidP="006E1554">
      <w:pPr>
        <w:pStyle w:val="NormalWeb"/>
        <w:spacing w:before="0" w:beforeAutospacing="0" w:after="0" w:afterAutospacing="0"/>
        <w:jc w:val="both"/>
      </w:pPr>
      <w:r>
        <w:t>Pirmininkė</w:t>
      </w:r>
      <w:r>
        <w:tab/>
      </w:r>
      <w:r>
        <w:tab/>
      </w:r>
      <w:r>
        <w:tab/>
      </w:r>
      <w:r>
        <w:tab/>
      </w:r>
      <w:r>
        <w:tab/>
      </w:r>
      <w:r>
        <w:tab/>
      </w:r>
      <w:r>
        <w:tab/>
      </w:r>
      <w:r>
        <w:tab/>
      </w:r>
      <w:r>
        <w:tab/>
      </w:r>
      <w:r w:rsidR="00135C46">
        <w:t>Kotryna Tamoševičienė</w:t>
      </w:r>
    </w:p>
    <w:p w14:paraId="270BF22A" w14:textId="77777777" w:rsidR="006E1554" w:rsidRDefault="006E1554" w:rsidP="006E1554"/>
    <w:sectPr w:rsidR="006E1554">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B8C7E" w14:textId="77777777" w:rsidR="00DA0315" w:rsidRDefault="00DA0315" w:rsidP="00C50E0F">
      <w:r>
        <w:separator/>
      </w:r>
    </w:p>
  </w:endnote>
  <w:endnote w:type="continuationSeparator" w:id="0">
    <w:p w14:paraId="02FAABD7" w14:textId="77777777" w:rsidR="00DA0315" w:rsidRDefault="00DA0315" w:rsidP="00C5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4">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ACF0B" w14:textId="77777777" w:rsidR="00DA0315" w:rsidRDefault="00DA0315" w:rsidP="00C50E0F">
      <w:r>
        <w:separator/>
      </w:r>
    </w:p>
  </w:footnote>
  <w:footnote w:type="continuationSeparator" w:id="0">
    <w:p w14:paraId="64314DD1" w14:textId="77777777" w:rsidR="00DA0315" w:rsidRDefault="00DA0315" w:rsidP="00C50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04FB7"/>
    <w:multiLevelType w:val="hybridMultilevel"/>
    <w:tmpl w:val="8AA0B1DE"/>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B92A8B"/>
    <w:multiLevelType w:val="hybridMultilevel"/>
    <w:tmpl w:val="5D945EB8"/>
    <w:lvl w:ilvl="0" w:tplc="8844022A">
      <w:start w:val="1"/>
      <w:numFmt w:val="decimal"/>
      <w:lvlText w:val="%1."/>
      <w:lvlJc w:val="left"/>
      <w:pPr>
        <w:ind w:left="720" w:hanging="360"/>
      </w:pPr>
      <w:rPr>
        <w:rFonts w:ascii="CIDFont+F4" w:hAnsi="CIDFont+F4" w:cs="CIDFont+F4"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656939">
    <w:abstractNumId w:val="0"/>
  </w:num>
  <w:num w:numId="2" w16cid:durableId="2012953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0F"/>
    <w:rsid w:val="00002A73"/>
    <w:rsid w:val="00020196"/>
    <w:rsid w:val="00023955"/>
    <w:rsid w:val="000241BA"/>
    <w:rsid w:val="00030CAB"/>
    <w:rsid w:val="00073ED3"/>
    <w:rsid w:val="000C3151"/>
    <w:rsid w:val="000C4DDB"/>
    <w:rsid w:val="000D1F09"/>
    <w:rsid w:val="000E480F"/>
    <w:rsid w:val="0010178B"/>
    <w:rsid w:val="00107721"/>
    <w:rsid w:val="00121227"/>
    <w:rsid w:val="00134D44"/>
    <w:rsid w:val="00135C46"/>
    <w:rsid w:val="0014101F"/>
    <w:rsid w:val="0017349F"/>
    <w:rsid w:val="00175CD3"/>
    <w:rsid w:val="00190AF5"/>
    <w:rsid w:val="0019374A"/>
    <w:rsid w:val="001A18A5"/>
    <w:rsid w:val="001E58C0"/>
    <w:rsid w:val="001F0CB6"/>
    <w:rsid w:val="00207F35"/>
    <w:rsid w:val="00215890"/>
    <w:rsid w:val="00264810"/>
    <w:rsid w:val="0026523E"/>
    <w:rsid w:val="00271C65"/>
    <w:rsid w:val="00272629"/>
    <w:rsid w:val="002814E6"/>
    <w:rsid w:val="002A7120"/>
    <w:rsid w:val="002E6EEE"/>
    <w:rsid w:val="002F4360"/>
    <w:rsid w:val="00303B9E"/>
    <w:rsid w:val="0031160D"/>
    <w:rsid w:val="00343AEC"/>
    <w:rsid w:val="003616D8"/>
    <w:rsid w:val="003739A2"/>
    <w:rsid w:val="00395FD9"/>
    <w:rsid w:val="003C1FB1"/>
    <w:rsid w:val="003C2BCA"/>
    <w:rsid w:val="003C2D96"/>
    <w:rsid w:val="003C5063"/>
    <w:rsid w:val="003D5E6D"/>
    <w:rsid w:val="00404081"/>
    <w:rsid w:val="00411190"/>
    <w:rsid w:val="004330EA"/>
    <w:rsid w:val="004334DD"/>
    <w:rsid w:val="00437DF6"/>
    <w:rsid w:val="00445698"/>
    <w:rsid w:val="00470AD0"/>
    <w:rsid w:val="00470D71"/>
    <w:rsid w:val="00474E0B"/>
    <w:rsid w:val="00482332"/>
    <w:rsid w:val="00497CA3"/>
    <w:rsid w:val="004F00F2"/>
    <w:rsid w:val="00500AE4"/>
    <w:rsid w:val="00500DCE"/>
    <w:rsid w:val="005429ED"/>
    <w:rsid w:val="005547BB"/>
    <w:rsid w:val="005971AD"/>
    <w:rsid w:val="00597B40"/>
    <w:rsid w:val="005A6C5C"/>
    <w:rsid w:val="005C25E3"/>
    <w:rsid w:val="005E2415"/>
    <w:rsid w:val="005E5498"/>
    <w:rsid w:val="006067EF"/>
    <w:rsid w:val="00616F17"/>
    <w:rsid w:val="00630CDC"/>
    <w:rsid w:val="006375DD"/>
    <w:rsid w:val="006567A0"/>
    <w:rsid w:val="006700EA"/>
    <w:rsid w:val="0069196F"/>
    <w:rsid w:val="006953EE"/>
    <w:rsid w:val="006A0CCB"/>
    <w:rsid w:val="006A2241"/>
    <w:rsid w:val="006A4A44"/>
    <w:rsid w:val="006A72A1"/>
    <w:rsid w:val="006C374A"/>
    <w:rsid w:val="006D2646"/>
    <w:rsid w:val="006E1554"/>
    <w:rsid w:val="00711D6B"/>
    <w:rsid w:val="00712BD5"/>
    <w:rsid w:val="00721505"/>
    <w:rsid w:val="00752A6A"/>
    <w:rsid w:val="00754D5A"/>
    <w:rsid w:val="00756D35"/>
    <w:rsid w:val="00794A52"/>
    <w:rsid w:val="007D117B"/>
    <w:rsid w:val="007D6384"/>
    <w:rsid w:val="007D7520"/>
    <w:rsid w:val="007E79CA"/>
    <w:rsid w:val="00835533"/>
    <w:rsid w:val="00837FB0"/>
    <w:rsid w:val="00857179"/>
    <w:rsid w:val="00864CBD"/>
    <w:rsid w:val="008710BF"/>
    <w:rsid w:val="00881EA8"/>
    <w:rsid w:val="00886530"/>
    <w:rsid w:val="00890E75"/>
    <w:rsid w:val="00906AAF"/>
    <w:rsid w:val="009243BD"/>
    <w:rsid w:val="0093471C"/>
    <w:rsid w:val="00987734"/>
    <w:rsid w:val="009E442F"/>
    <w:rsid w:val="009E5AAF"/>
    <w:rsid w:val="009F7193"/>
    <w:rsid w:val="00A13C3D"/>
    <w:rsid w:val="00A42270"/>
    <w:rsid w:val="00A611A5"/>
    <w:rsid w:val="00A81B10"/>
    <w:rsid w:val="00A965B4"/>
    <w:rsid w:val="00AA2189"/>
    <w:rsid w:val="00AA7B85"/>
    <w:rsid w:val="00AD31C2"/>
    <w:rsid w:val="00AF04A7"/>
    <w:rsid w:val="00B03486"/>
    <w:rsid w:val="00B457ED"/>
    <w:rsid w:val="00B45E38"/>
    <w:rsid w:val="00B84719"/>
    <w:rsid w:val="00B90BCE"/>
    <w:rsid w:val="00BA4481"/>
    <w:rsid w:val="00BE3135"/>
    <w:rsid w:val="00BE4718"/>
    <w:rsid w:val="00C0598F"/>
    <w:rsid w:val="00C21153"/>
    <w:rsid w:val="00C21F40"/>
    <w:rsid w:val="00C32551"/>
    <w:rsid w:val="00C50E0F"/>
    <w:rsid w:val="00C76B8A"/>
    <w:rsid w:val="00CC3289"/>
    <w:rsid w:val="00CC6827"/>
    <w:rsid w:val="00CE4A53"/>
    <w:rsid w:val="00CE4CF1"/>
    <w:rsid w:val="00CF37B3"/>
    <w:rsid w:val="00D06B3D"/>
    <w:rsid w:val="00D12134"/>
    <w:rsid w:val="00D166E8"/>
    <w:rsid w:val="00D57C6D"/>
    <w:rsid w:val="00D633F3"/>
    <w:rsid w:val="00D813EE"/>
    <w:rsid w:val="00D83A07"/>
    <w:rsid w:val="00DA0315"/>
    <w:rsid w:val="00DA1228"/>
    <w:rsid w:val="00DA1E6F"/>
    <w:rsid w:val="00DB2240"/>
    <w:rsid w:val="00E30232"/>
    <w:rsid w:val="00E405F6"/>
    <w:rsid w:val="00E52F93"/>
    <w:rsid w:val="00E5389D"/>
    <w:rsid w:val="00E84CB2"/>
    <w:rsid w:val="00EA7A5F"/>
    <w:rsid w:val="00EF208F"/>
    <w:rsid w:val="00EF6097"/>
    <w:rsid w:val="00EF671C"/>
    <w:rsid w:val="00F21128"/>
    <w:rsid w:val="00F36770"/>
    <w:rsid w:val="00F40A98"/>
    <w:rsid w:val="00F55A85"/>
    <w:rsid w:val="00F736D6"/>
    <w:rsid w:val="00F83C84"/>
    <w:rsid w:val="00F8494E"/>
    <w:rsid w:val="00F85B36"/>
    <w:rsid w:val="00F95ABC"/>
    <w:rsid w:val="00FA7130"/>
    <w:rsid w:val="00FB44C6"/>
    <w:rsid w:val="00FB45B5"/>
    <w:rsid w:val="00FC2EEE"/>
    <w:rsid w:val="00FD24FA"/>
    <w:rsid w:val="00FF7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CF41"/>
  <w15:docId w15:val="{4D5689BF-5BAB-47EC-B39C-A152714E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E0F"/>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E0F"/>
    <w:pPr>
      <w:tabs>
        <w:tab w:val="center" w:pos="4819"/>
        <w:tab w:val="right" w:pos="9638"/>
      </w:tabs>
    </w:pPr>
  </w:style>
  <w:style w:type="character" w:customStyle="1" w:styleId="HeaderChar">
    <w:name w:val="Header Char"/>
    <w:basedOn w:val="DefaultParagraphFont"/>
    <w:link w:val="Header"/>
    <w:uiPriority w:val="99"/>
    <w:rsid w:val="00C50E0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C50E0F"/>
    <w:pPr>
      <w:tabs>
        <w:tab w:val="center" w:pos="4819"/>
        <w:tab w:val="right" w:pos="9638"/>
      </w:tabs>
    </w:pPr>
  </w:style>
  <w:style w:type="character" w:customStyle="1" w:styleId="FooterChar">
    <w:name w:val="Footer Char"/>
    <w:basedOn w:val="DefaultParagraphFont"/>
    <w:link w:val="Footer"/>
    <w:uiPriority w:val="99"/>
    <w:rsid w:val="00C50E0F"/>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C50E0F"/>
    <w:pPr>
      <w:ind w:left="720"/>
      <w:contextualSpacing/>
    </w:pPr>
  </w:style>
  <w:style w:type="table" w:styleId="TableGrid">
    <w:name w:val="Table Grid"/>
    <w:basedOn w:val="TableNormal"/>
    <w:uiPriority w:val="39"/>
    <w:rsid w:val="00C5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57ED"/>
    <w:pPr>
      <w:spacing w:after="0" w:line="240" w:lineRule="auto"/>
    </w:pPr>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unhideWhenUsed/>
    <w:rsid w:val="009243BD"/>
    <w:rPr>
      <w:rFonts w:ascii="Tahoma" w:hAnsi="Tahoma" w:cs="Tahoma"/>
      <w:sz w:val="16"/>
      <w:szCs w:val="16"/>
    </w:rPr>
  </w:style>
  <w:style w:type="character" w:customStyle="1" w:styleId="BalloonTextChar">
    <w:name w:val="Balloon Text Char"/>
    <w:basedOn w:val="DefaultParagraphFont"/>
    <w:link w:val="BalloonText"/>
    <w:uiPriority w:val="99"/>
    <w:semiHidden/>
    <w:rsid w:val="009243BD"/>
    <w:rPr>
      <w:rFonts w:ascii="Tahoma" w:eastAsia="Times New Roman" w:hAnsi="Tahoma" w:cs="Tahoma"/>
      <w:sz w:val="16"/>
      <w:szCs w:val="16"/>
      <w:lang w:val="lt-LT" w:eastAsia="lt-LT"/>
    </w:rPr>
  </w:style>
  <w:style w:type="paragraph" w:styleId="NormalWeb">
    <w:name w:val="Normal (Web)"/>
    <w:basedOn w:val="Normal"/>
    <w:uiPriority w:val="99"/>
    <w:semiHidden/>
    <w:unhideWhenUsed/>
    <w:rsid w:val="00CE4CF1"/>
    <w:pPr>
      <w:spacing w:before="100" w:beforeAutospacing="1" w:after="100" w:afterAutospacing="1"/>
    </w:pPr>
  </w:style>
  <w:style w:type="character" w:styleId="CommentReference">
    <w:name w:val="annotation reference"/>
    <w:basedOn w:val="DefaultParagraphFont"/>
    <w:uiPriority w:val="99"/>
    <w:semiHidden/>
    <w:unhideWhenUsed/>
    <w:rsid w:val="000C3151"/>
    <w:rPr>
      <w:sz w:val="16"/>
      <w:szCs w:val="16"/>
    </w:rPr>
  </w:style>
  <w:style w:type="paragraph" w:styleId="CommentText">
    <w:name w:val="annotation text"/>
    <w:basedOn w:val="Normal"/>
    <w:link w:val="CommentTextChar"/>
    <w:uiPriority w:val="99"/>
    <w:semiHidden/>
    <w:unhideWhenUsed/>
    <w:rsid w:val="000C3151"/>
    <w:rPr>
      <w:sz w:val="20"/>
      <w:szCs w:val="20"/>
    </w:rPr>
  </w:style>
  <w:style w:type="character" w:customStyle="1" w:styleId="CommentTextChar">
    <w:name w:val="Comment Text Char"/>
    <w:basedOn w:val="DefaultParagraphFont"/>
    <w:link w:val="CommentText"/>
    <w:uiPriority w:val="99"/>
    <w:semiHidden/>
    <w:rsid w:val="000C315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0C3151"/>
    <w:rPr>
      <w:b/>
      <w:bCs/>
    </w:rPr>
  </w:style>
  <w:style w:type="character" w:customStyle="1" w:styleId="CommentSubjectChar">
    <w:name w:val="Comment Subject Char"/>
    <w:basedOn w:val="CommentTextChar"/>
    <w:link w:val="CommentSubject"/>
    <w:uiPriority w:val="99"/>
    <w:semiHidden/>
    <w:rsid w:val="000C3151"/>
    <w:rPr>
      <w:rFonts w:ascii="Times New Roman" w:eastAsia="Times New Roman" w:hAnsi="Times New Roman" w:cs="Times New Roman"/>
      <w:b/>
      <w:bCs/>
      <w:sz w:val="20"/>
      <w:szCs w:val="20"/>
      <w:lang w:val="lt-LT" w:eastAsia="lt-LT"/>
    </w:rPr>
  </w:style>
  <w:style w:type="character" w:styleId="Hyperlink">
    <w:name w:val="Hyperlink"/>
    <w:basedOn w:val="DefaultParagraphFont"/>
    <w:unhideWhenUsed/>
    <w:rsid w:val="007D7520"/>
    <w:rPr>
      <w:color w:val="0563C1" w:themeColor="hyperlink"/>
      <w:u w:val="single"/>
    </w:rPr>
  </w:style>
  <w:style w:type="character" w:customStyle="1" w:styleId="UnresolvedMention1">
    <w:name w:val="Unresolved Mention1"/>
    <w:basedOn w:val="DefaultParagraphFont"/>
    <w:uiPriority w:val="99"/>
    <w:semiHidden/>
    <w:unhideWhenUsed/>
    <w:rsid w:val="00264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56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480/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40B89-15D4-47AC-90F9-51110CB0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3299</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Matutienė</dc:creator>
  <cp:lastModifiedBy>Evelina Matutienė</cp:lastModifiedBy>
  <cp:revision>4</cp:revision>
  <dcterms:created xsi:type="dcterms:W3CDTF">2024-03-06T08:01:00Z</dcterms:created>
  <dcterms:modified xsi:type="dcterms:W3CDTF">2024-03-06T08:02:00Z</dcterms:modified>
</cp:coreProperties>
</file>