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316A2A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C3FE7">
        <w:rPr>
          <w:rFonts w:ascii="Times New Roman" w:eastAsia="Times New Roman" w:hAnsi="Times New Roman" w:cs="Times New Roman"/>
          <w:b/>
          <w:bCs/>
          <w:sz w:val="24"/>
          <w:szCs w:val="24"/>
        </w:rPr>
        <w:t xml:space="preserve">GERIAMOJO VANDENS TIEKIMO IR </w:t>
      </w:r>
      <w:r w:rsidR="0001207B">
        <w:rPr>
          <w:rFonts w:ascii="Times New Roman" w:eastAsia="Times New Roman" w:hAnsi="Times New Roman" w:cs="Times New Roman"/>
          <w:b/>
          <w:bCs/>
          <w:sz w:val="24"/>
          <w:szCs w:val="24"/>
        </w:rPr>
        <w:t xml:space="preserve">NUOTEKŲ </w:t>
      </w:r>
      <w:r w:rsidR="00B71555">
        <w:rPr>
          <w:rFonts w:ascii="Times New Roman" w:eastAsia="Times New Roman" w:hAnsi="Times New Roman" w:cs="Times New Roman"/>
          <w:b/>
          <w:bCs/>
          <w:sz w:val="24"/>
          <w:szCs w:val="24"/>
        </w:rPr>
        <w:t>TVARKYMO</w:t>
      </w:r>
      <w:r w:rsidR="000C3FE7">
        <w:rPr>
          <w:rFonts w:ascii="Times New Roman" w:eastAsia="Times New Roman" w:hAnsi="Times New Roman" w:cs="Times New Roman"/>
          <w:b/>
          <w:bCs/>
          <w:sz w:val="24"/>
          <w:szCs w:val="24"/>
        </w:rPr>
        <w:t xml:space="preserve"> PASLAUGŲ</w:t>
      </w:r>
      <w:r w:rsidR="00B71555">
        <w:rPr>
          <w:rFonts w:ascii="Times New Roman" w:eastAsia="Times New Roman" w:hAnsi="Times New Roman" w:cs="Times New Roman"/>
          <w:b/>
          <w:bCs/>
          <w:sz w:val="24"/>
          <w:szCs w:val="24"/>
        </w:rPr>
        <w:t xml:space="preserve"> </w:t>
      </w:r>
      <w:r w:rsidR="000C3FE7">
        <w:rPr>
          <w:rFonts w:ascii="Times New Roman" w:eastAsia="Times New Roman" w:hAnsi="Times New Roman" w:cs="Times New Roman"/>
          <w:b/>
          <w:bCs/>
          <w:sz w:val="24"/>
          <w:szCs w:val="24"/>
        </w:rPr>
        <w:t xml:space="preserve">PLĖTRA </w:t>
      </w:r>
      <w:r w:rsidR="00C65270">
        <w:rPr>
          <w:rFonts w:ascii="Times New Roman" w:eastAsia="Times New Roman" w:hAnsi="Times New Roman" w:cs="Times New Roman"/>
          <w:b/>
          <w:bCs/>
          <w:sz w:val="24"/>
          <w:szCs w:val="24"/>
        </w:rPr>
        <w:t>ŠIAULIŲ REGIONO</w:t>
      </w:r>
      <w:r w:rsidR="000C3FE7">
        <w:rPr>
          <w:rFonts w:ascii="Times New Roman" w:eastAsia="Times New Roman" w:hAnsi="Times New Roman" w:cs="Times New Roman"/>
          <w:b/>
          <w:bCs/>
          <w:sz w:val="24"/>
          <w:szCs w:val="24"/>
        </w:rPr>
        <w:t xml:space="preserve"> </w:t>
      </w:r>
      <w:r w:rsidR="003764B5">
        <w:rPr>
          <w:rFonts w:ascii="Times New Roman" w:eastAsia="Times New Roman" w:hAnsi="Times New Roman" w:cs="Times New Roman"/>
          <w:b/>
          <w:bCs/>
          <w:sz w:val="24"/>
          <w:szCs w:val="24"/>
        </w:rPr>
        <w:t>RAJON</w:t>
      </w:r>
      <w:r w:rsidR="00C65270">
        <w:rPr>
          <w:rFonts w:ascii="Times New Roman" w:eastAsia="Times New Roman" w:hAnsi="Times New Roman" w:cs="Times New Roman"/>
          <w:b/>
          <w:bCs/>
          <w:sz w:val="24"/>
          <w:szCs w:val="24"/>
        </w:rPr>
        <w:t>Ų</w:t>
      </w:r>
      <w:r w:rsidR="003764B5">
        <w:rPr>
          <w:rFonts w:ascii="Times New Roman" w:eastAsia="Times New Roman" w:hAnsi="Times New Roman" w:cs="Times New Roman"/>
          <w:b/>
          <w:bCs/>
          <w:sz w:val="24"/>
          <w:szCs w:val="24"/>
        </w:rPr>
        <w:t xml:space="preserve"> SAVIVALDYBĖ</w:t>
      </w:r>
      <w:r w:rsidR="00C65270">
        <w:rPr>
          <w:rFonts w:ascii="Times New Roman" w:eastAsia="Times New Roman" w:hAnsi="Times New Roman" w:cs="Times New Roman"/>
          <w:b/>
          <w:bCs/>
          <w:sz w:val="24"/>
          <w:szCs w:val="24"/>
        </w:rPr>
        <w:t>SE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820AC0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0C3FE7">
        <w:rPr>
          <w:rFonts w:ascii="Times New Roman" w:hAnsi="Times New Roman" w:cs="Times New Roman"/>
          <w:sz w:val="24"/>
          <w:szCs w:val="24"/>
        </w:rPr>
        <w:t>6</w:t>
      </w:r>
      <w:r w:rsidR="0001207B">
        <w:rPr>
          <w:rFonts w:ascii="Times New Roman" w:hAnsi="Times New Roman" w:cs="Times New Roman"/>
          <w:sz w:val="24"/>
          <w:szCs w:val="24"/>
        </w:rPr>
        <w:t>-20</w:t>
      </w:r>
      <w:r w:rsidR="007B7456">
        <w:rPr>
          <w:rFonts w:ascii="Times New Roman" w:hAnsi="Times New Roman" w:cs="Times New Roman"/>
          <w:sz w:val="24"/>
          <w:szCs w:val="24"/>
        </w:rPr>
        <w:t>5</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112941D5"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9F0247">
        <w:rPr>
          <w:rFonts w:ascii="Times New Roman" w:hAnsi="Times New Roman" w:cs="Times New Roman"/>
          <w:sz w:val="24"/>
          <w:szCs w:val="24"/>
        </w:rPr>
        <w:t>Šiaulių</w:t>
      </w:r>
      <w:r w:rsidR="0001207B" w:rsidRPr="00344A55">
        <w:rPr>
          <w:rFonts w:ascii="Times New Roman" w:hAnsi="Times New Roman" w:cs="Times New Roman"/>
          <w:sz w:val="24"/>
          <w:szCs w:val="24"/>
        </w:rPr>
        <w:t xml:space="preserve"> regiono plėtros planu, patvirtintu </w:t>
      </w:r>
      <w:r w:rsidR="00546707">
        <w:rPr>
          <w:rFonts w:ascii="Times New Roman" w:hAnsi="Times New Roman" w:cs="Times New Roman"/>
          <w:sz w:val="24"/>
          <w:szCs w:val="24"/>
        </w:rPr>
        <w:t>Šiaulių</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w:t>
      </w:r>
      <w:r w:rsidR="00546707">
        <w:rPr>
          <w:rFonts w:ascii="Times New Roman" w:hAnsi="Times New Roman" w:cs="Times New Roman"/>
          <w:sz w:val="24"/>
          <w:szCs w:val="24"/>
        </w:rPr>
        <w:t xml:space="preserve"> vasario</w:t>
      </w:r>
      <w:r w:rsidR="0001207B">
        <w:rPr>
          <w:rFonts w:ascii="Times New Roman" w:hAnsi="Times New Roman" w:cs="Times New Roman"/>
          <w:sz w:val="24"/>
          <w:szCs w:val="24"/>
        </w:rPr>
        <w:t xml:space="preserve"> </w:t>
      </w:r>
      <w:r w:rsidR="00546707">
        <w:rPr>
          <w:rFonts w:ascii="Times New Roman" w:hAnsi="Times New Roman" w:cs="Times New Roman"/>
          <w:sz w:val="24"/>
          <w:szCs w:val="24"/>
        </w:rPr>
        <w:t>8</w:t>
      </w:r>
      <w:r w:rsidR="0001207B">
        <w:rPr>
          <w:rFonts w:ascii="Times New Roman" w:hAnsi="Times New Roman" w:cs="Times New Roman"/>
          <w:sz w:val="24"/>
          <w:szCs w:val="24"/>
        </w:rPr>
        <w:t xml:space="preserve"> d. sprendimu Nr. </w:t>
      </w:r>
      <w:r w:rsidR="00546707" w:rsidRPr="00546707">
        <w:rPr>
          <w:rFonts w:ascii="Times New Roman" w:hAnsi="Times New Roman" w:cs="Times New Roman"/>
          <w:sz w:val="24"/>
          <w:szCs w:val="24"/>
        </w:rPr>
        <w:t>ŠR/TS-6</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546707">
        <w:rPr>
          <w:rFonts w:ascii="Times New Roman" w:hAnsi="Times New Roman" w:cs="Times New Roman"/>
          <w:sz w:val="24"/>
          <w:szCs w:val="24"/>
        </w:rPr>
        <w:t>Šiaulių</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0E9F22E"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w:t>
            </w:r>
            <w:r w:rsidR="000C3FE7">
              <w:rPr>
                <w:rFonts w:ascii="Times New Roman" w:hAnsi="Times New Roman" w:cs="Times New Roman"/>
              </w:rPr>
              <w:t>6</w:t>
            </w:r>
            <w:r w:rsidRPr="00D01E91">
              <w:rPr>
                <w:rFonts w:ascii="Times New Roman" w:hAnsi="Times New Roman" w:cs="Times New Roman"/>
              </w:rPr>
              <w:t>-</w:t>
            </w:r>
            <w:r w:rsidR="000C3FE7" w:rsidRPr="000C3FE7">
              <w:rPr>
                <w:rFonts w:ascii="Times New Roman" w:hAnsi="Times New Roman" w:cs="Times New Roman"/>
              </w:rPr>
              <w:t>(LT026-02-02-04)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3FA7CFDA" w:rsidR="00962A9D" w:rsidRDefault="000C3FE7"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Šiaulių</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DD036A">
                <w:rPr>
                  <w:rStyle w:val="Hyperlink"/>
                  <w:rFonts w:ascii="Times New Roman" w:hAnsi="Times New Roman" w:cs="Times New Roman"/>
                  <w:shd w:val="clear" w:color="auto" w:fill="FFFFFF"/>
                </w:rPr>
                <w:t>https://www.e-tar.lt/portal/lt/legalAct/ca00ad30a78e11ed8df094f359a60216/asr</w:t>
              </w:r>
            </w:hyperlink>
          </w:p>
          <w:p w14:paraId="12F47FF7" w14:textId="77777777" w:rsidR="000C3FE7" w:rsidRDefault="000C3FE7" w:rsidP="00722D1D">
            <w:pPr>
              <w:rPr>
                <w:rFonts w:ascii="Times New Roman" w:hAnsi="Times New Roman" w:cs="Times New Roman"/>
                <w:color w:val="2E2D51"/>
                <w:shd w:val="clear" w:color="auto" w:fill="FFFFFF"/>
              </w:rPr>
            </w:pPr>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5D7A4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D7A4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D7A4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D7A4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D7A4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D7A4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D7A4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D7A4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D7A4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D7A4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D7A4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D7A4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D7A4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D7A4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D7A4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D7A4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ED64CAE" w:rsidR="001A1453" w:rsidRPr="008B168C" w:rsidRDefault="005D7A4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D7A4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71A4CD00" w:rsidR="001A1453" w:rsidRPr="008B168C" w:rsidRDefault="005D7A46"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D7A4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364F08D8" w:rsidR="001A1453" w:rsidRPr="008B168C" w:rsidRDefault="005D7A4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D7A4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5D7A4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D7A4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032467C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w:t>
            </w:r>
            <w:r w:rsidR="00B0776F">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5D7A4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5D7A4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5D7A4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D7A4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5D7A46"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5D7A46"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5D7A46"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5D7A4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D7A4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5D7A4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D7A4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D7A4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D7A4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5D7A4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D7A4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D7A4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5D7A4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D7A4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D7A4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D7A4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D7A4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5D7A4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D7A4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D7A4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D7A4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D7A4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5D7A4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D7A4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D7A4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D7A4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5D7A4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D7A4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5D7A4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5D7A4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D7A4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D7A4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D7A4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D7A4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D7A4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D7A4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D7A4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5D7A4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5D7A4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D7A4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D7A4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D7A4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D7A4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5D7A4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D7A4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D7A4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5D7A4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6FE92DF0" w:rsidR="00AC029E" w:rsidRPr="008B168C" w:rsidRDefault="005D7A4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5D7A4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D7A4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5D7A4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D7A4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5D7A4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D7A4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5D7A4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D7A4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D7A4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D7A4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5D7A4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5D7A4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D7A4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5D7A4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5D7A4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D7A4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5D7A4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5D7A4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5D7A4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5D7A4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88E4CA5" w:rsidR="00FF7835" w:rsidRPr="00FF7835" w:rsidRDefault="007B7456" w:rsidP="347B8ECA">
            <w:pPr>
              <w:spacing w:line="257" w:lineRule="auto"/>
              <w:rPr>
                <w:rFonts w:ascii="Times New Roman" w:eastAsia="Times New Roman" w:hAnsi="Times New Roman" w:cs="Times New Roman"/>
                <w:i/>
                <w:iCs/>
              </w:rPr>
            </w:pPr>
            <w:r>
              <w:rPr>
                <w:rFonts w:ascii="Times New Roman" w:eastAsia="Times New Roman" w:hAnsi="Times New Roman" w:cs="Times New Roman"/>
              </w:rPr>
              <w:t>12 052</w:t>
            </w:r>
            <w:r w:rsidR="000C3FE7">
              <w:rPr>
                <w:rFonts w:ascii="Times New Roman" w:eastAsia="Times New Roman" w:hAnsi="Times New Roman" w:cs="Times New Roman"/>
              </w:rPr>
              <w:t> </w:t>
            </w:r>
            <w:r>
              <w:rPr>
                <w:rFonts w:ascii="Times New Roman" w:eastAsia="Times New Roman" w:hAnsi="Times New Roman" w:cs="Times New Roman"/>
              </w:rPr>
              <w:t>583</w:t>
            </w:r>
            <w:r w:rsidR="000C3FE7">
              <w:rPr>
                <w:rFonts w:ascii="Times New Roman" w:eastAsia="Times New Roman" w:hAnsi="Times New Roman" w:cs="Times New Roman"/>
              </w:rPr>
              <w:t>,00</w:t>
            </w:r>
            <w:r w:rsidR="00C60D72">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475745CF"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7B7456" w:rsidRPr="007B7456">
              <w:rPr>
                <w:rFonts w:ascii="Times New Roman" w:eastAsia="Times New Roman" w:hAnsi="Times New Roman" w:cs="Times New Roman"/>
                <w:u w:val="single"/>
              </w:rPr>
              <w:t>12 052 583,00</w:t>
            </w:r>
            <w:r w:rsidR="007B7456">
              <w:rPr>
                <w:rFonts w:ascii="Times New Roman" w:eastAsia="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5D7A46"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5D7A46"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7B7456" w14:paraId="2FA854C9" w14:textId="77777777" w:rsidTr="007B7456">
        <w:trPr>
          <w:gridAfter w:val="1"/>
          <w:wAfter w:w="14" w:type="dxa"/>
          <w:cantSplit/>
          <w:trHeight w:val="408"/>
        </w:trPr>
        <w:tc>
          <w:tcPr>
            <w:tcW w:w="850" w:type="dxa"/>
            <w:vMerge w:val="restart"/>
          </w:tcPr>
          <w:p w14:paraId="74915AC9" w14:textId="6CD365E0" w:rsidR="007B7456" w:rsidRPr="00BF5F79" w:rsidRDefault="007B7456"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vMerge w:val="restart"/>
          </w:tcPr>
          <w:p w14:paraId="2B85F556" w14:textId="60ED2F78" w:rsidR="007B7456" w:rsidRPr="00395C6D" w:rsidRDefault="007B7456"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7B7456" w:rsidRPr="00395C6D" w:rsidRDefault="007B7456"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0804F9F6" w14:textId="3FCB847F" w:rsidR="007B7456" w:rsidRPr="003369DA" w:rsidRDefault="007B7456" w:rsidP="00466812">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5 294 083,00 Eur</w:t>
            </w:r>
          </w:p>
          <w:p w14:paraId="5A55FBC3" w14:textId="4C215554" w:rsidR="007B7456" w:rsidRPr="007B7456" w:rsidRDefault="007B7456" w:rsidP="00466812">
            <w:pPr>
              <w:spacing w:line="257" w:lineRule="auto"/>
              <w:jc w:val="both"/>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7B7456" w14:paraId="0447A23A" w14:textId="77777777" w:rsidTr="67FCC6BA">
        <w:trPr>
          <w:gridAfter w:val="1"/>
          <w:wAfter w:w="14" w:type="dxa"/>
          <w:cantSplit/>
          <w:trHeight w:val="408"/>
        </w:trPr>
        <w:tc>
          <w:tcPr>
            <w:tcW w:w="850" w:type="dxa"/>
            <w:vMerge/>
          </w:tcPr>
          <w:p w14:paraId="66CF6977" w14:textId="77777777" w:rsidR="007B7456" w:rsidRDefault="007B7456" w:rsidP="00466812">
            <w:pPr>
              <w:rPr>
                <w:rFonts w:ascii="Times New Roman" w:hAnsi="Times New Roman" w:cs="Times New Roman"/>
                <w:b/>
                <w:bCs/>
              </w:rPr>
            </w:pPr>
          </w:p>
        </w:tc>
        <w:tc>
          <w:tcPr>
            <w:tcW w:w="1984" w:type="dxa"/>
            <w:vMerge/>
          </w:tcPr>
          <w:p w14:paraId="3E0DF005" w14:textId="77777777" w:rsidR="007B7456" w:rsidRPr="6E319D59" w:rsidRDefault="007B7456" w:rsidP="00466812">
            <w:pPr>
              <w:rPr>
                <w:rFonts w:ascii="Times New Roman" w:eastAsia="Times New Roman" w:hAnsi="Times New Roman" w:cs="Times New Roman"/>
                <w:b/>
                <w:bCs/>
              </w:rPr>
            </w:pPr>
          </w:p>
        </w:tc>
        <w:tc>
          <w:tcPr>
            <w:tcW w:w="7436" w:type="dxa"/>
            <w:gridSpan w:val="5"/>
          </w:tcPr>
          <w:p w14:paraId="22F5DE8B" w14:textId="77777777" w:rsidR="007B7456" w:rsidRPr="003369DA" w:rsidRDefault="007B7456" w:rsidP="00466812">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6 758 500,00 Eur</w:t>
            </w:r>
          </w:p>
          <w:p w14:paraId="37BDB7F9" w14:textId="137436F2" w:rsidR="007B7456" w:rsidRPr="007B7456" w:rsidRDefault="007B7456" w:rsidP="00466812">
            <w:pPr>
              <w:spacing w:line="257" w:lineRule="auto"/>
              <w:jc w:val="both"/>
              <w:rPr>
                <w:rFonts w:ascii="Times New Roman" w:eastAsia="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w:t>
            </w:r>
            <w:r w:rsidR="003369DA">
              <w:rPr>
                <w:rFonts w:ascii="Times New Roman" w:hAnsi="Times New Roman" w:cs="Times New Roman"/>
              </w:rPr>
              <w:t>6</w:t>
            </w:r>
            <w:r>
              <w:rPr>
                <w:rFonts w:ascii="Times New Roman" w:hAnsi="Times New Roman" w:cs="Times New Roman"/>
              </w:rPr>
              <w:t xml:space="preserve"> veiklai)</w:t>
            </w:r>
          </w:p>
        </w:tc>
      </w:tr>
      <w:tr w:rsidR="003369DA" w:rsidRPr="008B168C" w14:paraId="31C64C7B" w14:textId="77777777" w:rsidTr="003369DA">
        <w:trPr>
          <w:gridAfter w:val="1"/>
          <w:wAfter w:w="14" w:type="dxa"/>
          <w:cantSplit/>
          <w:trHeight w:val="888"/>
        </w:trPr>
        <w:tc>
          <w:tcPr>
            <w:tcW w:w="850" w:type="dxa"/>
            <w:vMerge w:val="restart"/>
          </w:tcPr>
          <w:p w14:paraId="31C64C78" w14:textId="1FB1F8FA" w:rsidR="003369DA" w:rsidRPr="00A02CA8" w:rsidRDefault="003369DA"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vMerge w:val="restart"/>
          </w:tcPr>
          <w:p w14:paraId="31C64C79" w14:textId="653701DA" w:rsidR="003369DA" w:rsidRPr="00352499" w:rsidRDefault="003369DA"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652C6112" w14:textId="77777777" w:rsidR="003369DA" w:rsidRPr="003369DA" w:rsidRDefault="003369DA" w:rsidP="003369DA">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5 294 083,00 Eur</w:t>
            </w:r>
          </w:p>
          <w:p w14:paraId="31C64C7A" w14:textId="7294E1BA" w:rsidR="003369DA" w:rsidRPr="00352499" w:rsidRDefault="003369DA" w:rsidP="003369DA">
            <w:pPr>
              <w:rPr>
                <w:rFonts w:ascii="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3369DA" w:rsidRPr="008B168C" w14:paraId="4BA722DC" w14:textId="77777777" w:rsidTr="67FCC6BA">
        <w:trPr>
          <w:gridAfter w:val="1"/>
          <w:wAfter w:w="14" w:type="dxa"/>
          <w:cantSplit/>
          <w:trHeight w:val="888"/>
        </w:trPr>
        <w:tc>
          <w:tcPr>
            <w:tcW w:w="850" w:type="dxa"/>
            <w:vMerge/>
          </w:tcPr>
          <w:p w14:paraId="4CFF109E" w14:textId="77777777" w:rsidR="003369DA" w:rsidRPr="377B9342" w:rsidRDefault="003369DA" w:rsidP="00466812">
            <w:pPr>
              <w:rPr>
                <w:rFonts w:ascii="Times New Roman" w:hAnsi="Times New Roman" w:cs="Times New Roman"/>
                <w:b/>
                <w:bCs/>
              </w:rPr>
            </w:pPr>
          </w:p>
        </w:tc>
        <w:tc>
          <w:tcPr>
            <w:tcW w:w="1984" w:type="dxa"/>
            <w:vMerge/>
          </w:tcPr>
          <w:p w14:paraId="702D5E21" w14:textId="77777777" w:rsidR="003369DA" w:rsidRPr="00352499" w:rsidRDefault="003369DA" w:rsidP="00466812">
            <w:pPr>
              <w:rPr>
                <w:rFonts w:ascii="Times New Roman" w:hAnsi="Times New Roman" w:cs="Times New Roman"/>
                <w:b/>
                <w:bCs/>
              </w:rPr>
            </w:pPr>
          </w:p>
        </w:tc>
        <w:tc>
          <w:tcPr>
            <w:tcW w:w="7436" w:type="dxa"/>
            <w:gridSpan w:val="5"/>
          </w:tcPr>
          <w:p w14:paraId="546681AC" w14:textId="77777777" w:rsidR="003369DA" w:rsidRPr="003369DA" w:rsidRDefault="003369DA" w:rsidP="003369DA">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6 758 500,00 Eur</w:t>
            </w:r>
          </w:p>
          <w:p w14:paraId="178104F0" w14:textId="7B8990CD" w:rsidR="003369DA" w:rsidRPr="000C3FE7" w:rsidRDefault="003369DA" w:rsidP="003369DA">
            <w:pPr>
              <w:jc w:val="both"/>
              <w:rPr>
                <w:rFonts w:ascii="Times New Roman" w:eastAsia="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 veiklai)</w:t>
            </w: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3369DA" w:rsidRPr="008B168C" w14:paraId="4A5933EB" w14:textId="77777777" w:rsidTr="00F90888">
        <w:trPr>
          <w:gridAfter w:val="1"/>
          <w:wAfter w:w="14" w:type="dxa"/>
          <w:cantSplit/>
          <w:trHeight w:val="833"/>
        </w:trPr>
        <w:tc>
          <w:tcPr>
            <w:tcW w:w="850" w:type="dxa"/>
          </w:tcPr>
          <w:p w14:paraId="7A667C70" w14:textId="5A7104AC" w:rsidR="003369DA" w:rsidRPr="00B52EB3" w:rsidRDefault="003369DA" w:rsidP="00466812">
            <w:pPr>
              <w:rPr>
                <w:rFonts w:ascii="Times New Roman" w:hAnsi="Times New Roman" w:cs="Times New Roman"/>
              </w:rPr>
            </w:pPr>
          </w:p>
        </w:tc>
        <w:tc>
          <w:tcPr>
            <w:tcW w:w="1984" w:type="dxa"/>
          </w:tcPr>
          <w:p w14:paraId="48C0C022" w14:textId="00C79455" w:rsidR="003369DA" w:rsidRPr="00352499" w:rsidRDefault="003369DA" w:rsidP="00466812">
            <w:pPr>
              <w:spacing w:after="160" w:line="259" w:lineRule="auto"/>
              <w:rPr>
                <w:rFonts w:ascii="Times New Roman" w:hAnsi="Times New Roman" w:cs="Times New Roman"/>
                <w:i/>
                <w:iCs/>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w:t>
            </w:r>
          </w:p>
        </w:tc>
        <w:tc>
          <w:tcPr>
            <w:tcW w:w="7436" w:type="dxa"/>
            <w:gridSpan w:val="5"/>
          </w:tcPr>
          <w:p w14:paraId="2597C47A" w14:textId="4C60851E" w:rsidR="003369DA" w:rsidRPr="00F90888" w:rsidRDefault="003369DA" w:rsidP="00466812">
            <w:pPr>
              <w:jc w:val="both"/>
              <w:rPr>
                <w:rFonts w:ascii="Times New Roman" w:hAnsi="Times New Roman" w:cs="Times New Roman"/>
              </w:rPr>
            </w:pPr>
            <w:r w:rsidRPr="00F90888">
              <w:rPr>
                <w:rFonts w:ascii="Times New Roman" w:hAnsi="Times New Roman" w:cs="Times New Roman"/>
              </w:rPr>
              <w:t>Geriamojo vandens tiekimo bei nuotekų tvarkymo paslaugų prieinamumo didinimas Kelmės rajone</w:t>
            </w:r>
            <w:r w:rsidR="00F90888">
              <w:rPr>
                <w:rFonts w:ascii="Times New Roman" w:hAnsi="Times New Roman" w:cs="Times New Roman"/>
              </w:rPr>
              <w:t>.</w:t>
            </w:r>
          </w:p>
        </w:tc>
      </w:tr>
      <w:tr w:rsidR="003369DA" w:rsidRPr="008B168C" w14:paraId="5508F745" w14:textId="77777777" w:rsidTr="67FCC6BA">
        <w:trPr>
          <w:gridAfter w:val="1"/>
          <w:wAfter w:w="14" w:type="dxa"/>
          <w:cantSplit/>
          <w:trHeight w:val="492"/>
        </w:trPr>
        <w:tc>
          <w:tcPr>
            <w:tcW w:w="850" w:type="dxa"/>
          </w:tcPr>
          <w:p w14:paraId="5577052B" w14:textId="77777777" w:rsidR="003369DA" w:rsidRPr="00B52EB3" w:rsidRDefault="003369DA" w:rsidP="00466812">
            <w:pPr>
              <w:rPr>
                <w:rFonts w:ascii="Times New Roman" w:hAnsi="Times New Roman" w:cs="Times New Roman"/>
              </w:rPr>
            </w:pPr>
          </w:p>
        </w:tc>
        <w:tc>
          <w:tcPr>
            <w:tcW w:w="1984" w:type="dxa"/>
          </w:tcPr>
          <w:p w14:paraId="520E2501" w14:textId="75BE27F0" w:rsidR="003369DA" w:rsidRPr="00D01E91" w:rsidRDefault="003369DA" w:rsidP="00466812">
            <w:pPr>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w:t>
            </w:r>
          </w:p>
        </w:tc>
        <w:tc>
          <w:tcPr>
            <w:tcW w:w="7436" w:type="dxa"/>
            <w:gridSpan w:val="5"/>
          </w:tcPr>
          <w:p w14:paraId="03AE6944" w14:textId="2DDFBB6C" w:rsidR="003369DA" w:rsidRPr="00F90888" w:rsidRDefault="003369DA" w:rsidP="00466812">
            <w:pPr>
              <w:jc w:val="both"/>
              <w:rPr>
                <w:rFonts w:ascii="Times New Roman" w:hAnsi="Times New Roman" w:cs="Times New Roman"/>
              </w:rPr>
            </w:pPr>
            <w:r w:rsidRPr="00F90888">
              <w:rPr>
                <w:rFonts w:ascii="Times New Roman" w:hAnsi="Times New Roman" w:cs="Times New Roman"/>
              </w:rPr>
              <w:t>Vandentiekio ir nuotekų sistemų plėtra bei rekonstrukcija Šiaulių rajono savivaldybėje</w:t>
            </w:r>
            <w:r w:rsidR="00F90888">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F90888" w:rsidRPr="008B168C" w14:paraId="5DF64BDA" w14:textId="212F7AE2" w:rsidTr="00F90888">
        <w:trPr>
          <w:gridAfter w:val="1"/>
          <w:wAfter w:w="14" w:type="dxa"/>
          <w:cantSplit/>
          <w:trHeight w:val="150"/>
        </w:trPr>
        <w:tc>
          <w:tcPr>
            <w:tcW w:w="850" w:type="dxa"/>
            <w:vMerge w:val="restart"/>
          </w:tcPr>
          <w:p w14:paraId="673AB3F8" w14:textId="5CC892BB" w:rsidR="00F90888" w:rsidRPr="00352499" w:rsidRDefault="00F90888" w:rsidP="00466812">
            <w:pPr>
              <w:rPr>
                <w:rFonts w:ascii="Times New Roman" w:hAnsi="Times New Roman" w:cs="Times New Roman"/>
                <w:b/>
                <w:bCs/>
              </w:rPr>
            </w:pPr>
            <w:r w:rsidRPr="00352499">
              <w:rPr>
                <w:rFonts w:ascii="Times New Roman" w:hAnsi="Times New Roman" w:cs="Times New Roman"/>
                <w:b/>
                <w:bCs/>
              </w:rPr>
              <w:t>2.13.3</w:t>
            </w:r>
          </w:p>
        </w:tc>
        <w:tc>
          <w:tcPr>
            <w:tcW w:w="1984" w:type="dxa"/>
            <w:vMerge w:val="restart"/>
          </w:tcPr>
          <w:p w14:paraId="52172BC0" w14:textId="13A55390" w:rsidR="00F90888" w:rsidRPr="00352499" w:rsidRDefault="00F90888"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545ED67D" w14:textId="77777777" w:rsidR="00F90888" w:rsidRPr="00F90888" w:rsidRDefault="00F90888" w:rsidP="00F90888">
            <w:pPr>
              <w:pStyle w:val="Default"/>
              <w:rPr>
                <w:color w:val="auto"/>
                <w:sz w:val="22"/>
                <w:szCs w:val="22"/>
              </w:rPr>
            </w:pPr>
            <w:r w:rsidRPr="00F90888">
              <w:rPr>
                <w:color w:val="auto"/>
                <w:sz w:val="22"/>
                <w:szCs w:val="22"/>
              </w:rPr>
              <w:t xml:space="preserve">UAB „Kelmės vanduo“ </w:t>
            </w:r>
          </w:p>
          <w:p w14:paraId="3589E60D" w14:textId="72AB3EC5" w:rsidR="00F90888" w:rsidRPr="00F90888" w:rsidRDefault="00F90888" w:rsidP="00466812">
            <w:pPr>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F90888" w:rsidRPr="008B168C" w14:paraId="294BEEDA" w14:textId="77777777" w:rsidTr="67FCC6BA">
        <w:trPr>
          <w:gridAfter w:val="1"/>
          <w:wAfter w:w="14" w:type="dxa"/>
          <w:cantSplit/>
          <w:trHeight w:val="150"/>
        </w:trPr>
        <w:tc>
          <w:tcPr>
            <w:tcW w:w="850" w:type="dxa"/>
            <w:vMerge/>
          </w:tcPr>
          <w:p w14:paraId="1E17DCA9" w14:textId="77777777" w:rsidR="00F90888" w:rsidRPr="00352499" w:rsidRDefault="00F90888" w:rsidP="00466812">
            <w:pPr>
              <w:rPr>
                <w:rFonts w:ascii="Times New Roman" w:hAnsi="Times New Roman" w:cs="Times New Roman"/>
                <w:b/>
                <w:bCs/>
              </w:rPr>
            </w:pPr>
          </w:p>
        </w:tc>
        <w:tc>
          <w:tcPr>
            <w:tcW w:w="1984" w:type="dxa"/>
            <w:vMerge/>
          </w:tcPr>
          <w:p w14:paraId="14790A40" w14:textId="77777777" w:rsidR="00F90888" w:rsidRPr="00352499" w:rsidRDefault="00F90888" w:rsidP="00466812">
            <w:pPr>
              <w:rPr>
                <w:rFonts w:ascii="Times New Roman" w:hAnsi="Times New Roman" w:cs="Times New Roman"/>
                <w:b/>
                <w:bCs/>
              </w:rPr>
            </w:pPr>
          </w:p>
        </w:tc>
        <w:tc>
          <w:tcPr>
            <w:tcW w:w="7436" w:type="dxa"/>
            <w:gridSpan w:val="5"/>
          </w:tcPr>
          <w:p w14:paraId="1CF420E9" w14:textId="77777777" w:rsidR="00F90888" w:rsidRPr="00F90888" w:rsidRDefault="00F90888" w:rsidP="00F90888">
            <w:pPr>
              <w:pStyle w:val="Default"/>
              <w:rPr>
                <w:color w:val="auto"/>
                <w:sz w:val="22"/>
                <w:szCs w:val="22"/>
              </w:rPr>
            </w:pPr>
            <w:r w:rsidRPr="00F90888">
              <w:rPr>
                <w:color w:val="auto"/>
                <w:sz w:val="22"/>
                <w:szCs w:val="22"/>
              </w:rPr>
              <w:t xml:space="preserve">UAB „Kuršėnų vandenys“ </w:t>
            </w:r>
          </w:p>
          <w:p w14:paraId="028AFE57" w14:textId="1E193495" w:rsidR="00F90888" w:rsidRPr="00F90888" w:rsidRDefault="00F90888" w:rsidP="00466812">
            <w:pPr>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 veiklai)</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27D9432E" w:rsidR="00466812" w:rsidRPr="00352499" w:rsidRDefault="005D7A46"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26708D">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5D7A46"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AC11EC" w:rsidRPr="008B168C" w14:paraId="3D216911" w14:textId="77777777" w:rsidTr="00AC11EC">
        <w:trPr>
          <w:gridAfter w:val="1"/>
          <w:wAfter w:w="14" w:type="dxa"/>
          <w:cantSplit/>
          <w:trHeight w:val="150"/>
        </w:trPr>
        <w:tc>
          <w:tcPr>
            <w:tcW w:w="850" w:type="dxa"/>
            <w:vMerge w:val="restart"/>
          </w:tcPr>
          <w:p w14:paraId="4B68DE2C" w14:textId="7D02347C" w:rsidR="00AC11EC" w:rsidRPr="006A00FF" w:rsidRDefault="00AC11EC"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vMerge w:val="restart"/>
          </w:tcPr>
          <w:p w14:paraId="11202949" w14:textId="79CBA04A" w:rsidR="00AC11EC" w:rsidRPr="009C094C" w:rsidRDefault="00AC11EC"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29C7FF" w14:textId="77777777" w:rsidR="00AC11EC" w:rsidRPr="00AC11EC" w:rsidRDefault="00AC11EC" w:rsidP="00AC11EC">
            <w:pPr>
              <w:pStyle w:val="Default"/>
              <w:rPr>
                <w:color w:val="auto"/>
                <w:sz w:val="22"/>
                <w:szCs w:val="22"/>
              </w:rPr>
            </w:pPr>
            <w:r w:rsidRPr="00AC11EC">
              <w:rPr>
                <w:color w:val="auto"/>
                <w:sz w:val="22"/>
                <w:szCs w:val="22"/>
              </w:rPr>
              <w:t xml:space="preserve">Kelmės rajono savivaldybės administracija </w:t>
            </w:r>
          </w:p>
          <w:p w14:paraId="19DC8D32" w14:textId="78E7282C" w:rsidR="00AC11EC" w:rsidRPr="00AC11EC" w:rsidRDefault="00AC11EC" w:rsidP="00907E47">
            <w:pPr>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AC11EC" w:rsidRPr="008B168C" w14:paraId="38E94612" w14:textId="77777777" w:rsidTr="67FCC6BA">
        <w:trPr>
          <w:gridAfter w:val="1"/>
          <w:wAfter w:w="14" w:type="dxa"/>
          <w:cantSplit/>
          <w:trHeight w:val="150"/>
        </w:trPr>
        <w:tc>
          <w:tcPr>
            <w:tcW w:w="850" w:type="dxa"/>
            <w:vMerge/>
          </w:tcPr>
          <w:p w14:paraId="53E3DBA6" w14:textId="77777777" w:rsidR="00AC11EC" w:rsidRPr="5BCA0B0D" w:rsidRDefault="00AC11EC" w:rsidP="00466812">
            <w:pPr>
              <w:rPr>
                <w:rFonts w:ascii="Times New Roman" w:hAnsi="Times New Roman" w:cs="Times New Roman"/>
                <w:b/>
                <w:bCs/>
              </w:rPr>
            </w:pPr>
          </w:p>
        </w:tc>
        <w:tc>
          <w:tcPr>
            <w:tcW w:w="1984" w:type="dxa"/>
            <w:vMerge/>
          </w:tcPr>
          <w:p w14:paraId="676E5402" w14:textId="77777777" w:rsidR="00AC11EC" w:rsidRPr="009C094C" w:rsidRDefault="00AC11EC" w:rsidP="00466812">
            <w:pPr>
              <w:rPr>
                <w:rFonts w:ascii="Times New Roman" w:hAnsi="Times New Roman" w:cs="Times New Roman"/>
                <w:b/>
                <w:bCs/>
              </w:rPr>
            </w:pPr>
          </w:p>
        </w:tc>
        <w:tc>
          <w:tcPr>
            <w:tcW w:w="7436" w:type="dxa"/>
            <w:gridSpan w:val="5"/>
          </w:tcPr>
          <w:p w14:paraId="4962C10B" w14:textId="77777777" w:rsidR="00AC11EC" w:rsidRPr="00AC11EC" w:rsidRDefault="00AC11EC" w:rsidP="00AC11EC">
            <w:pPr>
              <w:pStyle w:val="Default"/>
              <w:rPr>
                <w:color w:val="auto"/>
                <w:sz w:val="22"/>
                <w:szCs w:val="22"/>
              </w:rPr>
            </w:pPr>
            <w:r w:rsidRPr="00AC11EC">
              <w:rPr>
                <w:color w:val="auto"/>
                <w:sz w:val="22"/>
                <w:szCs w:val="22"/>
              </w:rPr>
              <w:t xml:space="preserve">Šiaulių rajono savivaldybės administracija </w:t>
            </w:r>
          </w:p>
          <w:p w14:paraId="0E99AF5D" w14:textId="6C94A8F9" w:rsidR="00AC11EC" w:rsidRPr="00AC11EC" w:rsidRDefault="00AC11EC" w:rsidP="00AC11EC">
            <w:pPr>
              <w:pStyle w:val="Default"/>
              <w:rPr>
                <w:color w:val="auto"/>
                <w:sz w:val="22"/>
                <w:szCs w:val="22"/>
              </w:rPr>
            </w:pPr>
            <w:r w:rsidRPr="00AC11EC">
              <w:rPr>
                <w:color w:val="auto"/>
                <w:sz w:val="22"/>
                <w:szCs w:val="22"/>
              </w:rPr>
              <w:t>(02-001-06-07-02-(RE)-26-(LT026-02-02-04)-01-06 veiklai)</w:t>
            </w:r>
          </w:p>
        </w:tc>
      </w:tr>
      <w:tr w:rsidR="00AC11EC" w14:paraId="384CD925" w14:textId="77777777" w:rsidTr="00AC11EC">
        <w:trPr>
          <w:gridAfter w:val="1"/>
          <w:wAfter w:w="14" w:type="dxa"/>
          <w:cantSplit/>
          <w:trHeight w:val="630"/>
        </w:trPr>
        <w:tc>
          <w:tcPr>
            <w:tcW w:w="850" w:type="dxa"/>
            <w:vMerge w:val="restart"/>
          </w:tcPr>
          <w:p w14:paraId="3CFB969D" w14:textId="7976A44F" w:rsidR="00AC11EC" w:rsidRDefault="00AC11EC" w:rsidP="00AC11EC">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vMerge w:val="restart"/>
          </w:tcPr>
          <w:p w14:paraId="10D44CE4" w14:textId="37A11CC1" w:rsidR="00AC11EC" w:rsidRDefault="00AC11EC" w:rsidP="00AC11EC">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1985692" w14:textId="77777777" w:rsidR="00AC11EC" w:rsidRPr="003369DA" w:rsidRDefault="00AC11EC" w:rsidP="00AC11EC">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5 294 083,00 Eur</w:t>
            </w:r>
          </w:p>
          <w:p w14:paraId="42C9777A" w14:textId="4C3DDBCE" w:rsidR="00AC11EC" w:rsidRDefault="00AC11EC" w:rsidP="00AC11EC">
            <w:pPr>
              <w:jc w:val="both"/>
              <w:rPr>
                <w:rFonts w:ascii="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AC11EC" w14:paraId="12503192" w14:textId="77777777" w:rsidTr="67FCC6BA">
        <w:trPr>
          <w:gridAfter w:val="1"/>
          <w:wAfter w:w="14" w:type="dxa"/>
          <w:cantSplit/>
          <w:trHeight w:val="630"/>
        </w:trPr>
        <w:tc>
          <w:tcPr>
            <w:tcW w:w="850" w:type="dxa"/>
            <w:vMerge/>
          </w:tcPr>
          <w:p w14:paraId="1905A4E1" w14:textId="77777777" w:rsidR="00AC11EC" w:rsidRPr="5BCA0B0D" w:rsidRDefault="00AC11EC" w:rsidP="00AC11EC">
            <w:pPr>
              <w:rPr>
                <w:rFonts w:ascii="Times New Roman" w:hAnsi="Times New Roman" w:cs="Times New Roman"/>
                <w:b/>
                <w:bCs/>
              </w:rPr>
            </w:pPr>
          </w:p>
        </w:tc>
        <w:tc>
          <w:tcPr>
            <w:tcW w:w="1984" w:type="dxa"/>
            <w:vMerge/>
          </w:tcPr>
          <w:p w14:paraId="08931000" w14:textId="77777777" w:rsidR="00AC11EC" w:rsidRPr="61F0C4A1" w:rsidRDefault="00AC11EC" w:rsidP="00AC11EC">
            <w:pPr>
              <w:rPr>
                <w:rFonts w:ascii="Times New Roman" w:hAnsi="Times New Roman" w:cs="Times New Roman"/>
                <w:b/>
                <w:bCs/>
              </w:rPr>
            </w:pPr>
          </w:p>
        </w:tc>
        <w:tc>
          <w:tcPr>
            <w:tcW w:w="7436" w:type="dxa"/>
            <w:gridSpan w:val="5"/>
          </w:tcPr>
          <w:p w14:paraId="7C265396" w14:textId="77777777" w:rsidR="00AC11EC" w:rsidRPr="003369DA" w:rsidRDefault="00AC11EC" w:rsidP="00AC11EC">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6 758 500,00 Eur</w:t>
            </w:r>
          </w:p>
          <w:p w14:paraId="0CD995B0" w14:textId="6561A06B" w:rsidR="00AC11EC" w:rsidRDefault="00AC11EC" w:rsidP="00AC11EC">
            <w:pPr>
              <w:jc w:val="both"/>
              <w:rPr>
                <w:rFonts w:ascii="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 veiklai)</w:t>
            </w: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2FBF42C2" w:rsidR="00466812" w:rsidRPr="00B51B47" w:rsidRDefault="00466812" w:rsidP="00466812">
            <w:pPr>
              <w:jc w:val="both"/>
              <w:rPr>
                <w:rFonts w:ascii="Times New Roman" w:hAnsi="Times New Roman" w:cs="Times New Roman"/>
              </w:rPr>
            </w:pPr>
            <w:r w:rsidRPr="00B51B47">
              <w:rPr>
                <w:rFonts w:ascii="Times New Roman" w:hAnsi="Times New Roman" w:cs="Times New Roman"/>
              </w:rPr>
              <w:t xml:space="preserve">Iki </w:t>
            </w:r>
            <w:r w:rsidR="000C3FE7">
              <w:rPr>
                <w:rFonts w:ascii="Times New Roman" w:hAnsi="Times New Roman" w:cs="Times New Roman"/>
              </w:rPr>
              <w:t>50,0</w:t>
            </w:r>
            <w:r w:rsidRPr="00B51B47">
              <w:rPr>
                <w:rFonts w:ascii="Times New Roman" w:hAnsi="Times New Roman" w:cs="Times New Roman"/>
              </w:rPr>
              <w:t xml:space="preserve">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29CE7A44" w:rsidR="00466812" w:rsidRPr="00B51B47" w:rsidRDefault="00466812" w:rsidP="00466812">
            <w:pPr>
              <w:rPr>
                <w:rFonts w:ascii="Times New Roman" w:hAnsi="Times New Roman" w:cs="Times New Roman"/>
                <w:i/>
                <w:u w:val="single"/>
              </w:rPr>
            </w:pPr>
            <w:r w:rsidRPr="00B51B47">
              <w:rPr>
                <w:rFonts w:ascii="Times New Roman" w:hAnsi="Times New Roman" w:cs="Times New Roman"/>
              </w:rPr>
              <w:t xml:space="preserve">ne mažiau kaip </w:t>
            </w:r>
            <w:r w:rsidR="000C3FE7">
              <w:rPr>
                <w:rFonts w:ascii="Times New Roman" w:hAnsi="Times New Roman" w:cs="Times New Roman"/>
              </w:rPr>
              <w:t>50,0</w:t>
            </w:r>
            <w:r w:rsidRPr="00B51B47">
              <w:rPr>
                <w:rFonts w:ascii="Times New Roman" w:hAnsi="Times New Roman" w:cs="Times New Roman"/>
              </w:rPr>
              <w:t xml:space="preserve">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3861F3" w:rsidRPr="00F44ADD" w14:paraId="2E69C5B7" w14:textId="77777777" w:rsidTr="005862E6">
              <w:trPr>
                <w:trHeight w:val="615"/>
              </w:trPr>
              <w:tc>
                <w:tcPr>
                  <w:tcW w:w="929" w:type="pct"/>
                  <w:vMerge w:val="restart"/>
                  <w:shd w:val="clear" w:color="auto" w:fill="auto"/>
                  <w:vAlign w:val="center"/>
                </w:tcPr>
                <w:p w14:paraId="281A6D67" w14:textId="5A035D9F" w:rsidR="003861F3" w:rsidRPr="000329D5" w:rsidRDefault="003861F3" w:rsidP="003861F3">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w:t>
                  </w:r>
                </w:p>
              </w:tc>
              <w:tc>
                <w:tcPr>
                  <w:tcW w:w="1053" w:type="pct"/>
                  <w:shd w:val="clear" w:color="auto" w:fill="auto"/>
                </w:tcPr>
                <w:p w14:paraId="18E3E21C" w14:textId="4E9C74CF"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Viešojo vandens tiekimo paskirstymo sistemų naujų arba atnaujintų vamzdynų ilgis</w:t>
                  </w:r>
                </w:p>
              </w:tc>
              <w:tc>
                <w:tcPr>
                  <w:tcW w:w="842" w:type="pct"/>
                  <w:shd w:val="clear" w:color="auto" w:fill="auto"/>
                </w:tcPr>
                <w:p w14:paraId="79660FE7" w14:textId="633A0BF4"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RCO30</w:t>
                  </w:r>
                  <w:r w:rsidRPr="003861F3">
                    <w:rPr>
                      <w:rFonts w:ascii="Times New Roman" w:hAnsi="Times New Roman" w:cs="Times New Roman"/>
                    </w:rPr>
                    <w:br/>
                    <w:t xml:space="preserve">P.B.2.0030 </w:t>
                  </w:r>
                </w:p>
              </w:tc>
              <w:tc>
                <w:tcPr>
                  <w:tcW w:w="1193" w:type="pct"/>
                  <w:shd w:val="clear" w:color="auto" w:fill="auto"/>
                </w:tcPr>
                <w:p w14:paraId="5B7D18E9" w14:textId="44E978EA"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6931968E" w14:textId="4BD08AB7"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8,84</w:t>
                  </w:r>
                </w:p>
              </w:tc>
            </w:tr>
            <w:tr w:rsidR="003861F3" w:rsidRPr="00F44ADD" w14:paraId="114CFF1C" w14:textId="77777777" w:rsidTr="00686D92">
              <w:trPr>
                <w:trHeight w:val="615"/>
              </w:trPr>
              <w:tc>
                <w:tcPr>
                  <w:tcW w:w="929" w:type="pct"/>
                  <w:vMerge/>
                  <w:shd w:val="clear" w:color="auto" w:fill="auto"/>
                  <w:vAlign w:val="center"/>
                </w:tcPr>
                <w:p w14:paraId="71C4C44F" w14:textId="34AF5CA6" w:rsidR="003861F3" w:rsidRPr="000329D5" w:rsidRDefault="003861F3" w:rsidP="003861F3">
                  <w:pPr>
                    <w:rPr>
                      <w:rFonts w:ascii="Times New Roman" w:hAnsi="Times New Roman" w:cs="Times New Roman"/>
                      <w:iCs/>
                      <w:sz w:val="20"/>
                      <w:szCs w:val="20"/>
                      <w:highlight w:val="yellow"/>
                    </w:rPr>
                  </w:pPr>
                </w:p>
              </w:tc>
              <w:tc>
                <w:tcPr>
                  <w:tcW w:w="1053" w:type="pct"/>
                  <w:shd w:val="clear" w:color="auto" w:fill="auto"/>
                </w:tcPr>
                <w:p w14:paraId="24ABED62" w14:textId="759CD585"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Viešojo nuotekų surinkimo tinklo naujų arba atnaujintų vamzdynų ilgis</w:t>
                  </w:r>
                </w:p>
              </w:tc>
              <w:tc>
                <w:tcPr>
                  <w:tcW w:w="842" w:type="pct"/>
                  <w:shd w:val="clear" w:color="auto" w:fill="auto"/>
                </w:tcPr>
                <w:p w14:paraId="72BE849E" w14:textId="1CB85088"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RCO31</w:t>
                  </w:r>
                  <w:r w:rsidRPr="003861F3">
                    <w:rPr>
                      <w:rFonts w:ascii="Times New Roman" w:hAnsi="Times New Roman" w:cs="Times New Roman"/>
                    </w:rPr>
                    <w:br/>
                    <w:t xml:space="preserve">P.B.2.0031 </w:t>
                  </w:r>
                </w:p>
              </w:tc>
              <w:tc>
                <w:tcPr>
                  <w:tcW w:w="1193" w:type="pct"/>
                  <w:shd w:val="clear" w:color="auto" w:fill="auto"/>
                </w:tcPr>
                <w:p w14:paraId="11F28E33" w14:textId="65F6415A"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2145E41D" w14:textId="333612A1"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27,81</w:t>
                  </w:r>
                </w:p>
              </w:tc>
            </w:tr>
            <w:tr w:rsidR="003861F3" w:rsidRPr="00F44ADD" w14:paraId="28F8C0EB" w14:textId="77777777" w:rsidTr="006215B4">
              <w:trPr>
                <w:trHeight w:val="615"/>
              </w:trPr>
              <w:tc>
                <w:tcPr>
                  <w:tcW w:w="929" w:type="pct"/>
                  <w:vMerge/>
                  <w:shd w:val="clear" w:color="auto" w:fill="auto"/>
                  <w:vAlign w:val="center"/>
                </w:tcPr>
                <w:p w14:paraId="0E5B0298" w14:textId="2EE728C5" w:rsidR="003861F3" w:rsidRPr="000329D5" w:rsidRDefault="003861F3" w:rsidP="003861F3">
                  <w:pPr>
                    <w:rPr>
                      <w:rFonts w:ascii="Times New Roman" w:hAnsi="Times New Roman" w:cs="Times New Roman"/>
                      <w:iCs/>
                      <w:sz w:val="20"/>
                      <w:szCs w:val="20"/>
                      <w:highlight w:val="yellow"/>
                    </w:rPr>
                  </w:pPr>
                </w:p>
              </w:tc>
              <w:tc>
                <w:tcPr>
                  <w:tcW w:w="1053" w:type="pct"/>
                  <w:shd w:val="clear" w:color="auto" w:fill="auto"/>
                </w:tcPr>
                <w:p w14:paraId="547F2E2D" w14:textId="3C758AC6"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 xml:space="preserve">Nauji arba atnaujinti nuotekų valymo pajėgumai </w:t>
                  </w:r>
                </w:p>
              </w:tc>
              <w:tc>
                <w:tcPr>
                  <w:tcW w:w="842" w:type="pct"/>
                  <w:shd w:val="clear" w:color="auto" w:fill="auto"/>
                </w:tcPr>
                <w:p w14:paraId="2E1B4D97" w14:textId="04599112"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RCO32</w:t>
                  </w:r>
                  <w:r w:rsidRPr="003861F3">
                    <w:rPr>
                      <w:rFonts w:ascii="Times New Roman" w:hAnsi="Times New Roman" w:cs="Times New Roman"/>
                    </w:rPr>
                    <w:br/>
                    <w:t xml:space="preserve">P.B.2.0032 </w:t>
                  </w:r>
                </w:p>
              </w:tc>
              <w:tc>
                <w:tcPr>
                  <w:tcW w:w="1193" w:type="pct"/>
                  <w:shd w:val="clear" w:color="auto" w:fill="auto"/>
                </w:tcPr>
                <w:p w14:paraId="687C5A24" w14:textId="7B1F096C"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Gyventojų ekvivalentas</w:t>
                  </w:r>
                </w:p>
              </w:tc>
              <w:tc>
                <w:tcPr>
                  <w:tcW w:w="983" w:type="pct"/>
                  <w:shd w:val="clear" w:color="auto" w:fill="auto"/>
                </w:tcPr>
                <w:p w14:paraId="059B1171" w14:textId="70B962AD"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404</w:t>
                  </w:r>
                </w:p>
              </w:tc>
            </w:tr>
            <w:tr w:rsidR="003861F3" w:rsidRPr="00F44ADD" w14:paraId="6EADD551" w14:textId="77777777" w:rsidTr="002D280D">
              <w:trPr>
                <w:trHeight w:val="615"/>
              </w:trPr>
              <w:tc>
                <w:tcPr>
                  <w:tcW w:w="929" w:type="pct"/>
                  <w:vMerge/>
                  <w:shd w:val="clear" w:color="auto" w:fill="auto"/>
                  <w:vAlign w:val="center"/>
                </w:tcPr>
                <w:p w14:paraId="76989DE3" w14:textId="2A1AD4CB" w:rsidR="003861F3" w:rsidRPr="00D01E91" w:rsidRDefault="003861F3" w:rsidP="003861F3">
                  <w:pPr>
                    <w:rPr>
                      <w:rFonts w:ascii="Times New Roman" w:hAnsi="Times New Roman" w:cs="Times New Roman"/>
                    </w:rPr>
                  </w:pPr>
                </w:p>
              </w:tc>
              <w:tc>
                <w:tcPr>
                  <w:tcW w:w="1053" w:type="pct"/>
                  <w:shd w:val="clear" w:color="auto" w:fill="auto"/>
                </w:tcPr>
                <w:p w14:paraId="57EE09C5" w14:textId="130B7D2A"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Nauji arba atnaujinti geriamojo vandens ruošimo pajėgumai</w:t>
                  </w:r>
                </w:p>
              </w:tc>
              <w:tc>
                <w:tcPr>
                  <w:tcW w:w="842" w:type="pct"/>
                  <w:shd w:val="clear" w:color="auto" w:fill="auto"/>
                </w:tcPr>
                <w:p w14:paraId="61F9B197" w14:textId="3ACD608B"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 xml:space="preserve">P.S.2.1013 </w:t>
                  </w:r>
                </w:p>
              </w:tc>
              <w:tc>
                <w:tcPr>
                  <w:tcW w:w="1193" w:type="pct"/>
                  <w:shd w:val="clear" w:color="auto" w:fill="auto"/>
                </w:tcPr>
                <w:p w14:paraId="431EE4B1" w14:textId="73FD7562"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m3/parą</w:t>
                  </w:r>
                </w:p>
              </w:tc>
              <w:tc>
                <w:tcPr>
                  <w:tcW w:w="983" w:type="pct"/>
                  <w:shd w:val="clear" w:color="auto" w:fill="auto"/>
                </w:tcPr>
                <w:p w14:paraId="1338374A" w14:textId="5D8D15FA"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89,15</w:t>
                  </w:r>
                </w:p>
              </w:tc>
            </w:tr>
            <w:tr w:rsidR="003861F3" w:rsidRPr="00F44ADD" w14:paraId="5077330F" w14:textId="77777777" w:rsidTr="00D24D18">
              <w:trPr>
                <w:trHeight w:val="615"/>
              </w:trPr>
              <w:tc>
                <w:tcPr>
                  <w:tcW w:w="929" w:type="pct"/>
                  <w:vMerge/>
                  <w:shd w:val="clear" w:color="auto" w:fill="auto"/>
                  <w:vAlign w:val="center"/>
                </w:tcPr>
                <w:p w14:paraId="72D9A65E" w14:textId="6D188A11" w:rsidR="003861F3" w:rsidRPr="00D01E91" w:rsidRDefault="003861F3" w:rsidP="003861F3">
                  <w:pPr>
                    <w:rPr>
                      <w:rFonts w:ascii="Times New Roman" w:hAnsi="Times New Roman" w:cs="Times New Roman"/>
                    </w:rPr>
                  </w:pPr>
                </w:p>
              </w:tc>
              <w:tc>
                <w:tcPr>
                  <w:tcW w:w="1053" w:type="pct"/>
                  <w:shd w:val="clear" w:color="auto" w:fill="auto"/>
                </w:tcPr>
                <w:p w14:paraId="22D04F5F" w14:textId="08910EE3"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bent prie antrinio viešojo nuotekų valymo įrenginių</w:t>
                  </w:r>
                </w:p>
              </w:tc>
              <w:tc>
                <w:tcPr>
                  <w:tcW w:w="842" w:type="pct"/>
                  <w:shd w:val="clear" w:color="auto" w:fill="auto"/>
                </w:tcPr>
                <w:p w14:paraId="2C81C6A8" w14:textId="3FF4BFA1"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RCR42</w:t>
                  </w:r>
                  <w:r w:rsidRPr="003861F3">
                    <w:rPr>
                      <w:rFonts w:ascii="Times New Roman" w:hAnsi="Times New Roman" w:cs="Times New Roman"/>
                    </w:rPr>
                    <w:br/>
                    <w:t xml:space="preserve">R.B.2.2042 </w:t>
                  </w:r>
                </w:p>
              </w:tc>
              <w:tc>
                <w:tcPr>
                  <w:tcW w:w="1193" w:type="pct"/>
                  <w:shd w:val="clear" w:color="auto" w:fill="auto"/>
                </w:tcPr>
                <w:p w14:paraId="09AED807" w14:textId="2B6860ED"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13A2327A" w14:textId="5E5B2AFA"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1602</w:t>
                  </w:r>
                </w:p>
              </w:tc>
            </w:tr>
            <w:tr w:rsidR="003861F3" w:rsidRPr="00F44ADD" w14:paraId="707185E5" w14:textId="77777777" w:rsidTr="00D24D18">
              <w:trPr>
                <w:trHeight w:val="615"/>
              </w:trPr>
              <w:tc>
                <w:tcPr>
                  <w:tcW w:w="929" w:type="pct"/>
                  <w:vMerge/>
                  <w:shd w:val="clear" w:color="auto" w:fill="auto"/>
                  <w:vAlign w:val="center"/>
                </w:tcPr>
                <w:p w14:paraId="26DE8EC4" w14:textId="77777777" w:rsidR="003861F3" w:rsidRPr="00D01E91" w:rsidRDefault="003861F3" w:rsidP="003861F3">
                  <w:pPr>
                    <w:rPr>
                      <w:rFonts w:ascii="Times New Roman" w:hAnsi="Times New Roman" w:cs="Times New Roman"/>
                    </w:rPr>
                  </w:pPr>
                </w:p>
              </w:tc>
              <w:tc>
                <w:tcPr>
                  <w:tcW w:w="1053" w:type="pct"/>
                  <w:shd w:val="clear" w:color="auto" w:fill="auto"/>
                </w:tcPr>
                <w:p w14:paraId="4317B7F7" w14:textId="6A8CB294"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prie patobulintų viešojo vandens tiekimo sistemų</w:t>
                  </w:r>
                </w:p>
              </w:tc>
              <w:tc>
                <w:tcPr>
                  <w:tcW w:w="842" w:type="pct"/>
                  <w:shd w:val="clear" w:color="auto" w:fill="auto"/>
                </w:tcPr>
                <w:p w14:paraId="7FF9527F" w14:textId="32ABB7F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RCR41</w:t>
                  </w:r>
                  <w:r w:rsidRPr="003861F3">
                    <w:rPr>
                      <w:rFonts w:ascii="Times New Roman" w:hAnsi="Times New Roman" w:cs="Times New Roman"/>
                    </w:rPr>
                    <w:br/>
                    <w:t xml:space="preserve">R.B.2.2041 </w:t>
                  </w:r>
                </w:p>
              </w:tc>
              <w:tc>
                <w:tcPr>
                  <w:tcW w:w="1193" w:type="pct"/>
                  <w:shd w:val="clear" w:color="auto" w:fill="auto"/>
                </w:tcPr>
                <w:p w14:paraId="1ADED530" w14:textId="00BDADFE"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71A5606F" w14:textId="07C89748"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1040</w:t>
                  </w:r>
                </w:p>
              </w:tc>
            </w:tr>
            <w:tr w:rsidR="003861F3" w:rsidRPr="00F44ADD" w14:paraId="6E6015BF" w14:textId="77777777" w:rsidTr="00D24D18">
              <w:trPr>
                <w:trHeight w:val="615"/>
              </w:trPr>
              <w:tc>
                <w:tcPr>
                  <w:tcW w:w="929" w:type="pct"/>
                  <w:vMerge w:val="restart"/>
                  <w:shd w:val="clear" w:color="auto" w:fill="auto"/>
                  <w:vAlign w:val="center"/>
                </w:tcPr>
                <w:p w14:paraId="4E2AA0E5" w14:textId="7264613C" w:rsidR="003861F3" w:rsidRPr="00D01E91" w:rsidRDefault="003861F3" w:rsidP="003861F3">
                  <w:pPr>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w:t>
                  </w:r>
                </w:p>
              </w:tc>
              <w:tc>
                <w:tcPr>
                  <w:tcW w:w="1053" w:type="pct"/>
                  <w:shd w:val="clear" w:color="auto" w:fill="auto"/>
                </w:tcPr>
                <w:p w14:paraId="546B5106" w14:textId="117FD443"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Viešojo vandens tiekimo paskirstymo sistemų naujų arba atnaujintų vamzdynų ilgis</w:t>
                  </w:r>
                </w:p>
              </w:tc>
              <w:tc>
                <w:tcPr>
                  <w:tcW w:w="842" w:type="pct"/>
                  <w:shd w:val="clear" w:color="auto" w:fill="auto"/>
                </w:tcPr>
                <w:p w14:paraId="3410393C" w14:textId="6FFED226"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RCO30</w:t>
                  </w:r>
                  <w:r w:rsidRPr="003861F3">
                    <w:rPr>
                      <w:rFonts w:ascii="Times New Roman" w:hAnsi="Times New Roman" w:cs="Times New Roman"/>
                    </w:rPr>
                    <w:br/>
                    <w:t xml:space="preserve">P.B.2.0030 </w:t>
                  </w:r>
                </w:p>
              </w:tc>
              <w:tc>
                <w:tcPr>
                  <w:tcW w:w="1193" w:type="pct"/>
                  <w:shd w:val="clear" w:color="auto" w:fill="auto"/>
                </w:tcPr>
                <w:p w14:paraId="6D707568" w14:textId="1DD0E468"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0E5502FB" w14:textId="71D73322"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10,4</w:t>
                  </w:r>
                </w:p>
              </w:tc>
            </w:tr>
            <w:tr w:rsidR="003861F3" w:rsidRPr="00F44ADD" w14:paraId="24C08C95" w14:textId="77777777" w:rsidTr="00D24D18">
              <w:trPr>
                <w:trHeight w:val="615"/>
              </w:trPr>
              <w:tc>
                <w:tcPr>
                  <w:tcW w:w="929" w:type="pct"/>
                  <w:vMerge/>
                  <w:shd w:val="clear" w:color="auto" w:fill="auto"/>
                  <w:vAlign w:val="center"/>
                </w:tcPr>
                <w:p w14:paraId="752FE3CE" w14:textId="77777777" w:rsidR="003861F3" w:rsidRPr="00D01E91" w:rsidRDefault="003861F3" w:rsidP="003861F3">
                  <w:pPr>
                    <w:rPr>
                      <w:rFonts w:ascii="Times New Roman" w:hAnsi="Times New Roman" w:cs="Times New Roman"/>
                    </w:rPr>
                  </w:pPr>
                </w:p>
              </w:tc>
              <w:tc>
                <w:tcPr>
                  <w:tcW w:w="1053" w:type="pct"/>
                  <w:shd w:val="clear" w:color="auto" w:fill="auto"/>
                </w:tcPr>
                <w:p w14:paraId="49434002" w14:textId="67D198E2"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Viešojo nuotekų surinkimo tinklo naujų arba atnaujintų vamzdynų ilgis</w:t>
                  </w:r>
                </w:p>
              </w:tc>
              <w:tc>
                <w:tcPr>
                  <w:tcW w:w="842" w:type="pct"/>
                  <w:shd w:val="clear" w:color="auto" w:fill="auto"/>
                </w:tcPr>
                <w:p w14:paraId="33FB7567" w14:textId="6EE307E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RCO31</w:t>
                  </w:r>
                  <w:r w:rsidRPr="003861F3">
                    <w:rPr>
                      <w:rFonts w:ascii="Times New Roman" w:hAnsi="Times New Roman" w:cs="Times New Roman"/>
                    </w:rPr>
                    <w:br/>
                    <w:t xml:space="preserve">P.B.2.0031 </w:t>
                  </w:r>
                </w:p>
              </w:tc>
              <w:tc>
                <w:tcPr>
                  <w:tcW w:w="1193" w:type="pct"/>
                  <w:shd w:val="clear" w:color="auto" w:fill="auto"/>
                </w:tcPr>
                <w:p w14:paraId="50D3C0BE" w14:textId="16B398D7"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66960812" w14:textId="02FB3B43"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11,3</w:t>
                  </w:r>
                </w:p>
              </w:tc>
            </w:tr>
            <w:tr w:rsidR="003861F3" w:rsidRPr="00F44ADD" w14:paraId="6EA1E7FC" w14:textId="77777777" w:rsidTr="00D24D18">
              <w:trPr>
                <w:trHeight w:val="615"/>
              </w:trPr>
              <w:tc>
                <w:tcPr>
                  <w:tcW w:w="929" w:type="pct"/>
                  <w:vMerge/>
                  <w:shd w:val="clear" w:color="auto" w:fill="auto"/>
                  <w:vAlign w:val="center"/>
                </w:tcPr>
                <w:p w14:paraId="2099DCF4" w14:textId="77777777" w:rsidR="003861F3" w:rsidRPr="00D01E91" w:rsidRDefault="003861F3" w:rsidP="003861F3">
                  <w:pPr>
                    <w:rPr>
                      <w:rFonts w:ascii="Times New Roman" w:hAnsi="Times New Roman" w:cs="Times New Roman"/>
                    </w:rPr>
                  </w:pPr>
                </w:p>
              </w:tc>
              <w:tc>
                <w:tcPr>
                  <w:tcW w:w="1053" w:type="pct"/>
                  <w:shd w:val="clear" w:color="auto" w:fill="auto"/>
                </w:tcPr>
                <w:p w14:paraId="49BE5368" w14:textId="7B1D33EE"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prie patobulintų viešojo vandens tiekimo sistemų</w:t>
                  </w:r>
                </w:p>
              </w:tc>
              <w:tc>
                <w:tcPr>
                  <w:tcW w:w="842" w:type="pct"/>
                  <w:shd w:val="clear" w:color="auto" w:fill="auto"/>
                </w:tcPr>
                <w:p w14:paraId="2592A3A9" w14:textId="2A5E3351"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RCR41</w:t>
                  </w:r>
                  <w:r w:rsidRPr="003861F3">
                    <w:rPr>
                      <w:rFonts w:ascii="Times New Roman" w:hAnsi="Times New Roman" w:cs="Times New Roman"/>
                    </w:rPr>
                    <w:br/>
                    <w:t xml:space="preserve">R.B.2.2041 </w:t>
                  </w:r>
                </w:p>
              </w:tc>
              <w:tc>
                <w:tcPr>
                  <w:tcW w:w="1193" w:type="pct"/>
                  <w:shd w:val="clear" w:color="auto" w:fill="auto"/>
                </w:tcPr>
                <w:p w14:paraId="059D4CEF" w14:textId="7AE36C96"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7E9D2BB0" w14:textId="01C99F3F"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1001</w:t>
                  </w:r>
                </w:p>
              </w:tc>
            </w:tr>
            <w:tr w:rsidR="003861F3" w:rsidRPr="00F44ADD" w14:paraId="5E0A8029" w14:textId="77777777" w:rsidTr="00D24D18">
              <w:trPr>
                <w:trHeight w:val="615"/>
              </w:trPr>
              <w:tc>
                <w:tcPr>
                  <w:tcW w:w="929" w:type="pct"/>
                  <w:vMerge/>
                  <w:shd w:val="clear" w:color="auto" w:fill="auto"/>
                  <w:vAlign w:val="center"/>
                </w:tcPr>
                <w:p w14:paraId="544DA1DC" w14:textId="77777777" w:rsidR="003861F3" w:rsidRPr="00D01E91" w:rsidRDefault="003861F3" w:rsidP="003861F3">
                  <w:pPr>
                    <w:rPr>
                      <w:rFonts w:ascii="Times New Roman" w:hAnsi="Times New Roman" w:cs="Times New Roman"/>
                    </w:rPr>
                  </w:pPr>
                </w:p>
              </w:tc>
              <w:tc>
                <w:tcPr>
                  <w:tcW w:w="1053" w:type="pct"/>
                  <w:shd w:val="clear" w:color="auto" w:fill="auto"/>
                </w:tcPr>
                <w:p w14:paraId="414763BE" w14:textId="2EEEE4F7"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Nauji arba atnaujinti geriamojo vandens ruošimo pajėgumai</w:t>
                  </w:r>
                </w:p>
              </w:tc>
              <w:tc>
                <w:tcPr>
                  <w:tcW w:w="842" w:type="pct"/>
                  <w:shd w:val="clear" w:color="auto" w:fill="auto"/>
                </w:tcPr>
                <w:p w14:paraId="6ACA3C4C" w14:textId="1DD2B09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 xml:space="preserve">P.S.2.1013 </w:t>
                  </w:r>
                </w:p>
              </w:tc>
              <w:tc>
                <w:tcPr>
                  <w:tcW w:w="1193" w:type="pct"/>
                  <w:shd w:val="clear" w:color="auto" w:fill="auto"/>
                </w:tcPr>
                <w:p w14:paraId="6B782C5D" w14:textId="36CDB865"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m3/parą</w:t>
                  </w:r>
                </w:p>
              </w:tc>
              <w:tc>
                <w:tcPr>
                  <w:tcW w:w="983" w:type="pct"/>
                  <w:shd w:val="clear" w:color="auto" w:fill="auto"/>
                </w:tcPr>
                <w:p w14:paraId="7C4AD641" w14:textId="0D27DA3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40</w:t>
                  </w:r>
                </w:p>
              </w:tc>
            </w:tr>
            <w:tr w:rsidR="003861F3" w:rsidRPr="00F44ADD" w14:paraId="452A70F7" w14:textId="77777777" w:rsidTr="00D24D18">
              <w:trPr>
                <w:trHeight w:val="615"/>
              </w:trPr>
              <w:tc>
                <w:tcPr>
                  <w:tcW w:w="929" w:type="pct"/>
                  <w:vMerge/>
                  <w:shd w:val="clear" w:color="auto" w:fill="auto"/>
                  <w:vAlign w:val="center"/>
                </w:tcPr>
                <w:p w14:paraId="6A21BB85" w14:textId="77777777" w:rsidR="003861F3" w:rsidRPr="00D01E91" w:rsidRDefault="003861F3" w:rsidP="003861F3">
                  <w:pPr>
                    <w:rPr>
                      <w:rFonts w:ascii="Times New Roman" w:hAnsi="Times New Roman" w:cs="Times New Roman"/>
                    </w:rPr>
                  </w:pPr>
                </w:p>
              </w:tc>
              <w:tc>
                <w:tcPr>
                  <w:tcW w:w="1053" w:type="pct"/>
                  <w:shd w:val="clear" w:color="auto" w:fill="auto"/>
                </w:tcPr>
                <w:p w14:paraId="2B23C23F" w14:textId="4CEBAD40"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bent prie antrinio viešojo nuotekų valymo įrenginių</w:t>
                  </w:r>
                </w:p>
              </w:tc>
              <w:tc>
                <w:tcPr>
                  <w:tcW w:w="842" w:type="pct"/>
                  <w:shd w:val="clear" w:color="auto" w:fill="auto"/>
                </w:tcPr>
                <w:p w14:paraId="15DFB811" w14:textId="08624359"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RCR42</w:t>
                  </w:r>
                  <w:r w:rsidRPr="003861F3">
                    <w:rPr>
                      <w:rFonts w:ascii="Times New Roman" w:hAnsi="Times New Roman" w:cs="Times New Roman"/>
                    </w:rPr>
                    <w:br/>
                    <w:t xml:space="preserve">R.B.2.2042 </w:t>
                  </w:r>
                </w:p>
              </w:tc>
              <w:tc>
                <w:tcPr>
                  <w:tcW w:w="1193" w:type="pct"/>
                  <w:shd w:val="clear" w:color="auto" w:fill="auto"/>
                </w:tcPr>
                <w:p w14:paraId="42A51B19" w14:textId="3CBE71AB"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530D6D64" w14:textId="711B79C5"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736</w:t>
                  </w:r>
                </w:p>
              </w:tc>
            </w:tr>
            <w:tr w:rsidR="003861F3" w:rsidRPr="00F44ADD" w14:paraId="7693D726" w14:textId="77777777" w:rsidTr="00D24D18">
              <w:trPr>
                <w:trHeight w:val="615"/>
              </w:trPr>
              <w:tc>
                <w:tcPr>
                  <w:tcW w:w="929" w:type="pct"/>
                  <w:vMerge/>
                  <w:shd w:val="clear" w:color="auto" w:fill="auto"/>
                  <w:vAlign w:val="center"/>
                </w:tcPr>
                <w:p w14:paraId="083C9331" w14:textId="77777777" w:rsidR="003861F3" w:rsidRPr="00D01E91" w:rsidRDefault="003861F3" w:rsidP="003861F3">
                  <w:pPr>
                    <w:rPr>
                      <w:rFonts w:ascii="Times New Roman" w:hAnsi="Times New Roman" w:cs="Times New Roman"/>
                    </w:rPr>
                  </w:pPr>
                </w:p>
              </w:tc>
              <w:tc>
                <w:tcPr>
                  <w:tcW w:w="1053" w:type="pct"/>
                  <w:shd w:val="clear" w:color="auto" w:fill="auto"/>
                </w:tcPr>
                <w:p w14:paraId="16E78204" w14:textId="7B307321"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 xml:space="preserve">Nauji arba atnaujinti nuotekų valymo pajėgumai </w:t>
                  </w:r>
                </w:p>
              </w:tc>
              <w:tc>
                <w:tcPr>
                  <w:tcW w:w="842" w:type="pct"/>
                  <w:shd w:val="clear" w:color="auto" w:fill="auto"/>
                </w:tcPr>
                <w:p w14:paraId="4A73844E" w14:textId="0CBDACD5"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RCO32</w:t>
                  </w:r>
                  <w:r w:rsidRPr="003861F3">
                    <w:rPr>
                      <w:rFonts w:ascii="Times New Roman" w:hAnsi="Times New Roman" w:cs="Times New Roman"/>
                    </w:rPr>
                    <w:br/>
                    <w:t xml:space="preserve">P.B.2.0032 </w:t>
                  </w:r>
                </w:p>
              </w:tc>
              <w:tc>
                <w:tcPr>
                  <w:tcW w:w="1193" w:type="pct"/>
                  <w:shd w:val="clear" w:color="auto" w:fill="auto"/>
                </w:tcPr>
                <w:p w14:paraId="4CA78EA9" w14:textId="639C13F6"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Gyventojų ekvivalentas</w:t>
                  </w:r>
                </w:p>
              </w:tc>
              <w:tc>
                <w:tcPr>
                  <w:tcW w:w="983" w:type="pct"/>
                  <w:shd w:val="clear" w:color="auto" w:fill="auto"/>
                </w:tcPr>
                <w:p w14:paraId="5318B991" w14:textId="75B6A120"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4 101</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F747FD" w:rsidRPr="008B168C" w14:paraId="31C64C9F" w14:textId="77777777" w:rsidTr="67FCC6BA">
        <w:trPr>
          <w:cantSplit/>
          <w:trHeight w:val="300"/>
        </w:trPr>
        <w:tc>
          <w:tcPr>
            <w:tcW w:w="850" w:type="dxa"/>
            <w:vMerge w:val="restart"/>
          </w:tcPr>
          <w:p w14:paraId="31C64C9C" w14:textId="427932C0" w:rsidR="00F747FD" w:rsidRPr="00F62A6E" w:rsidRDefault="00F747FD"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F747FD" w:rsidRPr="009C094C" w:rsidRDefault="00F747FD"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874CF" w:rsidRPr="008B168C" w14:paraId="104ADB7A" w14:textId="77777777" w:rsidTr="005D7A46">
        <w:trPr>
          <w:cantSplit/>
          <w:trHeight w:val="439"/>
        </w:trPr>
        <w:tc>
          <w:tcPr>
            <w:tcW w:w="850" w:type="dxa"/>
            <w:vMerge/>
          </w:tcPr>
          <w:p w14:paraId="53B69355" w14:textId="77777777" w:rsidR="00B874CF" w:rsidRPr="00533406" w:rsidRDefault="00B874CF" w:rsidP="00466812">
            <w:pPr>
              <w:rPr>
                <w:rFonts w:ascii="Times New Roman" w:hAnsi="Times New Roman" w:cs="Times New Roman"/>
              </w:rPr>
            </w:pPr>
          </w:p>
        </w:tc>
        <w:tc>
          <w:tcPr>
            <w:tcW w:w="9434" w:type="dxa"/>
            <w:gridSpan w:val="7"/>
            <w:shd w:val="clear" w:color="auto" w:fill="auto"/>
          </w:tcPr>
          <w:p w14:paraId="731F3BED" w14:textId="75CB3E9A" w:rsidR="00B874CF" w:rsidRPr="00B874CF" w:rsidRDefault="00B874CF" w:rsidP="00466812">
            <w:pPr>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Pradžia - 2024 m. II</w:t>
            </w:r>
            <w:r>
              <w:rPr>
                <w:rFonts w:ascii="Times New Roman" w:eastAsia="Times New Roman" w:hAnsi="Times New Roman" w:cs="Times New Roman"/>
                <w:color w:val="000000"/>
                <w:lang w:eastAsia="lt-LT"/>
              </w:rPr>
              <w:t>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pabaiga - 202</w:t>
            </w:r>
            <w:r>
              <w:rPr>
                <w:rFonts w:ascii="Times New Roman" w:eastAsia="Times New Roman" w:hAnsi="Times New Roman" w:cs="Times New Roman"/>
                <w:color w:val="000000"/>
                <w:lang w:eastAsia="lt-LT"/>
              </w:rPr>
              <w:t>9</w:t>
            </w:r>
            <w:r w:rsidRPr="00F2744B">
              <w:rPr>
                <w:rFonts w:ascii="Times New Roman" w:eastAsia="Times New Roman" w:hAnsi="Times New Roman" w:cs="Times New Roman"/>
                <w:color w:val="000000"/>
                <w:lang w:eastAsia="lt-LT"/>
              </w:rPr>
              <w:t xml:space="preserve"> m. </w:t>
            </w:r>
            <w:r>
              <w:rPr>
                <w:rFonts w:ascii="Times New Roman" w:eastAsia="Times New Roman" w:hAnsi="Times New Roman" w:cs="Times New Roman"/>
                <w:color w:val="000000"/>
                <w:lang w:eastAsia="lt-LT"/>
              </w:rPr>
              <w:t>rugpjūčio 31.</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3"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4"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Default="00466812" w:rsidP="0046681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53215904" w14:textId="77777777" w:rsidR="00C31C21" w:rsidRPr="00B57DA7" w:rsidRDefault="005D7A46" w:rsidP="00C31C21">
            <w:pPr>
              <w:rPr>
                <w:rFonts w:ascii="Times New Roman" w:hAnsi="Times New Roman" w:cs="Times New Roman"/>
              </w:rPr>
            </w:pPr>
            <w:sdt>
              <w:sdtPr>
                <w:rPr>
                  <w:rFonts w:ascii="Times New Roman" w:hAnsi="Times New Roman" w:cs="Times New Roman"/>
                </w:rPr>
                <w:id w:val="-1283724716"/>
                <w:placeholder>
                  <w:docPart w:val="33FB52BE734247698CBE43D5EC4D06D0"/>
                </w:placeholder>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C31C21" w:rsidRPr="00B57DA7">
              <w:rPr>
                <w:rFonts w:ascii="Times New Roman" w:hAnsi="Times New Roman" w:cs="Times New Roman"/>
              </w:rPr>
              <w:t xml:space="preserve"> Partnerio deklaracija</w:t>
            </w:r>
            <w:r w:rsidR="00C31C21" w:rsidRPr="61F0C4A1">
              <w:rPr>
                <w:rFonts w:ascii="Times New Roman" w:hAnsi="Times New Roman" w:cs="Times New Roman"/>
              </w:rPr>
              <w:t xml:space="preserve"> (jei projektas  įgyvendinamas su partneriu (-</w:t>
            </w:r>
            <w:proofErr w:type="spellStart"/>
            <w:r w:rsidR="00C31C21" w:rsidRPr="61F0C4A1">
              <w:rPr>
                <w:rFonts w:ascii="Times New Roman" w:hAnsi="Times New Roman" w:cs="Times New Roman"/>
              </w:rPr>
              <w:t>iais</w:t>
            </w:r>
            <w:proofErr w:type="spellEnd"/>
            <w:r w:rsidR="00C31C21" w:rsidRPr="61F0C4A1">
              <w:rPr>
                <w:rFonts w:ascii="Times New Roman" w:hAnsi="Times New Roman" w:cs="Times New Roman"/>
              </w:rPr>
              <w:t>)</w:t>
            </w:r>
          </w:p>
          <w:p w14:paraId="4160C7B1" w14:textId="77777777" w:rsidR="00C31C21" w:rsidRPr="00B57DA7" w:rsidRDefault="005D7A46" w:rsidP="00C31C21">
            <w:pPr>
              <w:rPr>
                <w:rFonts w:ascii="Times New Roman" w:hAnsi="Times New Roman" w:cs="Times New Roman"/>
              </w:rPr>
            </w:pPr>
            <w:hyperlink r:id="rId15" w:history="1">
              <w:r w:rsidR="00C31C21" w:rsidRPr="00822F47">
                <w:rPr>
                  <w:rStyle w:val="Hyperlink"/>
                  <w:rFonts w:ascii="Times New Roman" w:hAnsi="Times New Roman" w:cs="Times New Roman"/>
                </w:rPr>
                <w:t>https://esinvesticijos.lt/dokumentai/partnerio-deklaracija</w:t>
              </w:r>
            </w:hyperlink>
            <w:r w:rsidR="00C31C21">
              <w:rPr>
                <w:rFonts w:ascii="Times New Roman" w:hAnsi="Times New Roman" w:cs="Times New Roman"/>
              </w:rPr>
              <w:t xml:space="preserve"> </w:t>
            </w:r>
          </w:p>
          <w:p w14:paraId="38D9B7F4" w14:textId="77777777" w:rsidR="00C31C21" w:rsidRDefault="005D7A46" w:rsidP="00C31C21">
            <w:pPr>
              <w:rPr>
                <w:rFonts w:ascii="Times New Roman" w:hAnsi="Times New Roman" w:cs="Times New Roman"/>
              </w:rPr>
            </w:pPr>
            <w:sdt>
              <w:sdtPr>
                <w:rPr>
                  <w:rFonts w:ascii="Times New Roman" w:hAnsi="Times New Roman" w:cs="Times New Roman"/>
                </w:rPr>
                <w:id w:val="1514339151"/>
                <w:placeholder>
                  <w:docPart w:val="33FB52BE734247698CBE43D5EC4D06D0"/>
                </w:placeholder>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C31C21" w:rsidRPr="00B57DA7">
              <w:rPr>
                <w:rFonts w:ascii="Times New Roman" w:hAnsi="Times New Roman" w:cs="Times New Roman"/>
              </w:rPr>
              <w:t xml:space="preserve"> Informacija apie projekto biudžeto paskirstymą pagal pareiškėjus ir partnerius </w:t>
            </w:r>
            <w:r w:rsidR="00C31C21" w:rsidRPr="61F0C4A1">
              <w:rPr>
                <w:rFonts w:ascii="Times New Roman" w:hAnsi="Times New Roman" w:cs="Times New Roman"/>
              </w:rPr>
              <w:t>(jei projektas  įgyvendinamas</w:t>
            </w:r>
          </w:p>
          <w:p w14:paraId="1372DFA3" w14:textId="77777777" w:rsidR="00C31C21" w:rsidRPr="00B57DA7" w:rsidRDefault="00C31C21" w:rsidP="00C31C21">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822F47">
                <w:rPr>
                  <w:rStyle w:val="Hyperlink"/>
                  <w:rFonts w:ascii="Times New Roman" w:hAnsi="Times New Roman" w:cs="Times New Roman"/>
                </w:rPr>
                <w:t>https://esinvesticijos.lt/dokumentai/informacijos-apie-biudzeto-pasiskirstyma-forma</w:t>
              </w:r>
            </w:hyperlink>
          </w:p>
          <w:p w14:paraId="4A432594" w14:textId="416117E4" w:rsidR="00466812" w:rsidRPr="00B57DA7" w:rsidRDefault="005D7A46"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5D7A46" w:rsidP="00466812">
            <w:pPr>
              <w:rPr>
                <w:rStyle w:val="Hyperlink"/>
                <w:rFonts w:ascii="Times New Roman" w:hAnsi="Times New Roman" w:cs="Times New Roman"/>
              </w:rPr>
            </w:pPr>
            <w:hyperlink r:id="rId17"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5D7A46"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8"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5D7A46"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5D7A46"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5D7A46"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9"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20"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21"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5D7A46" w:rsidP="00466812">
            <w:pPr>
              <w:jc w:val="both"/>
              <w:rPr>
                <w:rFonts w:ascii="Times New Roman" w:hAnsi="Times New Roman" w:cs="Times New Roman"/>
              </w:rPr>
            </w:pPr>
            <w:hyperlink r:id="rId22"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3918" w14:textId="77777777" w:rsidR="00960CD5" w:rsidRDefault="00960CD5" w:rsidP="00213DCB">
      <w:pPr>
        <w:spacing w:after="0" w:line="240" w:lineRule="auto"/>
      </w:pPr>
      <w:r>
        <w:separator/>
      </w:r>
    </w:p>
  </w:endnote>
  <w:endnote w:type="continuationSeparator" w:id="0">
    <w:p w14:paraId="580E1ABB" w14:textId="77777777" w:rsidR="00960CD5" w:rsidRDefault="00960CD5" w:rsidP="00213DCB">
      <w:pPr>
        <w:spacing w:after="0" w:line="240" w:lineRule="auto"/>
      </w:pPr>
      <w:r>
        <w:continuationSeparator/>
      </w:r>
    </w:p>
  </w:endnote>
  <w:endnote w:type="continuationNotice" w:id="1">
    <w:p w14:paraId="7C172DF6"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E25B" w14:textId="77777777" w:rsidR="00960CD5" w:rsidRDefault="00960CD5" w:rsidP="00213DCB">
      <w:pPr>
        <w:spacing w:after="0" w:line="240" w:lineRule="auto"/>
      </w:pPr>
      <w:r>
        <w:separator/>
      </w:r>
    </w:p>
  </w:footnote>
  <w:footnote w:type="continuationSeparator" w:id="0">
    <w:p w14:paraId="47241C2D" w14:textId="77777777" w:rsidR="00960CD5" w:rsidRDefault="00960CD5" w:rsidP="00213DCB">
      <w:pPr>
        <w:spacing w:after="0" w:line="240" w:lineRule="auto"/>
      </w:pPr>
      <w:r>
        <w:continuationSeparator/>
      </w:r>
    </w:p>
  </w:footnote>
  <w:footnote w:type="continuationNotice" w:id="1">
    <w:p w14:paraId="44071D3F"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3344"/>
    <w:rsid w:val="000C3FE7"/>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08D"/>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9DA"/>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4B5"/>
    <w:rsid w:val="003768A6"/>
    <w:rsid w:val="00380261"/>
    <w:rsid w:val="003814DF"/>
    <w:rsid w:val="00381B67"/>
    <w:rsid w:val="003820CC"/>
    <w:rsid w:val="003824AF"/>
    <w:rsid w:val="0038562E"/>
    <w:rsid w:val="00385B59"/>
    <w:rsid w:val="003861F3"/>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59E"/>
    <w:rsid w:val="00523376"/>
    <w:rsid w:val="00524CAB"/>
    <w:rsid w:val="00525443"/>
    <w:rsid w:val="00527F46"/>
    <w:rsid w:val="00532885"/>
    <w:rsid w:val="00533406"/>
    <w:rsid w:val="0053372B"/>
    <w:rsid w:val="005362EC"/>
    <w:rsid w:val="005406EE"/>
    <w:rsid w:val="00541493"/>
    <w:rsid w:val="00543003"/>
    <w:rsid w:val="0054405F"/>
    <w:rsid w:val="0054650C"/>
    <w:rsid w:val="00546707"/>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D7A46"/>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7F91"/>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0461"/>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2FDE"/>
    <w:rsid w:val="007A39F1"/>
    <w:rsid w:val="007A3E9C"/>
    <w:rsid w:val="007A7CED"/>
    <w:rsid w:val="007B260B"/>
    <w:rsid w:val="007B29E8"/>
    <w:rsid w:val="007B2EAB"/>
    <w:rsid w:val="007B3D98"/>
    <w:rsid w:val="007B41D6"/>
    <w:rsid w:val="007B5039"/>
    <w:rsid w:val="007B7456"/>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597D"/>
    <w:rsid w:val="00907E47"/>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928"/>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247"/>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AC"/>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291B"/>
    <w:rsid w:val="00AB35D3"/>
    <w:rsid w:val="00AB70E7"/>
    <w:rsid w:val="00AB74B0"/>
    <w:rsid w:val="00AB82CA"/>
    <w:rsid w:val="00AC029E"/>
    <w:rsid w:val="00AC082E"/>
    <w:rsid w:val="00AC09E1"/>
    <w:rsid w:val="00AC11EC"/>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76F"/>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B47"/>
    <w:rsid w:val="00B52657"/>
    <w:rsid w:val="00B52EB3"/>
    <w:rsid w:val="00B52EB5"/>
    <w:rsid w:val="00B532D0"/>
    <w:rsid w:val="00B54B8D"/>
    <w:rsid w:val="00B555A8"/>
    <w:rsid w:val="00B57502"/>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4C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1C21"/>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D72"/>
    <w:rsid w:val="00C61EBD"/>
    <w:rsid w:val="00C628D7"/>
    <w:rsid w:val="00C6468C"/>
    <w:rsid w:val="00C65270"/>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3D1F"/>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1E65"/>
    <w:rsid w:val="00E22D2E"/>
    <w:rsid w:val="00E23665"/>
    <w:rsid w:val="00E23DC5"/>
    <w:rsid w:val="00E278EC"/>
    <w:rsid w:val="00E27991"/>
    <w:rsid w:val="00E27CE3"/>
    <w:rsid w:val="00E31364"/>
    <w:rsid w:val="00E321E5"/>
    <w:rsid w:val="00E34AF3"/>
    <w:rsid w:val="00E40F63"/>
    <w:rsid w:val="00E42B01"/>
    <w:rsid w:val="00E43C7D"/>
    <w:rsid w:val="00E446F2"/>
    <w:rsid w:val="00E45527"/>
    <w:rsid w:val="00E4579D"/>
    <w:rsid w:val="00E5252A"/>
    <w:rsid w:val="00E530FE"/>
    <w:rsid w:val="00E54C71"/>
    <w:rsid w:val="00E55567"/>
    <w:rsid w:val="00E55803"/>
    <w:rsid w:val="00E568FF"/>
    <w:rsid w:val="00E57235"/>
    <w:rsid w:val="00E57765"/>
    <w:rsid w:val="00E60127"/>
    <w:rsid w:val="00E61B3D"/>
    <w:rsid w:val="00E6204D"/>
    <w:rsid w:val="00E64700"/>
    <w:rsid w:val="00E64A23"/>
    <w:rsid w:val="00E65073"/>
    <w:rsid w:val="00E66666"/>
    <w:rsid w:val="00E7123D"/>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47FD"/>
    <w:rsid w:val="00F76261"/>
    <w:rsid w:val="00F76A73"/>
    <w:rsid w:val="00F773F7"/>
    <w:rsid w:val="00F809FC"/>
    <w:rsid w:val="00F82DC2"/>
    <w:rsid w:val="00F85163"/>
    <w:rsid w:val="00F87E19"/>
    <w:rsid w:val="00F90888"/>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4A8"/>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 w:type="paragraph" w:customStyle="1" w:styleId="Default">
    <w:name w:val="Default"/>
    <w:rsid w:val="00F908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9b132027aa11ee9de9e7e0fd363afc/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grabstunovic@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
      <w:docPartPr>
        <w:name w:val="33FB52BE734247698CBE43D5EC4D06D0"/>
        <w:category>
          <w:name w:val="General"/>
          <w:gallery w:val="placeholder"/>
        </w:category>
        <w:types>
          <w:type w:val="bbPlcHdr"/>
        </w:types>
        <w:behaviors>
          <w:behavior w:val="content"/>
        </w:behaviors>
        <w:guid w:val="{B4AE6AF6-279E-4CEF-A328-F1DC38B08E0C}"/>
      </w:docPartPr>
      <w:docPartBody>
        <w:p w:rsidR="00DB7BEA" w:rsidRDefault="00DB7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B7381"/>
    <w:rsid w:val="000E5974"/>
    <w:rsid w:val="001237F5"/>
    <w:rsid w:val="001348C6"/>
    <w:rsid w:val="00173552"/>
    <w:rsid w:val="001D1682"/>
    <w:rsid w:val="001D5265"/>
    <w:rsid w:val="00211B47"/>
    <w:rsid w:val="00317337"/>
    <w:rsid w:val="003D1812"/>
    <w:rsid w:val="004A4126"/>
    <w:rsid w:val="004D7861"/>
    <w:rsid w:val="00631305"/>
    <w:rsid w:val="00666228"/>
    <w:rsid w:val="006E2987"/>
    <w:rsid w:val="007511AF"/>
    <w:rsid w:val="007A1E62"/>
    <w:rsid w:val="007D36F7"/>
    <w:rsid w:val="00803552"/>
    <w:rsid w:val="00804DF7"/>
    <w:rsid w:val="00857481"/>
    <w:rsid w:val="009C460C"/>
    <w:rsid w:val="009E11A0"/>
    <w:rsid w:val="00A03389"/>
    <w:rsid w:val="00A544F6"/>
    <w:rsid w:val="00A72AAB"/>
    <w:rsid w:val="00AE6CFE"/>
    <w:rsid w:val="00B42D75"/>
    <w:rsid w:val="00B44282"/>
    <w:rsid w:val="00B562FB"/>
    <w:rsid w:val="00B934D5"/>
    <w:rsid w:val="00BA339F"/>
    <w:rsid w:val="00BB07D1"/>
    <w:rsid w:val="00BD7F14"/>
    <w:rsid w:val="00BE473F"/>
    <w:rsid w:val="00BE78DE"/>
    <w:rsid w:val="00C67DC9"/>
    <w:rsid w:val="00D172A7"/>
    <w:rsid w:val="00D874F0"/>
    <w:rsid w:val="00DB7BEA"/>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C69D0496-A0D7-4417-8F1E-9C6912EF4030}"/>
</file>

<file path=docProps/app.xml><?xml version="1.0" encoding="utf-8"?>
<Properties xmlns="http://schemas.openxmlformats.org/officeDocument/2006/extended-properties" xmlns:vt="http://schemas.openxmlformats.org/officeDocument/2006/docPropsVTypes">
  <Template>Normal</Template>
  <TotalTime>32</TotalTime>
  <Pages>19</Pages>
  <Words>30943</Words>
  <Characters>17639</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48486</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13</cp:revision>
  <dcterms:created xsi:type="dcterms:W3CDTF">2024-03-18T21:55:00Z</dcterms:created>
  <dcterms:modified xsi:type="dcterms:W3CDTF">2024-03-22T11:42:00Z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3680;#Energetikos ir aplinkos apsaugos projektų skyrius|66914be9-8437-476f-ab9d-874648d15705</vt:lpwstr>
  </property>
  <property fmtid="{D5CDD505-2E9C-101B-9397-08002B2CF9AE}" pid="13" name="ContentTypeId">
    <vt:lpwstr>0x01010085772C3215B6614FB6DE0E33B8FFBAB8</vt:lpwstr>
  </property>
  <property fmtid="{D5CDD505-2E9C-101B-9397-08002B2CF9AE}" pid="14" name="DmsPermissionsUsers">
    <vt:lpwstr>1256;#Romuald Grabštunovič;#1113;#Kristina Dėjė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